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F11A1F">
      <w:pPr>
        <w:adjustRightInd w:val="0"/>
        <w:snapToGrid w:val="0"/>
        <w:spacing w:before="156" w:beforeLines="50" w:after="156" w:afterLines="50" w:line="360" w:lineRule="auto"/>
        <w:jc w:val="center"/>
        <w:outlineLvl w:val="0"/>
        <w:rPr>
          <w:rFonts w:ascii="Times New Roman" w:hAnsi="Times New Roman" w:eastAsia="黑体" w:cs="Times New Roman"/>
          <w:bCs/>
          <w:kern w:val="44"/>
          <w:sz w:val="32"/>
          <w:szCs w:val="44"/>
          <w14:ligatures w14:val="none"/>
        </w:rPr>
      </w:pPr>
      <w:bookmarkStart w:id="0" w:name="_Toc185682501"/>
      <w:bookmarkStart w:id="1" w:name="_Toc2110"/>
      <w:bookmarkStart w:id="2" w:name="_Toc163050894"/>
      <w:bookmarkStart w:id="3" w:name="_Toc13970"/>
      <w:bookmarkStart w:id="4" w:name="_Toc7443854"/>
      <w:bookmarkStart w:id="5" w:name="_Toc36189459"/>
      <w:bookmarkStart w:id="6" w:name="_Toc29085"/>
      <w:bookmarkStart w:id="7" w:name="_Toc163051161"/>
      <w:bookmarkStart w:id="8" w:name="_Toc185509618"/>
      <w:bookmarkStart w:id="9" w:name="_Toc185339058"/>
      <w:bookmarkStart w:id="10" w:name="_Toc529533040"/>
      <w:bookmarkStart w:id="11" w:name="_Toc29657"/>
      <w:bookmarkStart w:id="12" w:name="_Toc17666"/>
      <w:bookmarkStart w:id="13" w:name="_Toc528"/>
      <w:bookmarkStart w:id="14" w:name="_Toc163051338"/>
      <w:bookmarkStart w:id="15" w:name="_Toc35504129"/>
      <w:bookmarkStart w:id="16" w:name="_Toc7512635"/>
      <w:r>
        <w:rPr>
          <w:rFonts w:ascii="Times New Roman" w:hAnsi="Times New Roman" w:eastAsia="黑体" w:cs="Times New Roman"/>
          <w:b/>
          <w:kern w:val="44"/>
          <w:sz w:val="32"/>
          <w:szCs w:val="44"/>
          <w14:ligatures w14:val="none"/>
        </w:rPr>
        <w:t>前</w:t>
      </w:r>
      <w:r>
        <w:rPr>
          <w:rFonts w:hint="eastAsia" w:ascii="Times New Roman" w:hAnsi="Times New Roman" w:eastAsia="黑体" w:cs="Times New Roman"/>
          <w:b/>
          <w:kern w:val="44"/>
          <w:sz w:val="32"/>
          <w:szCs w:val="44"/>
          <w14:ligatures w14:val="none"/>
        </w:rPr>
        <w:t xml:space="preserve">  </w:t>
      </w:r>
      <w:r>
        <w:rPr>
          <w:rFonts w:ascii="Times New Roman" w:hAnsi="Times New Roman" w:eastAsia="黑体" w:cs="Times New Roman"/>
          <w:b/>
          <w:kern w:val="44"/>
          <w:sz w:val="32"/>
          <w:szCs w:val="44"/>
          <w14:ligatures w14:val="none"/>
        </w:rPr>
        <w:t>言</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1AD54DCB">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color w:val="auto"/>
          <w:sz w:val="28"/>
          <w:szCs w:val="28"/>
          <w:highlight w:val="none"/>
          <w:lang w:val="en-US" w:eastAsia="zh-CN"/>
          <w14:ligatures w14:val="none"/>
        </w:rPr>
      </w:pPr>
      <w:r>
        <w:rPr>
          <w:rFonts w:hint="eastAsia" w:ascii="Times New Roman" w:hAnsi="Times New Roman" w:eastAsia="宋体" w:cs="Times New Roman"/>
          <w:color w:val="auto"/>
          <w:sz w:val="28"/>
          <w:highlight w:val="none"/>
          <w:lang w:eastAsia="zh-CN"/>
          <w14:ligatures w14:val="none"/>
        </w:rPr>
        <w:t>国能安储（东港）燃料供应有限公司成立日期为2022年03月16日，位于辽宁省丹东市东港市前阳镇前阳村十二组，类型为有限责任公司，法定代表人刘元静，主要从事柴油等</w:t>
      </w:r>
      <w:r>
        <w:rPr>
          <w:rFonts w:hint="eastAsia" w:ascii="Times New Roman" w:hAnsi="Times New Roman" w:eastAsia="宋体" w:cs="Times New Roman"/>
          <w:color w:val="auto"/>
          <w:sz w:val="28"/>
          <w:szCs w:val="28"/>
          <w:highlight w:val="none"/>
          <w:lang w:val="en-US" w:eastAsia="zh-CN"/>
          <w14:ligatures w14:val="none"/>
        </w:rPr>
        <w:t>油品</w:t>
      </w:r>
      <w:r>
        <w:rPr>
          <w:rFonts w:hint="eastAsia" w:ascii="Times New Roman" w:hAnsi="Times New Roman" w:eastAsia="宋体" w:cs="Times New Roman"/>
          <w:color w:val="auto"/>
          <w:sz w:val="28"/>
          <w:highlight w:val="none"/>
          <w:lang w:eastAsia="zh-CN"/>
          <w14:ligatures w14:val="none"/>
        </w:rPr>
        <w:t>的经营活动。</w:t>
      </w:r>
    </w:p>
    <w:p w14:paraId="4E2F25F0">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sz w:val="28"/>
          <w:szCs w:val="28"/>
          <w:highlight w:val="none"/>
          <w14:ligatures w14:val="none"/>
        </w:rPr>
      </w:pPr>
      <w:r>
        <w:rPr>
          <w:rFonts w:hint="default" w:ascii="Times New Roman" w:hAnsi="Times New Roman" w:eastAsia="宋体" w:cs="Times New Roman"/>
          <w:sz w:val="28"/>
          <w:szCs w:val="28"/>
          <w:highlight w:val="none"/>
          <w14:ligatures w14:val="none"/>
        </w:rPr>
        <w:t>国能安储（东港）燃料供应有限公司是国能安储（辽宁）石油有限公司辖属经营部之一，该油库原为中国石油天然气股份有限公司辽宁丹东东港经营部（该库区于1990年建成投产），国能安储（辽宁）石油有限公司于2021年5月整体收购该油库），国能安储（东港）燃料供应有限公司为国能安储（辽宁）石油有限公司全资子公司。</w:t>
      </w:r>
    </w:p>
    <w:p w14:paraId="1B33B72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color w:val="auto"/>
          <w:kern w:val="0"/>
          <w:sz w:val="28"/>
          <w:szCs w:val="28"/>
          <w:highlight w:val="none"/>
          <w14:ligatures w14:val="none"/>
        </w:rPr>
      </w:pPr>
      <w:r>
        <w:rPr>
          <w:rFonts w:hint="default" w:ascii="Times New Roman" w:hAnsi="Times New Roman" w:eastAsia="宋体" w:cs="Times New Roman"/>
          <w:sz w:val="28"/>
          <w:szCs w:val="28"/>
          <w:highlight w:val="none"/>
          <w14:ligatures w14:val="none"/>
        </w:rPr>
        <w:t>根据《危险化学品目录（2015版）》（国家安全生产监督管理总局等十部门公告[2015]第5号）</w:t>
      </w:r>
      <w:r>
        <w:rPr>
          <w:rFonts w:hint="eastAsia" w:ascii="Times New Roman" w:hAnsi="Times New Roman" w:eastAsia="宋体" w:cs="Times New Roman"/>
          <w:sz w:val="28"/>
          <w:szCs w:val="28"/>
          <w:highlight w:val="none"/>
          <w:lang w:val="en-US" w:eastAsia="zh-CN"/>
          <w14:ligatures w14:val="none"/>
        </w:rPr>
        <w:t>以及</w:t>
      </w:r>
      <w:r>
        <w:rPr>
          <w:rFonts w:hint="default" w:ascii="Times New Roman" w:hAnsi="Times New Roman" w:eastAsia="宋体" w:cs="Times New Roman"/>
          <w:sz w:val="28"/>
          <w:szCs w:val="28"/>
          <w:highlight w:val="none"/>
          <w14:ligatures w14:val="none"/>
        </w:rPr>
        <w:t>《应急管理部办公厅关于修改&lt;危险化学品目录（2015版）实施指南（试行）&gt;涉及柴油部分内容的通知》（应急厅[2022]300号）</w:t>
      </w:r>
      <w:r>
        <w:rPr>
          <w:rFonts w:hint="eastAsia" w:ascii="Times New Roman" w:hAnsi="Times New Roman" w:eastAsia="宋体" w:cs="Times New Roman"/>
          <w:sz w:val="28"/>
          <w:szCs w:val="28"/>
          <w:highlight w:val="none"/>
          <w:lang w:val="en-US" w:eastAsia="zh-CN"/>
          <w14:ligatures w14:val="none"/>
        </w:rPr>
        <w:t>其经营储存的</w:t>
      </w:r>
      <w:r>
        <w:rPr>
          <w:rFonts w:hint="eastAsia" w:ascii="Times New Roman" w:hAnsi="Times New Roman" w:eastAsia="宋体" w:cs="Times New Roman"/>
          <w:bCs/>
          <w:color w:val="auto"/>
          <w:sz w:val="28"/>
          <w:szCs w:val="28"/>
          <w:highlight w:val="none"/>
          <w:lang w:val="en-US" w:eastAsia="zh-CN"/>
          <w14:ligatures w14:val="none"/>
        </w:rPr>
        <w:t>柴油</w:t>
      </w:r>
      <w:r>
        <w:rPr>
          <w:rFonts w:ascii="Times New Roman" w:hAnsi="Times New Roman" w:eastAsia="宋体" w:cs="Times New Roman"/>
          <w:bCs/>
          <w:color w:val="auto"/>
          <w:sz w:val="28"/>
          <w:szCs w:val="28"/>
          <w:highlight w:val="none"/>
          <w14:ligatures w14:val="none"/>
        </w:rPr>
        <w:t>属于危险化学品。</w:t>
      </w:r>
      <w:r>
        <w:rPr>
          <w:rFonts w:hint="eastAsia" w:ascii="Times New Roman" w:hAnsi="Times New Roman" w:eastAsia="宋体" w:cs="Times New Roman"/>
          <w:color w:val="auto"/>
          <w:kern w:val="0"/>
          <w:sz w:val="28"/>
          <w:szCs w:val="28"/>
          <w:highlight w:val="none"/>
          <w14:ligatures w14:val="none"/>
        </w:rPr>
        <w:t>因此，</w:t>
      </w:r>
      <w:r>
        <w:rPr>
          <w:rFonts w:hint="eastAsia" w:ascii="Times New Roman" w:hAnsi="Times New Roman" w:eastAsia="宋体" w:cs="Times New Roman"/>
          <w:color w:val="auto"/>
          <w:sz w:val="28"/>
          <w:highlight w:val="none"/>
          <w:lang w:eastAsia="zh-CN"/>
          <w14:ligatures w14:val="none"/>
        </w:rPr>
        <w:t>国能安储（东港）燃料供应有限公司</w:t>
      </w:r>
      <w:r>
        <w:rPr>
          <w:rFonts w:hint="eastAsia" w:ascii="Times New Roman" w:hAnsi="Times New Roman" w:eastAsia="宋体" w:cs="Times New Roman"/>
          <w:color w:val="auto"/>
          <w:kern w:val="0"/>
          <w:sz w:val="28"/>
          <w:szCs w:val="28"/>
          <w:highlight w:val="none"/>
          <w14:ligatures w14:val="none"/>
        </w:rPr>
        <w:t>属于危险化学品经营、储存</w:t>
      </w:r>
      <w:r>
        <w:rPr>
          <w:rFonts w:hint="eastAsia" w:ascii="Times New Roman" w:hAnsi="Times New Roman" w:eastAsia="宋体" w:cs="Times New Roman"/>
          <w:color w:val="auto"/>
          <w:kern w:val="0"/>
          <w:sz w:val="28"/>
          <w:szCs w:val="28"/>
          <w:highlight w:val="none"/>
          <w:lang w:val="en-US" w:eastAsia="zh-CN"/>
          <w14:ligatures w14:val="none"/>
        </w:rPr>
        <w:t>企业</w:t>
      </w:r>
      <w:r>
        <w:rPr>
          <w:rFonts w:hint="eastAsia" w:ascii="Times New Roman" w:hAnsi="Times New Roman" w:eastAsia="宋体" w:cs="Times New Roman"/>
          <w:color w:val="auto"/>
          <w:kern w:val="0"/>
          <w:sz w:val="28"/>
          <w:szCs w:val="28"/>
          <w:highlight w:val="none"/>
          <w14:ligatures w14:val="none"/>
        </w:rPr>
        <w:t>。</w:t>
      </w:r>
    </w:p>
    <w:p w14:paraId="0941F9D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bCs/>
          <w:color w:val="auto"/>
          <w:sz w:val="28"/>
          <w:szCs w:val="28"/>
          <w:highlight w:val="none"/>
          <w:lang w:val="en-US" w:eastAsia="zh-CN"/>
          <w14:ligatures w14:val="none"/>
        </w:rPr>
      </w:pPr>
      <w:r>
        <w:rPr>
          <w:rFonts w:hint="eastAsia" w:ascii="Times New Roman" w:hAnsi="Times New Roman" w:eastAsia="宋体" w:cs="Times New Roman"/>
          <w:bCs/>
          <w:color w:val="auto"/>
          <w:sz w:val="28"/>
          <w:szCs w:val="28"/>
          <w:highlight w:val="none"/>
          <w:lang w:val="en-US" w:eastAsia="zh-CN"/>
          <w14:ligatures w14:val="none"/>
        </w:rPr>
        <w:t>根据</w:t>
      </w:r>
      <w:r>
        <w:rPr>
          <w:rFonts w:hint="eastAsia" w:ascii="Times New Roman" w:hAnsi="Times New Roman" w:eastAsia="宋体" w:cs="Times New Roman"/>
          <w:bCs/>
          <w:color w:val="auto"/>
          <w:sz w:val="28"/>
          <w:szCs w:val="28"/>
          <w:highlight w:val="none"/>
          <w:lang w:eastAsia="zh-CN"/>
          <w14:ligatures w14:val="none"/>
        </w:rPr>
        <w:t>《中华人民共和国安全生产法》</w:t>
      </w:r>
      <w:r>
        <w:rPr>
          <w:rFonts w:hint="eastAsia" w:ascii="Times New Roman" w:hAnsi="Times New Roman" w:eastAsia="宋体" w:cs="Times New Roman"/>
          <w:bCs/>
          <w:color w:val="auto"/>
          <w:sz w:val="28"/>
          <w:szCs w:val="28"/>
          <w:highlight w:val="none"/>
          <w:lang w:val="en-US" w:eastAsia="zh-CN"/>
          <w14:ligatures w14:val="none"/>
        </w:rPr>
        <w:t>、</w:t>
      </w:r>
      <w:r>
        <w:rPr>
          <w:rFonts w:hint="eastAsia" w:ascii="Times New Roman" w:hAnsi="Times New Roman" w:eastAsia="宋体" w:cs="Times New Roman"/>
          <w:bCs/>
          <w:color w:val="auto"/>
          <w:sz w:val="28"/>
          <w:szCs w:val="28"/>
          <w:highlight w:val="none"/>
          <w:lang w:eastAsia="zh-CN"/>
          <w14:ligatures w14:val="none"/>
        </w:rPr>
        <w:t>《危险化学品安全管理条例》</w:t>
      </w:r>
      <w:r>
        <w:rPr>
          <w:rFonts w:hint="eastAsia" w:ascii="Times New Roman" w:hAnsi="Times New Roman" w:eastAsia="宋体" w:cs="Times New Roman"/>
          <w:bCs/>
          <w:color w:val="auto"/>
          <w:sz w:val="28"/>
          <w:szCs w:val="28"/>
          <w:highlight w:val="none"/>
          <w:lang w:val="en-US" w:eastAsia="zh-CN"/>
          <w14:ligatures w14:val="none"/>
        </w:rPr>
        <w:t>及</w:t>
      </w:r>
      <w:r>
        <w:rPr>
          <w:rFonts w:hint="eastAsia" w:ascii="Times New Roman" w:hAnsi="Times New Roman" w:eastAsia="宋体" w:cs="Times New Roman"/>
          <w:bCs/>
          <w:color w:val="auto"/>
          <w:sz w:val="28"/>
          <w:szCs w:val="28"/>
          <w:highlight w:val="none"/>
          <w:lang w:eastAsia="zh-CN"/>
          <w14:ligatures w14:val="none"/>
        </w:rPr>
        <w:t>《危险化学品经营许可证管理办法》</w:t>
      </w:r>
      <w:r>
        <w:rPr>
          <w:rFonts w:hint="eastAsia" w:ascii="Times New Roman" w:hAnsi="Times New Roman" w:eastAsia="宋体" w:cs="Times New Roman"/>
          <w:bCs/>
          <w:color w:val="auto"/>
          <w:sz w:val="28"/>
          <w:szCs w:val="28"/>
          <w:highlight w:val="none"/>
          <w:lang w:val="en-US" w:eastAsia="zh-CN"/>
          <w14:ligatures w14:val="none"/>
        </w:rPr>
        <w:t>等有关规定，国家对危险化学品的经营实施许可制度。未取得经营许可证，任何单位和个人不得经营危险化学品。</w:t>
      </w:r>
    </w:p>
    <w:p w14:paraId="6D2391A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sz w:val="21"/>
          <w:lang w:val="en-US" w:eastAsia="zh-CN"/>
          <w14:ligatures w14:val="none"/>
        </w:rPr>
      </w:pPr>
      <w:r>
        <w:rPr>
          <w:rFonts w:hint="eastAsia" w:ascii="Times New Roman" w:hAnsi="Times New Roman" w:eastAsia="宋体" w:cs="Times New Roman"/>
          <w:color w:val="auto"/>
          <w:kern w:val="2"/>
          <w:sz w:val="28"/>
          <w:szCs w:val="24"/>
          <w:highlight w:val="none"/>
          <w:lang w:val="en-US" w:eastAsia="zh-CN" w:bidi="ar-SA"/>
          <w14:ligatures w14:val="none"/>
        </w:rPr>
        <w:t>国能安储（东港）燃料供应有限公司于2023年03月29日取得</w:t>
      </w:r>
      <w:r>
        <w:rPr>
          <w:rFonts w:hint="default" w:ascii="Times New Roman" w:hAnsi="Times New Roman" w:eastAsia="宋体" w:cs="Times New Roman"/>
          <w:color w:val="auto"/>
          <w:kern w:val="2"/>
          <w:sz w:val="28"/>
          <w:szCs w:val="24"/>
          <w:highlight w:val="none"/>
          <w:lang w:val="en-US" w:eastAsia="zh-CN" w:bidi="ar-SA"/>
          <w14:ligatures w14:val="none"/>
        </w:rPr>
        <w:t>危险化学品经营许可证</w:t>
      </w:r>
      <w:r>
        <w:rPr>
          <w:rFonts w:hint="eastAsia" w:ascii="Times New Roman" w:hAnsi="Times New Roman" w:eastAsia="宋体" w:cs="Times New Roman"/>
          <w:color w:val="auto"/>
          <w:kern w:val="2"/>
          <w:sz w:val="28"/>
          <w:szCs w:val="24"/>
          <w:highlight w:val="none"/>
          <w:lang w:val="en-US" w:eastAsia="zh-CN" w:bidi="ar-SA"/>
          <w14:ligatures w14:val="none"/>
        </w:rPr>
        <w:t>（</w:t>
      </w:r>
      <w:r>
        <w:rPr>
          <w:rFonts w:hint="default" w:ascii="Times New Roman" w:hAnsi="Times New Roman" w:eastAsia="宋体" w:cs="Times New Roman"/>
          <w:color w:val="auto"/>
          <w:kern w:val="2"/>
          <w:sz w:val="28"/>
          <w:szCs w:val="24"/>
          <w:highlight w:val="none"/>
          <w:lang w:val="en-US" w:eastAsia="zh-CN" w:bidi="ar-SA"/>
          <w14:ligatures w14:val="none"/>
        </w:rPr>
        <w:t>证书编号：</w:t>
      </w:r>
      <w:r>
        <w:rPr>
          <w:rFonts w:hint="eastAsia" w:ascii="Times New Roman" w:hAnsi="Times New Roman" w:eastAsia="宋体" w:cs="Times New Roman"/>
          <w:color w:val="auto"/>
          <w:kern w:val="2"/>
          <w:sz w:val="28"/>
          <w:szCs w:val="24"/>
          <w:highlight w:val="none"/>
          <w:lang w:val="en-US" w:eastAsia="zh-CN" w:bidi="ar-SA"/>
          <w14:ligatures w14:val="none"/>
        </w:rPr>
        <w:t>辽丹危化经字［2023］000334，</w:t>
      </w:r>
      <w:r>
        <w:rPr>
          <w:rFonts w:hint="default" w:ascii="Times New Roman" w:hAnsi="Times New Roman" w:eastAsia="宋体" w:cs="Times New Roman"/>
          <w:color w:val="auto"/>
          <w:kern w:val="2"/>
          <w:sz w:val="28"/>
          <w:szCs w:val="24"/>
          <w:highlight w:val="none"/>
          <w:lang w:val="en-US" w:eastAsia="zh-CN" w:bidi="ar-SA"/>
          <w14:ligatures w14:val="none"/>
        </w:rPr>
        <w:t>经营方式：</w:t>
      </w:r>
      <w:r>
        <w:rPr>
          <w:rFonts w:hint="eastAsia" w:ascii="Times New Roman" w:hAnsi="Times New Roman" w:eastAsia="宋体" w:cs="Times New Roman"/>
          <w:color w:val="auto"/>
          <w:kern w:val="2"/>
          <w:sz w:val="28"/>
          <w:szCs w:val="24"/>
          <w:highlight w:val="none"/>
          <w:lang w:val="en-US" w:eastAsia="zh-CN" w:bidi="ar-SA"/>
          <w14:ligatures w14:val="none"/>
        </w:rPr>
        <w:t>带有储存设施经营危险化学品，</w:t>
      </w:r>
      <w:r>
        <w:rPr>
          <w:rFonts w:hint="eastAsia" w:ascii="Times New Roman" w:hAnsi="Times New Roman" w:eastAsia="宋体" w:cs="Times New Roman"/>
          <w:color w:val="auto"/>
          <w:sz w:val="28"/>
          <w:highlight w:val="none"/>
          <w:lang w:val="en-US" w:eastAsia="zh-CN"/>
          <w14:ligatures w14:val="none"/>
        </w:rPr>
        <w:t>该</w:t>
      </w:r>
      <w:r>
        <w:rPr>
          <w:rFonts w:hint="eastAsia" w:ascii="Times New Roman" w:hAnsi="Times New Roman" w:eastAsia="宋体" w:cs="Times New Roman"/>
          <w:bCs/>
          <w:color w:val="auto"/>
          <w:sz w:val="28"/>
          <w:szCs w:val="28"/>
          <w:highlight w:val="none"/>
          <w14:ligatures w14:val="none"/>
        </w:rPr>
        <w:t>经营许可证有效期为3年。有效期满后，企业需要继续从事危险化学品经营活动的，应当在经营许可证有效期满3个月前，向设区的市级人民政府负有安全生产监督管理职责的部门提出经营许可证的延期申请</w:t>
      </w:r>
      <w:r>
        <w:rPr>
          <w:rFonts w:hint="eastAsia" w:ascii="Times New Roman" w:hAnsi="Times New Roman" w:eastAsia="宋体" w:cs="Times New Roman"/>
          <w:bCs/>
          <w:color w:val="auto"/>
          <w:sz w:val="28"/>
          <w:szCs w:val="28"/>
          <w:highlight w:val="none"/>
          <w:lang w:eastAsia="zh-CN"/>
          <w14:ligatures w14:val="none"/>
        </w:rPr>
        <w:t>。</w:t>
      </w:r>
      <w:r>
        <w:rPr>
          <w:rFonts w:hint="eastAsia" w:ascii="Times New Roman" w:hAnsi="Times New Roman" w:eastAsia="宋体" w:cs="Times New Roman"/>
          <w:bCs/>
          <w:color w:val="auto"/>
          <w:sz w:val="28"/>
          <w:szCs w:val="28"/>
          <w:highlight w:val="none"/>
          <w:lang w:val="en-US" w:eastAsia="zh-CN"/>
          <w14:ligatures w14:val="none"/>
        </w:rPr>
        <w:t>安全评价报告是办理经营许可证延期申请的要件之一。</w:t>
      </w:r>
      <w:r>
        <w:rPr>
          <w:rFonts w:hint="eastAsia" w:ascii="Times New Roman" w:hAnsi="Times New Roman" w:eastAsia="宋体" w:cs="Times New Roman"/>
          <w:bCs/>
          <w:color w:val="auto"/>
          <w:sz w:val="28"/>
          <w:szCs w:val="28"/>
          <w:highlight w:val="none"/>
          <w14:ligatures w14:val="none"/>
        </w:rPr>
        <w:t>为此，</w:t>
      </w:r>
      <w:r>
        <w:rPr>
          <w:rFonts w:hint="eastAsia" w:ascii="Times New Roman" w:hAnsi="Times New Roman" w:eastAsia="宋体" w:cs="Times New Roman"/>
          <w:bCs/>
          <w:color w:val="auto"/>
          <w:sz w:val="28"/>
          <w:szCs w:val="28"/>
          <w:highlight w:val="none"/>
          <w:lang w:eastAsia="zh-CN"/>
          <w14:ligatures w14:val="none"/>
        </w:rPr>
        <w:t>国能安储（东港）燃料供应有限公司</w:t>
      </w:r>
      <w:r>
        <w:rPr>
          <w:rFonts w:hint="eastAsia" w:ascii="Times New Roman" w:hAnsi="Times New Roman" w:eastAsia="宋体" w:cs="Times New Roman"/>
          <w:bCs/>
          <w:color w:val="auto"/>
          <w:sz w:val="28"/>
          <w:szCs w:val="28"/>
          <w:highlight w:val="none"/>
          <w14:ligatures w14:val="none"/>
        </w:rPr>
        <w:t>委托具</w:t>
      </w:r>
      <w:r>
        <w:rPr>
          <w:rFonts w:hint="eastAsia" w:ascii="Times New Roman" w:hAnsi="Times New Roman" w:eastAsia="宋体" w:cs="Times New Roman"/>
          <w:bCs/>
          <w:color w:val="auto"/>
          <w:sz w:val="28"/>
          <w:szCs w:val="28"/>
          <w:highlight w:val="none"/>
          <w:lang w:eastAsia="zh-CN"/>
          <w14:ligatures w14:val="none"/>
        </w:rPr>
        <w:t>有相应安全评价资质的辽宁诺诚安全科技有限公司对其进行安全现状评价。</w:t>
      </w:r>
    </w:p>
    <w:p w14:paraId="7F4298A3">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bCs/>
          <w:color w:val="auto"/>
          <w:kern w:val="2"/>
          <w:sz w:val="28"/>
          <w:szCs w:val="28"/>
          <w:highlight w:val="none"/>
          <w:lang w:val="en-US" w:eastAsia="zh-CN" w:bidi="ar-SA"/>
        </w:rPr>
      </w:pPr>
      <w:r>
        <w:rPr>
          <w:rFonts w:hint="eastAsia" w:ascii="Times New Roman" w:hAnsi="Times New Roman" w:eastAsia="宋体" w:cs="Times New Roman"/>
          <w:bCs/>
          <w:color w:val="auto"/>
          <w:kern w:val="2"/>
          <w:sz w:val="28"/>
          <w:szCs w:val="28"/>
          <w:highlight w:val="none"/>
          <w:lang w:val="en-US" w:eastAsia="zh-CN" w:bidi="ar-SA"/>
        </w:rPr>
        <w:t>接受委托后，我公司专业技术人员立即深入现场进行全面调研和现场勘验并根据国家有关安全生产方面的法律、法规规定、国家或行业标准，按照科学性、公正性、合法性、针对性的原则开展安全评价工作，并编制完成了《国能安储（东港）燃料供应有限公司经营危险化学品安全评价报告》。</w:t>
      </w:r>
    </w:p>
    <w:p w14:paraId="65C3B50E">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val="en-US" w:eastAsia="zh-CN"/>
          <w14:ligatures w14:val="none"/>
        </w:rPr>
        <w:sectPr>
          <w:headerReference r:id="rId5" w:type="default"/>
          <w:footerReference r:id="rId6" w:type="default"/>
          <w:pgSz w:w="11906" w:h="16838"/>
          <w:pgMar w:top="1418" w:right="1134" w:bottom="1134" w:left="1588" w:header="851" w:footer="992" w:gutter="0"/>
          <w:pgBorders>
            <w:top w:val="none" w:sz="0" w:space="0"/>
            <w:left w:val="none" w:sz="0" w:space="0"/>
            <w:bottom w:val="none" w:sz="0" w:space="0"/>
            <w:right w:val="none" w:sz="0" w:space="0"/>
          </w:pgBorders>
          <w:cols w:space="425" w:num="1"/>
          <w:docGrid w:type="lines" w:linePitch="312" w:charSpace="0"/>
        </w:sectPr>
      </w:pPr>
      <w:r>
        <w:rPr>
          <w:rFonts w:hint="eastAsia" w:ascii="Times New Roman" w:hAnsi="Times New Roman" w:eastAsia="宋体" w:cs="Times New Roman"/>
          <w:bCs/>
          <w:color w:val="auto"/>
          <w:kern w:val="2"/>
          <w:sz w:val="28"/>
          <w:szCs w:val="28"/>
          <w:highlight w:val="none"/>
          <w:lang w:val="en-US" w:eastAsia="zh-CN" w:bidi="ar-SA"/>
        </w:rPr>
        <w:t>在本评价报告的编制过程中，得到了国能安储（东港）燃料供应有限公司的领导及相关人员的大力支持配合，在此表示感谢</w:t>
      </w:r>
      <w:r>
        <w:rPr>
          <w:rFonts w:hint="eastAsia" w:ascii="Times New Roman" w:hAnsi="Times New Roman" w:eastAsia="宋体" w:cs="Times New Roman"/>
          <w:sz w:val="28"/>
          <w:szCs w:val="28"/>
          <w:lang w:val="en-US" w:eastAsia="zh-CN"/>
          <w14:ligatures w14:val="none"/>
        </w:rPr>
        <w:t>！</w:t>
      </w:r>
    </w:p>
    <w:sdt>
      <w:sdtPr>
        <w:rPr>
          <w:highlight w:val="none"/>
          <w:lang w:val="zh-CN"/>
        </w:rPr>
        <w:id w:val="-1616893720"/>
        <w:docPartObj>
          <w:docPartGallery w:val="Table of Contents"/>
          <w:docPartUnique/>
        </w:docPartObj>
      </w:sdtPr>
      <w:sdtEndPr>
        <w:rPr>
          <w:rFonts w:ascii="Times New Roman" w:hAnsi="Times New Roman" w:eastAsia="黑体"/>
          <w:b/>
          <w:bCs/>
          <w:sz w:val="28"/>
          <w:szCs w:val="28"/>
          <w:highlight w:val="yellow"/>
          <w:lang w:val="zh-CN"/>
        </w:rPr>
      </w:sdtEndPr>
      <w:sdtContent>
        <w:p w14:paraId="749AC79A">
          <w:pPr>
            <w:adjustRightInd w:val="0"/>
            <w:snapToGrid w:val="0"/>
            <w:spacing w:before="156" w:beforeLines="50" w:after="156" w:afterLines="50" w:line="360" w:lineRule="auto"/>
            <w:jc w:val="center"/>
            <w:outlineLvl w:val="0"/>
            <w:rPr>
              <w:rFonts w:ascii="Times New Roman" w:hAnsi="Times New Roman" w:eastAsia="黑体" w:cs="Times New Roman"/>
              <w:b/>
              <w:kern w:val="44"/>
              <w:sz w:val="32"/>
              <w:szCs w:val="44"/>
              <w:highlight w:val="none"/>
              <w14:ligatures w14:val="none"/>
            </w:rPr>
          </w:pPr>
          <w:bookmarkStart w:id="17" w:name="_Toc185509619"/>
          <w:bookmarkStart w:id="18" w:name="_Toc185339059"/>
          <w:bookmarkStart w:id="19" w:name="_Toc16624"/>
          <w:bookmarkStart w:id="20" w:name="_Toc185682502"/>
          <w:r>
            <w:rPr>
              <w:rFonts w:hint="eastAsia" w:ascii="Times New Roman" w:hAnsi="Times New Roman" w:eastAsia="黑体" w:cs="Times New Roman"/>
              <w:b/>
              <w:kern w:val="44"/>
              <w:sz w:val="32"/>
              <w:szCs w:val="44"/>
              <w:highlight w:val="none"/>
              <w14:ligatures w14:val="none"/>
            </w:rPr>
            <w:t>目  录</w:t>
          </w:r>
          <w:bookmarkEnd w:id="17"/>
          <w:bookmarkEnd w:id="18"/>
          <w:bookmarkEnd w:id="19"/>
          <w:bookmarkEnd w:id="20"/>
        </w:p>
        <w:p w14:paraId="3996868B">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after="0" w:line="360" w:lineRule="auto"/>
            <w:textAlignment w:val="auto"/>
            <w:rPr>
              <w:rFonts w:hint="default" w:ascii="Times New Roman" w:hAnsi="Times New Roman" w:eastAsia="黑体" w:cs="Times New Roman"/>
              <w:b/>
              <w:bCs/>
              <w:sz w:val="28"/>
            </w:rPr>
          </w:pPr>
          <w:r>
            <w:rPr>
              <w:rFonts w:hint="eastAsia" w:ascii="Times New Roman" w:hAnsi="Times New Roman" w:eastAsia="黑体"/>
              <w:sz w:val="28"/>
              <w:szCs w:val="28"/>
            </w:rPr>
            <w:fldChar w:fldCharType="begin"/>
          </w:r>
          <w:r>
            <w:rPr>
              <w:rFonts w:hint="eastAsia" w:ascii="Times New Roman" w:hAnsi="Times New Roman" w:eastAsia="黑体"/>
              <w:sz w:val="28"/>
              <w:szCs w:val="28"/>
            </w:rPr>
            <w:instrText xml:space="preserve"> </w:instrText>
          </w:r>
          <w:r>
            <w:rPr>
              <w:rFonts w:ascii="Times New Roman" w:hAnsi="Times New Roman" w:eastAsia="黑体"/>
              <w:sz w:val="28"/>
              <w:szCs w:val="28"/>
            </w:rPr>
            <w:instrText xml:space="preserve">TOC \o "1-2" \h \z \u</w:instrText>
          </w:r>
          <w:r>
            <w:rPr>
              <w:rFonts w:hint="eastAsia" w:ascii="Times New Roman" w:hAnsi="Times New Roman" w:eastAsia="黑体"/>
              <w:sz w:val="28"/>
              <w:szCs w:val="28"/>
            </w:rPr>
            <w:instrText xml:space="preserve"> </w:instrText>
          </w:r>
          <w:r>
            <w:rPr>
              <w:rFonts w:hint="eastAsia" w:ascii="Times New Roman" w:hAnsi="Times New Roman" w:eastAsia="黑体"/>
              <w:sz w:val="28"/>
              <w:szCs w:val="28"/>
            </w:rPr>
            <w:fldChar w:fldCharType="separate"/>
          </w:r>
          <w:r>
            <w:rPr>
              <w:rFonts w:hint="eastAsia" w:ascii="Times New Roman" w:hAnsi="Times New Roman" w:eastAsia="黑体" w:cs="Times New Roman"/>
              <w:b/>
              <w:bCs/>
              <w:sz w:val="28"/>
            </w:rPr>
            <w:fldChar w:fldCharType="begin"/>
          </w:r>
          <w:r>
            <w:rPr>
              <w:rFonts w:hint="eastAsia" w:ascii="Times New Roman" w:hAnsi="Times New Roman" w:eastAsia="黑体" w:cs="Times New Roman"/>
              <w:b/>
              <w:bCs/>
              <w:sz w:val="28"/>
            </w:rPr>
            <w:instrText xml:space="preserve"> HYPERLINK \l _Toc9700 </w:instrText>
          </w:r>
          <w:r>
            <w:rPr>
              <w:rFonts w:hint="eastAsia" w:ascii="Times New Roman" w:hAnsi="Times New Roman" w:eastAsia="黑体" w:cs="Times New Roman"/>
              <w:b/>
              <w:bCs/>
              <w:sz w:val="28"/>
            </w:rPr>
            <w:fldChar w:fldCharType="separate"/>
          </w:r>
          <w:r>
            <w:rPr>
              <w:rFonts w:hint="eastAsia" w:ascii="Times New Roman" w:hAnsi="Times New Roman" w:eastAsia="黑体" w:cs="Times New Roman"/>
              <w:b/>
              <w:bCs/>
              <w:sz w:val="28"/>
            </w:rPr>
            <w:t>1概述</w:t>
          </w:r>
          <w:r>
            <w:rPr>
              <w:rFonts w:hint="default" w:ascii="Times New Roman" w:hAnsi="Times New Roman" w:eastAsia="黑体" w:cs="Times New Roman"/>
              <w:b/>
              <w:bCs/>
              <w:sz w:val="28"/>
            </w:rPr>
            <w:tab/>
          </w:r>
          <w:r>
            <w:rPr>
              <w:rFonts w:hint="default" w:ascii="Times New Roman" w:hAnsi="Times New Roman" w:eastAsia="黑体" w:cs="Times New Roman"/>
              <w:b/>
              <w:bCs/>
              <w:sz w:val="28"/>
            </w:rPr>
            <w:fldChar w:fldCharType="begin"/>
          </w:r>
          <w:r>
            <w:rPr>
              <w:rFonts w:hint="default" w:ascii="Times New Roman" w:hAnsi="Times New Roman" w:eastAsia="黑体" w:cs="Times New Roman"/>
              <w:b/>
              <w:bCs/>
              <w:sz w:val="28"/>
            </w:rPr>
            <w:instrText xml:space="preserve"> PAGEREF _Toc9700 \h </w:instrText>
          </w:r>
          <w:r>
            <w:rPr>
              <w:rFonts w:hint="default" w:ascii="Times New Roman" w:hAnsi="Times New Roman" w:eastAsia="黑体" w:cs="Times New Roman"/>
              <w:b/>
              <w:bCs/>
              <w:sz w:val="28"/>
            </w:rPr>
            <w:fldChar w:fldCharType="separate"/>
          </w:r>
          <w:r>
            <w:rPr>
              <w:rFonts w:hint="default" w:ascii="Times New Roman" w:hAnsi="Times New Roman" w:eastAsia="黑体" w:cs="Times New Roman"/>
              <w:b/>
              <w:bCs/>
              <w:sz w:val="28"/>
            </w:rPr>
            <w:t>1</w:t>
          </w:r>
          <w:r>
            <w:rPr>
              <w:rFonts w:hint="default" w:ascii="Times New Roman" w:hAnsi="Times New Roman" w:eastAsia="黑体" w:cs="Times New Roman"/>
              <w:b/>
              <w:bCs/>
              <w:sz w:val="28"/>
            </w:rPr>
            <w:fldChar w:fldCharType="end"/>
          </w:r>
          <w:r>
            <w:rPr>
              <w:rFonts w:hint="eastAsia" w:ascii="Times New Roman" w:hAnsi="Times New Roman" w:eastAsia="黑体" w:cs="Times New Roman"/>
              <w:b/>
              <w:bCs/>
              <w:sz w:val="28"/>
            </w:rPr>
            <w:fldChar w:fldCharType="end"/>
          </w:r>
        </w:p>
        <w:p w14:paraId="2D5543A7">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_Toc16447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1.1评价目的</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_Toc16447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1</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6634F07C">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_Toc19384 </w:instrText>
          </w:r>
          <w:r>
            <w:rPr>
              <w:rFonts w:hint="eastAsia"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1.2评价依据</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_Toc19384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1</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1CD00FE6">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_Toc14114 </w:instrText>
          </w:r>
          <w:r>
            <w:rPr>
              <w:rFonts w:hint="eastAsia"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1.3</w:t>
          </w:r>
          <w:r>
            <w:rPr>
              <w:rFonts w:hint="default" w:ascii="Times New Roman" w:hAnsi="Times New Roman" w:eastAsia="黑体" w:cs="Times New Roman"/>
              <w:sz w:val="28"/>
              <w:szCs w:val="28"/>
              <w:lang w:val="en-US" w:eastAsia="zh-CN"/>
              <w14:ligatures w14:val="standardContextual"/>
            </w:rPr>
            <w:t>评价</w:t>
          </w:r>
          <w:r>
            <w:rPr>
              <w:rFonts w:hint="eastAsia" w:ascii="Times New Roman" w:hAnsi="Times New Roman" w:eastAsia="黑体" w:cs="Times New Roman"/>
              <w:sz w:val="28"/>
              <w:szCs w:val="28"/>
              <w:lang w:val="en-US" w:eastAsia="zh-CN"/>
              <w14:ligatures w14:val="standardContextual"/>
            </w:rPr>
            <w:t>对象与评价内容</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_Toc14114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10</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45E77B13">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_Toc13073 </w:instrText>
          </w:r>
          <w:r>
            <w:rPr>
              <w:rFonts w:hint="eastAsia"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1.4评价程序</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_Toc13073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10</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4CDB50C6">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after="0" w:line="360" w:lineRule="auto"/>
            <w:jc w:val="both"/>
            <w:textAlignment w:val="auto"/>
            <w:rPr>
              <w:rFonts w:hint="default" w:ascii="Times New Roman" w:hAnsi="Times New Roman" w:eastAsia="黑体" w:cs="Times New Roman"/>
              <w:b/>
              <w:bCs/>
              <w:sz w:val="28"/>
            </w:rPr>
          </w:pPr>
          <w:r>
            <w:rPr>
              <w:rFonts w:hint="eastAsia" w:ascii="Times New Roman" w:hAnsi="Times New Roman" w:eastAsia="黑体" w:cs="Times New Roman"/>
              <w:b/>
              <w:bCs/>
              <w:sz w:val="28"/>
            </w:rPr>
            <w:fldChar w:fldCharType="begin"/>
          </w:r>
          <w:r>
            <w:rPr>
              <w:rFonts w:hint="eastAsia" w:ascii="Times New Roman" w:hAnsi="Times New Roman" w:eastAsia="黑体" w:cs="Times New Roman"/>
              <w:b/>
              <w:bCs/>
              <w:sz w:val="28"/>
            </w:rPr>
            <w:instrText xml:space="preserve"> HYPERLINK \l _Toc3501 </w:instrText>
          </w:r>
          <w:r>
            <w:rPr>
              <w:rFonts w:hint="eastAsia" w:ascii="Times New Roman" w:hAnsi="Times New Roman" w:eastAsia="黑体" w:cs="Times New Roman"/>
              <w:b/>
              <w:bCs/>
              <w:sz w:val="28"/>
            </w:rPr>
            <w:fldChar w:fldCharType="separate"/>
          </w:r>
          <w:r>
            <w:rPr>
              <w:rFonts w:hint="default" w:ascii="Times New Roman" w:hAnsi="Times New Roman" w:eastAsia="黑体" w:cs="Times New Roman"/>
              <w:b/>
              <w:bCs/>
              <w:sz w:val="28"/>
            </w:rPr>
            <w:t>2</w:t>
          </w:r>
          <w:r>
            <w:rPr>
              <w:rFonts w:hint="eastAsia" w:ascii="Times New Roman" w:hAnsi="Times New Roman" w:eastAsia="黑体" w:cs="Times New Roman"/>
              <w:b/>
              <w:bCs/>
              <w:sz w:val="28"/>
            </w:rPr>
            <w:t>企业</w:t>
          </w:r>
          <w:r>
            <w:rPr>
              <w:rFonts w:hint="default" w:ascii="Times New Roman" w:hAnsi="Times New Roman" w:eastAsia="黑体" w:cs="Times New Roman"/>
              <w:b/>
              <w:bCs/>
              <w:sz w:val="28"/>
            </w:rPr>
            <w:t>概况</w:t>
          </w:r>
          <w:r>
            <w:rPr>
              <w:rFonts w:hint="default" w:ascii="Times New Roman" w:hAnsi="Times New Roman" w:eastAsia="黑体" w:cs="Times New Roman"/>
              <w:b/>
              <w:bCs/>
              <w:sz w:val="28"/>
            </w:rPr>
            <w:tab/>
          </w:r>
          <w:r>
            <w:rPr>
              <w:rFonts w:hint="default" w:ascii="Times New Roman" w:hAnsi="Times New Roman" w:eastAsia="黑体" w:cs="Times New Roman"/>
              <w:b/>
              <w:bCs/>
              <w:sz w:val="28"/>
            </w:rPr>
            <w:fldChar w:fldCharType="begin"/>
          </w:r>
          <w:r>
            <w:rPr>
              <w:rFonts w:hint="default" w:ascii="Times New Roman" w:hAnsi="Times New Roman" w:eastAsia="黑体" w:cs="Times New Roman"/>
              <w:b/>
              <w:bCs/>
              <w:sz w:val="28"/>
            </w:rPr>
            <w:instrText xml:space="preserve"> PAGEREF _Toc3501 \h </w:instrText>
          </w:r>
          <w:r>
            <w:rPr>
              <w:rFonts w:hint="default" w:ascii="Times New Roman" w:hAnsi="Times New Roman" w:eastAsia="黑体" w:cs="Times New Roman"/>
              <w:b/>
              <w:bCs/>
              <w:sz w:val="28"/>
            </w:rPr>
            <w:fldChar w:fldCharType="separate"/>
          </w:r>
          <w:r>
            <w:rPr>
              <w:rFonts w:hint="default" w:ascii="Times New Roman" w:hAnsi="Times New Roman" w:eastAsia="黑体" w:cs="Times New Roman"/>
              <w:b/>
              <w:bCs/>
              <w:sz w:val="28"/>
            </w:rPr>
            <w:t>12</w:t>
          </w:r>
          <w:r>
            <w:rPr>
              <w:rFonts w:hint="default" w:ascii="Times New Roman" w:hAnsi="Times New Roman" w:eastAsia="黑体" w:cs="Times New Roman"/>
              <w:b/>
              <w:bCs/>
              <w:sz w:val="28"/>
            </w:rPr>
            <w:fldChar w:fldCharType="end"/>
          </w:r>
          <w:r>
            <w:rPr>
              <w:rFonts w:hint="eastAsia" w:ascii="Times New Roman" w:hAnsi="Times New Roman" w:eastAsia="黑体" w:cs="Times New Roman"/>
              <w:b/>
              <w:bCs/>
              <w:sz w:val="28"/>
            </w:rPr>
            <w:fldChar w:fldCharType="end"/>
          </w:r>
        </w:p>
        <w:p w14:paraId="26182E9B">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_Toc14290 </w:instrText>
          </w:r>
          <w:r>
            <w:rPr>
              <w:rFonts w:hint="eastAsia"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2.1企业基本情况</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_Toc14290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12</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4460BA73">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_Toc23527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2.2工艺</w:t>
          </w:r>
          <w:r>
            <w:rPr>
              <w:rFonts w:hint="eastAsia" w:ascii="Times New Roman" w:hAnsi="Times New Roman" w:eastAsia="黑体" w:cs="Times New Roman"/>
              <w:sz w:val="28"/>
              <w:szCs w:val="28"/>
              <w:lang w:val="en-US" w:eastAsia="zh-CN"/>
              <w14:ligatures w14:val="standardContextual"/>
            </w:rPr>
            <w:t>流程</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_Toc23527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25</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4A86F7F5">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_Toc22221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2.</w:t>
          </w:r>
          <w:r>
            <w:rPr>
              <w:rFonts w:hint="eastAsia" w:ascii="Times New Roman" w:hAnsi="Times New Roman" w:eastAsia="黑体" w:cs="Times New Roman"/>
              <w:sz w:val="28"/>
              <w:szCs w:val="28"/>
              <w:lang w:val="en-US" w:eastAsia="zh-CN"/>
              <w14:ligatures w14:val="standardContextual"/>
            </w:rPr>
            <w:t>4</w:t>
          </w:r>
          <w:r>
            <w:rPr>
              <w:rFonts w:hint="eastAsia" w:ascii="Times New Roman" w:hAnsi="Times New Roman" w:eastAsia="黑体" w:cs="Times New Roman"/>
              <w:sz w:val="28"/>
              <w:szCs w:val="28"/>
              <w14:ligatures w14:val="standardContextual"/>
            </w:rPr>
            <w:t>主要设备</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_Toc22221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27</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083E236C">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_Toc1181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2.</w:t>
          </w:r>
          <w:r>
            <w:rPr>
              <w:rFonts w:hint="eastAsia" w:ascii="Times New Roman" w:hAnsi="Times New Roman" w:eastAsia="黑体" w:cs="Times New Roman"/>
              <w:sz w:val="28"/>
              <w:szCs w:val="28"/>
              <w:lang w:val="en-US" w:eastAsia="zh-CN"/>
              <w14:ligatures w14:val="standardContextual"/>
            </w:rPr>
            <w:t>5</w:t>
          </w:r>
          <w:r>
            <w:rPr>
              <w:rFonts w:hint="eastAsia" w:ascii="Times New Roman" w:hAnsi="Times New Roman" w:eastAsia="黑体" w:cs="Times New Roman"/>
              <w:sz w:val="28"/>
              <w:szCs w:val="28"/>
              <w14:ligatures w14:val="standardContextual"/>
            </w:rPr>
            <w:t>主要建（构）筑物</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_Toc1181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28</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034F942E">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_Toc25554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2.</w:t>
          </w:r>
          <w:r>
            <w:rPr>
              <w:rFonts w:hint="eastAsia" w:ascii="Times New Roman" w:hAnsi="Times New Roman" w:eastAsia="黑体" w:cs="Times New Roman"/>
              <w:sz w:val="28"/>
              <w:szCs w:val="28"/>
              <w:lang w:val="en-US" w:eastAsia="zh-CN"/>
              <w14:ligatures w14:val="standardContextual"/>
            </w:rPr>
            <w:t>6储存规模</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_Toc25554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28</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3E34FBED">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_Toc32689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2.</w:t>
          </w:r>
          <w:r>
            <w:rPr>
              <w:rFonts w:hint="eastAsia" w:ascii="Times New Roman" w:hAnsi="Times New Roman" w:eastAsia="黑体" w:cs="Times New Roman"/>
              <w:sz w:val="28"/>
              <w:szCs w:val="28"/>
              <w:lang w:val="en-US" w:eastAsia="zh-CN"/>
              <w14:ligatures w14:val="standardContextual"/>
            </w:rPr>
            <w:t>7公用工程</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_Toc32689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29</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1005BE4A">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after="0" w:line="360" w:lineRule="auto"/>
            <w:jc w:val="both"/>
            <w:textAlignment w:val="auto"/>
            <w:rPr>
              <w:rFonts w:hint="default" w:ascii="Times New Roman" w:hAnsi="Times New Roman" w:eastAsia="黑体" w:cs="Times New Roman"/>
              <w:b/>
              <w:bCs/>
              <w:sz w:val="28"/>
            </w:rPr>
          </w:pPr>
          <w:r>
            <w:rPr>
              <w:rFonts w:hint="eastAsia" w:ascii="Times New Roman" w:hAnsi="Times New Roman" w:eastAsia="黑体" w:cs="Times New Roman"/>
              <w:b/>
              <w:bCs/>
              <w:sz w:val="28"/>
            </w:rPr>
            <w:fldChar w:fldCharType="begin"/>
          </w:r>
          <w:r>
            <w:rPr>
              <w:rFonts w:hint="eastAsia" w:ascii="Times New Roman" w:hAnsi="Times New Roman" w:eastAsia="黑体" w:cs="Times New Roman"/>
              <w:b/>
              <w:bCs/>
              <w:sz w:val="28"/>
            </w:rPr>
            <w:instrText xml:space="preserve"> HYPERLINK \l _Toc25932 </w:instrText>
          </w:r>
          <w:r>
            <w:rPr>
              <w:rFonts w:hint="eastAsia" w:ascii="Times New Roman" w:hAnsi="Times New Roman" w:eastAsia="黑体" w:cs="Times New Roman"/>
              <w:b/>
              <w:bCs/>
              <w:sz w:val="28"/>
            </w:rPr>
            <w:fldChar w:fldCharType="separate"/>
          </w:r>
          <w:r>
            <w:rPr>
              <w:rFonts w:hint="default" w:ascii="Times New Roman" w:hAnsi="Times New Roman" w:eastAsia="黑体" w:cs="Times New Roman"/>
              <w:b/>
              <w:bCs/>
              <w:sz w:val="28"/>
            </w:rPr>
            <w:t>3危险、有害因素辨识分析</w:t>
          </w:r>
          <w:r>
            <w:rPr>
              <w:rFonts w:hint="default" w:ascii="Times New Roman" w:hAnsi="Times New Roman" w:eastAsia="黑体" w:cs="Times New Roman"/>
              <w:b/>
              <w:bCs/>
              <w:sz w:val="28"/>
            </w:rPr>
            <w:tab/>
          </w:r>
          <w:r>
            <w:rPr>
              <w:rFonts w:hint="default" w:ascii="Times New Roman" w:hAnsi="Times New Roman" w:eastAsia="黑体" w:cs="Times New Roman"/>
              <w:b/>
              <w:bCs/>
              <w:sz w:val="28"/>
            </w:rPr>
            <w:fldChar w:fldCharType="begin"/>
          </w:r>
          <w:r>
            <w:rPr>
              <w:rFonts w:hint="default" w:ascii="Times New Roman" w:hAnsi="Times New Roman" w:eastAsia="黑体" w:cs="Times New Roman"/>
              <w:b/>
              <w:bCs/>
              <w:sz w:val="28"/>
            </w:rPr>
            <w:instrText xml:space="preserve"> PAGEREF _Toc25932 \h </w:instrText>
          </w:r>
          <w:r>
            <w:rPr>
              <w:rFonts w:hint="default" w:ascii="Times New Roman" w:hAnsi="Times New Roman" w:eastAsia="黑体" w:cs="Times New Roman"/>
              <w:b/>
              <w:bCs/>
              <w:sz w:val="28"/>
            </w:rPr>
            <w:fldChar w:fldCharType="separate"/>
          </w:r>
          <w:r>
            <w:rPr>
              <w:rFonts w:hint="default" w:ascii="Times New Roman" w:hAnsi="Times New Roman" w:eastAsia="黑体" w:cs="Times New Roman"/>
              <w:b/>
              <w:bCs/>
              <w:sz w:val="28"/>
            </w:rPr>
            <w:t>38</w:t>
          </w:r>
          <w:r>
            <w:rPr>
              <w:rFonts w:hint="default" w:ascii="Times New Roman" w:hAnsi="Times New Roman" w:eastAsia="黑体" w:cs="Times New Roman"/>
              <w:b/>
              <w:bCs/>
              <w:sz w:val="28"/>
            </w:rPr>
            <w:fldChar w:fldCharType="end"/>
          </w:r>
          <w:r>
            <w:rPr>
              <w:rFonts w:hint="eastAsia" w:ascii="Times New Roman" w:hAnsi="Times New Roman" w:eastAsia="黑体" w:cs="Times New Roman"/>
              <w:b/>
              <w:bCs/>
              <w:sz w:val="28"/>
            </w:rPr>
            <w:fldChar w:fldCharType="end"/>
          </w:r>
        </w:p>
        <w:p w14:paraId="26871C05">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_Toc6085 </w:instrText>
          </w:r>
          <w:r>
            <w:rPr>
              <w:rFonts w:hint="eastAsia"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3.1物质的危险、有害因素分析</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_Toc6085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38</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795E7940">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_Toc27049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3.2储存经营过程中的危险、有害因素分析</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_Toc27049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39</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7B1D50B9">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_Toc16001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3.3主要危险有害部位辨识结果</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_Toc16001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48</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1DC69D17">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_Toc3361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3.4周边环境及自然条件分析</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_Toc3361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49</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0D9CBFB2">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_Toc29631 </w:instrText>
          </w:r>
          <w:r>
            <w:rPr>
              <w:rFonts w:hint="eastAsia"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3.</w:t>
          </w:r>
          <w:r>
            <w:rPr>
              <w:rFonts w:hint="eastAsia" w:ascii="Times New Roman" w:hAnsi="Times New Roman" w:eastAsia="黑体" w:cs="Times New Roman"/>
              <w:sz w:val="28"/>
              <w:szCs w:val="28"/>
              <w14:ligatures w14:val="standardContextual"/>
            </w:rPr>
            <w:t>5“</w:t>
          </w:r>
          <w:r>
            <w:rPr>
              <w:rFonts w:hint="default" w:ascii="Times New Roman" w:hAnsi="Times New Roman" w:eastAsia="黑体" w:cs="Times New Roman"/>
              <w:sz w:val="28"/>
              <w:szCs w:val="28"/>
              <w14:ligatures w14:val="standardContextual"/>
            </w:rPr>
            <w:t>两重点、一重大</w:t>
          </w:r>
          <w:r>
            <w:rPr>
              <w:rFonts w:hint="eastAsia" w:ascii="Times New Roman" w:hAnsi="Times New Roman" w:eastAsia="黑体" w:cs="Times New Roman"/>
              <w:sz w:val="28"/>
              <w:szCs w:val="28"/>
              <w14:ligatures w14:val="standardContextual"/>
            </w:rPr>
            <w:t>”</w:t>
          </w:r>
          <w:r>
            <w:rPr>
              <w:rFonts w:hint="default" w:ascii="Times New Roman" w:hAnsi="Times New Roman" w:eastAsia="黑体" w:cs="Times New Roman"/>
              <w:sz w:val="28"/>
              <w:szCs w:val="28"/>
              <w14:ligatures w14:val="standardContextual"/>
            </w:rPr>
            <w:t>辨识</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_Toc29631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51</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086488BF">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_Toc23191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3.6事故案例</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_Toc23191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56</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37ABFBB0">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after="0" w:line="360" w:lineRule="auto"/>
            <w:jc w:val="both"/>
            <w:textAlignment w:val="auto"/>
            <w:rPr>
              <w:rFonts w:hint="default" w:ascii="Times New Roman" w:hAnsi="Times New Roman" w:eastAsia="黑体" w:cs="Times New Roman"/>
              <w:b/>
              <w:bCs/>
              <w:sz w:val="28"/>
            </w:rPr>
          </w:pPr>
          <w:r>
            <w:rPr>
              <w:rFonts w:hint="eastAsia" w:ascii="Times New Roman" w:hAnsi="Times New Roman" w:eastAsia="黑体" w:cs="Times New Roman"/>
              <w:b/>
              <w:bCs/>
              <w:sz w:val="28"/>
            </w:rPr>
            <w:fldChar w:fldCharType="begin"/>
          </w:r>
          <w:r>
            <w:rPr>
              <w:rFonts w:hint="eastAsia" w:ascii="Times New Roman" w:hAnsi="Times New Roman" w:eastAsia="黑体" w:cs="Times New Roman"/>
              <w:b/>
              <w:bCs/>
              <w:sz w:val="28"/>
            </w:rPr>
            <w:instrText xml:space="preserve"> HYPERLINK \l _Toc24420 </w:instrText>
          </w:r>
          <w:r>
            <w:rPr>
              <w:rFonts w:hint="eastAsia" w:ascii="Times New Roman" w:hAnsi="Times New Roman" w:eastAsia="黑体" w:cs="Times New Roman"/>
              <w:b/>
              <w:bCs/>
              <w:sz w:val="28"/>
            </w:rPr>
            <w:fldChar w:fldCharType="separate"/>
          </w:r>
          <w:r>
            <w:rPr>
              <w:rFonts w:hint="eastAsia" w:ascii="Times New Roman" w:hAnsi="Times New Roman" w:eastAsia="黑体" w:cs="Times New Roman"/>
              <w:b/>
              <w:bCs/>
              <w:sz w:val="28"/>
            </w:rPr>
            <w:t>4评价单元划分及评价方法选择</w:t>
          </w:r>
          <w:r>
            <w:rPr>
              <w:rFonts w:hint="default" w:ascii="Times New Roman" w:hAnsi="Times New Roman" w:eastAsia="黑体" w:cs="Times New Roman"/>
              <w:b/>
              <w:bCs/>
              <w:sz w:val="28"/>
            </w:rPr>
            <w:tab/>
          </w:r>
          <w:r>
            <w:rPr>
              <w:rFonts w:hint="default" w:ascii="Times New Roman" w:hAnsi="Times New Roman" w:eastAsia="黑体" w:cs="Times New Roman"/>
              <w:b/>
              <w:bCs/>
              <w:sz w:val="28"/>
            </w:rPr>
            <w:fldChar w:fldCharType="begin"/>
          </w:r>
          <w:r>
            <w:rPr>
              <w:rFonts w:hint="default" w:ascii="Times New Roman" w:hAnsi="Times New Roman" w:eastAsia="黑体" w:cs="Times New Roman"/>
              <w:b/>
              <w:bCs/>
              <w:sz w:val="28"/>
            </w:rPr>
            <w:instrText xml:space="preserve"> PAGEREF _Toc24420 \h </w:instrText>
          </w:r>
          <w:r>
            <w:rPr>
              <w:rFonts w:hint="default" w:ascii="Times New Roman" w:hAnsi="Times New Roman" w:eastAsia="黑体" w:cs="Times New Roman"/>
              <w:b/>
              <w:bCs/>
              <w:sz w:val="28"/>
            </w:rPr>
            <w:fldChar w:fldCharType="separate"/>
          </w:r>
          <w:r>
            <w:rPr>
              <w:rFonts w:hint="default" w:ascii="Times New Roman" w:hAnsi="Times New Roman" w:eastAsia="黑体" w:cs="Times New Roman"/>
              <w:b/>
              <w:bCs/>
              <w:sz w:val="28"/>
            </w:rPr>
            <w:t>58</w:t>
          </w:r>
          <w:r>
            <w:rPr>
              <w:rFonts w:hint="default" w:ascii="Times New Roman" w:hAnsi="Times New Roman" w:eastAsia="黑体" w:cs="Times New Roman"/>
              <w:b/>
              <w:bCs/>
              <w:sz w:val="28"/>
            </w:rPr>
            <w:fldChar w:fldCharType="end"/>
          </w:r>
          <w:r>
            <w:rPr>
              <w:rFonts w:hint="eastAsia" w:ascii="Times New Roman" w:hAnsi="Times New Roman" w:eastAsia="黑体" w:cs="Times New Roman"/>
              <w:b/>
              <w:bCs/>
              <w:sz w:val="28"/>
            </w:rPr>
            <w:fldChar w:fldCharType="end"/>
          </w:r>
        </w:p>
        <w:p w14:paraId="2F1F7E0B">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_Toc18606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4.1评价单元划分和评价方法选择</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_Toc18606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58</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6BE935A0">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_Toc31407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4.2评价方法简介</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_Toc31407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58</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3551D8B6">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after="0" w:line="360" w:lineRule="auto"/>
            <w:jc w:val="both"/>
            <w:textAlignment w:val="auto"/>
            <w:rPr>
              <w:rFonts w:hint="default" w:ascii="Times New Roman" w:hAnsi="Times New Roman" w:eastAsia="黑体" w:cs="Times New Roman"/>
              <w:b/>
              <w:bCs/>
              <w:sz w:val="28"/>
            </w:rPr>
          </w:pPr>
          <w:r>
            <w:rPr>
              <w:rFonts w:hint="eastAsia" w:ascii="Times New Roman" w:hAnsi="Times New Roman" w:eastAsia="黑体" w:cs="Times New Roman"/>
              <w:b/>
              <w:bCs/>
              <w:sz w:val="28"/>
            </w:rPr>
            <w:fldChar w:fldCharType="begin"/>
          </w:r>
          <w:r>
            <w:rPr>
              <w:rFonts w:hint="eastAsia" w:ascii="Times New Roman" w:hAnsi="Times New Roman" w:eastAsia="黑体" w:cs="Times New Roman"/>
              <w:b/>
              <w:bCs/>
              <w:sz w:val="28"/>
            </w:rPr>
            <w:instrText xml:space="preserve"> HYPERLINK \l _Toc23617 </w:instrText>
          </w:r>
          <w:r>
            <w:rPr>
              <w:rFonts w:hint="eastAsia" w:ascii="Times New Roman" w:hAnsi="Times New Roman" w:eastAsia="黑体" w:cs="Times New Roman"/>
              <w:b/>
              <w:bCs/>
              <w:sz w:val="28"/>
            </w:rPr>
            <w:fldChar w:fldCharType="separate"/>
          </w:r>
          <w:r>
            <w:rPr>
              <w:rFonts w:hint="eastAsia" w:ascii="Times New Roman" w:hAnsi="Times New Roman" w:eastAsia="黑体" w:cs="Times New Roman"/>
              <w:b/>
              <w:bCs/>
              <w:sz w:val="28"/>
            </w:rPr>
            <w:t>5定性评价</w:t>
          </w:r>
          <w:r>
            <w:rPr>
              <w:rFonts w:hint="default" w:ascii="Times New Roman" w:hAnsi="Times New Roman" w:eastAsia="黑体" w:cs="Times New Roman"/>
              <w:b/>
              <w:bCs/>
              <w:sz w:val="28"/>
            </w:rPr>
            <w:tab/>
          </w:r>
          <w:r>
            <w:rPr>
              <w:rFonts w:hint="default" w:ascii="Times New Roman" w:hAnsi="Times New Roman" w:eastAsia="黑体" w:cs="Times New Roman"/>
              <w:b/>
              <w:bCs/>
              <w:sz w:val="28"/>
            </w:rPr>
            <w:fldChar w:fldCharType="begin"/>
          </w:r>
          <w:r>
            <w:rPr>
              <w:rFonts w:hint="default" w:ascii="Times New Roman" w:hAnsi="Times New Roman" w:eastAsia="黑体" w:cs="Times New Roman"/>
              <w:b/>
              <w:bCs/>
              <w:sz w:val="28"/>
            </w:rPr>
            <w:instrText xml:space="preserve"> PAGEREF _Toc23617 \h </w:instrText>
          </w:r>
          <w:r>
            <w:rPr>
              <w:rFonts w:hint="default" w:ascii="Times New Roman" w:hAnsi="Times New Roman" w:eastAsia="黑体" w:cs="Times New Roman"/>
              <w:b/>
              <w:bCs/>
              <w:sz w:val="28"/>
            </w:rPr>
            <w:fldChar w:fldCharType="separate"/>
          </w:r>
          <w:r>
            <w:rPr>
              <w:rFonts w:hint="default" w:ascii="Times New Roman" w:hAnsi="Times New Roman" w:eastAsia="黑体" w:cs="Times New Roman"/>
              <w:b/>
              <w:bCs/>
              <w:sz w:val="28"/>
            </w:rPr>
            <w:t>60</w:t>
          </w:r>
          <w:r>
            <w:rPr>
              <w:rFonts w:hint="default" w:ascii="Times New Roman" w:hAnsi="Times New Roman" w:eastAsia="黑体" w:cs="Times New Roman"/>
              <w:b/>
              <w:bCs/>
              <w:sz w:val="28"/>
            </w:rPr>
            <w:fldChar w:fldCharType="end"/>
          </w:r>
          <w:r>
            <w:rPr>
              <w:rFonts w:hint="eastAsia" w:ascii="Times New Roman" w:hAnsi="Times New Roman" w:eastAsia="黑体" w:cs="Times New Roman"/>
              <w:b/>
              <w:bCs/>
              <w:sz w:val="28"/>
            </w:rPr>
            <w:fldChar w:fldCharType="end"/>
          </w:r>
        </w:p>
        <w:p w14:paraId="4081CCC5">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_Toc19773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5.1经营条件及安全管理单元</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_Toc19773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60</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363BC7CD">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_Toc991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5.2周边环境及平面布置单元</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_Toc991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63</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5061487E">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_Toc8997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5.3 工艺及设施单元</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_Toc8997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66</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4FAAB959">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_Toc7171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5.4公辅工程及辅助设施单元</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_Toc7171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71</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53F959B3">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_Toc3270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5.5重大危险源管理及监控</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_Toc3270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78</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32313CDB">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_Toc18968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5.</w:t>
          </w:r>
          <w:r>
            <w:rPr>
              <w:rFonts w:hint="eastAsia" w:ascii="Times New Roman" w:hAnsi="Times New Roman" w:eastAsia="黑体" w:cs="Times New Roman"/>
              <w:sz w:val="28"/>
              <w:szCs w:val="28"/>
              <w:lang w:val="en-US" w:eastAsia="zh-CN"/>
              <w14:ligatures w14:val="standardContextual"/>
            </w:rPr>
            <w:t>6</w:t>
          </w:r>
          <w:r>
            <w:rPr>
              <w:rFonts w:hint="eastAsia" w:ascii="Times New Roman" w:hAnsi="Times New Roman" w:eastAsia="黑体" w:cs="Times New Roman"/>
              <w:sz w:val="28"/>
              <w:szCs w:val="28"/>
              <w14:ligatures w14:val="standardContextual"/>
            </w:rPr>
            <w:t>重大生产安全事故隐患单元</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_Toc18968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84</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760DF5C9">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_Toc15941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14:ligatures w14:val="standardContextual"/>
            </w:rPr>
            <w:t>5</w:t>
          </w:r>
          <w:r>
            <w:rPr>
              <w:rFonts w:hint="default" w:ascii="Times New Roman" w:hAnsi="Times New Roman" w:eastAsia="黑体" w:cs="Times New Roman"/>
              <w:sz w:val="28"/>
              <w:szCs w:val="28"/>
              <w14:ligatures w14:val="standardContextual"/>
            </w:rPr>
            <w:t>.</w:t>
          </w:r>
          <w:r>
            <w:rPr>
              <w:rFonts w:hint="eastAsia" w:ascii="Times New Roman" w:hAnsi="Times New Roman" w:eastAsia="黑体" w:cs="Times New Roman"/>
              <w:sz w:val="28"/>
              <w:szCs w:val="28"/>
              <w:lang w:val="en-US" w:eastAsia="zh-CN"/>
              <w14:ligatures w14:val="standardContextual"/>
            </w:rPr>
            <w:t>7</w:t>
          </w:r>
          <w:r>
            <w:rPr>
              <w:rFonts w:hint="default" w:ascii="Times New Roman" w:hAnsi="Times New Roman" w:eastAsia="黑体" w:cs="Times New Roman"/>
              <w:sz w:val="28"/>
              <w:szCs w:val="28"/>
              <w14:ligatures w14:val="standardContextual"/>
            </w:rPr>
            <w:t>安全检查表检查结果</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_Toc15941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86</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0D5EA284">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after="0" w:line="360" w:lineRule="auto"/>
            <w:jc w:val="both"/>
            <w:textAlignment w:val="auto"/>
            <w:rPr>
              <w:rFonts w:hint="default" w:ascii="Times New Roman" w:hAnsi="Times New Roman" w:eastAsia="黑体" w:cs="Times New Roman"/>
              <w:b/>
              <w:bCs/>
              <w:sz w:val="28"/>
            </w:rPr>
          </w:pPr>
          <w:r>
            <w:rPr>
              <w:rFonts w:hint="eastAsia" w:ascii="Times New Roman" w:hAnsi="Times New Roman" w:eastAsia="黑体" w:cs="Times New Roman"/>
              <w:b/>
              <w:bCs/>
              <w:sz w:val="28"/>
            </w:rPr>
            <w:fldChar w:fldCharType="begin"/>
          </w:r>
          <w:r>
            <w:rPr>
              <w:rFonts w:hint="eastAsia" w:ascii="Times New Roman" w:hAnsi="Times New Roman" w:eastAsia="黑体" w:cs="Times New Roman"/>
              <w:b/>
              <w:bCs/>
              <w:sz w:val="28"/>
            </w:rPr>
            <w:instrText xml:space="preserve"> HYPERLINK \l _Toc3207 </w:instrText>
          </w:r>
          <w:r>
            <w:rPr>
              <w:rFonts w:hint="eastAsia" w:ascii="Times New Roman" w:hAnsi="Times New Roman" w:eastAsia="黑体" w:cs="Times New Roman"/>
              <w:b/>
              <w:bCs/>
              <w:sz w:val="28"/>
            </w:rPr>
            <w:fldChar w:fldCharType="separate"/>
          </w:r>
          <w:r>
            <w:rPr>
              <w:rFonts w:hint="eastAsia" w:ascii="Times New Roman" w:hAnsi="Times New Roman" w:eastAsia="黑体" w:cs="Times New Roman"/>
              <w:b/>
              <w:bCs/>
              <w:sz w:val="28"/>
              <w:lang w:val="en-US" w:eastAsia="zh-CN"/>
            </w:rPr>
            <w:t>6</w:t>
          </w:r>
          <w:r>
            <w:rPr>
              <w:rFonts w:hint="eastAsia" w:ascii="Times New Roman" w:hAnsi="Times New Roman" w:eastAsia="黑体" w:cs="Times New Roman"/>
              <w:b/>
              <w:bCs/>
              <w:sz w:val="28"/>
            </w:rPr>
            <w:t>定</w:t>
          </w:r>
          <w:r>
            <w:rPr>
              <w:rFonts w:hint="eastAsia" w:ascii="Times New Roman" w:hAnsi="Times New Roman" w:eastAsia="黑体" w:cs="Times New Roman"/>
              <w:b/>
              <w:bCs/>
              <w:sz w:val="28"/>
              <w:lang w:val="en-US" w:eastAsia="zh-CN"/>
            </w:rPr>
            <w:t>量</w:t>
          </w:r>
          <w:r>
            <w:rPr>
              <w:rFonts w:hint="eastAsia" w:ascii="Times New Roman" w:hAnsi="Times New Roman" w:eastAsia="黑体" w:cs="Times New Roman"/>
              <w:b/>
              <w:bCs/>
              <w:sz w:val="28"/>
            </w:rPr>
            <w:t>评价</w:t>
          </w:r>
          <w:r>
            <w:rPr>
              <w:rFonts w:hint="default" w:ascii="Times New Roman" w:hAnsi="Times New Roman" w:eastAsia="黑体" w:cs="Times New Roman"/>
              <w:b/>
              <w:bCs/>
              <w:sz w:val="28"/>
            </w:rPr>
            <w:tab/>
          </w:r>
          <w:r>
            <w:rPr>
              <w:rFonts w:hint="default" w:ascii="Times New Roman" w:hAnsi="Times New Roman" w:eastAsia="黑体" w:cs="Times New Roman"/>
              <w:b/>
              <w:bCs/>
              <w:sz w:val="28"/>
            </w:rPr>
            <w:fldChar w:fldCharType="begin"/>
          </w:r>
          <w:r>
            <w:rPr>
              <w:rFonts w:hint="default" w:ascii="Times New Roman" w:hAnsi="Times New Roman" w:eastAsia="黑体" w:cs="Times New Roman"/>
              <w:b/>
              <w:bCs/>
              <w:sz w:val="28"/>
            </w:rPr>
            <w:instrText xml:space="preserve"> PAGEREF _Toc3207 \h </w:instrText>
          </w:r>
          <w:r>
            <w:rPr>
              <w:rFonts w:hint="default" w:ascii="Times New Roman" w:hAnsi="Times New Roman" w:eastAsia="黑体" w:cs="Times New Roman"/>
              <w:b/>
              <w:bCs/>
              <w:sz w:val="28"/>
            </w:rPr>
            <w:fldChar w:fldCharType="separate"/>
          </w:r>
          <w:r>
            <w:rPr>
              <w:rFonts w:hint="default" w:ascii="Times New Roman" w:hAnsi="Times New Roman" w:eastAsia="黑体" w:cs="Times New Roman"/>
              <w:b/>
              <w:bCs/>
              <w:sz w:val="28"/>
            </w:rPr>
            <w:t>88</w:t>
          </w:r>
          <w:r>
            <w:rPr>
              <w:rFonts w:hint="default" w:ascii="Times New Roman" w:hAnsi="Times New Roman" w:eastAsia="黑体" w:cs="Times New Roman"/>
              <w:b/>
              <w:bCs/>
              <w:sz w:val="28"/>
            </w:rPr>
            <w:fldChar w:fldCharType="end"/>
          </w:r>
          <w:r>
            <w:rPr>
              <w:rFonts w:hint="eastAsia" w:ascii="Times New Roman" w:hAnsi="Times New Roman" w:eastAsia="黑体" w:cs="Times New Roman"/>
              <w:b/>
              <w:bCs/>
              <w:sz w:val="28"/>
            </w:rPr>
            <w:fldChar w:fldCharType="end"/>
          </w:r>
        </w:p>
        <w:p w14:paraId="1B0382AC">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_Toc21458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lang w:val="en-US" w:eastAsia="zh-CN"/>
              <w14:ligatures w14:val="standardContextual"/>
            </w:rPr>
            <w:t>6</w:t>
          </w:r>
          <w:r>
            <w:rPr>
              <w:rFonts w:hint="default" w:ascii="Times New Roman" w:hAnsi="Times New Roman" w:eastAsia="黑体" w:cs="Times New Roman"/>
              <w:sz w:val="28"/>
              <w:szCs w:val="28"/>
              <w:lang w:val="en-US" w:eastAsia="zh-CN"/>
              <w14:ligatures w14:val="standardContextual"/>
            </w:rPr>
            <w:t>.1</w:t>
          </w:r>
          <w:r>
            <w:rPr>
              <w:rFonts w:hint="eastAsia" w:ascii="Times New Roman" w:hAnsi="Times New Roman" w:eastAsia="黑体" w:cs="Times New Roman"/>
              <w:sz w:val="28"/>
              <w:szCs w:val="28"/>
              <w:lang w:val="en-US" w:eastAsia="zh-CN"/>
              <w14:ligatures w14:val="standardContextual"/>
            </w:rPr>
            <w:t>个人风险和社会风险评价</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_Toc21458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88</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20A5DACD">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_Toc4203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lang w:val="en-US" w:eastAsia="zh-CN"/>
              <w14:ligatures w14:val="standardContextual"/>
            </w:rPr>
            <w:t>6</w:t>
          </w:r>
          <w:r>
            <w:rPr>
              <w:rFonts w:hint="default" w:ascii="Times New Roman" w:hAnsi="Times New Roman" w:eastAsia="黑体" w:cs="Times New Roman"/>
              <w:sz w:val="28"/>
              <w:szCs w:val="28"/>
              <w:lang w:val="en-US" w:eastAsia="zh-CN"/>
              <w14:ligatures w14:val="standardContextual"/>
            </w:rPr>
            <w:t>.</w:t>
          </w:r>
          <w:r>
            <w:rPr>
              <w:rFonts w:hint="eastAsia" w:ascii="Times New Roman" w:hAnsi="Times New Roman" w:eastAsia="黑体" w:cs="Times New Roman"/>
              <w:sz w:val="28"/>
              <w:szCs w:val="28"/>
              <w:lang w:val="en-US" w:eastAsia="zh-CN"/>
              <w14:ligatures w14:val="standardContextual"/>
            </w:rPr>
            <w:t>2事故后果模拟</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_Toc4203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114</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79D256BA">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_Toc26917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lang w:val="en-US" w:eastAsia="zh-CN"/>
              <w14:ligatures w14:val="standardContextual"/>
            </w:rPr>
            <w:t>6.3外部安全防护距离</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_Toc26917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118</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35D2CFF7">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_Toc8599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lang w:val="en-US" w:eastAsia="zh-CN"/>
              <w14:ligatures w14:val="standardContextual"/>
            </w:rPr>
            <w:t>6.4多米诺半径</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_Toc8599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119</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2A5258EA">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after="0" w:line="360" w:lineRule="auto"/>
            <w:jc w:val="both"/>
            <w:textAlignment w:val="auto"/>
            <w:rPr>
              <w:rFonts w:hint="default" w:ascii="Times New Roman" w:hAnsi="Times New Roman" w:eastAsia="黑体" w:cs="Times New Roman"/>
              <w:b/>
              <w:bCs/>
              <w:sz w:val="28"/>
            </w:rPr>
          </w:pPr>
          <w:r>
            <w:rPr>
              <w:rFonts w:hint="eastAsia" w:ascii="Times New Roman" w:hAnsi="Times New Roman" w:eastAsia="黑体" w:cs="Times New Roman"/>
              <w:b/>
              <w:bCs/>
              <w:sz w:val="28"/>
            </w:rPr>
            <w:fldChar w:fldCharType="begin"/>
          </w:r>
          <w:r>
            <w:rPr>
              <w:rFonts w:hint="eastAsia" w:ascii="Times New Roman" w:hAnsi="Times New Roman" w:eastAsia="黑体" w:cs="Times New Roman"/>
              <w:b/>
              <w:bCs/>
              <w:sz w:val="28"/>
            </w:rPr>
            <w:instrText xml:space="preserve"> HYPERLINK \l _Toc9685 </w:instrText>
          </w:r>
          <w:r>
            <w:rPr>
              <w:rFonts w:hint="eastAsia" w:ascii="Times New Roman" w:hAnsi="Times New Roman" w:eastAsia="黑体" w:cs="Times New Roman"/>
              <w:b/>
              <w:bCs/>
              <w:sz w:val="28"/>
            </w:rPr>
            <w:fldChar w:fldCharType="separate"/>
          </w:r>
          <w:r>
            <w:rPr>
              <w:rFonts w:hint="eastAsia" w:ascii="Times New Roman" w:hAnsi="Times New Roman" w:eastAsia="黑体" w:cs="Times New Roman"/>
              <w:b/>
              <w:bCs/>
              <w:sz w:val="28"/>
              <w:lang w:val="en-US" w:eastAsia="zh-CN"/>
            </w:rPr>
            <w:t>7</w:t>
          </w:r>
          <w:r>
            <w:rPr>
              <w:rFonts w:hint="eastAsia" w:ascii="Times New Roman" w:hAnsi="Times New Roman" w:eastAsia="黑体" w:cs="Times New Roman"/>
              <w:b/>
              <w:bCs/>
              <w:sz w:val="28"/>
            </w:rPr>
            <w:t>安全对策措施与建议</w:t>
          </w:r>
          <w:r>
            <w:rPr>
              <w:rFonts w:hint="default" w:ascii="Times New Roman" w:hAnsi="Times New Roman" w:eastAsia="黑体" w:cs="Times New Roman"/>
              <w:b/>
              <w:bCs/>
              <w:sz w:val="28"/>
            </w:rPr>
            <w:tab/>
          </w:r>
          <w:r>
            <w:rPr>
              <w:rFonts w:hint="default" w:ascii="Times New Roman" w:hAnsi="Times New Roman" w:eastAsia="黑体" w:cs="Times New Roman"/>
              <w:b/>
              <w:bCs/>
              <w:sz w:val="28"/>
            </w:rPr>
            <w:fldChar w:fldCharType="begin"/>
          </w:r>
          <w:r>
            <w:rPr>
              <w:rFonts w:hint="default" w:ascii="Times New Roman" w:hAnsi="Times New Roman" w:eastAsia="黑体" w:cs="Times New Roman"/>
              <w:b/>
              <w:bCs/>
              <w:sz w:val="28"/>
            </w:rPr>
            <w:instrText xml:space="preserve"> PAGEREF _Toc9685 \h </w:instrText>
          </w:r>
          <w:r>
            <w:rPr>
              <w:rFonts w:hint="default" w:ascii="Times New Roman" w:hAnsi="Times New Roman" w:eastAsia="黑体" w:cs="Times New Roman"/>
              <w:b/>
              <w:bCs/>
              <w:sz w:val="28"/>
            </w:rPr>
            <w:fldChar w:fldCharType="separate"/>
          </w:r>
          <w:r>
            <w:rPr>
              <w:rFonts w:hint="default" w:ascii="Times New Roman" w:hAnsi="Times New Roman" w:eastAsia="黑体" w:cs="Times New Roman"/>
              <w:b/>
              <w:bCs/>
              <w:sz w:val="28"/>
            </w:rPr>
            <w:t>129</w:t>
          </w:r>
          <w:r>
            <w:rPr>
              <w:rFonts w:hint="default" w:ascii="Times New Roman" w:hAnsi="Times New Roman" w:eastAsia="黑体" w:cs="Times New Roman"/>
              <w:b/>
              <w:bCs/>
              <w:sz w:val="28"/>
            </w:rPr>
            <w:fldChar w:fldCharType="end"/>
          </w:r>
          <w:r>
            <w:rPr>
              <w:rFonts w:hint="eastAsia" w:ascii="Times New Roman" w:hAnsi="Times New Roman" w:eastAsia="黑体" w:cs="Times New Roman"/>
              <w:b/>
              <w:bCs/>
              <w:sz w:val="28"/>
            </w:rPr>
            <w:fldChar w:fldCharType="end"/>
          </w:r>
        </w:p>
        <w:p w14:paraId="3D33297D">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_Toc28687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lang w:val="en-US" w:eastAsia="zh-CN"/>
              <w14:ligatures w14:val="standardContextual"/>
            </w:rPr>
            <w:t>7</w:t>
          </w:r>
          <w:r>
            <w:rPr>
              <w:rFonts w:hint="eastAsia" w:ascii="Times New Roman" w:hAnsi="Times New Roman" w:eastAsia="黑体" w:cs="Times New Roman"/>
              <w:sz w:val="28"/>
              <w:szCs w:val="28"/>
              <w14:ligatures w14:val="standardContextual"/>
            </w:rPr>
            <w:t>.1安全对策措施</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_Toc28687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129</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702C8240">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_Toc11638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lang w:val="en-US" w:eastAsia="zh-CN"/>
              <w14:ligatures w14:val="standardContextual"/>
            </w:rPr>
            <w:t>7</w:t>
          </w:r>
          <w:r>
            <w:rPr>
              <w:rFonts w:hint="eastAsia" w:ascii="Times New Roman" w:hAnsi="Times New Roman" w:eastAsia="黑体" w:cs="Times New Roman"/>
              <w:sz w:val="28"/>
              <w:szCs w:val="28"/>
              <w14:ligatures w14:val="standardContextual"/>
            </w:rPr>
            <w:t>.2建议</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_Toc11638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132</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5D450E75">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after="0" w:line="360" w:lineRule="auto"/>
            <w:jc w:val="both"/>
            <w:textAlignment w:val="auto"/>
            <w:rPr>
              <w:rFonts w:hint="default" w:ascii="Times New Roman" w:hAnsi="Times New Roman" w:eastAsia="黑体" w:cs="Times New Roman"/>
              <w:b/>
              <w:bCs/>
              <w:sz w:val="28"/>
            </w:rPr>
          </w:pPr>
          <w:r>
            <w:rPr>
              <w:rFonts w:hint="eastAsia" w:ascii="Times New Roman" w:hAnsi="Times New Roman" w:eastAsia="黑体" w:cs="Times New Roman"/>
              <w:b/>
              <w:bCs/>
              <w:sz w:val="28"/>
            </w:rPr>
            <w:fldChar w:fldCharType="begin"/>
          </w:r>
          <w:r>
            <w:rPr>
              <w:rFonts w:hint="eastAsia" w:ascii="Times New Roman" w:hAnsi="Times New Roman" w:eastAsia="黑体" w:cs="Times New Roman"/>
              <w:b/>
              <w:bCs/>
              <w:sz w:val="28"/>
            </w:rPr>
            <w:instrText xml:space="preserve"> HYPERLINK \l _Toc32303 </w:instrText>
          </w:r>
          <w:r>
            <w:rPr>
              <w:rFonts w:hint="eastAsia" w:ascii="Times New Roman" w:hAnsi="Times New Roman" w:eastAsia="黑体" w:cs="Times New Roman"/>
              <w:b/>
              <w:bCs/>
              <w:sz w:val="28"/>
            </w:rPr>
            <w:fldChar w:fldCharType="separate"/>
          </w:r>
          <w:r>
            <w:rPr>
              <w:rFonts w:hint="eastAsia" w:ascii="Times New Roman" w:hAnsi="Times New Roman" w:eastAsia="黑体" w:cs="Times New Roman"/>
              <w:b/>
              <w:bCs/>
              <w:sz w:val="28"/>
              <w:lang w:val="en-US" w:eastAsia="zh-CN"/>
            </w:rPr>
            <w:t>8</w:t>
          </w:r>
          <w:r>
            <w:rPr>
              <w:rFonts w:hint="eastAsia" w:ascii="Times New Roman" w:hAnsi="Times New Roman" w:eastAsia="黑体" w:cs="Times New Roman"/>
              <w:b/>
              <w:bCs/>
              <w:sz w:val="28"/>
            </w:rPr>
            <w:t>评价结论</w:t>
          </w:r>
          <w:r>
            <w:rPr>
              <w:rFonts w:hint="default" w:ascii="Times New Roman" w:hAnsi="Times New Roman" w:eastAsia="黑体" w:cs="Times New Roman"/>
              <w:b/>
              <w:bCs/>
              <w:sz w:val="28"/>
            </w:rPr>
            <w:tab/>
          </w:r>
          <w:r>
            <w:rPr>
              <w:rFonts w:hint="default" w:ascii="Times New Roman" w:hAnsi="Times New Roman" w:eastAsia="黑体" w:cs="Times New Roman"/>
              <w:b/>
              <w:bCs/>
              <w:sz w:val="28"/>
            </w:rPr>
            <w:fldChar w:fldCharType="begin"/>
          </w:r>
          <w:r>
            <w:rPr>
              <w:rFonts w:hint="default" w:ascii="Times New Roman" w:hAnsi="Times New Roman" w:eastAsia="黑体" w:cs="Times New Roman"/>
              <w:b/>
              <w:bCs/>
              <w:sz w:val="28"/>
            </w:rPr>
            <w:instrText xml:space="preserve"> PAGEREF _Toc32303 \h </w:instrText>
          </w:r>
          <w:r>
            <w:rPr>
              <w:rFonts w:hint="default" w:ascii="Times New Roman" w:hAnsi="Times New Roman" w:eastAsia="黑体" w:cs="Times New Roman"/>
              <w:b/>
              <w:bCs/>
              <w:sz w:val="28"/>
            </w:rPr>
            <w:fldChar w:fldCharType="separate"/>
          </w:r>
          <w:r>
            <w:rPr>
              <w:rFonts w:hint="default" w:ascii="Times New Roman" w:hAnsi="Times New Roman" w:eastAsia="黑体" w:cs="Times New Roman"/>
              <w:b/>
              <w:bCs/>
              <w:sz w:val="28"/>
            </w:rPr>
            <w:t>133</w:t>
          </w:r>
          <w:r>
            <w:rPr>
              <w:rFonts w:hint="default" w:ascii="Times New Roman" w:hAnsi="Times New Roman" w:eastAsia="黑体" w:cs="Times New Roman"/>
              <w:b/>
              <w:bCs/>
              <w:sz w:val="28"/>
            </w:rPr>
            <w:fldChar w:fldCharType="end"/>
          </w:r>
          <w:r>
            <w:rPr>
              <w:rFonts w:hint="eastAsia" w:ascii="Times New Roman" w:hAnsi="Times New Roman" w:eastAsia="黑体" w:cs="Times New Roman"/>
              <w:b/>
              <w:bCs/>
              <w:sz w:val="28"/>
            </w:rPr>
            <w:fldChar w:fldCharType="end"/>
          </w:r>
        </w:p>
        <w:p w14:paraId="5BC5558F">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_Toc6565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lang w:val="en-US" w:eastAsia="zh-CN"/>
              <w14:ligatures w14:val="standardContextual"/>
            </w:rPr>
            <w:t>8</w:t>
          </w:r>
          <w:r>
            <w:rPr>
              <w:rFonts w:hint="eastAsia" w:ascii="Times New Roman" w:hAnsi="Times New Roman" w:eastAsia="黑体" w:cs="Times New Roman"/>
              <w:sz w:val="28"/>
              <w:szCs w:val="28"/>
              <w14:ligatures w14:val="standardContextual"/>
            </w:rPr>
            <w:t>.1主要危险有害因素评价结果</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_Toc6565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133</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3A1BED90">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_Toc25869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lang w:val="en-US" w:eastAsia="zh-CN"/>
              <w14:ligatures w14:val="standardContextual"/>
            </w:rPr>
            <w:t>8</w:t>
          </w:r>
          <w:r>
            <w:rPr>
              <w:rFonts w:hint="eastAsia" w:ascii="Times New Roman" w:hAnsi="Times New Roman" w:eastAsia="黑体" w:cs="Times New Roman"/>
              <w:sz w:val="28"/>
              <w:szCs w:val="28"/>
              <w14:ligatures w14:val="standardContextual"/>
            </w:rPr>
            <w:t>.2定性定量分析结果</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_Toc25869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133</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796912F5">
          <w:pPr>
            <w:pStyle w:val="1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280" w:firstLineChars="100"/>
            <w:jc w:val="left"/>
            <w:textAlignment w:val="auto"/>
            <w:rPr>
              <w:rFonts w:hint="default" w:ascii="Times New Roman" w:hAnsi="Times New Roman" w:eastAsia="黑体" w:cs="Times New Roman"/>
              <w:sz w:val="28"/>
              <w:szCs w:val="28"/>
              <w14:ligatures w14:val="standardContextual"/>
            </w:rPr>
          </w:pPr>
          <w:r>
            <w:rPr>
              <w:rFonts w:hint="eastAsia" w:ascii="Times New Roman" w:hAnsi="Times New Roman" w:eastAsia="黑体" w:cs="Times New Roman"/>
              <w:sz w:val="28"/>
              <w:szCs w:val="28"/>
              <w14:ligatures w14:val="standardContextual"/>
            </w:rPr>
            <w:fldChar w:fldCharType="begin"/>
          </w:r>
          <w:r>
            <w:rPr>
              <w:rFonts w:hint="eastAsia" w:ascii="Times New Roman" w:hAnsi="Times New Roman" w:eastAsia="黑体" w:cs="Times New Roman"/>
              <w:sz w:val="28"/>
              <w:szCs w:val="28"/>
              <w14:ligatures w14:val="standardContextual"/>
            </w:rPr>
            <w:instrText xml:space="preserve"> HYPERLINK \l _Toc5479 </w:instrText>
          </w:r>
          <w:r>
            <w:rPr>
              <w:rFonts w:hint="eastAsia" w:ascii="Times New Roman" w:hAnsi="Times New Roman" w:eastAsia="黑体" w:cs="Times New Roman"/>
              <w:sz w:val="28"/>
              <w:szCs w:val="28"/>
              <w14:ligatures w14:val="standardContextual"/>
            </w:rPr>
            <w:fldChar w:fldCharType="separate"/>
          </w:r>
          <w:r>
            <w:rPr>
              <w:rFonts w:hint="eastAsia" w:ascii="Times New Roman" w:hAnsi="Times New Roman" w:eastAsia="黑体" w:cs="Times New Roman"/>
              <w:sz w:val="28"/>
              <w:szCs w:val="28"/>
              <w:lang w:val="en-US" w:eastAsia="zh-CN"/>
              <w14:ligatures w14:val="standardContextual"/>
            </w:rPr>
            <w:t>8</w:t>
          </w:r>
          <w:r>
            <w:rPr>
              <w:rFonts w:hint="eastAsia" w:ascii="Times New Roman" w:hAnsi="Times New Roman" w:eastAsia="黑体" w:cs="Times New Roman"/>
              <w:sz w:val="28"/>
              <w:szCs w:val="28"/>
              <w14:ligatures w14:val="standardContextual"/>
            </w:rPr>
            <w:t>.3评价结论</w:t>
          </w:r>
          <w:r>
            <w:rPr>
              <w:rFonts w:hint="default" w:ascii="Times New Roman" w:hAnsi="Times New Roman" w:eastAsia="黑体" w:cs="Times New Roman"/>
              <w:sz w:val="28"/>
              <w:szCs w:val="28"/>
              <w14:ligatures w14:val="standardContextual"/>
            </w:rPr>
            <w:tab/>
          </w:r>
          <w:r>
            <w:rPr>
              <w:rFonts w:hint="default" w:ascii="Times New Roman" w:hAnsi="Times New Roman" w:eastAsia="黑体" w:cs="Times New Roman"/>
              <w:sz w:val="28"/>
              <w:szCs w:val="28"/>
              <w14:ligatures w14:val="standardContextual"/>
            </w:rPr>
            <w:fldChar w:fldCharType="begin"/>
          </w:r>
          <w:r>
            <w:rPr>
              <w:rFonts w:hint="default" w:ascii="Times New Roman" w:hAnsi="Times New Roman" w:eastAsia="黑体" w:cs="Times New Roman"/>
              <w:sz w:val="28"/>
              <w:szCs w:val="28"/>
              <w14:ligatures w14:val="standardContextual"/>
            </w:rPr>
            <w:instrText xml:space="preserve"> PAGEREF _Toc5479 \h </w:instrText>
          </w:r>
          <w:r>
            <w:rPr>
              <w:rFonts w:hint="default" w:ascii="Times New Roman" w:hAnsi="Times New Roman" w:eastAsia="黑体" w:cs="Times New Roman"/>
              <w:sz w:val="28"/>
              <w:szCs w:val="28"/>
              <w14:ligatures w14:val="standardContextual"/>
            </w:rPr>
            <w:fldChar w:fldCharType="separate"/>
          </w:r>
          <w:r>
            <w:rPr>
              <w:rFonts w:hint="default" w:ascii="Times New Roman" w:hAnsi="Times New Roman" w:eastAsia="黑体" w:cs="Times New Roman"/>
              <w:sz w:val="28"/>
              <w:szCs w:val="28"/>
              <w14:ligatures w14:val="standardContextual"/>
            </w:rPr>
            <w:t>134</w:t>
          </w:r>
          <w:r>
            <w:rPr>
              <w:rFonts w:hint="default" w:ascii="Times New Roman" w:hAnsi="Times New Roman" w:eastAsia="黑体" w:cs="Times New Roman"/>
              <w:sz w:val="28"/>
              <w:szCs w:val="28"/>
              <w14:ligatures w14:val="standardContextual"/>
            </w:rPr>
            <w:fldChar w:fldCharType="end"/>
          </w:r>
          <w:r>
            <w:rPr>
              <w:rFonts w:hint="eastAsia" w:ascii="Times New Roman" w:hAnsi="Times New Roman" w:eastAsia="黑体" w:cs="Times New Roman"/>
              <w:sz w:val="28"/>
              <w:szCs w:val="28"/>
              <w14:ligatures w14:val="standardContextual"/>
            </w:rPr>
            <w:fldChar w:fldCharType="end"/>
          </w:r>
        </w:p>
        <w:p w14:paraId="6C7D61D3">
          <w:pPr>
            <w:pStyle w:val="10"/>
            <w:keepNext w:val="0"/>
            <w:keepLines w:val="0"/>
            <w:pageBreakBefore w:val="0"/>
            <w:widowControl w:val="0"/>
            <w:tabs>
              <w:tab w:val="right" w:leader="dot" w:pos="9184"/>
            </w:tabs>
            <w:kinsoku/>
            <w:wordWrap/>
            <w:overflowPunct/>
            <w:topLinePunct w:val="0"/>
            <w:autoSpaceDE/>
            <w:autoSpaceDN/>
            <w:bidi w:val="0"/>
            <w:adjustRightInd w:val="0"/>
            <w:snapToGrid w:val="0"/>
            <w:spacing w:after="0" w:line="360" w:lineRule="auto"/>
            <w:jc w:val="both"/>
            <w:textAlignment w:val="auto"/>
            <w:rPr>
              <w:rFonts w:hint="default" w:ascii="Times New Roman" w:hAnsi="Times New Roman" w:eastAsia="黑体" w:cs="Times New Roman"/>
              <w:b/>
              <w:bCs/>
              <w:sz w:val="28"/>
            </w:rPr>
          </w:pPr>
          <w:r>
            <w:rPr>
              <w:rFonts w:hint="eastAsia" w:ascii="Times New Roman" w:hAnsi="Times New Roman" w:eastAsia="黑体" w:cs="Times New Roman"/>
              <w:b/>
              <w:bCs/>
              <w:sz w:val="28"/>
            </w:rPr>
            <w:fldChar w:fldCharType="begin"/>
          </w:r>
          <w:r>
            <w:rPr>
              <w:rFonts w:hint="eastAsia" w:ascii="Times New Roman" w:hAnsi="Times New Roman" w:eastAsia="黑体" w:cs="Times New Roman"/>
              <w:b/>
              <w:bCs/>
              <w:sz w:val="28"/>
            </w:rPr>
            <w:instrText xml:space="preserve"> HYPERLINK \l _Toc18647 </w:instrText>
          </w:r>
          <w:r>
            <w:rPr>
              <w:rFonts w:hint="eastAsia" w:ascii="Times New Roman" w:hAnsi="Times New Roman" w:eastAsia="黑体" w:cs="Times New Roman"/>
              <w:b/>
              <w:bCs/>
              <w:sz w:val="28"/>
            </w:rPr>
            <w:fldChar w:fldCharType="separate"/>
          </w:r>
          <w:r>
            <w:rPr>
              <w:rFonts w:hint="eastAsia" w:ascii="Times New Roman" w:hAnsi="Times New Roman" w:eastAsia="黑体" w:cs="Times New Roman"/>
              <w:b/>
              <w:bCs/>
              <w:sz w:val="28"/>
            </w:rPr>
            <w:t>附件</w:t>
          </w:r>
          <w:r>
            <w:rPr>
              <w:rFonts w:hint="default" w:ascii="Times New Roman" w:hAnsi="Times New Roman" w:eastAsia="黑体" w:cs="Times New Roman"/>
              <w:b/>
              <w:bCs/>
              <w:sz w:val="28"/>
            </w:rPr>
            <w:tab/>
          </w:r>
          <w:r>
            <w:rPr>
              <w:rFonts w:hint="default" w:ascii="Times New Roman" w:hAnsi="Times New Roman" w:eastAsia="黑体" w:cs="Times New Roman"/>
              <w:b/>
              <w:bCs/>
              <w:sz w:val="28"/>
            </w:rPr>
            <w:fldChar w:fldCharType="begin"/>
          </w:r>
          <w:r>
            <w:rPr>
              <w:rFonts w:hint="default" w:ascii="Times New Roman" w:hAnsi="Times New Roman" w:eastAsia="黑体" w:cs="Times New Roman"/>
              <w:b/>
              <w:bCs/>
              <w:sz w:val="28"/>
            </w:rPr>
            <w:instrText xml:space="preserve"> PAGEREF _Toc18647 \h </w:instrText>
          </w:r>
          <w:r>
            <w:rPr>
              <w:rFonts w:hint="default" w:ascii="Times New Roman" w:hAnsi="Times New Roman" w:eastAsia="黑体" w:cs="Times New Roman"/>
              <w:b/>
              <w:bCs/>
              <w:sz w:val="28"/>
            </w:rPr>
            <w:fldChar w:fldCharType="separate"/>
          </w:r>
          <w:r>
            <w:rPr>
              <w:rFonts w:hint="default" w:ascii="Times New Roman" w:hAnsi="Times New Roman" w:eastAsia="黑体" w:cs="Times New Roman"/>
              <w:b/>
              <w:bCs/>
              <w:sz w:val="28"/>
            </w:rPr>
            <w:t>135</w:t>
          </w:r>
          <w:r>
            <w:rPr>
              <w:rFonts w:hint="default" w:ascii="Times New Roman" w:hAnsi="Times New Roman" w:eastAsia="黑体" w:cs="Times New Roman"/>
              <w:b/>
              <w:bCs/>
              <w:sz w:val="28"/>
            </w:rPr>
            <w:fldChar w:fldCharType="end"/>
          </w:r>
          <w:r>
            <w:rPr>
              <w:rFonts w:hint="eastAsia" w:ascii="Times New Roman" w:hAnsi="Times New Roman" w:eastAsia="黑体" w:cs="Times New Roman"/>
              <w:b/>
              <w:bCs/>
              <w:sz w:val="28"/>
            </w:rPr>
            <w:fldChar w:fldCharType="end"/>
          </w:r>
        </w:p>
        <w:p w14:paraId="1CE8CC4E">
          <w:pPr>
            <w:keepNext w:val="0"/>
            <w:keepLines w:val="0"/>
            <w:pageBreakBefore w:val="0"/>
            <w:widowControl w:val="0"/>
            <w:kinsoku/>
            <w:wordWrap/>
            <w:overflowPunct/>
            <w:topLinePunct w:val="0"/>
            <w:autoSpaceDE/>
            <w:autoSpaceDN/>
            <w:bidi w:val="0"/>
            <w:adjustRightInd w:val="0"/>
            <w:snapToGrid w:val="0"/>
            <w:spacing w:after="0" w:line="360" w:lineRule="auto"/>
            <w:jc w:val="both"/>
            <w:textAlignment w:val="auto"/>
            <w:rPr>
              <w:rFonts w:ascii="Times New Roman" w:hAnsi="Times New Roman" w:eastAsia="黑体"/>
              <w:sz w:val="28"/>
              <w:szCs w:val="28"/>
            </w:rPr>
          </w:pPr>
          <w:r>
            <w:rPr>
              <w:rFonts w:hint="eastAsia" w:ascii="Times New Roman" w:hAnsi="Times New Roman" w:eastAsia="黑体"/>
              <w:szCs w:val="28"/>
            </w:rPr>
            <w:fldChar w:fldCharType="end"/>
          </w:r>
        </w:p>
      </w:sdtContent>
    </w:sdt>
    <w:p w14:paraId="0975073F">
      <w:pPr>
        <w:adjustRightInd w:val="0"/>
        <w:snapToGrid w:val="0"/>
        <w:spacing w:before="156" w:beforeLines="50" w:after="156" w:afterLines="50" w:line="360" w:lineRule="auto"/>
        <w:jc w:val="center"/>
        <w:rPr>
          <w:rFonts w:ascii="Times New Roman" w:hAnsi="Times New Roman" w:eastAsia="黑体" w:cs="Times New Roman"/>
          <w:b/>
          <w:kern w:val="44"/>
          <w:sz w:val="32"/>
          <w:szCs w:val="44"/>
          <w14:ligatures w14:val="none"/>
        </w:rPr>
      </w:pPr>
    </w:p>
    <w:p w14:paraId="46BAB2C0">
      <w:pPr>
        <w:adjustRightInd w:val="0"/>
        <w:snapToGrid w:val="0"/>
        <w:spacing w:before="156" w:beforeLines="50" w:after="156" w:afterLines="50" w:line="360" w:lineRule="auto"/>
        <w:jc w:val="center"/>
        <w:rPr>
          <w:rFonts w:ascii="Times New Roman" w:hAnsi="Times New Roman" w:eastAsia="黑体" w:cs="Times New Roman"/>
          <w:b/>
          <w:kern w:val="44"/>
          <w:sz w:val="32"/>
          <w:szCs w:val="44"/>
          <w14:ligatures w14:val="none"/>
        </w:rPr>
        <w:sectPr>
          <w:pgSz w:w="11906" w:h="16838"/>
          <w:pgMar w:top="1418" w:right="1134" w:bottom="1134" w:left="1588" w:header="851" w:footer="992" w:gutter="0"/>
          <w:pgBorders>
            <w:top w:val="none" w:sz="0" w:space="0"/>
            <w:left w:val="none" w:sz="0" w:space="0"/>
            <w:bottom w:val="none" w:sz="0" w:space="0"/>
            <w:right w:val="none" w:sz="0" w:space="0"/>
          </w:pgBorders>
          <w:cols w:space="425" w:num="1"/>
          <w:docGrid w:type="lines" w:linePitch="312" w:charSpace="0"/>
        </w:sectPr>
      </w:pPr>
    </w:p>
    <w:p w14:paraId="7252529D">
      <w:pPr>
        <w:adjustRightInd w:val="0"/>
        <w:snapToGrid w:val="0"/>
        <w:spacing w:before="468" w:beforeLines="150" w:after="468" w:afterLines="150" w:line="360" w:lineRule="auto"/>
        <w:jc w:val="center"/>
        <w:outlineLvl w:val="0"/>
        <w:rPr>
          <w:rFonts w:ascii="Times New Roman" w:hAnsi="Times New Roman" w:eastAsia="黑体" w:cs="黑体"/>
          <w:b/>
          <w:kern w:val="44"/>
          <w:sz w:val="32"/>
          <w:szCs w:val="44"/>
          <w14:ligatures w14:val="none"/>
        </w:rPr>
      </w:pPr>
      <w:bookmarkStart w:id="21" w:name="_Toc9700"/>
      <w:bookmarkStart w:id="22" w:name="_Toc492367633"/>
      <w:bookmarkStart w:id="23" w:name="_Toc527536689"/>
      <w:bookmarkStart w:id="24" w:name="_Toc163051340"/>
      <w:bookmarkStart w:id="25" w:name="_Toc457294993"/>
      <w:bookmarkStart w:id="26" w:name="_Toc454542164"/>
      <w:bookmarkStart w:id="27" w:name="_Toc457295089"/>
      <w:bookmarkStart w:id="28" w:name="_Toc454542367"/>
      <w:r>
        <w:rPr>
          <w:rFonts w:hint="eastAsia" w:ascii="Times New Roman" w:hAnsi="Times New Roman" w:eastAsia="黑体" w:cs="黑体"/>
          <w:b/>
          <w:kern w:val="44"/>
          <w:sz w:val="32"/>
          <w:szCs w:val="44"/>
          <w14:ligatures w14:val="none"/>
        </w:rPr>
        <w:t>1概述</w:t>
      </w:r>
      <w:bookmarkEnd w:id="21"/>
      <w:bookmarkEnd w:id="22"/>
      <w:bookmarkEnd w:id="23"/>
      <w:bookmarkEnd w:id="24"/>
    </w:p>
    <w:p w14:paraId="5B3841BA">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29" w:name="_Toc16447"/>
      <w:bookmarkStart w:id="30" w:name="_Toc163051341"/>
      <w:bookmarkStart w:id="31" w:name="_Toc492367634"/>
      <w:bookmarkStart w:id="32" w:name="_Toc527536690"/>
      <w:r>
        <w:rPr>
          <w:rFonts w:hint="eastAsia" w:ascii="Times New Roman" w:hAnsi="Times New Roman" w:eastAsia="楷体" w:cs="黑体"/>
          <w:b/>
          <w:sz w:val="32"/>
          <w:szCs w:val="32"/>
          <w14:ligatures w14:val="none"/>
        </w:rPr>
        <w:t>1.1评价目的</w:t>
      </w:r>
      <w:bookmarkEnd w:id="29"/>
      <w:bookmarkEnd w:id="30"/>
      <w:bookmarkEnd w:id="31"/>
      <w:bookmarkEnd w:id="32"/>
    </w:p>
    <w:p w14:paraId="34F0C0D8">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通过对国能安储（东港）燃料供应有限公司存在的危险、有害因素进行分析，查找其在经营、储存危险化学品过程中存在的危险、有害因素，确定其风险及危害程度，提出合理可行的安全对策措施和建议，最终给出安全评价结论。</w:t>
      </w:r>
    </w:p>
    <w:p w14:paraId="2B99BF67">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本评价报告为国能安储（东港）燃料供应有限公司健全危险化学品的安全管理提供参考和依据。同时，也为当地政府行政管理部门实施行政许可和日常监管提供技术支撑。</w:t>
      </w:r>
    </w:p>
    <w:p w14:paraId="44509FD2">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33" w:name="_Toc527536691"/>
      <w:bookmarkStart w:id="34" w:name="_Toc19384"/>
      <w:bookmarkStart w:id="35" w:name="_Toc163051342"/>
      <w:bookmarkStart w:id="36" w:name="_Toc492367635"/>
      <w:r>
        <w:rPr>
          <w:rFonts w:ascii="Times New Roman" w:hAnsi="Times New Roman" w:eastAsia="楷体" w:cs="黑体"/>
          <w:b/>
          <w:sz w:val="32"/>
          <w:szCs w:val="32"/>
          <w14:ligatures w14:val="none"/>
        </w:rPr>
        <w:t>1.2评价依据</w:t>
      </w:r>
      <w:bookmarkEnd w:id="33"/>
      <w:bookmarkEnd w:id="34"/>
      <w:bookmarkEnd w:id="35"/>
      <w:bookmarkEnd w:id="36"/>
    </w:p>
    <w:p w14:paraId="1F83732A">
      <w:pPr>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jc w:val="both"/>
        <w:textAlignment w:val="auto"/>
        <w:outlineLvl w:val="2"/>
        <w:rPr>
          <w:rFonts w:hint="default" w:ascii="Times New Roman" w:hAnsi="Times New Roman" w:eastAsia="宋体" w:cs="Times New Roman"/>
          <w:b/>
          <w:bCs/>
          <w:kern w:val="2"/>
          <w:sz w:val="28"/>
          <w:szCs w:val="28"/>
          <w:highlight w:val="none"/>
          <w:lang w:val="en-US" w:eastAsia="zh-CN" w:bidi="ar-SA"/>
        </w:rPr>
      </w:pPr>
      <w:bookmarkStart w:id="37" w:name="_Toc457295092"/>
      <w:r>
        <w:rPr>
          <w:rFonts w:hint="eastAsia" w:ascii="Times New Roman" w:hAnsi="Times New Roman" w:eastAsia="黑体" w:cs="Times New Roman"/>
          <w:b/>
          <w:bCs/>
          <w:color w:val="auto"/>
          <w:kern w:val="2"/>
          <w:sz w:val="28"/>
          <w:szCs w:val="32"/>
          <w:highlight w:val="none"/>
          <w:lang w:val="en-US" w:eastAsia="zh-CN" w:bidi="ar-SA"/>
        </w:rPr>
        <w:t>1.2.1法律</w:t>
      </w:r>
    </w:p>
    <w:p w14:paraId="02AC08CB">
      <w:pPr>
        <w:pStyle w:val="31"/>
        <w:keepNext w:val="0"/>
        <w:keepLines w:val="0"/>
        <w:pageBreakBefore w:val="0"/>
        <w:widowControl w:val="0"/>
        <w:numPr>
          <w:ilvl w:val="0"/>
          <w:numId w:val="1"/>
        </w:numPr>
        <w:tabs>
          <w:tab w:val="left" w:pos="1260"/>
        </w:tabs>
        <w:kinsoku w:val="0"/>
        <w:wordWrap/>
        <w:overflowPunct w:val="0"/>
        <w:topLinePunct w:val="0"/>
        <w:autoSpaceDE w:val="0"/>
        <w:autoSpaceDN w:val="0"/>
        <w:bidi w:val="0"/>
        <w:adjustRightInd w:val="0"/>
        <w:snapToGrid w:val="0"/>
        <w:spacing w:before="0" w:beforeLines="0" w:line="360" w:lineRule="auto"/>
        <w:ind w:firstLine="560"/>
        <w:jc w:val="both"/>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rPr>
        <w:t>《中华人民共和国安全生产法》（国家主席令第八十八号，2021年9月1日实施）</w:t>
      </w:r>
    </w:p>
    <w:p w14:paraId="3E8A6AAA">
      <w:pPr>
        <w:pStyle w:val="31"/>
        <w:keepNext w:val="0"/>
        <w:keepLines w:val="0"/>
        <w:pageBreakBefore w:val="0"/>
        <w:widowControl w:val="0"/>
        <w:numPr>
          <w:ilvl w:val="0"/>
          <w:numId w:val="1"/>
        </w:numPr>
        <w:tabs>
          <w:tab w:val="left" w:pos="1260"/>
        </w:tabs>
        <w:kinsoku w:val="0"/>
        <w:wordWrap/>
        <w:overflowPunct w:val="0"/>
        <w:topLinePunct w:val="0"/>
        <w:autoSpaceDE w:val="0"/>
        <w:autoSpaceDN w:val="0"/>
        <w:bidi w:val="0"/>
        <w:adjustRightInd w:val="0"/>
        <w:snapToGrid w:val="0"/>
        <w:spacing w:before="0" w:beforeLines="0" w:line="360" w:lineRule="auto"/>
        <w:ind w:firstLine="560"/>
        <w:jc w:val="both"/>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rPr>
        <w:t>《中华人民共和国特种设备安全法》（国家主席令第四号，2014年1月1日实施）</w:t>
      </w:r>
    </w:p>
    <w:p w14:paraId="48F4FFDD">
      <w:pPr>
        <w:pStyle w:val="31"/>
        <w:keepNext w:val="0"/>
        <w:keepLines w:val="0"/>
        <w:pageBreakBefore w:val="0"/>
        <w:widowControl w:val="0"/>
        <w:numPr>
          <w:ilvl w:val="0"/>
          <w:numId w:val="1"/>
        </w:numPr>
        <w:tabs>
          <w:tab w:val="left" w:pos="1260"/>
        </w:tabs>
        <w:kinsoku w:val="0"/>
        <w:wordWrap/>
        <w:overflowPunct w:val="0"/>
        <w:topLinePunct w:val="0"/>
        <w:autoSpaceDE w:val="0"/>
        <w:autoSpaceDN w:val="0"/>
        <w:bidi w:val="0"/>
        <w:adjustRightInd w:val="0"/>
        <w:snapToGrid w:val="0"/>
        <w:spacing w:before="0" w:beforeLines="0" w:line="360" w:lineRule="auto"/>
        <w:ind w:firstLine="560"/>
        <w:jc w:val="both"/>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rPr>
        <w:t>《中华人民共和国消防法》（国家主席令第六号，2021年04月29日实施）</w:t>
      </w:r>
    </w:p>
    <w:p w14:paraId="061ACC78">
      <w:pPr>
        <w:pStyle w:val="31"/>
        <w:keepNext w:val="0"/>
        <w:keepLines w:val="0"/>
        <w:pageBreakBefore w:val="0"/>
        <w:widowControl w:val="0"/>
        <w:numPr>
          <w:ilvl w:val="0"/>
          <w:numId w:val="1"/>
        </w:numPr>
        <w:tabs>
          <w:tab w:val="left" w:pos="1260"/>
        </w:tabs>
        <w:kinsoku w:val="0"/>
        <w:wordWrap/>
        <w:overflowPunct w:val="0"/>
        <w:topLinePunct w:val="0"/>
        <w:autoSpaceDE w:val="0"/>
        <w:autoSpaceDN w:val="0"/>
        <w:bidi w:val="0"/>
        <w:adjustRightInd w:val="0"/>
        <w:snapToGrid w:val="0"/>
        <w:spacing w:before="0" w:beforeLines="0" w:line="360" w:lineRule="auto"/>
        <w:ind w:firstLine="560"/>
        <w:jc w:val="both"/>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rPr>
        <w:t>《中华人民共和国防震减灾法》（国家主席令第七号，2009年5月1日实施）</w:t>
      </w:r>
    </w:p>
    <w:p w14:paraId="26B7D58A">
      <w:pPr>
        <w:pStyle w:val="31"/>
        <w:keepNext w:val="0"/>
        <w:keepLines w:val="0"/>
        <w:pageBreakBefore w:val="0"/>
        <w:widowControl w:val="0"/>
        <w:numPr>
          <w:ilvl w:val="0"/>
          <w:numId w:val="1"/>
        </w:numPr>
        <w:tabs>
          <w:tab w:val="left" w:pos="1260"/>
        </w:tabs>
        <w:kinsoku w:val="0"/>
        <w:wordWrap/>
        <w:overflowPunct w:val="0"/>
        <w:topLinePunct w:val="0"/>
        <w:autoSpaceDE w:val="0"/>
        <w:autoSpaceDN w:val="0"/>
        <w:bidi w:val="0"/>
        <w:adjustRightInd w:val="0"/>
        <w:snapToGrid w:val="0"/>
        <w:spacing w:before="0" w:beforeLines="0" w:line="360" w:lineRule="auto"/>
        <w:ind w:firstLine="560"/>
        <w:jc w:val="both"/>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rPr>
        <w:t>《中华人民共和国环境保护法》（国家主席令第九号，2015年1月1日起实施）</w:t>
      </w:r>
    </w:p>
    <w:p w14:paraId="4818E5CC">
      <w:pPr>
        <w:pStyle w:val="31"/>
        <w:keepNext w:val="0"/>
        <w:keepLines w:val="0"/>
        <w:pageBreakBefore w:val="0"/>
        <w:widowControl w:val="0"/>
        <w:numPr>
          <w:ilvl w:val="0"/>
          <w:numId w:val="1"/>
        </w:numPr>
        <w:tabs>
          <w:tab w:val="left" w:pos="1260"/>
        </w:tabs>
        <w:kinsoku w:val="0"/>
        <w:wordWrap/>
        <w:overflowPunct w:val="0"/>
        <w:topLinePunct w:val="0"/>
        <w:autoSpaceDE w:val="0"/>
        <w:autoSpaceDN w:val="0"/>
        <w:bidi w:val="0"/>
        <w:adjustRightInd w:val="0"/>
        <w:snapToGrid w:val="0"/>
        <w:spacing w:before="0" w:beforeLines="0" w:line="360" w:lineRule="auto"/>
        <w:ind w:firstLine="560"/>
        <w:jc w:val="both"/>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rPr>
        <w:t>《中华人民共和国气象法》（国家主席令第十四号，第十二届全国人民代表大会常务委员会第二十四次会议第三次修正，2016年11月7日起实施）</w:t>
      </w:r>
    </w:p>
    <w:p w14:paraId="657BAADF">
      <w:pPr>
        <w:pStyle w:val="31"/>
        <w:keepNext w:val="0"/>
        <w:keepLines w:val="0"/>
        <w:pageBreakBefore w:val="0"/>
        <w:widowControl w:val="0"/>
        <w:numPr>
          <w:ilvl w:val="0"/>
          <w:numId w:val="1"/>
        </w:numPr>
        <w:tabs>
          <w:tab w:val="left" w:pos="1260"/>
        </w:tabs>
        <w:kinsoku w:val="0"/>
        <w:wordWrap/>
        <w:overflowPunct w:val="0"/>
        <w:topLinePunct w:val="0"/>
        <w:autoSpaceDE w:val="0"/>
        <w:autoSpaceDN w:val="0"/>
        <w:bidi w:val="0"/>
        <w:adjustRightInd w:val="0"/>
        <w:snapToGrid w:val="0"/>
        <w:spacing w:before="0" w:beforeLines="0" w:line="360" w:lineRule="auto"/>
        <w:ind w:firstLine="560"/>
        <w:jc w:val="both"/>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rPr>
        <w:t>《中华人民共和国劳动法》（国家主席令第二十八号，第十三届全国人民代表大会常务委员会第七次会议第二次修正，2018年12月29日实施）</w:t>
      </w:r>
    </w:p>
    <w:p w14:paraId="3DD11956">
      <w:pPr>
        <w:pStyle w:val="31"/>
        <w:keepNext w:val="0"/>
        <w:keepLines w:val="0"/>
        <w:pageBreakBefore w:val="0"/>
        <w:widowControl w:val="0"/>
        <w:numPr>
          <w:ilvl w:val="0"/>
          <w:numId w:val="1"/>
        </w:numPr>
        <w:tabs>
          <w:tab w:val="left" w:pos="1260"/>
        </w:tabs>
        <w:kinsoku w:val="0"/>
        <w:wordWrap/>
        <w:overflowPunct w:val="0"/>
        <w:topLinePunct w:val="0"/>
        <w:autoSpaceDE w:val="0"/>
        <w:autoSpaceDN w:val="0"/>
        <w:bidi w:val="0"/>
        <w:adjustRightInd w:val="0"/>
        <w:snapToGrid w:val="0"/>
        <w:spacing w:before="0" w:beforeLines="0" w:line="360" w:lineRule="auto"/>
        <w:ind w:firstLine="560"/>
        <w:jc w:val="both"/>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rPr>
        <w:t>《中华人民共和国大气污染防治法》（国家主席令第三十一号，第十三届全国人民代表大会常务委员会第六次会议第二次修正，2018年10月26日实施）</w:t>
      </w:r>
    </w:p>
    <w:p w14:paraId="39AC74FA">
      <w:pPr>
        <w:pStyle w:val="31"/>
        <w:keepNext w:val="0"/>
        <w:keepLines w:val="0"/>
        <w:pageBreakBefore w:val="0"/>
        <w:widowControl w:val="0"/>
        <w:numPr>
          <w:ilvl w:val="0"/>
          <w:numId w:val="1"/>
        </w:numPr>
        <w:tabs>
          <w:tab w:val="left" w:pos="1260"/>
        </w:tabs>
        <w:kinsoku w:val="0"/>
        <w:wordWrap/>
        <w:overflowPunct w:val="0"/>
        <w:topLinePunct w:val="0"/>
        <w:autoSpaceDE w:val="0"/>
        <w:autoSpaceDN w:val="0"/>
        <w:bidi w:val="0"/>
        <w:adjustRightInd w:val="0"/>
        <w:snapToGrid w:val="0"/>
        <w:spacing w:before="0" w:beforeLines="0" w:line="360" w:lineRule="auto"/>
        <w:ind w:firstLine="560"/>
        <w:jc w:val="both"/>
        <w:textAlignment w:val="auto"/>
        <w:rPr>
          <w:rFonts w:hint="default" w:ascii="Times New Roman" w:hAnsi="Times New Roman" w:eastAsia="宋体" w:cs="Times New Roman"/>
          <w:kern w:val="2"/>
          <w:sz w:val="28"/>
          <w:szCs w:val="28"/>
          <w:highlight w:val="none"/>
          <w:lang w:val="en-US" w:eastAsia="zh-CN" w:bidi="ar-SA"/>
        </w:rPr>
      </w:pPr>
      <w:r>
        <w:rPr>
          <w:rFonts w:hint="eastAsia" w:ascii="Times New Roman" w:hAnsi="Times New Roman" w:cs="Times New Roman"/>
          <w:color w:val="auto"/>
          <w:highlight w:val="none"/>
        </w:rPr>
        <w:t>《中华人民共和国突发事件应对法》（国家主席令第二十五号，第十四届全国人民代表大会常务委员会第十次会议修订，2024年11月1日实施）</w:t>
      </w:r>
    </w:p>
    <w:p w14:paraId="79FE6C5B">
      <w:pPr>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jc w:val="both"/>
        <w:textAlignment w:val="auto"/>
        <w:outlineLvl w:val="2"/>
        <w:rPr>
          <w:rFonts w:hint="default" w:ascii="Times New Roman" w:hAnsi="Times New Roman" w:eastAsia="黑体" w:cs="Times New Roman"/>
          <w:b/>
          <w:bCs/>
          <w:color w:val="auto"/>
          <w:kern w:val="2"/>
          <w:sz w:val="28"/>
          <w:szCs w:val="32"/>
          <w:highlight w:val="none"/>
          <w:lang w:val="en-US" w:eastAsia="zh-CN" w:bidi="ar-SA"/>
        </w:rPr>
      </w:pPr>
      <w:r>
        <w:rPr>
          <w:rFonts w:hint="eastAsia" w:ascii="Times New Roman" w:hAnsi="Times New Roman" w:eastAsia="黑体" w:cs="Times New Roman"/>
          <w:b/>
          <w:bCs/>
          <w:color w:val="auto"/>
          <w:kern w:val="2"/>
          <w:sz w:val="28"/>
          <w:szCs w:val="32"/>
          <w:highlight w:val="none"/>
          <w:lang w:val="en-US" w:eastAsia="zh-CN" w:bidi="ar-SA"/>
        </w:rPr>
        <w:t>1.2.2法规</w:t>
      </w:r>
    </w:p>
    <w:p w14:paraId="3E17AF27">
      <w:pPr>
        <w:pStyle w:val="31"/>
        <w:keepNext w:val="0"/>
        <w:keepLines w:val="0"/>
        <w:pageBreakBefore w:val="0"/>
        <w:widowControl w:val="0"/>
        <w:numPr>
          <w:ilvl w:val="0"/>
          <w:numId w:val="2"/>
        </w:numPr>
        <w:tabs>
          <w:tab w:val="left" w:pos="1260"/>
        </w:tabs>
        <w:kinsoku/>
        <w:wordWrap/>
        <w:overflowPunct/>
        <w:topLinePunct w:val="0"/>
        <w:autoSpaceDE/>
        <w:autoSpaceDN/>
        <w:bidi w:val="0"/>
        <w:adjustRightInd w:val="0"/>
        <w:snapToGrid w:val="0"/>
        <w:spacing w:before="0" w:beforeLines="0" w:line="360" w:lineRule="auto"/>
        <w:ind w:firstLine="560"/>
        <w:jc w:val="both"/>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rPr>
        <w:t>《国务院关于特大安全事故行政责任追究的规定》（国务院令第302号，2001年4月21日实施）</w:t>
      </w:r>
    </w:p>
    <w:p w14:paraId="61FC67A1">
      <w:pPr>
        <w:pStyle w:val="31"/>
        <w:keepNext w:val="0"/>
        <w:keepLines w:val="0"/>
        <w:pageBreakBefore w:val="0"/>
        <w:widowControl w:val="0"/>
        <w:numPr>
          <w:ilvl w:val="0"/>
          <w:numId w:val="2"/>
        </w:numPr>
        <w:tabs>
          <w:tab w:val="left" w:pos="1260"/>
        </w:tabs>
        <w:kinsoku/>
        <w:wordWrap/>
        <w:overflowPunct/>
        <w:topLinePunct w:val="0"/>
        <w:autoSpaceDE/>
        <w:autoSpaceDN/>
        <w:bidi w:val="0"/>
        <w:adjustRightInd w:val="0"/>
        <w:snapToGrid w:val="0"/>
        <w:spacing w:before="0" w:beforeLines="0" w:line="360" w:lineRule="auto"/>
        <w:ind w:firstLine="560"/>
        <w:jc w:val="both"/>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rPr>
        <w:t>《生产安全事故报告和调查处理条例》（国务院令第493号，自2007年6月1日起施行）</w:t>
      </w:r>
    </w:p>
    <w:p w14:paraId="0799D7DE">
      <w:pPr>
        <w:pStyle w:val="31"/>
        <w:keepNext w:val="0"/>
        <w:keepLines w:val="0"/>
        <w:pageBreakBefore w:val="0"/>
        <w:widowControl w:val="0"/>
        <w:numPr>
          <w:ilvl w:val="0"/>
          <w:numId w:val="2"/>
        </w:numPr>
        <w:tabs>
          <w:tab w:val="left" w:pos="1260"/>
        </w:tabs>
        <w:kinsoku/>
        <w:wordWrap/>
        <w:overflowPunct/>
        <w:topLinePunct w:val="0"/>
        <w:autoSpaceDE/>
        <w:autoSpaceDN/>
        <w:bidi w:val="0"/>
        <w:adjustRightInd w:val="0"/>
        <w:snapToGrid w:val="0"/>
        <w:spacing w:before="0" w:beforeLines="0" w:line="360" w:lineRule="auto"/>
        <w:ind w:firstLine="560"/>
        <w:jc w:val="both"/>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rPr>
        <w:t>《气象灾害防御条例》（国务院令第687号，2017年10月07日实施）</w:t>
      </w:r>
    </w:p>
    <w:p w14:paraId="31EC21D0">
      <w:pPr>
        <w:pStyle w:val="31"/>
        <w:keepNext w:val="0"/>
        <w:keepLines w:val="0"/>
        <w:pageBreakBefore w:val="0"/>
        <w:widowControl w:val="0"/>
        <w:numPr>
          <w:ilvl w:val="0"/>
          <w:numId w:val="2"/>
        </w:numPr>
        <w:tabs>
          <w:tab w:val="left" w:pos="1260"/>
        </w:tabs>
        <w:kinsoku/>
        <w:wordWrap/>
        <w:overflowPunct/>
        <w:topLinePunct w:val="0"/>
        <w:autoSpaceDE/>
        <w:autoSpaceDN/>
        <w:bidi w:val="0"/>
        <w:adjustRightInd w:val="0"/>
        <w:snapToGrid w:val="0"/>
        <w:spacing w:before="0" w:beforeLines="0" w:line="360" w:lineRule="auto"/>
        <w:ind w:firstLine="560"/>
        <w:jc w:val="both"/>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rPr>
        <w:t>《危险化学品安全管理条例》（国务院令第591号，国务院令第645号修订，自2013年12月7日起施行）</w:t>
      </w:r>
    </w:p>
    <w:p w14:paraId="5F6FEEDA">
      <w:pPr>
        <w:pStyle w:val="31"/>
        <w:keepNext w:val="0"/>
        <w:keepLines w:val="0"/>
        <w:pageBreakBefore w:val="0"/>
        <w:widowControl w:val="0"/>
        <w:numPr>
          <w:ilvl w:val="0"/>
          <w:numId w:val="2"/>
        </w:numPr>
        <w:tabs>
          <w:tab w:val="left" w:pos="1260"/>
        </w:tabs>
        <w:kinsoku/>
        <w:wordWrap/>
        <w:overflowPunct/>
        <w:topLinePunct w:val="0"/>
        <w:autoSpaceDE/>
        <w:autoSpaceDN/>
        <w:bidi w:val="0"/>
        <w:adjustRightInd w:val="0"/>
        <w:snapToGrid w:val="0"/>
        <w:spacing w:before="0" w:beforeLines="0" w:line="360" w:lineRule="auto"/>
        <w:ind w:firstLine="560"/>
        <w:jc w:val="both"/>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rPr>
        <w:t>《生产安全事故应急条例》（国务院令第708号，自2019年4月1日起施行）</w:t>
      </w:r>
    </w:p>
    <w:p w14:paraId="4D331626">
      <w:pPr>
        <w:pStyle w:val="31"/>
        <w:keepNext w:val="0"/>
        <w:keepLines w:val="0"/>
        <w:pageBreakBefore w:val="0"/>
        <w:widowControl w:val="0"/>
        <w:numPr>
          <w:ilvl w:val="0"/>
          <w:numId w:val="2"/>
        </w:numPr>
        <w:tabs>
          <w:tab w:val="left" w:pos="1260"/>
        </w:tabs>
        <w:kinsoku/>
        <w:wordWrap/>
        <w:overflowPunct/>
        <w:topLinePunct w:val="0"/>
        <w:autoSpaceDE/>
        <w:autoSpaceDN/>
        <w:bidi w:val="0"/>
        <w:adjustRightInd w:val="0"/>
        <w:snapToGrid w:val="0"/>
        <w:spacing w:before="0" w:beforeLines="0" w:line="360" w:lineRule="auto"/>
        <w:ind w:firstLine="560"/>
        <w:jc w:val="both"/>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rPr>
        <w:t>《辽宁省安全生产条例》（辽宁省第十四届人民代表大会常务委员会第十六次会议修订，自2025年05月29日实施）</w:t>
      </w:r>
    </w:p>
    <w:p w14:paraId="4D6B7F2F">
      <w:pPr>
        <w:pStyle w:val="31"/>
        <w:keepNext w:val="0"/>
        <w:keepLines w:val="0"/>
        <w:pageBreakBefore w:val="0"/>
        <w:widowControl w:val="0"/>
        <w:numPr>
          <w:ilvl w:val="0"/>
          <w:numId w:val="2"/>
        </w:numPr>
        <w:tabs>
          <w:tab w:val="left" w:pos="1260"/>
        </w:tabs>
        <w:kinsoku/>
        <w:wordWrap/>
        <w:overflowPunct/>
        <w:topLinePunct w:val="0"/>
        <w:autoSpaceDE/>
        <w:autoSpaceDN/>
        <w:bidi w:val="0"/>
        <w:adjustRightInd w:val="0"/>
        <w:snapToGrid w:val="0"/>
        <w:spacing w:before="0" w:beforeLines="0" w:line="360" w:lineRule="auto"/>
        <w:ind w:firstLine="560"/>
        <w:jc w:val="both"/>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rPr>
        <w:t>《辽宁省突发事件应对条例》（辽宁省人民代表大会常务委员会公告〔13届〕第47号，自2020年4月1日起施行）</w:t>
      </w:r>
    </w:p>
    <w:p w14:paraId="708AB2F0">
      <w:pPr>
        <w:pStyle w:val="31"/>
        <w:keepNext w:val="0"/>
        <w:keepLines w:val="0"/>
        <w:pageBreakBefore w:val="0"/>
        <w:widowControl w:val="0"/>
        <w:numPr>
          <w:ilvl w:val="0"/>
          <w:numId w:val="2"/>
        </w:numPr>
        <w:tabs>
          <w:tab w:val="left" w:pos="1260"/>
        </w:tabs>
        <w:kinsoku/>
        <w:wordWrap/>
        <w:overflowPunct/>
        <w:topLinePunct w:val="0"/>
        <w:autoSpaceDE/>
        <w:autoSpaceDN/>
        <w:bidi w:val="0"/>
        <w:adjustRightInd w:val="0"/>
        <w:snapToGrid w:val="0"/>
        <w:spacing w:before="0" w:beforeLines="0" w:line="360" w:lineRule="auto"/>
        <w:ind w:firstLine="560"/>
        <w:jc w:val="both"/>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rPr>
        <w:t>《辽宁省消防条例》（辽宁省人民代表大会常务委员会公告〔13届〕第103号，自2022年11月9日施行）</w:t>
      </w:r>
    </w:p>
    <w:p w14:paraId="4F86B3BC">
      <w:pPr>
        <w:pStyle w:val="31"/>
        <w:keepNext w:val="0"/>
        <w:keepLines w:val="0"/>
        <w:pageBreakBefore w:val="0"/>
        <w:widowControl w:val="0"/>
        <w:numPr>
          <w:ilvl w:val="0"/>
          <w:numId w:val="2"/>
        </w:numPr>
        <w:tabs>
          <w:tab w:val="left" w:pos="1260"/>
        </w:tabs>
        <w:kinsoku/>
        <w:wordWrap/>
        <w:overflowPunct/>
        <w:topLinePunct w:val="0"/>
        <w:autoSpaceDE/>
        <w:autoSpaceDN/>
        <w:bidi w:val="0"/>
        <w:adjustRightInd w:val="0"/>
        <w:snapToGrid w:val="0"/>
        <w:spacing w:before="0" w:beforeLines="0" w:line="360" w:lineRule="auto"/>
        <w:ind w:firstLine="560"/>
        <w:jc w:val="both"/>
        <w:textAlignment w:val="auto"/>
        <w:rPr>
          <w:rFonts w:hint="default" w:ascii="Times New Roman" w:hAnsi="Times New Roman" w:eastAsia="宋体" w:cs="Times New Roman"/>
          <w:kern w:val="2"/>
          <w:sz w:val="28"/>
          <w:szCs w:val="28"/>
          <w:highlight w:val="none"/>
          <w:lang w:val="en-US" w:eastAsia="zh-CN" w:bidi="ar-SA"/>
        </w:rPr>
      </w:pPr>
      <w:r>
        <w:rPr>
          <w:rFonts w:hint="eastAsia" w:ascii="Times New Roman" w:hAnsi="Times New Roman" w:cs="Times New Roman"/>
          <w:color w:val="auto"/>
          <w:highlight w:val="none"/>
        </w:rPr>
        <w:t>《特种作业人员安全技术培训考核管理规定》（</w:t>
      </w:r>
      <w:r>
        <w:rPr>
          <w:rFonts w:hint="eastAsia" w:ascii="Times New Roman" w:hAnsi="Times New Roman" w:eastAsia="宋体" w:cs="Times New Roman"/>
          <w:color w:val="auto"/>
          <w:highlight w:val="none"/>
          <w:lang w:val="en-US" w:eastAsia="zh-CN"/>
        </w:rPr>
        <w:t>应急部</w:t>
      </w:r>
      <w:r>
        <w:rPr>
          <w:rFonts w:hint="eastAsia" w:ascii="Times New Roman" w:hAnsi="Times New Roman" w:cs="Times New Roman"/>
          <w:color w:val="auto"/>
          <w:highlight w:val="none"/>
        </w:rPr>
        <w:t>令[20</w:t>
      </w:r>
      <w:r>
        <w:rPr>
          <w:rFonts w:hint="eastAsia" w:ascii="Times New Roman" w:hAnsi="Times New Roman" w:eastAsia="宋体" w:cs="Times New Roman"/>
          <w:color w:val="auto"/>
          <w:highlight w:val="none"/>
          <w:lang w:val="en-US" w:eastAsia="zh-CN"/>
        </w:rPr>
        <w:t>2</w:t>
      </w:r>
      <w:r>
        <w:rPr>
          <w:rFonts w:hint="eastAsia" w:ascii="Times New Roman" w:hAnsi="Times New Roman" w:cs="Times New Roman"/>
          <w:color w:val="auto"/>
          <w:highlight w:val="none"/>
        </w:rPr>
        <w:t>5]第</w:t>
      </w:r>
      <w:r>
        <w:rPr>
          <w:rFonts w:hint="eastAsia" w:ascii="Times New Roman" w:hAnsi="Times New Roman" w:eastAsia="宋体" w:cs="Times New Roman"/>
          <w:color w:val="auto"/>
          <w:highlight w:val="none"/>
          <w:lang w:val="en-US" w:eastAsia="zh-CN"/>
        </w:rPr>
        <w:t>19</w:t>
      </w:r>
      <w:r>
        <w:rPr>
          <w:rFonts w:hint="eastAsia" w:ascii="Times New Roman" w:hAnsi="Times New Roman" w:cs="Times New Roman"/>
          <w:color w:val="auto"/>
          <w:highlight w:val="none"/>
        </w:rPr>
        <w:t>号，自20</w:t>
      </w:r>
      <w:r>
        <w:rPr>
          <w:rFonts w:hint="eastAsia" w:ascii="Times New Roman" w:hAnsi="Times New Roman" w:eastAsia="宋体" w:cs="Times New Roman"/>
          <w:color w:val="auto"/>
          <w:highlight w:val="none"/>
          <w:lang w:val="en-US" w:eastAsia="zh-CN"/>
        </w:rPr>
        <w:t>26</w:t>
      </w:r>
      <w:r>
        <w:rPr>
          <w:rFonts w:hint="eastAsia" w:ascii="Times New Roman" w:hAnsi="Times New Roman" w:cs="Times New Roman"/>
          <w:color w:val="auto"/>
          <w:highlight w:val="none"/>
        </w:rPr>
        <w:t>年0</w:t>
      </w:r>
      <w:r>
        <w:rPr>
          <w:rFonts w:hint="eastAsia" w:ascii="Times New Roman" w:hAnsi="Times New Roman" w:eastAsia="宋体" w:cs="Times New Roman"/>
          <w:color w:val="auto"/>
          <w:highlight w:val="none"/>
          <w:lang w:val="en-US" w:eastAsia="zh-CN"/>
        </w:rPr>
        <w:t>6</w:t>
      </w:r>
      <w:r>
        <w:rPr>
          <w:rFonts w:hint="eastAsia" w:ascii="Times New Roman" w:hAnsi="Times New Roman" w:cs="Times New Roman"/>
          <w:color w:val="auto"/>
          <w:highlight w:val="none"/>
        </w:rPr>
        <w:t>月01日实施）</w:t>
      </w:r>
    </w:p>
    <w:p w14:paraId="6901448D">
      <w:pPr>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jc w:val="both"/>
        <w:textAlignment w:val="auto"/>
        <w:outlineLvl w:val="2"/>
        <w:rPr>
          <w:rFonts w:hint="eastAsia" w:ascii="Times New Roman" w:hAnsi="Times New Roman" w:eastAsia="黑体" w:cs="Times New Roman"/>
          <w:b/>
          <w:bCs/>
          <w:color w:val="auto"/>
          <w:kern w:val="2"/>
          <w:sz w:val="28"/>
          <w:szCs w:val="32"/>
          <w:highlight w:val="none"/>
          <w:lang w:val="en-US" w:eastAsia="zh-CN" w:bidi="ar-SA"/>
        </w:rPr>
      </w:pPr>
      <w:r>
        <w:rPr>
          <w:rFonts w:hint="eastAsia" w:ascii="Times New Roman" w:hAnsi="Times New Roman" w:eastAsia="黑体" w:cs="Times New Roman"/>
          <w:b/>
          <w:bCs/>
          <w:color w:val="auto"/>
          <w:kern w:val="2"/>
          <w:sz w:val="28"/>
          <w:szCs w:val="32"/>
          <w:highlight w:val="none"/>
          <w:lang w:val="en-US" w:eastAsia="zh-CN" w:bidi="ar-SA"/>
        </w:rPr>
        <w:t>1.2.3部门规章、规范性文件</w:t>
      </w:r>
    </w:p>
    <w:p w14:paraId="4D7EC6A5">
      <w:pPr>
        <w:numPr>
          <w:ilvl w:val="0"/>
          <w:numId w:val="3"/>
        </w:numPr>
        <w:adjustRightInd w:val="0"/>
        <w:snapToGrid w:val="0"/>
        <w:spacing w:after="0" w:line="360" w:lineRule="auto"/>
        <w:ind w:left="0" w:firstLine="560" w:firstLineChars="200"/>
        <w:jc w:val="both"/>
        <w:rPr>
          <w:rFonts w:hint="eastAsia" w:ascii="Times New Roman" w:hAnsi="Times New Roman" w:eastAsia="宋体" w:cs="Times New Roman"/>
          <w:color w:val="auto"/>
          <w:sz w:val="28"/>
          <w:szCs w:val="28"/>
          <w:highlight w:val="none"/>
          <w14:ligatures w14:val="none"/>
        </w:rPr>
      </w:pPr>
      <w:r>
        <w:rPr>
          <w:rFonts w:hint="eastAsia" w:ascii="Times New Roman" w:hAnsi="Times New Roman" w:eastAsia="宋体" w:cs="Times New Roman"/>
          <w:color w:val="auto"/>
          <w:sz w:val="28"/>
          <w:szCs w:val="28"/>
          <w:highlight w:val="none"/>
          <w14:ligatures w14:val="none"/>
        </w:rPr>
        <w:t>《危险化学品重大危险源监督管理暂行规定》（原国家安全生产监督管理总局令40号，2015年3月23日国家安全生产监督管理总局令第79号修订，2015年7月1日实施）</w:t>
      </w:r>
    </w:p>
    <w:p w14:paraId="1C493347">
      <w:pPr>
        <w:numPr>
          <w:ilvl w:val="0"/>
          <w:numId w:val="3"/>
        </w:numPr>
        <w:adjustRightInd w:val="0"/>
        <w:snapToGrid w:val="0"/>
        <w:spacing w:after="0" w:line="360" w:lineRule="auto"/>
        <w:ind w:left="0" w:firstLine="560" w:firstLineChars="200"/>
        <w:jc w:val="both"/>
        <w:rPr>
          <w:rFonts w:hint="eastAsia" w:ascii="Times New Roman" w:hAnsi="Times New Roman" w:eastAsia="宋体" w:cs="Times New Roman"/>
          <w:color w:val="auto"/>
          <w:sz w:val="28"/>
          <w:szCs w:val="28"/>
          <w:highlight w:val="none"/>
          <w14:ligatures w14:val="none"/>
        </w:rPr>
      </w:pPr>
      <w:r>
        <w:rPr>
          <w:rFonts w:hint="eastAsia" w:ascii="Times New Roman" w:hAnsi="Times New Roman" w:eastAsia="宋体" w:cs="Times New Roman"/>
          <w:color w:val="auto"/>
          <w:sz w:val="28"/>
          <w:szCs w:val="28"/>
          <w:highlight w:val="none"/>
          <w14:ligatures w14:val="none"/>
        </w:rPr>
        <w:t>《危险化学品目录（2015年版）》（原国家安全生产监督管理总局等十部委公告 2015年第5号，2015年5月1日实施）</w:t>
      </w:r>
    </w:p>
    <w:p w14:paraId="686DF3E2">
      <w:pPr>
        <w:numPr>
          <w:ilvl w:val="0"/>
          <w:numId w:val="3"/>
        </w:numPr>
        <w:adjustRightInd w:val="0"/>
        <w:snapToGrid w:val="0"/>
        <w:spacing w:after="0" w:line="360" w:lineRule="auto"/>
        <w:ind w:left="0" w:firstLine="560" w:firstLineChars="200"/>
        <w:jc w:val="both"/>
        <w:rPr>
          <w:rFonts w:hint="eastAsia" w:ascii="Times New Roman" w:hAnsi="Times New Roman" w:eastAsia="宋体" w:cs="Times New Roman"/>
          <w:color w:val="auto"/>
          <w:sz w:val="28"/>
          <w:szCs w:val="28"/>
          <w:highlight w:val="none"/>
          <w14:ligatures w14:val="none"/>
        </w:rPr>
      </w:pPr>
      <w:r>
        <w:rPr>
          <w:rFonts w:hint="eastAsia" w:ascii="Times New Roman" w:hAnsi="Times New Roman" w:eastAsia="宋体" w:cs="Times New Roman"/>
          <w:color w:val="auto"/>
          <w:sz w:val="28"/>
          <w:szCs w:val="28"/>
          <w:highlight w:val="none"/>
          <w14:ligatures w14:val="none"/>
        </w:rPr>
        <w:t>《关于调整危险化学品目录（2015版）的公告》（应急管理部等十部门公告2022年第8号，2023年01月01日实施）</w:t>
      </w:r>
    </w:p>
    <w:p w14:paraId="217A3716">
      <w:pPr>
        <w:numPr>
          <w:ilvl w:val="0"/>
          <w:numId w:val="3"/>
        </w:numPr>
        <w:adjustRightInd w:val="0"/>
        <w:snapToGrid w:val="0"/>
        <w:spacing w:after="0" w:line="360" w:lineRule="auto"/>
        <w:ind w:left="0" w:firstLine="560" w:firstLineChars="200"/>
        <w:jc w:val="both"/>
        <w:rPr>
          <w:rFonts w:hint="eastAsia" w:ascii="Times New Roman" w:hAnsi="Times New Roman" w:eastAsia="宋体" w:cs="Times New Roman"/>
          <w:color w:val="auto"/>
          <w:sz w:val="28"/>
          <w:szCs w:val="28"/>
          <w:highlight w:val="none"/>
          <w14:ligatures w14:val="none"/>
        </w:rPr>
      </w:pPr>
      <w:r>
        <w:rPr>
          <w:rFonts w:hint="eastAsia" w:ascii="Times New Roman" w:hAnsi="Times New Roman" w:eastAsia="宋体" w:cs="Times New Roman"/>
          <w:color w:val="auto"/>
          <w:sz w:val="28"/>
          <w:szCs w:val="28"/>
          <w:highlight w:val="none"/>
          <w14:ligatures w14:val="none"/>
        </w:rPr>
        <w:t>《生产经营单位安全培训规定》（原国家安全生产监督管理总局令第3号；国家安全监管总局令第80号修正，2015年7月1日实施）</w:t>
      </w:r>
    </w:p>
    <w:p w14:paraId="249E72A7">
      <w:pPr>
        <w:numPr>
          <w:ilvl w:val="0"/>
          <w:numId w:val="3"/>
        </w:numPr>
        <w:adjustRightInd w:val="0"/>
        <w:snapToGrid w:val="0"/>
        <w:spacing w:after="0" w:line="360" w:lineRule="auto"/>
        <w:ind w:left="0" w:firstLine="560" w:firstLineChars="200"/>
        <w:jc w:val="both"/>
        <w:rPr>
          <w:rFonts w:hint="eastAsia" w:ascii="Times New Roman" w:hAnsi="Times New Roman" w:eastAsia="宋体" w:cs="Times New Roman"/>
          <w:color w:val="auto"/>
          <w:sz w:val="28"/>
          <w:szCs w:val="28"/>
          <w:highlight w:val="none"/>
          <w14:ligatures w14:val="none"/>
        </w:rPr>
      </w:pPr>
      <w:r>
        <w:rPr>
          <w:rFonts w:hint="eastAsia" w:ascii="Times New Roman" w:hAnsi="Times New Roman" w:eastAsia="宋体" w:cs="Times New Roman"/>
          <w:color w:val="auto"/>
          <w:sz w:val="28"/>
          <w:szCs w:val="28"/>
          <w:highlight w:val="none"/>
          <w14:ligatures w14:val="none"/>
        </w:rPr>
        <w:t>《安全生产事故隐患排查治理暂行规定》（原国家安全生产监督管理总局令第16号，2008年2月1日实施）</w:t>
      </w:r>
    </w:p>
    <w:p w14:paraId="7A067FB6">
      <w:pPr>
        <w:numPr>
          <w:ilvl w:val="0"/>
          <w:numId w:val="3"/>
        </w:numPr>
        <w:adjustRightInd w:val="0"/>
        <w:snapToGrid w:val="0"/>
        <w:spacing w:after="0" w:line="360" w:lineRule="auto"/>
        <w:ind w:left="0" w:firstLine="560" w:firstLineChars="200"/>
        <w:jc w:val="both"/>
        <w:rPr>
          <w:rFonts w:hint="eastAsia" w:ascii="Times New Roman" w:hAnsi="Times New Roman" w:eastAsia="宋体" w:cs="Times New Roman"/>
          <w:color w:val="auto"/>
          <w:sz w:val="28"/>
          <w:szCs w:val="28"/>
          <w:highlight w:val="none"/>
          <w14:ligatures w14:val="none"/>
        </w:rPr>
      </w:pPr>
      <w:r>
        <w:rPr>
          <w:rFonts w:hint="eastAsia" w:ascii="Times New Roman" w:hAnsi="Times New Roman" w:eastAsia="宋体" w:cs="Times New Roman"/>
          <w:color w:val="auto"/>
          <w:sz w:val="28"/>
          <w:szCs w:val="28"/>
          <w:highlight w:val="none"/>
          <w14:ligatures w14:val="none"/>
        </w:rPr>
        <w:t>《生产安全事故应急预案管理办法》（应急管理部令第2号，自2019年7月11日施行）</w:t>
      </w:r>
    </w:p>
    <w:p w14:paraId="3D2FA123">
      <w:pPr>
        <w:numPr>
          <w:ilvl w:val="0"/>
          <w:numId w:val="3"/>
        </w:numPr>
        <w:adjustRightInd w:val="0"/>
        <w:snapToGrid w:val="0"/>
        <w:spacing w:after="0" w:line="360" w:lineRule="auto"/>
        <w:ind w:left="0" w:firstLine="560" w:firstLineChars="200"/>
        <w:jc w:val="both"/>
        <w:rPr>
          <w:rFonts w:hint="eastAsia" w:ascii="Times New Roman" w:hAnsi="Times New Roman" w:eastAsia="宋体" w:cs="Times New Roman"/>
          <w:color w:val="auto"/>
          <w:sz w:val="28"/>
          <w:szCs w:val="28"/>
          <w:highlight w:val="none"/>
          <w14:ligatures w14:val="none"/>
        </w:rPr>
      </w:pPr>
      <w:r>
        <w:rPr>
          <w:rFonts w:hint="eastAsia" w:ascii="Times New Roman" w:hAnsi="Times New Roman" w:eastAsia="宋体" w:cs="Times New Roman"/>
          <w:color w:val="auto"/>
          <w:sz w:val="28"/>
          <w:szCs w:val="28"/>
          <w:highlight w:val="none"/>
          <w14:ligatures w14:val="none"/>
        </w:rPr>
        <w:t>《安全生产培训管理办法》（原国家安全生产监督管理总局令44号；国家安全监管总局令第80号修正，2015年7月1日实施）</w:t>
      </w:r>
    </w:p>
    <w:p w14:paraId="0CED16AF">
      <w:pPr>
        <w:numPr>
          <w:ilvl w:val="0"/>
          <w:numId w:val="3"/>
        </w:numPr>
        <w:adjustRightInd w:val="0"/>
        <w:snapToGrid w:val="0"/>
        <w:spacing w:after="0" w:line="360" w:lineRule="auto"/>
        <w:ind w:left="0" w:firstLine="560" w:firstLineChars="200"/>
        <w:jc w:val="both"/>
        <w:rPr>
          <w:rFonts w:hint="eastAsia" w:ascii="Times New Roman" w:hAnsi="Times New Roman" w:eastAsia="宋体" w:cs="Times New Roman"/>
          <w:color w:val="auto"/>
          <w:sz w:val="28"/>
          <w:szCs w:val="28"/>
          <w:highlight w:val="none"/>
          <w14:ligatures w14:val="none"/>
        </w:rPr>
      </w:pPr>
      <w:r>
        <w:rPr>
          <w:rFonts w:hint="eastAsia" w:ascii="Times New Roman" w:hAnsi="Times New Roman" w:eastAsia="宋体" w:cs="Times New Roman"/>
          <w:color w:val="auto"/>
          <w:sz w:val="28"/>
          <w:szCs w:val="28"/>
          <w:highlight w:val="none"/>
          <w14:ligatures w14:val="none"/>
        </w:rPr>
        <w:t>《辽宁省雷电灾害防御管理规定》（辽宁省人民政府令第324号，2018年11月26日实施）</w:t>
      </w:r>
    </w:p>
    <w:p w14:paraId="2F0F701A">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color w:val="auto"/>
          <w:sz w:val="28"/>
          <w:szCs w:val="28"/>
          <w:highlight w:val="none"/>
          <w14:ligatures w14:val="none"/>
        </w:rPr>
        <w:t>《辽宁省企业安全生产主体责任规定》（辽宁省人民政府令[2021]第341号，自2021年05月18日实施）</w:t>
      </w:r>
    </w:p>
    <w:p w14:paraId="2E0ACB4F">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国家安全监管总局关于印发&lt;化工（危险化学品）企业保障生产安全十条规定&gt;、&lt;烟花爆竹企业保障生产安全十条规定&gt;和&lt;油气罐区防火防爆十条规定&gt;的通知》（国家安全监管总局，安监总政法[2017]15号，2017年3月24日发布）</w:t>
      </w:r>
    </w:p>
    <w:p w14:paraId="3466302A">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《关于修改&lt;关于加强全省化工企业检维修作业安全管理的指导意见&gt;的通知》（辽宁省安全生产监督管理局 辽安监危化[2017]22号，2017年11月28日发布）</w:t>
      </w:r>
    </w:p>
    <w:p w14:paraId="6422E9AC">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《关于加强化工过程安全管理的指导意见》（原国家安全生产监督管理总局 安监总管三[2013]88号，2013年7月29日实施）</w:t>
      </w:r>
    </w:p>
    <w:p w14:paraId="184193E1">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《国家安全监管总局关于公布首批重点监管的危险化学品名录的通知》（原国家安全生产监督管理总局 安监总管三[2011]95号，2011年6月21日实施）</w:t>
      </w:r>
    </w:p>
    <w:p w14:paraId="00F5AFBF">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《国家安全监管总局关于公布第二批重点监管危险化学品名录的通知》（安监总管三[2013]12号，自2013年2月5日施行）</w:t>
      </w:r>
    </w:p>
    <w:p w14:paraId="386C0217">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《关于印发首批重点监管的危险化学品安全措施和应急处置原则的通知》（原国家安全生产监督管理总局 安监总厅管三[2011]142号，2011年7月1日实施）</w:t>
      </w:r>
    </w:p>
    <w:p w14:paraId="731D2D26">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《关于危险化学品企业贯彻落实&lt;国务院关于进一步加强企业安全生产工作的通知&gt;的实施意见》（原国家安全生产监督管理总局 安监总管三[2010]186号，2010年11月3日实施）</w:t>
      </w:r>
    </w:p>
    <w:p w14:paraId="5B42F1F9">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《辽宁省安全生产监督管理局贯彻落实〈生产安全事故应急预案管理办法〉实施细则》（辽安监应急〔2017〕5号，2017年9月13日发布）</w:t>
      </w:r>
    </w:p>
    <w:p w14:paraId="5A38005F">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《国务院关于进一步加强企业安全生产工作的通知》（国发[2010]23号，2010年7月19日发布）</w:t>
      </w:r>
    </w:p>
    <w:p w14:paraId="5386E28B">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《辽宁省安全生产委员会关于落实企业全员安全生产责任制的实施意见》（辽安委[2017]45号，2017年12月23日发布）</w:t>
      </w:r>
    </w:p>
    <w:p w14:paraId="0FAF9FD8">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《辽宁省安全生产委员会办公室关于印发&lt;企业安全风险分级管控和隐患排查治理工作指南&gt;和&lt;城市安全风险分级管控和隐患排查治理工作指南&gt;的通知》（辽安委办〔2017〕99号，2017年12月28日）</w:t>
      </w:r>
    </w:p>
    <w:p w14:paraId="1662FA09">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《关于开展提升危险化学品领域本质安全水平专项行动的通知》（原国家安全生产监督管理总局 安监总管三[2012]87号，2012年7月1日实施）</w:t>
      </w:r>
    </w:p>
    <w:p w14:paraId="7A95ACA7">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《关于加强化工安全仪表系统管理的指导意见》（原国家安全生产监督管理总局 安监总管三[2014]116号，2014年11月13日实施）</w:t>
      </w:r>
    </w:p>
    <w:p w14:paraId="4C387669">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《化工和危险化学品生产经营单位重大生产安全事故隐患判定标准（试行）》（原国家安全生产监督管理总局 安监总管三〔2017〕121号，2017年11月13日发布）</w:t>
      </w:r>
    </w:p>
    <w:p w14:paraId="0D4166D8">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《辽宁省生产安全事故应急预案管理办法实施细则》（辽宁省安全生产监督管理局 辽安监应急[2010]30号，2010年3月30日实施）</w:t>
      </w:r>
    </w:p>
    <w:p w14:paraId="6E59C203">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《辽宁省人民政府关于进一步加强企业安全生产工作的实施意见》（辽政发[2010]36号，2010年11月11日实施）</w:t>
      </w:r>
    </w:p>
    <w:p w14:paraId="61299983">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《国家安全监管总局关于印发&lt;化工（危险化学品）企业安全检查重点指导目录&gt;的通知》（安监总管三[2015]113号，2015年12月14日实施）</w:t>
      </w:r>
    </w:p>
    <w:p w14:paraId="105CEEDD">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《国家安全监管总局关于印发遏制危险化学品和烟花爆竹重特大事故工作意见的通知》（安监总管三[2016]62号，2016年6月3日实施）</w:t>
      </w:r>
    </w:p>
    <w:p w14:paraId="6BDC857D">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《国务院安委会办公室关于进一步加强危险化学品安全生产工作的指导意见》（安委办[2008]26号，2008年9月14日实施）</w:t>
      </w:r>
    </w:p>
    <w:p w14:paraId="31A534FB">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《国务院安委会办公室关于全面排查整治危险化学品和烟花爆竹企业安全隐患的通知》（安委办[2011]26号，2011年8月11日实施）</w:t>
      </w:r>
    </w:p>
    <w:p w14:paraId="014786A9">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《应急管理部办公厅关于印发&lt;危险化学品企业重大危险源安全包保责任制办法（试行）&gt;的通知》（应急厅[2021]12号，2021年2月4日实施）</w:t>
      </w:r>
    </w:p>
    <w:p w14:paraId="2A033E9E">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《应急管理部关于印发&lt;化工园区安全风险排查治理导则（试行）&gt;和&lt;危险化学品企业安全风险隐患排查治理导则&gt;的通知》（应急[2019]78号，2019年8月12日实施）</w:t>
      </w:r>
    </w:p>
    <w:p w14:paraId="16944CE1">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《国务院安全生产委员会关于印发&lt;全国危险化学品安全风险集中治理方案&gt;的通知》（安委〔2021〕12号，2022年1月5日实施）</w:t>
      </w:r>
    </w:p>
    <w:p w14:paraId="3AA3D95F">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《国务院安全生产委员会印发〈关于进一步强化安全生产责任落实坚决防范遏制重特大事故的若干措施〉的通知》（安委〔2022〕6号）</w:t>
      </w:r>
    </w:p>
    <w:p w14:paraId="2F782DF9">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《国务院安委会办公室关于印发&lt;安全生产治本攻坚三年行动方案（2024-2026年）&gt;子方案的通知》（安委办〔2024〕1号，2024年1月23日实施）</w:t>
      </w:r>
    </w:p>
    <w:p w14:paraId="4D5C44EB">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《国务院安委会办公室关于学好用好重大事故隐患判定标准的通知》（安委办〔2024〕2号，2024年4月15日实施）</w:t>
      </w:r>
    </w:p>
    <w:p w14:paraId="07258EB4">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《关于印发&lt;企业安全生产费用提取和使用管理办法&gt;的通知》（财资〔2022〕136号，2022年11月21日实施）</w:t>
      </w:r>
    </w:p>
    <w:p w14:paraId="4B486165">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《产业结构调整指导目录（2024年本）》（国家发展改革委令[2023]7号，2024年2月1日施行）</w:t>
      </w:r>
    </w:p>
    <w:p w14:paraId="41319A1C">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《应急管理部办公厅关于印发&lt;淘汰落后危险化学品安全生产工艺技术设备目录（第一批）&gt;的通知》（应急厅〔2020〕38号，2020年10月23日实施）</w:t>
      </w:r>
    </w:p>
    <w:p w14:paraId="4BFB1D28">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《应急管理部办公厅关于印发&lt;淘汰落后危险化学品安全生产工艺技术设备目录（第二批）&gt;的通知》（应急厅〔2024〕86号，2024年3月12日实施）</w:t>
      </w:r>
    </w:p>
    <w:p w14:paraId="610F4D5D">
      <w:pPr>
        <w:numPr>
          <w:ilvl w:val="0"/>
          <w:numId w:val="3"/>
        </w:numPr>
        <w:tabs>
          <w:tab w:val="left" w:pos="960"/>
          <w:tab w:val="left" w:pos="1080"/>
        </w:tabs>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《油气储存企业安全风险评估细则（2025年修订版）》</w:t>
      </w:r>
    </w:p>
    <w:p w14:paraId="146CBB1A">
      <w:pPr>
        <w:keepNext/>
        <w:keepLines/>
        <w:pageBreakBefore w:val="0"/>
        <w:widowControl w:val="0"/>
        <w:kinsoku/>
        <w:wordWrap/>
        <w:overflowPunct/>
        <w:topLinePunct w:val="0"/>
        <w:autoSpaceDE/>
        <w:autoSpaceDN/>
        <w:bidi w:val="0"/>
        <w:adjustRightInd w:val="0"/>
        <w:snapToGrid w:val="0"/>
        <w:spacing w:before="157" w:beforeLines="50" w:beforeAutospacing="0" w:after="157" w:afterLines="50" w:afterAutospacing="0" w:line="360" w:lineRule="auto"/>
        <w:ind w:left="0"/>
        <w:jc w:val="both"/>
        <w:textAlignment w:val="auto"/>
        <w:outlineLvl w:val="2"/>
        <w:rPr>
          <w:rFonts w:hint="eastAsia" w:ascii="Times New Roman" w:hAnsi="Times New Roman" w:eastAsia="黑体" w:cs="Times New Roman"/>
          <w:b/>
          <w:bCs/>
          <w:color w:val="auto"/>
          <w:kern w:val="2"/>
          <w:sz w:val="28"/>
          <w:szCs w:val="32"/>
          <w:highlight w:val="none"/>
          <w:lang w:val="en-US" w:eastAsia="zh-CN" w:bidi="ar-SA"/>
        </w:rPr>
      </w:pPr>
      <w:bookmarkStart w:id="38" w:name="_Toc215470236"/>
      <w:bookmarkStart w:id="39" w:name="_Toc215469707"/>
      <w:bookmarkStart w:id="40" w:name="_Toc223171241"/>
      <w:bookmarkStart w:id="41" w:name="_Toc215470066"/>
      <w:bookmarkStart w:id="42" w:name="_Toc216510834"/>
      <w:bookmarkStart w:id="43" w:name="_Toc215469935"/>
      <w:r>
        <w:rPr>
          <w:rFonts w:hint="eastAsia" w:ascii="Times New Roman" w:hAnsi="Times New Roman" w:eastAsia="黑体" w:cs="Times New Roman"/>
          <w:b/>
          <w:bCs/>
          <w:color w:val="auto"/>
          <w:kern w:val="2"/>
          <w:sz w:val="28"/>
          <w:szCs w:val="32"/>
          <w:highlight w:val="none"/>
          <w:lang w:val="en-US" w:eastAsia="zh-CN" w:bidi="ar-SA"/>
        </w:rPr>
        <w:t>1.2.4规范、标准</w:t>
      </w:r>
      <w:bookmarkEnd w:id="38"/>
      <w:bookmarkEnd w:id="39"/>
      <w:bookmarkEnd w:id="40"/>
      <w:bookmarkEnd w:id="41"/>
      <w:bookmarkEnd w:id="42"/>
      <w:bookmarkEnd w:id="43"/>
    </w:p>
    <w:p w14:paraId="3336774F">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《石油库设计规范》（GB50074-2014）</w:t>
      </w:r>
    </w:p>
    <w:p w14:paraId="42E1B10F">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《危险化学品重大危险源辨识》（GB 18218-2018）</w:t>
      </w:r>
    </w:p>
    <w:p w14:paraId="4049C5E2">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《危险化学品生产装置和储存设施风险基准》（GB 36894-2018）</w:t>
      </w:r>
    </w:p>
    <w:p w14:paraId="3228A137">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《危险化学品生产装置和储存设施外部安全防护距离确定方法》（GB/T 37243-2019）</w:t>
      </w:r>
    </w:p>
    <w:p w14:paraId="0F2CDB3D">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《化工企业定量风险评价导则》（AQ/T 3046-2013）</w:t>
      </w:r>
    </w:p>
    <w:p w14:paraId="28989CCC">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《危险化学品重大危险源安全监控通用技术规范》（AQ 3035-2010）</w:t>
      </w:r>
    </w:p>
    <w:p w14:paraId="3F5A9B32">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《危险化学品重大危险源 罐区现场安全监控装备设置规范》（AQ 3036-2010）</w:t>
      </w:r>
    </w:p>
    <w:p w14:paraId="3F466AC9">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highlight w:val="none"/>
          <w:lang w:val="en-US" w:eastAsia="zh-CN" w:bidi="ar-SA"/>
          <w14:ligatures w14:val="standardContextual"/>
        </w:rPr>
      </w:pPr>
      <w:r>
        <w:rPr>
          <w:rFonts w:hint="eastAsia" w:ascii="Times New Roman" w:hAnsi="Times New Roman" w:eastAsia="宋体" w:cs="Times New Roman"/>
          <w:kern w:val="2"/>
          <w:sz w:val="28"/>
          <w:szCs w:val="24"/>
          <w:highlight w:val="none"/>
          <w:lang w:val="en-US" w:eastAsia="zh-CN" w:bidi="ar-SA"/>
          <w14:ligatures w14:val="standardContextual"/>
        </w:rPr>
        <w:t>《危险化学品重大危险源安全监控技术规范》（GB 17681-2024）</w:t>
      </w:r>
    </w:p>
    <w:p w14:paraId="3EE1CF09">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《建筑设计防火规范（2018年版）》（GB 50016-2014）</w:t>
      </w:r>
    </w:p>
    <w:p w14:paraId="1E47987D">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《工业企业总平面设计规范》（GB 50187-2012）</w:t>
      </w:r>
    </w:p>
    <w:p w14:paraId="4B20910B">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《化工企业安全卫生设计规范》（HG 20571-2014）</w:t>
      </w:r>
    </w:p>
    <w:p w14:paraId="5C157DB1">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《石油化工安全仪表系统设计规范》（GB/T 50770-2013）</w:t>
      </w:r>
    </w:p>
    <w:p w14:paraId="19EBEF11">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《立式圆筒形钢制焊接储罐安全技术规程》（AQ3053-2015）</w:t>
      </w:r>
    </w:p>
    <w:p w14:paraId="6ADEE120">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《储油库大气污染物排放标准》（GB 20950-2020）</w:t>
      </w:r>
    </w:p>
    <w:p w14:paraId="5ABA5C35">
      <w:pPr>
        <w:widowControl w:val="0"/>
        <w:numPr>
          <w:ilvl w:val="0"/>
          <w:numId w:val="4"/>
        </w:numPr>
        <w:adjustRightInd w:val="0"/>
        <w:snapToGrid w:val="0"/>
        <w:spacing w:after="0" w:line="360" w:lineRule="auto"/>
        <w:ind w:left="0" w:firstLine="560" w:firstLineChars="200"/>
        <w:jc w:val="both"/>
        <w:rPr>
          <w:rFonts w:hint="eastAsia"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《泡沫灭火系统技术标准》（GB 50151-2021）</w:t>
      </w:r>
    </w:p>
    <w:p w14:paraId="5B06C860">
      <w:pPr>
        <w:widowControl w:val="0"/>
        <w:numPr>
          <w:ilvl w:val="0"/>
          <w:numId w:val="4"/>
        </w:numPr>
        <w:adjustRightInd w:val="0"/>
        <w:snapToGrid w:val="0"/>
        <w:spacing w:after="0" w:line="360" w:lineRule="auto"/>
        <w:ind w:left="0" w:firstLine="560" w:firstLineChars="200"/>
        <w:jc w:val="both"/>
        <w:rPr>
          <w:rFonts w:hint="eastAsia"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《输油管道工程设计规范》（GB50253-2014）</w:t>
      </w:r>
    </w:p>
    <w:p w14:paraId="506627DF">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《钢质石油储罐防腐蚀工程技术标准》（GB/T50393-2017）</w:t>
      </w:r>
    </w:p>
    <w:p w14:paraId="3ADDD4E3">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《石油化工建（构）筑物抗震设防分类标准》（GB 50453-2008）</w:t>
      </w:r>
    </w:p>
    <w:p w14:paraId="12E2CDEF">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《石油化工装置防雷设计规范（2022版）》（GB 50650-2011）</w:t>
      </w:r>
    </w:p>
    <w:p w14:paraId="42D9B275">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《建筑物防雷设计规范》（GB 50057-2010）</w:t>
      </w:r>
    </w:p>
    <w:p w14:paraId="66098574">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《危险化学品企业雷电安全规范》(GB 15599-2025)</w:t>
      </w:r>
    </w:p>
    <w:p w14:paraId="1C29A19B">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highlight w:val="none"/>
          <w:lang w:val="en-US" w:eastAsia="zh-CN" w:bidi="ar-SA"/>
          <w14:ligatures w14:val="standardContextual"/>
        </w:rPr>
      </w:pPr>
      <w:r>
        <w:rPr>
          <w:rFonts w:hint="eastAsia" w:ascii="Times New Roman" w:hAnsi="Times New Roman" w:eastAsia="宋体" w:cs="Times New Roman"/>
          <w:kern w:val="2"/>
          <w:sz w:val="28"/>
          <w:szCs w:val="24"/>
          <w:highlight w:val="none"/>
          <w:lang w:val="en-US" w:eastAsia="zh-CN" w:bidi="ar-SA"/>
          <w14:ligatures w14:val="standardContextual"/>
        </w:rPr>
        <w:t>《安全色和安全标志》（GB 2894-2025）</w:t>
      </w:r>
    </w:p>
    <w:p w14:paraId="07DACEE4">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《工作场所职业病危害警示标识》（GBZ 158-2003）</w:t>
      </w:r>
    </w:p>
    <w:p w14:paraId="6CCBFECF">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《危险化学品仓库储存通则》（GB 15603-2022）</w:t>
      </w:r>
    </w:p>
    <w:p w14:paraId="109D4D1C">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《易燃易爆性商品储存养护技术条件》（GB 17914-2013）</w:t>
      </w:r>
    </w:p>
    <w:p w14:paraId="4967FC77">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《生产安全事故分类与编码》（GB 6441-2025）</w:t>
      </w:r>
    </w:p>
    <w:p w14:paraId="2679FABC">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《生产过程危险和有害因素分类与代码》（GB/T 13861-2022）</w:t>
      </w:r>
    </w:p>
    <w:p w14:paraId="53B3441A">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《爆炸危险环境电力装置设计规范》（GB 50058-2014）</w:t>
      </w:r>
    </w:p>
    <w:p w14:paraId="1684D059">
      <w:pPr>
        <w:widowControl w:val="0"/>
        <w:numPr>
          <w:ilvl w:val="0"/>
          <w:numId w:val="4"/>
        </w:numPr>
        <w:adjustRightInd w:val="0"/>
        <w:snapToGrid w:val="0"/>
        <w:spacing w:after="0" w:line="360" w:lineRule="auto"/>
        <w:ind w:left="0" w:firstLine="560" w:firstLineChars="200"/>
        <w:jc w:val="both"/>
        <w:rPr>
          <w:rFonts w:hint="eastAsia"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《危险货物品名表》（GB 12268-2025）</w:t>
      </w:r>
    </w:p>
    <w:p w14:paraId="5C9CF6B3">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《危险货物分类和品名编号》（GB 6944-2025）</w:t>
      </w:r>
    </w:p>
    <w:p w14:paraId="09BB809F">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《化学品安全标签编写规定》（GB 15258-2009）</w:t>
      </w:r>
    </w:p>
    <w:p w14:paraId="2E445068">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《化学品安全技术说明书 内容和项目顺序》（GB/T 16483-2008）</w:t>
      </w:r>
    </w:p>
    <w:p w14:paraId="7B0CB0EE">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《机械安全 防护装置 固定式和活动式防护装置的设计与制造一般要求》（GB/T 8196-2018）</w:t>
      </w:r>
    </w:p>
    <w:p w14:paraId="06EAB8F0">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《工作场所毒物危害程度分级标准》（GBZ/T230-2025）</w:t>
      </w:r>
    </w:p>
    <w:p w14:paraId="24C274B6">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《高处作业分级》（GB/T 3608-2008）</w:t>
      </w:r>
    </w:p>
    <w:p w14:paraId="56063C19">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《工业企业设计卫生标准》（GBZ 1-2010）</w:t>
      </w:r>
    </w:p>
    <w:p w14:paraId="64FDD33E">
      <w:pPr>
        <w:widowControl w:val="0"/>
        <w:numPr>
          <w:ilvl w:val="0"/>
          <w:numId w:val="4"/>
        </w:numPr>
        <w:adjustRightInd w:val="0"/>
        <w:snapToGrid w:val="0"/>
        <w:spacing w:after="0" w:line="360" w:lineRule="auto"/>
        <w:ind w:left="0" w:firstLine="560" w:firstLineChars="200"/>
        <w:jc w:val="both"/>
        <w:rPr>
          <w:rFonts w:hint="eastAsia"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《工作场所有害因素职业接触限值第1部分：化学有害因素》 （第2号修改单GBZ 2.1-2019/XG2-2024）</w:t>
      </w:r>
    </w:p>
    <w:p w14:paraId="1FF65377">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《工作场所有害因素职业接触限值 第2部分：物理因素》（GBZ2.2-2007）</w:t>
      </w:r>
    </w:p>
    <w:p w14:paraId="2D22FC17">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《石油化工储运系统罐区设计规范》（SH/T 3007-2014）</w:t>
      </w:r>
    </w:p>
    <w:p w14:paraId="0E7EE9CA">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《储罐区防火堤设计规范》（GB 50351-2014）</w:t>
      </w:r>
    </w:p>
    <w:p w14:paraId="53AFDB54">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《火灾自动报警系统设计规范》（GB 50116-2013）</w:t>
      </w:r>
    </w:p>
    <w:p w14:paraId="29335674">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《生产过程安全基本要求》（GB/T 12801-2025）</w:t>
      </w:r>
    </w:p>
    <w:p w14:paraId="358FDBCD">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《生产设备安全卫生设计总则》（GB 5083-2023）</w:t>
      </w:r>
    </w:p>
    <w:p w14:paraId="2D0B846E">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《建筑灭火器配置设计规范》（GB 50140-2005）</w:t>
      </w:r>
    </w:p>
    <w:p w14:paraId="2EA3CE3D">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《消防应急照明和疏散指示系统》（GB 17945-2024）</w:t>
      </w:r>
    </w:p>
    <w:p w14:paraId="77E98DD5">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《消防安全标志设置要求》（GB 15630-1995）</w:t>
      </w:r>
    </w:p>
    <w:p w14:paraId="1AEFE92E">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《固定消防炮灭火系统设计规范》（GB 50338-2003）</w:t>
      </w:r>
    </w:p>
    <w:p w14:paraId="353F6DC4">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《固定式钢梯及平台安全要求 第1部分：钢直梯》（GB 4053.1-2009）</w:t>
      </w:r>
    </w:p>
    <w:p w14:paraId="624254D0">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《固定式钢梯及平台安全要求 第2部分：钢斜梯》（GB 4053.2-2009）</w:t>
      </w:r>
    </w:p>
    <w:p w14:paraId="1E0526AA">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《固定式钢梯及平台安全要求 第3部分：工业防护栏杆及钢平台》（GB 4053.3-2009）</w:t>
      </w:r>
    </w:p>
    <w:p w14:paraId="136A7D82">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《电力装置的继电保护和自动装置设计规范》（GB/T 50062-2008）</w:t>
      </w:r>
    </w:p>
    <w:p w14:paraId="68CBCE2F">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《供配电系统设计规范》（GB 50052-2009）</w:t>
      </w:r>
    </w:p>
    <w:p w14:paraId="3557F738">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《低压配电设计规范》（GB 50054-2011）</w:t>
      </w:r>
    </w:p>
    <w:p w14:paraId="6635C3B0">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《20kV及以下变电所设计规范》（GB 50053-2013）</w:t>
      </w:r>
    </w:p>
    <w:p w14:paraId="65195141">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《危险场所电气防爆安全规范》（AQ 3009-2007）</w:t>
      </w:r>
    </w:p>
    <w:p w14:paraId="656F47B0">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《通用用电设备配电设计规范》（GB 50055-2011）</w:t>
      </w:r>
    </w:p>
    <w:p w14:paraId="4F8935A7">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《工业电视系统工程设计标准》（GB/T 50115-2019）</w:t>
      </w:r>
    </w:p>
    <w:p w14:paraId="1D78AC71">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《中华人民共和国劳动部噪声作业分级》（LD 80-1995）</w:t>
      </w:r>
    </w:p>
    <w:p w14:paraId="74756586">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《防止静电事故通用要求》（GB 12158-2024）</w:t>
      </w:r>
    </w:p>
    <w:p w14:paraId="0E0CC1E2">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《工业建筑供暖通风与空气调节设计规范》（GB 50019-2015）</w:t>
      </w:r>
    </w:p>
    <w:p w14:paraId="6898F637">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《建筑抗震设计标准（2024年版）》（GB/T 50011-2010）</w:t>
      </w:r>
    </w:p>
    <w:p w14:paraId="2F9C9C17">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《重大火灾隐患判定规则》（GB 35181-2025）</w:t>
      </w:r>
    </w:p>
    <w:p w14:paraId="4F0DEC26">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《危险化学品企业特殊作业安全规范》（GB 30871-2022）</w:t>
      </w:r>
    </w:p>
    <w:p w14:paraId="7BCBD365">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《生产经营单位生产安全事故应急预案编制导则》（GB/T 29639-2020）</w:t>
      </w:r>
    </w:p>
    <w:p w14:paraId="41326DF8">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《安全评价通则》（AQ 8001-2007）</w:t>
      </w:r>
    </w:p>
    <w:p w14:paraId="1BEDA917">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《建筑防火通用规范》（GB 55037-2022）</w:t>
      </w:r>
    </w:p>
    <w:p w14:paraId="08F8089D">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《消防设施通用规范》（GB 55036-2022）</w:t>
      </w:r>
    </w:p>
    <w:p w14:paraId="4BF27839">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《危险化学品储罐区作业安全通则》（AQ 3018-2008）</w:t>
      </w:r>
    </w:p>
    <w:p w14:paraId="1D47DC37">
      <w:pPr>
        <w:widowControl w:val="0"/>
        <w:numPr>
          <w:ilvl w:val="0"/>
          <w:numId w:val="4"/>
        </w:numPr>
        <w:adjustRightInd w:val="0"/>
        <w:snapToGrid w:val="0"/>
        <w:spacing w:after="0" w:line="360" w:lineRule="auto"/>
        <w:ind w:left="0" w:firstLine="560" w:firstLineChars="200"/>
        <w:jc w:val="both"/>
        <w:rPr>
          <w:rFonts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《危险化学品单位应急救援物资配备要求》（GB 30077-2023）</w:t>
      </w:r>
    </w:p>
    <w:bookmarkEnd w:id="37"/>
    <w:p w14:paraId="76F0AB0B">
      <w:pPr>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r>
        <w:rPr>
          <w:rFonts w:ascii="Times New Roman" w:hAnsi="Times New Roman" w:eastAsia="黑体" w:cs="Times New Roman"/>
          <w:b/>
          <w:sz w:val="28"/>
          <w:szCs w:val="32"/>
          <w14:ligatures w14:val="none"/>
        </w:rPr>
        <w:t>1.2.6</w:t>
      </w:r>
      <w:r>
        <w:rPr>
          <w:rFonts w:hint="eastAsia" w:ascii="Times New Roman" w:hAnsi="Times New Roman" w:eastAsia="黑体" w:cs="Times New Roman"/>
          <w:b/>
          <w:sz w:val="28"/>
          <w:szCs w:val="32"/>
          <w14:ligatures w14:val="none"/>
        </w:rPr>
        <w:t>技术文件和有关资料</w:t>
      </w:r>
    </w:p>
    <w:p w14:paraId="09DEB2EB">
      <w:pPr>
        <w:pStyle w:val="21"/>
        <w:numPr>
          <w:ilvl w:val="0"/>
          <w:numId w:val="5"/>
        </w:numPr>
        <w:tabs>
          <w:tab w:val="left" w:pos="840"/>
        </w:tabs>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eastAsia="zh-CN"/>
          <w14:ligatures w14:val="none"/>
        </w:rPr>
        <w:t>国能安储（东港）燃料供应有限公司</w:t>
      </w:r>
      <w:r>
        <w:rPr>
          <w:rFonts w:ascii="Times New Roman" w:hAnsi="Times New Roman" w:eastAsia="宋体" w:cs="Times New Roman"/>
          <w:sz w:val="28"/>
          <w:szCs w:val="28"/>
          <w14:ligatures w14:val="none"/>
        </w:rPr>
        <w:t>和</w:t>
      </w:r>
      <w:r>
        <w:rPr>
          <w:rFonts w:hint="eastAsia" w:ascii="Times New Roman" w:hAnsi="Times New Roman" w:eastAsia="宋体" w:cs="Times New Roman"/>
          <w:sz w:val="28"/>
          <w:szCs w:val="28"/>
          <w14:ligatures w14:val="none"/>
        </w:rPr>
        <w:t>辽宁诺诚安全科技有限公司</w:t>
      </w:r>
      <w:r>
        <w:rPr>
          <w:rFonts w:ascii="Times New Roman" w:hAnsi="Times New Roman" w:eastAsia="宋体" w:cs="Times New Roman"/>
          <w:sz w:val="28"/>
          <w:szCs w:val="28"/>
          <w14:ligatures w14:val="none"/>
        </w:rPr>
        <w:t>双方签订的《安全评价技术服务合同》；</w:t>
      </w:r>
    </w:p>
    <w:p w14:paraId="3F82A6D4">
      <w:pPr>
        <w:pStyle w:val="21"/>
        <w:numPr>
          <w:ilvl w:val="0"/>
          <w:numId w:val="5"/>
        </w:numPr>
        <w:tabs>
          <w:tab w:val="left" w:pos="840"/>
        </w:tabs>
        <w:adjustRightInd w:val="0"/>
        <w:snapToGrid w:val="0"/>
        <w:spacing w:after="0" w:line="360" w:lineRule="auto"/>
        <w:ind w:left="0" w:firstLine="56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eastAsia="zh-CN"/>
          <w14:ligatures w14:val="none"/>
        </w:rPr>
        <w:t>国能安储（东港）燃料供应有限公司</w:t>
      </w:r>
      <w:r>
        <w:rPr>
          <w:rFonts w:ascii="Times New Roman" w:hAnsi="Times New Roman" w:eastAsia="宋体" w:cs="Times New Roman"/>
          <w:sz w:val="28"/>
          <w:szCs w:val="28"/>
          <w14:ligatures w14:val="none"/>
        </w:rPr>
        <w:t>提供的有关书面资料、文件和数据</w:t>
      </w:r>
      <w:r>
        <w:rPr>
          <w:rFonts w:hint="eastAsia" w:ascii="Times New Roman" w:hAnsi="Times New Roman" w:eastAsia="宋体" w:cs="Times New Roman"/>
          <w:sz w:val="28"/>
          <w:szCs w:val="28"/>
          <w14:ligatures w14:val="none"/>
        </w:rPr>
        <w:t>；</w:t>
      </w:r>
    </w:p>
    <w:bookmarkEnd w:id="25"/>
    <w:bookmarkEnd w:id="26"/>
    <w:bookmarkEnd w:id="27"/>
    <w:bookmarkEnd w:id="28"/>
    <w:p w14:paraId="0A69DC82">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44" w:name="_Toc268880205"/>
      <w:bookmarkStart w:id="45" w:name="_Toc527536692"/>
      <w:bookmarkStart w:id="46" w:name="_Toc163051343"/>
      <w:bookmarkStart w:id="47" w:name="_Toc492367636"/>
      <w:bookmarkStart w:id="48" w:name="_Toc286933816"/>
      <w:bookmarkStart w:id="49" w:name="_Toc14114"/>
      <w:r>
        <w:rPr>
          <w:rFonts w:ascii="Times New Roman" w:hAnsi="Times New Roman" w:eastAsia="楷体" w:cs="黑体"/>
          <w:b/>
          <w:sz w:val="32"/>
          <w:szCs w:val="32"/>
          <w14:ligatures w14:val="none"/>
        </w:rPr>
        <w:t>1.3</w:t>
      </w:r>
      <w:bookmarkEnd w:id="44"/>
      <w:bookmarkEnd w:id="45"/>
      <w:bookmarkEnd w:id="46"/>
      <w:bookmarkEnd w:id="47"/>
      <w:bookmarkEnd w:id="48"/>
      <w:r>
        <w:rPr>
          <w:rFonts w:hint="default" w:ascii="Times New Roman" w:hAnsi="Times New Roman" w:eastAsia="楷体" w:cs="Times New Roman"/>
          <w:b/>
          <w:color w:val="auto"/>
          <w:kern w:val="28"/>
          <w:sz w:val="32"/>
          <w:highlight w:val="none"/>
          <w:lang w:val="en-US" w:eastAsia="zh-CN"/>
        </w:rPr>
        <w:t>评价</w:t>
      </w:r>
      <w:r>
        <w:rPr>
          <w:rFonts w:hint="eastAsia" w:ascii="Times New Roman" w:hAnsi="Times New Roman" w:eastAsia="楷体" w:cs="Times New Roman"/>
          <w:b/>
          <w:color w:val="auto"/>
          <w:kern w:val="28"/>
          <w:sz w:val="32"/>
          <w:highlight w:val="none"/>
          <w:lang w:val="en-US" w:eastAsia="zh-CN"/>
        </w:rPr>
        <w:t>对象与评价内容</w:t>
      </w:r>
      <w:bookmarkEnd w:id="49"/>
    </w:p>
    <w:p w14:paraId="6A9A71CB">
      <w:pPr>
        <w:pStyle w:val="33"/>
        <w:keepNext w:val="0"/>
        <w:keepLines w:val="0"/>
        <w:pageBreakBefore w:val="0"/>
        <w:widowControl w:val="0"/>
        <w:kinsoku/>
        <w:wordWrap/>
        <w:overflowPunct/>
        <w:topLinePunct w:val="0"/>
        <w:autoSpaceDE/>
        <w:autoSpaceDN/>
        <w:bidi w:val="0"/>
        <w:adjustRightInd w:val="0"/>
        <w:snapToGrid w:val="0"/>
        <w:spacing w:line="360" w:lineRule="auto"/>
        <w:ind w:firstLine="560"/>
        <w:textAlignment w:val="auto"/>
        <w:rPr>
          <w:rFonts w:hint="default" w:ascii="Times New Roman" w:hAnsi="Times New Roman" w:eastAsia="宋体" w:cs="Times New Roman"/>
          <w:color w:val="auto"/>
          <w:sz w:val="28"/>
          <w:szCs w:val="28"/>
          <w:highlight w:val="none"/>
          <w:lang w:val="en-US" w:eastAsia="zh-CN"/>
        </w:rPr>
      </w:pPr>
      <w:bookmarkStart w:id="50" w:name="_Toc178849886"/>
      <w:bookmarkStart w:id="51" w:name="_Toc167603103"/>
      <w:bookmarkStart w:id="52" w:name="_Toc169854317"/>
      <w:r>
        <w:rPr>
          <w:rFonts w:hint="eastAsia" w:ascii="Times New Roman" w:hAnsi="Times New Roman" w:eastAsia="宋体" w:cs="Times New Roman"/>
          <w:color w:val="auto"/>
          <w:sz w:val="28"/>
          <w:szCs w:val="28"/>
          <w:highlight w:val="none"/>
          <w:lang w:eastAsia="zh-CN"/>
        </w:rPr>
        <w:t>评价对象：</w:t>
      </w:r>
      <w:r>
        <w:rPr>
          <w:rFonts w:hint="eastAsia" w:ascii="Times New Roman" w:hAnsi="Times New Roman" w:eastAsia="宋体" w:cs="Times New Roman"/>
          <w:color w:val="auto"/>
          <w:sz w:val="28"/>
          <w:szCs w:val="28"/>
          <w:highlight w:val="none"/>
          <w:lang w:val="en-US" w:eastAsia="zh-CN"/>
        </w:rPr>
        <w:t>国能安储（东港）燃料供应有限公司</w:t>
      </w:r>
    </w:p>
    <w:p w14:paraId="6AADDC9A">
      <w:pPr>
        <w:pStyle w:val="33"/>
        <w:keepNext w:val="0"/>
        <w:keepLines w:val="0"/>
        <w:pageBreakBefore w:val="0"/>
        <w:widowControl w:val="0"/>
        <w:kinsoku/>
        <w:wordWrap/>
        <w:overflowPunct/>
        <w:topLinePunct w:val="0"/>
        <w:autoSpaceDE/>
        <w:autoSpaceDN/>
        <w:bidi w:val="0"/>
        <w:adjustRightInd w:val="0"/>
        <w:snapToGrid w:val="0"/>
        <w:spacing w:line="360" w:lineRule="auto"/>
        <w:ind w:firstLine="560"/>
        <w:textAlignment w:val="auto"/>
        <w:rPr>
          <w:rFonts w:hint="eastAsia" w:ascii="Times New Roman" w:hAnsi="Times New Roman" w:eastAsia="宋体" w:cs="Times New Roman"/>
          <w:color w:val="auto"/>
          <w:sz w:val="28"/>
          <w:szCs w:val="28"/>
          <w:highlight w:val="none"/>
          <w:lang w:val="en-US" w:eastAsia="zh-CN"/>
        </w:rPr>
      </w:pPr>
      <w:r>
        <w:rPr>
          <w:rFonts w:hint="default" w:ascii="Times New Roman" w:hAnsi="Times New Roman" w:eastAsia="宋体" w:cs="Times New Roman"/>
          <w:color w:val="auto"/>
          <w:sz w:val="28"/>
          <w:szCs w:val="28"/>
          <w:highlight w:val="none"/>
        </w:rPr>
        <w:t>评价</w:t>
      </w:r>
      <w:r>
        <w:rPr>
          <w:rFonts w:hint="eastAsia" w:ascii="Times New Roman" w:hAnsi="Times New Roman" w:eastAsia="宋体" w:cs="Times New Roman"/>
          <w:color w:val="auto"/>
          <w:sz w:val="28"/>
          <w:szCs w:val="28"/>
          <w:highlight w:val="none"/>
          <w:lang w:val="en-US" w:eastAsia="zh-CN"/>
        </w:rPr>
        <w:t>范围</w:t>
      </w:r>
      <w:r>
        <w:rPr>
          <w:rFonts w:hint="default" w:ascii="Times New Roman" w:hAnsi="Times New Roman" w:eastAsia="宋体" w:cs="Times New Roman"/>
          <w:color w:val="auto"/>
          <w:sz w:val="28"/>
          <w:szCs w:val="28"/>
          <w:highlight w:val="none"/>
        </w:rPr>
        <w:t>：</w:t>
      </w:r>
      <w:r>
        <w:rPr>
          <w:rFonts w:hint="eastAsia" w:ascii="Times New Roman" w:hAnsi="Times New Roman" w:eastAsia="宋体" w:cs="Times New Roman"/>
          <w:color w:val="auto"/>
          <w:sz w:val="28"/>
          <w:szCs w:val="28"/>
          <w:highlight w:val="none"/>
          <w:lang w:val="en-US" w:eastAsia="zh-CN"/>
        </w:rPr>
        <w:t>选址及</w:t>
      </w:r>
      <w:r>
        <w:rPr>
          <w:rFonts w:hint="default" w:ascii="Times New Roman" w:hAnsi="Times New Roman" w:eastAsia="宋体" w:cs="Times New Roman"/>
          <w:color w:val="auto"/>
          <w:sz w:val="28"/>
          <w:szCs w:val="28"/>
          <w:highlight w:val="none"/>
          <w:lang w:val="en-US" w:eastAsia="zh-CN"/>
        </w:rPr>
        <w:t>总</w:t>
      </w:r>
      <w:r>
        <w:rPr>
          <w:rFonts w:hint="default" w:ascii="Times New Roman" w:hAnsi="Times New Roman" w:eastAsia="宋体" w:cs="Times New Roman"/>
          <w:color w:val="auto"/>
          <w:sz w:val="28"/>
          <w:szCs w:val="28"/>
          <w:highlight w:val="none"/>
        </w:rPr>
        <w:t>平面布置</w:t>
      </w:r>
      <w:r>
        <w:rPr>
          <w:rFonts w:hint="default" w:ascii="Times New Roman" w:hAnsi="Times New Roman" w:eastAsia="宋体" w:cs="Times New Roman"/>
          <w:color w:val="auto"/>
          <w:sz w:val="28"/>
          <w:szCs w:val="28"/>
          <w:highlight w:val="none"/>
          <w:lang w:eastAsia="zh-CN"/>
        </w:rPr>
        <w:t>、建（构）筑物、储运设施</w:t>
      </w:r>
      <w:r>
        <w:rPr>
          <w:rFonts w:hint="default" w:ascii="Times New Roman" w:hAnsi="Times New Roman" w:eastAsia="宋体" w:cs="Times New Roman"/>
          <w:color w:val="auto"/>
          <w:sz w:val="28"/>
          <w:szCs w:val="28"/>
          <w:highlight w:val="none"/>
        </w:rPr>
        <w:t>、公辅工程设施、重大生产安全事故隐患检查、</w:t>
      </w:r>
      <w:r>
        <w:rPr>
          <w:rFonts w:hint="eastAsia" w:ascii="Times New Roman" w:hAnsi="Times New Roman" w:eastAsia="宋体" w:cs="Times New Roman"/>
          <w:color w:val="auto"/>
          <w:sz w:val="28"/>
          <w:szCs w:val="28"/>
          <w:highlight w:val="none"/>
          <w:lang w:val="en-US" w:eastAsia="zh-CN"/>
        </w:rPr>
        <w:t>基本条件与</w:t>
      </w:r>
      <w:r>
        <w:rPr>
          <w:rFonts w:hint="default" w:ascii="Times New Roman" w:hAnsi="Times New Roman" w:eastAsia="宋体" w:cs="Times New Roman"/>
          <w:color w:val="auto"/>
          <w:sz w:val="28"/>
          <w:szCs w:val="28"/>
          <w:highlight w:val="none"/>
        </w:rPr>
        <w:t>安全管理</w:t>
      </w:r>
      <w:r>
        <w:rPr>
          <w:rFonts w:hint="default" w:ascii="Times New Roman" w:hAnsi="Times New Roman" w:eastAsia="宋体" w:cs="Times New Roman"/>
          <w:color w:val="auto"/>
          <w:sz w:val="28"/>
          <w:szCs w:val="28"/>
          <w:highlight w:val="none"/>
          <w:lang w:val="en-US" w:eastAsia="zh-CN"/>
        </w:rPr>
        <w:t>等</w:t>
      </w:r>
      <w:r>
        <w:rPr>
          <w:rFonts w:hint="eastAsia" w:ascii="Times New Roman" w:hAnsi="Times New Roman" w:eastAsia="宋体" w:cs="Times New Roman"/>
          <w:color w:val="auto"/>
          <w:sz w:val="28"/>
          <w:szCs w:val="28"/>
          <w:highlight w:val="none"/>
          <w:lang w:val="en-US" w:eastAsia="zh-CN"/>
        </w:rPr>
        <w:t>。</w:t>
      </w:r>
    </w:p>
    <w:p w14:paraId="66FF104F">
      <w:pPr>
        <w:pStyle w:val="33"/>
        <w:keepNext w:val="0"/>
        <w:keepLines w:val="0"/>
        <w:pageBreakBefore w:val="0"/>
        <w:widowControl w:val="0"/>
        <w:kinsoku/>
        <w:wordWrap/>
        <w:overflowPunct/>
        <w:topLinePunct w:val="0"/>
        <w:autoSpaceDE/>
        <w:autoSpaceDN/>
        <w:bidi w:val="0"/>
        <w:adjustRightInd w:val="0"/>
        <w:snapToGrid w:val="0"/>
        <w:spacing w:line="360" w:lineRule="auto"/>
        <w:ind w:firstLine="560"/>
        <w:textAlignment w:val="auto"/>
        <w:rPr>
          <w:rFonts w:hint="default" w:ascii="Times New Roman" w:hAnsi="Times New Roman" w:eastAsia="宋体" w:cs="Times New Roman"/>
          <w:color w:val="auto"/>
          <w:sz w:val="28"/>
          <w:szCs w:val="28"/>
          <w:highlight w:val="none"/>
          <w:lang w:val="en-US" w:eastAsia="zh-CN"/>
        </w:rPr>
      </w:pPr>
      <w:r>
        <w:rPr>
          <w:rFonts w:hint="eastAsia" w:ascii="Times New Roman" w:hAnsi="Times New Roman" w:eastAsia="宋体" w:cs="Times New Roman"/>
          <w:color w:val="auto"/>
          <w:sz w:val="28"/>
          <w:szCs w:val="28"/>
          <w:highlight w:val="none"/>
          <w:lang w:val="en-US" w:eastAsia="zh-CN"/>
        </w:rPr>
        <w:t>评价内容：柴油储罐、装卸设施、</w:t>
      </w:r>
      <w:r>
        <w:rPr>
          <w:rFonts w:hint="eastAsia" w:ascii="Times New Roman" w:hAnsi="Times New Roman" w:cs="Times New Roman"/>
          <w:color w:val="auto"/>
          <w:sz w:val="28"/>
          <w:szCs w:val="28"/>
          <w:highlight w:val="none"/>
          <w:lang w:val="en-US" w:eastAsia="zh-CN"/>
        </w:rPr>
        <w:t>铁路栈桥、</w:t>
      </w:r>
      <w:r>
        <w:rPr>
          <w:rFonts w:hint="eastAsia" w:ascii="Times New Roman" w:hAnsi="Times New Roman" w:eastAsia="宋体" w:cs="Times New Roman"/>
          <w:color w:val="auto"/>
          <w:sz w:val="28"/>
          <w:szCs w:val="28"/>
          <w:highlight w:val="none"/>
          <w:lang w:val="en-US" w:eastAsia="zh-CN"/>
        </w:rPr>
        <w:t>泵房、公用工程房、办公楼、门卫、</w:t>
      </w:r>
      <w:r>
        <w:rPr>
          <w:rFonts w:hint="eastAsia" w:ascii="Times New Roman" w:hAnsi="Times New Roman" w:cs="Times New Roman"/>
          <w:color w:val="auto"/>
          <w:sz w:val="28"/>
          <w:szCs w:val="28"/>
          <w:highlight w:val="none"/>
          <w:lang w:val="en-US" w:eastAsia="zh-CN"/>
        </w:rPr>
        <w:t>综合房</w:t>
      </w:r>
      <w:r>
        <w:rPr>
          <w:rFonts w:hint="eastAsia" w:ascii="Times New Roman" w:hAnsi="Times New Roman" w:eastAsia="宋体" w:cs="Times New Roman"/>
          <w:color w:val="auto"/>
          <w:sz w:val="28"/>
          <w:szCs w:val="28"/>
          <w:highlight w:val="none"/>
          <w:lang w:val="en-US" w:eastAsia="zh-CN"/>
        </w:rPr>
        <w:t>等。</w:t>
      </w:r>
    </w:p>
    <w:bookmarkEnd w:id="50"/>
    <w:bookmarkEnd w:id="51"/>
    <w:bookmarkEnd w:id="52"/>
    <w:p w14:paraId="1CB50682">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53" w:name="_Toc504394760"/>
      <w:bookmarkStart w:id="54" w:name="_Toc163051344"/>
      <w:bookmarkStart w:id="55" w:name="_Toc527536693"/>
      <w:bookmarkStart w:id="56" w:name="_Toc13073"/>
      <w:r>
        <w:rPr>
          <w:rFonts w:ascii="Times New Roman" w:hAnsi="Times New Roman" w:eastAsia="楷体" w:cs="黑体"/>
          <w:b/>
          <w:sz w:val="32"/>
          <w:szCs w:val="32"/>
          <w14:ligatures w14:val="none"/>
        </w:rPr>
        <w:t>1.4评价程序</w:t>
      </w:r>
      <w:bookmarkEnd w:id="53"/>
      <w:bookmarkEnd w:id="54"/>
      <w:bookmarkEnd w:id="55"/>
      <w:bookmarkEnd w:id="56"/>
    </w:p>
    <w:p w14:paraId="413E0371">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ascii="Times New Roman" w:hAnsi="Times New Roman" w:eastAsia="宋体" w:cs="Times New Roman"/>
          <w:sz w:val="28"/>
          <w:szCs w:val="28"/>
          <w:lang w:val="zh-CN"/>
          <w14:ligatures w14:val="none"/>
        </w:rPr>
        <w:t>安全现状评价程序为：</w:t>
      </w:r>
      <w:r>
        <w:rPr>
          <w:rFonts w:hint="eastAsia" w:ascii="Times New Roman" w:hAnsi="Times New Roman" w:eastAsia="宋体" w:cs="Times New Roman"/>
          <w:sz w:val="28"/>
          <w:szCs w:val="28"/>
          <w:lang w:val="zh-CN"/>
          <w14:ligatures w14:val="none"/>
        </w:rPr>
        <w:t>前期准备、辨识与分析危险、有害因素，划分评价单元，定性、定量评价，分析安全条件，提出安全对策措施建议，做出评价结论，编制安全评价报告</w:t>
      </w:r>
      <w:r>
        <w:rPr>
          <w:rFonts w:ascii="Times New Roman" w:hAnsi="Times New Roman" w:eastAsia="宋体" w:cs="Times New Roman"/>
          <w:sz w:val="28"/>
          <w:szCs w:val="28"/>
          <w:lang w:val="zh-CN"/>
          <w14:ligatures w14:val="none"/>
        </w:rPr>
        <w:t>等。本次安全现状评价工作程序</w:t>
      </w:r>
      <w:r>
        <w:rPr>
          <w:rFonts w:ascii="Times New Roman" w:hAnsi="Times New Roman" w:eastAsia="宋体" w:cs="Times New Roman"/>
          <w:sz w:val="28"/>
          <w:szCs w:val="28"/>
          <w14:ligatures w14:val="none"/>
        </w:rPr>
        <w:t>如图1.4-1所示。</w:t>
      </w:r>
    </w:p>
    <w:p w14:paraId="390A2D57">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2F6C67B3">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35D2B1FC">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59AEE181">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58C429E7">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1E50FB6B">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57A7A7CF">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5854B275">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10E75F03">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3B7BACB0">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127AF20B">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r>
        <w:rPr>
          <w:sz w:val="20"/>
        </w:rPr>
        <mc:AlternateContent>
          <mc:Choice Requires="wpg">
            <w:drawing>
              <wp:anchor distT="0" distB="0" distL="114300" distR="114300" simplePos="0" relativeHeight="251661312" behindDoc="0" locked="0" layoutInCell="1" allowOverlap="1">
                <wp:simplePos x="0" y="0"/>
                <wp:positionH relativeFrom="column">
                  <wp:posOffset>1942465</wp:posOffset>
                </wp:positionH>
                <wp:positionV relativeFrom="paragraph">
                  <wp:posOffset>69215</wp:posOffset>
                </wp:positionV>
                <wp:extent cx="2001520" cy="4682490"/>
                <wp:effectExtent l="4445" t="4445" r="13335" b="18415"/>
                <wp:wrapNone/>
                <wp:docPr id="143" name="组合 143"/>
                <wp:cNvGraphicFramePr/>
                <a:graphic xmlns:a="http://schemas.openxmlformats.org/drawingml/2006/main">
                  <a:graphicData uri="http://schemas.microsoft.com/office/word/2010/wordprocessingGroup">
                    <wpg:wgp>
                      <wpg:cNvGrpSpPr/>
                      <wpg:grpSpPr>
                        <a:xfrm>
                          <a:off x="0" y="0"/>
                          <a:ext cx="2001520" cy="4682490"/>
                          <a:chOff x="17798" y="138768"/>
                          <a:chExt cx="3152" cy="7374"/>
                        </a:xfrm>
                      </wpg:grpSpPr>
                      <wps:wsp>
                        <wps:cNvPr id="57" name="矩形 57"/>
                        <wps:cNvSpPr/>
                        <wps:spPr>
                          <a:xfrm>
                            <a:off x="17817" y="138768"/>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FCD3427">
                              <w:pPr>
                                <w:adjustRightInd w:val="0"/>
                                <w:snapToGrid w:val="0"/>
                                <w:spacing w:line="240" w:lineRule="auto"/>
                                <w:jc w:val="center"/>
                                <w:rPr>
                                  <w:rFonts w:hint="eastAsia"/>
                                  <w:snapToGrid w:val="0"/>
                                  <w:kern w:val="21"/>
                                  <w:sz w:val="24"/>
                                </w:rPr>
                              </w:pPr>
                              <w:r>
                                <w:rPr>
                                  <w:rFonts w:hint="eastAsia"/>
                                  <w:sz w:val="24"/>
                                </w:rPr>
                                <w:t>前期准备</w:t>
                              </w:r>
                            </w:p>
                          </w:txbxContent>
                        </wps:txbx>
                        <wps:bodyPr upright="1"/>
                      </wps:wsp>
                      <wps:wsp>
                        <wps:cNvPr id="76" name="直接连接符 76"/>
                        <wps:cNvCnPr/>
                        <wps:spPr>
                          <a:xfrm>
                            <a:off x="19334" y="139221"/>
                            <a:ext cx="0" cy="381"/>
                          </a:xfrm>
                          <a:prstGeom prst="line">
                            <a:avLst/>
                          </a:prstGeom>
                          <a:ln w="9525" cap="flat" cmpd="sng">
                            <a:solidFill>
                              <a:srgbClr val="000000"/>
                            </a:solidFill>
                            <a:prstDash val="solid"/>
                            <a:headEnd type="none" w="med" len="med"/>
                            <a:tailEnd type="triangle" w="med" len="med"/>
                          </a:ln>
                        </wps:spPr>
                        <wps:bodyPr upright="1"/>
                      </wps:wsp>
                      <wps:wsp>
                        <wps:cNvPr id="80" name="直接连接符 80"/>
                        <wps:cNvCnPr/>
                        <wps:spPr>
                          <a:xfrm>
                            <a:off x="19335" y="140061"/>
                            <a:ext cx="0" cy="381"/>
                          </a:xfrm>
                          <a:prstGeom prst="line">
                            <a:avLst/>
                          </a:prstGeom>
                          <a:ln w="9525" cap="flat" cmpd="sng">
                            <a:solidFill>
                              <a:srgbClr val="000000"/>
                            </a:solidFill>
                            <a:prstDash val="solid"/>
                            <a:headEnd type="none" w="med" len="med"/>
                            <a:tailEnd type="triangle" w="med" len="med"/>
                          </a:ln>
                        </wps:spPr>
                        <wps:bodyPr upright="1"/>
                      </wps:wsp>
                      <wps:wsp>
                        <wps:cNvPr id="81" name="矩形 81"/>
                        <wps:cNvSpPr/>
                        <wps:spPr>
                          <a:xfrm>
                            <a:off x="17798" y="139602"/>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138711B">
                              <w:pPr>
                                <w:snapToGrid w:val="0"/>
                                <w:spacing w:line="240" w:lineRule="auto"/>
                                <w:jc w:val="center"/>
                                <w:rPr>
                                  <w:rFonts w:hint="eastAsia"/>
                                  <w:sz w:val="24"/>
                                </w:rPr>
                              </w:pPr>
                              <w:r>
                                <w:rPr>
                                  <w:rFonts w:hint="eastAsia" w:ascii="宋体" w:hAnsi="宋体"/>
                                  <w:color w:val="000000"/>
                                  <w:sz w:val="24"/>
                                </w:rPr>
                                <w:t>辨识与分析危险、有害因素</w:t>
                              </w:r>
                            </w:p>
                          </w:txbxContent>
                        </wps:txbx>
                        <wps:bodyPr upright="1"/>
                      </wps:wsp>
                      <wps:wsp>
                        <wps:cNvPr id="123" name="矩形 123"/>
                        <wps:cNvSpPr/>
                        <wps:spPr>
                          <a:xfrm>
                            <a:off x="17814" y="140442"/>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B95A53B">
                              <w:pPr>
                                <w:snapToGrid w:val="0"/>
                                <w:spacing w:line="240" w:lineRule="auto"/>
                                <w:jc w:val="center"/>
                                <w:rPr>
                                  <w:rFonts w:hint="eastAsia"/>
                                  <w:sz w:val="24"/>
                                </w:rPr>
                              </w:pPr>
                              <w:r>
                                <w:rPr>
                                  <w:rFonts w:hint="eastAsia" w:ascii="宋体" w:hAnsi="宋体"/>
                                  <w:color w:val="000000"/>
                                  <w:sz w:val="24"/>
                                </w:rPr>
                                <w:t>划分评价单元</w:t>
                              </w:r>
                            </w:p>
                          </w:txbxContent>
                        </wps:txbx>
                        <wps:bodyPr upright="1"/>
                      </wps:wsp>
                      <wps:wsp>
                        <wps:cNvPr id="125" name="矩形 125"/>
                        <wps:cNvSpPr/>
                        <wps:spPr>
                          <a:xfrm>
                            <a:off x="17817" y="141273"/>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DFFB233">
                              <w:pPr>
                                <w:snapToGrid w:val="0"/>
                                <w:spacing w:line="240" w:lineRule="auto"/>
                                <w:jc w:val="center"/>
                                <w:rPr>
                                  <w:rFonts w:hint="eastAsia"/>
                                  <w:sz w:val="24"/>
                                </w:rPr>
                              </w:pPr>
                              <w:r>
                                <w:rPr>
                                  <w:rFonts w:hint="eastAsia" w:ascii="宋体" w:hAnsi="宋体"/>
                                  <w:color w:val="000000"/>
                                  <w:sz w:val="24"/>
                                </w:rPr>
                                <w:t>评价方法选择</w:t>
                              </w:r>
                            </w:p>
                          </w:txbxContent>
                        </wps:txbx>
                        <wps:bodyPr upright="1"/>
                      </wps:wsp>
                      <wps:wsp>
                        <wps:cNvPr id="126" name="直接连接符 126"/>
                        <wps:cNvCnPr/>
                        <wps:spPr>
                          <a:xfrm>
                            <a:off x="19330" y="140896"/>
                            <a:ext cx="0" cy="381"/>
                          </a:xfrm>
                          <a:prstGeom prst="line">
                            <a:avLst/>
                          </a:prstGeom>
                          <a:ln w="9525" cap="flat" cmpd="sng">
                            <a:solidFill>
                              <a:srgbClr val="000000"/>
                            </a:solidFill>
                            <a:prstDash val="solid"/>
                            <a:headEnd type="none" w="med" len="med"/>
                            <a:tailEnd type="triangle" w="med" len="med"/>
                          </a:ln>
                        </wps:spPr>
                        <wps:bodyPr upright="1"/>
                      </wps:wsp>
                      <wps:wsp>
                        <wps:cNvPr id="133" name="直接连接符 133"/>
                        <wps:cNvCnPr/>
                        <wps:spPr>
                          <a:xfrm>
                            <a:off x="19339" y="141727"/>
                            <a:ext cx="0" cy="381"/>
                          </a:xfrm>
                          <a:prstGeom prst="line">
                            <a:avLst/>
                          </a:prstGeom>
                          <a:ln w="9525" cap="flat" cmpd="sng">
                            <a:solidFill>
                              <a:srgbClr val="000000"/>
                            </a:solidFill>
                            <a:prstDash val="solid"/>
                            <a:headEnd type="none" w="med" len="med"/>
                            <a:tailEnd type="triangle" w="med" len="med"/>
                          </a:ln>
                        </wps:spPr>
                        <wps:bodyPr upright="1"/>
                      </wps:wsp>
                      <wps:wsp>
                        <wps:cNvPr id="134" name="矩形 134"/>
                        <wps:cNvSpPr/>
                        <wps:spPr>
                          <a:xfrm>
                            <a:off x="17804" y="142114"/>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F66E5BB">
                              <w:pPr>
                                <w:snapToGrid w:val="0"/>
                                <w:spacing w:line="240" w:lineRule="auto"/>
                                <w:jc w:val="center"/>
                                <w:rPr>
                                  <w:rFonts w:hint="eastAsia"/>
                                  <w:sz w:val="24"/>
                                </w:rPr>
                              </w:pPr>
                              <w:r>
                                <w:rPr>
                                  <w:rFonts w:hint="eastAsia"/>
                                  <w:sz w:val="24"/>
                                </w:rPr>
                                <w:t>定性、定量评价</w:t>
                              </w:r>
                            </w:p>
                          </w:txbxContent>
                        </wps:txbx>
                        <wps:bodyPr upright="1"/>
                      </wps:wsp>
                      <wps:wsp>
                        <wps:cNvPr id="135" name="矩形 135"/>
                        <wps:cNvSpPr/>
                        <wps:spPr>
                          <a:xfrm>
                            <a:off x="17810" y="143846"/>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0E5019E">
                              <w:pPr>
                                <w:snapToGrid w:val="0"/>
                                <w:spacing w:line="240" w:lineRule="auto"/>
                                <w:jc w:val="center"/>
                                <w:rPr>
                                  <w:rFonts w:hint="eastAsia"/>
                                  <w:sz w:val="24"/>
                                </w:rPr>
                              </w:pPr>
                              <w:r>
                                <w:rPr>
                                  <w:rFonts w:hint="eastAsia"/>
                                  <w:sz w:val="24"/>
                                </w:rPr>
                                <w:t>提出安全对策措施建议</w:t>
                              </w:r>
                            </w:p>
                          </w:txbxContent>
                        </wps:txbx>
                        <wps:bodyPr upright="1"/>
                      </wps:wsp>
                      <wps:wsp>
                        <wps:cNvPr id="136" name="直接连接符 136"/>
                        <wps:cNvCnPr/>
                        <wps:spPr>
                          <a:xfrm>
                            <a:off x="19340" y="142578"/>
                            <a:ext cx="0" cy="381"/>
                          </a:xfrm>
                          <a:prstGeom prst="line">
                            <a:avLst/>
                          </a:prstGeom>
                          <a:ln w="9525" cap="flat" cmpd="sng">
                            <a:solidFill>
                              <a:srgbClr val="000000"/>
                            </a:solidFill>
                            <a:prstDash val="solid"/>
                            <a:headEnd type="none" w="med" len="med"/>
                            <a:tailEnd type="triangle" w="med" len="med"/>
                          </a:ln>
                        </wps:spPr>
                        <wps:bodyPr upright="1"/>
                      </wps:wsp>
                      <wps:wsp>
                        <wps:cNvPr id="137" name="直接连接符 137"/>
                        <wps:cNvCnPr/>
                        <wps:spPr>
                          <a:xfrm>
                            <a:off x="19348" y="144340"/>
                            <a:ext cx="0" cy="381"/>
                          </a:xfrm>
                          <a:prstGeom prst="line">
                            <a:avLst/>
                          </a:prstGeom>
                          <a:ln w="9525" cap="flat" cmpd="sng">
                            <a:solidFill>
                              <a:srgbClr val="000000"/>
                            </a:solidFill>
                            <a:prstDash val="solid"/>
                            <a:headEnd type="none" w="med" len="med"/>
                            <a:tailEnd type="triangle" w="med" len="med"/>
                          </a:ln>
                        </wps:spPr>
                        <wps:bodyPr upright="1"/>
                      </wps:wsp>
                      <wps:wsp>
                        <wps:cNvPr id="138" name="矩形 138"/>
                        <wps:cNvSpPr/>
                        <wps:spPr>
                          <a:xfrm>
                            <a:off x="17818" y="144772"/>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860EB93">
                              <w:pPr>
                                <w:snapToGrid w:val="0"/>
                                <w:spacing w:line="240" w:lineRule="auto"/>
                                <w:jc w:val="center"/>
                                <w:rPr>
                                  <w:rFonts w:hint="eastAsia"/>
                                  <w:sz w:val="24"/>
                                </w:rPr>
                              </w:pPr>
                              <w:r>
                                <w:rPr>
                                  <w:rFonts w:hint="eastAsia"/>
                                  <w:sz w:val="24"/>
                                </w:rPr>
                                <w:t>做出评价结论</w:t>
                              </w:r>
                            </w:p>
                          </w:txbxContent>
                        </wps:txbx>
                        <wps:bodyPr upright="1"/>
                      </wps:wsp>
                      <wps:wsp>
                        <wps:cNvPr id="139" name="矩形 139"/>
                        <wps:cNvSpPr/>
                        <wps:spPr>
                          <a:xfrm>
                            <a:off x="17832" y="145688"/>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F0EF415">
                              <w:pPr>
                                <w:snapToGrid w:val="0"/>
                                <w:spacing w:line="240" w:lineRule="auto"/>
                                <w:jc w:val="center"/>
                                <w:rPr>
                                  <w:rFonts w:hint="eastAsia"/>
                                  <w:sz w:val="24"/>
                                </w:rPr>
                              </w:pPr>
                              <w:r>
                                <w:rPr>
                                  <w:rFonts w:hint="eastAsia"/>
                                  <w:sz w:val="24"/>
                                </w:rPr>
                                <w:t>编制安全评价报告</w:t>
                              </w:r>
                            </w:p>
                          </w:txbxContent>
                        </wps:txbx>
                        <wps:bodyPr upright="1"/>
                      </wps:wsp>
                      <wps:wsp>
                        <wps:cNvPr id="140" name="直接连接符 140"/>
                        <wps:cNvCnPr/>
                        <wps:spPr>
                          <a:xfrm>
                            <a:off x="19348" y="145264"/>
                            <a:ext cx="0" cy="381"/>
                          </a:xfrm>
                          <a:prstGeom prst="line">
                            <a:avLst/>
                          </a:prstGeom>
                          <a:ln w="9525" cap="flat" cmpd="sng">
                            <a:solidFill>
                              <a:srgbClr val="000000"/>
                            </a:solidFill>
                            <a:prstDash val="solid"/>
                            <a:headEnd type="none" w="med" len="med"/>
                            <a:tailEnd type="triangle" w="med" len="med"/>
                          </a:ln>
                        </wps:spPr>
                        <wps:bodyPr upright="1"/>
                      </wps:wsp>
                      <wps:wsp>
                        <wps:cNvPr id="141" name="矩形 141"/>
                        <wps:cNvSpPr/>
                        <wps:spPr>
                          <a:xfrm>
                            <a:off x="17813" y="142972"/>
                            <a:ext cx="3118" cy="454"/>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840BF09">
                              <w:pPr>
                                <w:snapToGrid w:val="0"/>
                                <w:spacing w:line="240" w:lineRule="auto"/>
                                <w:jc w:val="center"/>
                                <w:rPr>
                                  <w:rFonts w:hint="default" w:eastAsia="宋体"/>
                                  <w:sz w:val="24"/>
                                  <w:lang w:val="en-US" w:eastAsia="zh-CN"/>
                                </w:rPr>
                              </w:pPr>
                              <w:r>
                                <w:rPr>
                                  <w:rFonts w:hint="eastAsia"/>
                                  <w:sz w:val="24"/>
                                  <w:lang w:val="en-US" w:eastAsia="zh-CN"/>
                                </w:rPr>
                                <w:t>分析安全条件</w:t>
                              </w:r>
                            </w:p>
                          </w:txbxContent>
                        </wps:txbx>
                        <wps:bodyPr upright="1"/>
                      </wps:wsp>
                      <wps:wsp>
                        <wps:cNvPr id="142" name="直接连接符 142"/>
                        <wps:cNvCnPr/>
                        <wps:spPr>
                          <a:xfrm>
                            <a:off x="19363" y="143418"/>
                            <a:ext cx="0" cy="381"/>
                          </a:xfrm>
                          <a:prstGeom prst="line">
                            <a:avLst/>
                          </a:prstGeom>
                          <a:ln w="9525" cap="flat" cmpd="sng">
                            <a:solidFill>
                              <a:srgbClr val="000000"/>
                            </a:solidFill>
                            <a:prstDash val="solid"/>
                            <a:headEnd type="none" w="med" len="med"/>
                            <a:tailEnd type="triangle" w="med" len="med"/>
                          </a:ln>
                        </wps:spPr>
                        <wps:bodyPr upright="1"/>
                      </wps:wsp>
                    </wpg:wgp>
                  </a:graphicData>
                </a:graphic>
              </wp:anchor>
            </w:drawing>
          </mc:Choice>
          <mc:Fallback>
            <w:pict>
              <v:group id="_x0000_s1026" o:spid="_x0000_s1026" o:spt="203" style="position:absolute;left:0pt;margin-left:152.95pt;margin-top:5.45pt;height:368.7pt;width:157.6pt;z-index:251661312;mso-width-relative:page;mso-height-relative:page;" coordorigin="17798,138768" coordsize="3152,7374" o:gfxdata="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">
                <o:lock v:ext="edit" aspectratio="f"/>
                <v:rect id="_x0000_s1026" o:spid="_x0000_s1026" o:spt="1" style="position:absolute;left:17817;top:138768;height:454;width:3118;" fillcolor="#FFFFFF" filled="t" stroked="t" coordsize="21600,21600" o:gfxdata="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cHz8lvQAA&#10;ANs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1FCD3427">
                        <w:pPr>
                          <w:adjustRightInd w:val="0"/>
                          <w:snapToGrid w:val="0"/>
                          <w:spacing w:line="240" w:lineRule="auto"/>
                          <w:jc w:val="center"/>
                          <w:rPr>
                            <w:rFonts w:hint="eastAsia"/>
                            <w:snapToGrid w:val="0"/>
                            <w:kern w:val="21"/>
                            <w:sz w:val="24"/>
                          </w:rPr>
                        </w:pPr>
                        <w:r>
                          <w:rPr>
                            <w:rFonts w:hint="eastAsia"/>
                            <w:sz w:val="24"/>
                          </w:rPr>
                          <w:t>前期准备</w:t>
                        </w:r>
                      </w:p>
                    </w:txbxContent>
                  </v:textbox>
                </v:rect>
                <v:line id="_x0000_s1026" o:spid="_x0000_s1026" o:spt="20" style="position:absolute;left:19334;top:139221;height:381;width:0;" filled="f" stroked="t" coordsize="21600,21600" o:gfxdata="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NMk5L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line id="_x0000_s1026" o:spid="_x0000_s1026" o:spt="20" style="position:absolute;left:19335;top:140061;height:381;width:0;" filled="f" stroked="t" coordsize="21600,21600" o:gfxdata="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aNpLL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line>
                <v:rect id="_x0000_s1026" o:spid="_x0000_s1026" o:spt="1" style="position:absolute;left:17798;top:139602;height:454;width:3118;" fillcolor="#FFFFFF" filled="t" stroked="t" coordsize="21600,21600" o:gfxdata="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toujb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14:paraId="1138711B">
                        <w:pPr>
                          <w:snapToGrid w:val="0"/>
                          <w:spacing w:line="240" w:lineRule="auto"/>
                          <w:jc w:val="center"/>
                          <w:rPr>
                            <w:rFonts w:hint="eastAsia"/>
                            <w:sz w:val="24"/>
                          </w:rPr>
                        </w:pPr>
                        <w:r>
                          <w:rPr>
                            <w:rFonts w:hint="eastAsia" w:ascii="宋体" w:hAnsi="宋体"/>
                            <w:color w:val="000000"/>
                            <w:sz w:val="24"/>
                          </w:rPr>
                          <w:t>辨识与分析危险、有害因素</w:t>
                        </w:r>
                      </w:p>
                    </w:txbxContent>
                  </v:textbox>
                </v:rect>
                <v:rect id="_x0000_s1026" o:spid="_x0000_s1026" o:spt="1" style="position:absolute;left:17814;top:140442;height:454;width:3118;" fillcolor="#FFFFFF" filled="t" stroked="t" coordsize="21600,21600" o:gfxdata="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7lroIugAAANw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14:paraId="3B95A53B">
                        <w:pPr>
                          <w:snapToGrid w:val="0"/>
                          <w:spacing w:line="240" w:lineRule="auto"/>
                          <w:jc w:val="center"/>
                          <w:rPr>
                            <w:rFonts w:hint="eastAsia"/>
                            <w:sz w:val="24"/>
                          </w:rPr>
                        </w:pPr>
                        <w:r>
                          <w:rPr>
                            <w:rFonts w:hint="eastAsia" w:ascii="宋体" w:hAnsi="宋体"/>
                            <w:color w:val="000000"/>
                            <w:sz w:val="24"/>
                          </w:rPr>
                          <w:t>划分评价单元</w:t>
                        </w:r>
                      </w:p>
                    </w:txbxContent>
                  </v:textbox>
                </v:rect>
                <v:rect id="_x0000_s1026" o:spid="_x0000_s1026" o:spt="1" style="position:absolute;left:17817;top:141273;height:454;width:3118;" fillcolor="#FFFFFF" filled="t" stroked="t" coordsize="21600,21600" o:gfxdata="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szh+e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6DFFB233">
                        <w:pPr>
                          <w:snapToGrid w:val="0"/>
                          <w:spacing w:line="240" w:lineRule="auto"/>
                          <w:jc w:val="center"/>
                          <w:rPr>
                            <w:rFonts w:hint="eastAsia"/>
                            <w:sz w:val="24"/>
                          </w:rPr>
                        </w:pPr>
                        <w:r>
                          <w:rPr>
                            <w:rFonts w:hint="eastAsia" w:ascii="宋体" w:hAnsi="宋体"/>
                            <w:color w:val="000000"/>
                            <w:sz w:val="24"/>
                          </w:rPr>
                          <w:t>评价方法选择</w:t>
                        </w:r>
                      </w:p>
                    </w:txbxContent>
                  </v:textbox>
                </v:rect>
                <v:line id="_x0000_s1026" o:spid="_x0000_s1026" o:spt="20" style="position:absolute;left:19330;top:140896;height:381;width:0;" filled="f" stroked="t" coordsize="21600,21600" o:gfxdata="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2tnzm8AAAA&#10;3A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_x0000_s1026" o:spid="_x0000_s1026" o:spt="20" style="position:absolute;left:19339;top:141727;height:381;width:0;" filled="f" stroked="t" coordsize="21600,21600" o:gfxdata="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A6p8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rect id="_x0000_s1026" o:spid="_x0000_s1026" o:spt="1" style="position:absolute;left:17804;top:142114;height:454;width:3118;" fillcolor="#FFFFFF" filled="t" stroked="t" coordsize="21600,21600" o:gfxdata="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a0ob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2F66E5BB">
                        <w:pPr>
                          <w:snapToGrid w:val="0"/>
                          <w:spacing w:line="240" w:lineRule="auto"/>
                          <w:jc w:val="center"/>
                          <w:rPr>
                            <w:rFonts w:hint="eastAsia"/>
                            <w:sz w:val="24"/>
                          </w:rPr>
                        </w:pPr>
                        <w:r>
                          <w:rPr>
                            <w:rFonts w:hint="eastAsia"/>
                            <w:sz w:val="24"/>
                          </w:rPr>
                          <w:t>定性、定量评价</w:t>
                        </w:r>
                      </w:p>
                    </w:txbxContent>
                  </v:textbox>
                </v:rect>
                <v:rect id="_x0000_s1026" o:spid="_x0000_s1026" o:spt="1" style="position:absolute;left:17810;top:143846;height:454;width:3118;" fillcolor="#FFFFFF" filled="t" stroked="t" coordsize="21600,21600" o:gfxdata="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uoROr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50E5019E">
                        <w:pPr>
                          <w:snapToGrid w:val="0"/>
                          <w:spacing w:line="240" w:lineRule="auto"/>
                          <w:jc w:val="center"/>
                          <w:rPr>
                            <w:rFonts w:hint="eastAsia"/>
                            <w:sz w:val="24"/>
                          </w:rPr>
                        </w:pPr>
                        <w:r>
                          <w:rPr>
                            <w:rFonts w:hint="eastAsia"/>
                            <w:sz w:val="24"/>
                          </w:rPr>
                          <w:t>提出安全对策措施建议</w:t>
                        </w:r>
                      </w:p>
                    </w:txbxContent>
                  </v:textbox>
                </v:rect>
                <v:line id="_x0000_s1026" o:spid="_x0000_s1026" o:spt="20" style="position:absolute;left:19340;top:142578;height:381;width:0;" filled="f" stroked="t" coordsize="21600,21600" o:gfxdata="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dAnk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_x0000_s1026" o:spid="_x0000_s1026" o:spt="20" style="position:absolute;left:19348;top:144340;height:381;width:0;" filled="f" stroked="t" coordsize="21600,21600" o:gfxdata="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nOKx/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rect id="_x0000_s1026" o:spid="_x0000_s1026" o:spt="1" style="position:absolute;left:17818;top:144772;height:454;width:3118;" fillcolor="#FFFFFF" filled="t" stroked="t" coordsize="21600,21600" o:gfxdata="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76kvQAA&#10;ANw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6860EB93">
                        <w:pPr>
                          <w:snapToGrid w:val="0"/>
                          <w:spacing w:line="240" w:lineRule="auto"/>
                          <w:jc w:val="center"/>
                          <w:rPr>
                            <w:rFonts w:hint="eastAsia"/>
                            <w:sz w:val="24"/>
                          </w:rPr>
                        </w:pPr>
                        <w:r>
                          <w:rPr>
                            <w:rFonts w:hint="eastAsia"/>
                            <w:sz w:val="24"/>
                          </w:rPr>
                          <w:t>做出评价结论</w:t>
                        </w:r>
                      </w:p>
                    </w:txbxContent>
                  </v:textbox>
                </v:rect>
                <v:rect id="_x0000_s1026" o:spid="_x0000_s1026" o:spt="1" style="position:absolute;left:17832;top:145688;height:454;width:3118;" fillcolor="#FFFFFF" filled="t" stroked="t" coordsize="21600,21600" o:gfxdata="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6cbP7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3F0EF415">
                        <w:pPr>
                          <w:snapToGrid w:val="0"/>
                          <w:spacing w:line="240" w:lineRule="auto"/>
                          <w:jc w:val="center"/>
                          <w:rPr>
                            <w:rFonts w:hint="eastAsia"/>
                            <w:sz w:val="24"/>
                          </w:rPr>
                        </w:pPr>
                        <w:r>
                          <w:rPr>
                            <w:rFonts w:hint="eastAsia"/>
                            <w:sz w:val="24"/>
                          </w:rPr>
                          <w:t>编制安全评价报告</w:t>
                        </w:r>
                      </w:p>
                    </w:txbxContent>
                  </v:textbox>
                </v:rect>
                <v:line id="_x0000_s1026" o:spid="_x0000_s1026" o:spt="20" style="position:absolute;left:19348;top:145264;height:381;width:0;" filled="f" stroked="t" coordsize="21600,21600" o:gfxdata="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w10d2&#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rect id="_x0000_s1026" o:spid="_x0000_s1026" o:spt="1" style="position:absolute;left:17813;top:142972;height:454;width:3118;" fillcolor="#FFFFFF" filled="t" stroked="t" coordsize="21600,21600" o:gfxdata="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ddkRLsAAADc&#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2840BF09">
                        <w:pPr>
                          <w:snapToGrid w:val="0"/>
                          <w:spacing w:line="240" w:lineRule="auto"/>
                          <w:jc w:val="center"/>
                          <w:rPr>
                            <w:rFonts w:hint="default" w:eastAsia="宋体"/>
                            <w:sz w:val="24"/>
                            <w:lang w:val="en-US" w:eastAsia="zh-CN"/>
                          </w:rPr>
                        </w:pPr>
                        <w:r>
                          <w:rPr>
                            <w:rFonts w:hint="eastAsia"/>
                            <w:sz w:val="24"/>
                            <w:lang w:val="en-US" w:eastAsia="zh-CN"/>
                          </w:rPr>
                          <w:t>分析安全条件</w:t>
                        </w:r>
                      </w:p>
                    </w:txbxContent>
                  </v:textbox>
                </v:rect>
                <v:line id="_x0000_s1026" o:spid="_x0000_s1026" o:spt="20" style="position:absolute;left:19363;top:143418;height:381;width:0;" filled="f" stroked="t" coordsize="21600,21600" o:gfxdata="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0l8mr4A&#10;AADc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group>
            </w:pict>
          </mc:Fallback>
        </mc:AlternateContent>
      </w:r>
    </w:p>
    <w:p w14:paraId="7613B362">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2477D472">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395E6A8E">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63B7885E">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583B7C7C">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6E225A15">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38E88DF3">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58E7B24A">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4594AF72">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475081C6">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5E98141B">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77833760">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4AF5F9DA">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550E7EF4">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6E5ABA2A">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667DFF3A">
      <w:pPr>
        <w:adjustRightInd w:val="0"/>
        <w:snapToGrid w:val="0"/>
        <w:spacing w:before="156" w:beforeLines="50" w:after="156" w:afterLines="50" w:line="240" w:lineRule="auto"/>
        <w:jc w:val="both"/>
        <w:rPr>
          <w:rFonts w:hint="eastAsia" w:ascii="Times New Roman" w:hAnsi="Times New Roman" w:eastAsia="黑体" w:cs="Times New Roman"/>
          <w:sz w:val="24"/>
          <w14:ligatures w14:val="none"/>
        </w:rPr>
      </w:pPr>
    </w:p>
    <w:p w14:paraId="023A7F2A">
      <w:pPr>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p>
    <w:p w14:paraId="0C067111">
      <w:pPr>
        <w:adjustRightInd w:val="0"/>
        <w:snapToGrid w:val="0"/>
        <w:spacing w:before="156" w:beforeLines="50" w:after="156" w:afterLines="50" w:line="240" w:lineRule="auto"/>
        <w:jc w:val="center"/>
        <w:rPr>
          <w:rFonts w:ascii="Times New Roman" w:hAnsi="Times New Roman" w:eastAsia="黑体" w:cs="Times New Roman"/>
          <w:sz w:val="24"/>
          <w14:ligatures w14:val="none"/>
        </w:rPr>
      </w:pPr>
      <w:r>
        <w:rPr>
          <w:rFonts w:ascii="Times New Roman" w:hAnsi="Times New Roman" w:eastAsia="黑体" w:cs="Times New Roman"/>
          <w:sz w:val="24"/>
          <w14:ligatures w14:val="none"/>
        </w:rPr>
        <mc:AlternateContent>
          <mc:Choice Requires="wps">
            <w:drawing>
              <wp:anchor distT="0" distB="0" distL="114300" distR="114300" simplePos="0" relativeHeight="251660288" behindDoc="0" locked="0" layoutInCell="1" allowOverlap="1">
                <wp:simplePos x="0" y="0"/>
                <wp:positionH relativeFrom="character">
                  <wp:posOffset>1303020</wp:posOffset>
                </wp:positionH>
                <wp:positionV relativeFrom="line">
                  <wp:posOffset>5720715</wp:posOffset>
                </wp:positionV>
                <wp:extent cx="2832100" cy="360680"/>
                <wp:effectExtent l="3175" t="0" r="3175" b="0"/>
                <wp:wrapNone/>
                <wp:docPr id="1245363951" name="文本框 2"/>
                <wp:cNvGraphicFramePr/>
                <a:graphic xmlns:a="http://schemas.openxmlformats.org/drawingml/2006/main">
                  <a:graphicData uri="http://schemas.microsoft.com/office/word/2010/wordprocessingShape">
                    <wps:wsp>
                      <wps:cNvSpPr txBox="1">
                        <a:spLocks noChangeArrowheads="1"/>
                      </wps:cNvSpPr>
                      <wps:spPr bwMode="auto">
                        <a:xfrm>
                          <a:off x="0" y="0"/>
                          <a:ext cx="2832100" cy="360680"/>
                        </a:xfrm>
                        <a:prstGeom prst="rect">
                          <a:avLst/>
                        </a:prstGeom>
                        <a:noFill/>
                        <a:ln>
                          <a:noFill/>
                        </a:ln>
                      </wps:spPr>
                      <wps:txbx>
                        <w:txbxContent>
                          <w:p w14:paraId="3CD0E2CA">
                            <w:pPr>
                              <w:pStyle w:val="3"/>
                              <w:keepNext w:val="0"/>
                              <w:keepLines w:val="0"/>
                              <w:spacing w:before="0" w:after="0" w:line="240" w:lineRule="auto"/>
                              <w:jc w:val="center"/>
                              <w:rPr>
                                <w:rFonts w:hint="eastAsia" w:ascii="宋体" w:hAnsi="宋体" w:cs="宋体"/>
                                <w:sz w:val="24"/>
                                <w:szCs w:val="24"/>
                              </w:rPr>
                            </w:pPr>
                            <w:r>
                              <w:rPr>
                                <w:b w:val="0"/>
                                <w:bCs w:val="0"/>
                                <w:sz w:val="24"/>
                                <w:szCs w:val="24"/>
                              </w:rPr>
                              <w:t>图1.4-1</w:t>
                            </w:r>
                            <w:r>
                              <w:rPr>
                                <w:rFonts w:hint="eastAsia"/>
                                <w:b w:val="0"/>
                                <w:bCs w:val="0"/>
                                <w:sz w:val="24"/>
                                <w:szCs w:val="24"/>
                              </w:rPr>
                              <w:t xml:space="preserve">  </w:t>
                            </w:r>
                            <w:r>
                              <w:rPr>
                                <w:b w:val="0"/>
                                <w:bCs w:val="0"/>
                                <w:sz w:val="24"/>
                                <w:szCs w:val="24"/>
                              </w:rPr>
                              <w:t>评价工作的主要内容及程序</w:t>
                            </w:r>
                          </w:p>
                        </w:txbxContent>
                      </wps:txbx>
                      <wps:bodyPr rot="0" vert="horz" wrap="square" lIns="91440" tIns="45720" rIns="91440" bIns="45720" anchor="t" anchorCtr="0" upright="1">
                        <a:noAutofit/>
                      </wps:bodyPr>
                    </wps:wsp>
                  </a:graphicData>
                </a:graphic>
              </wp:anchor>
            </w:drawing>
          </mc:Choice>
          <mc:Fallback>
            <w:pict>
              <v:shape id="文本框 2" o:spid="_x0000_s1026" o:spt="202" type="#_x0000_t202" style="position:absolute;left:0pt;margin-left:102.6pt;margin-top:450.45pt;height:28.4pt;width:223pt;mso-position-horizontal-relative:char;mso-position-vertical-relative:line;z-index:251660288;mso-width-relative:page;mso-height-relative:page;" filled="f" stroked="f" coordsize="21600,21600" o:gfxdata="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LPslZDXAAAA&#10;CwEAAA8AAAAAAAAAAQAgAAAAIgAAAGRycy9kb3ducmV2LnhtbFBLAQIUABQAAAAIAIdO4kAMSgZW&#10;HgIAAB4EAAAOAAAAAAAAAAEAIAAAACYBAABkcnMvZTJvRG9jLnhtbFBLBQYAAAAABgAGAFkBAAC2&#10;BQAAAAA=&#10;">
                <v:fill on="f" focussize="0,0"/>
                <v:stroke on="f"/>
                <v:imagedata o:title=""/>
                <o:lock v:ext="edit" aspectratio="f"/>
                <v:textbox>
                  <w:txbxContent>
                    <w:p w14:paraId="3CD0E2CA">
                      <w:pPr>
                        <w:pStyle w:val="3"/>
                        <w:keepNext w:val="0"/>
                        <w:keepLines w:val="0"/>
                        <w:spacing w:before="0" w:after="0" w:line="240" w:lineRule="auto"/>
                        <w:jc w:val="center"/>
                        <w:rPr>
                          <w:rFonts w:hint="eastAsia" w:ascii="宋体" w:hAnsi="宋体" w:cs="宋体"/>
                          <w:sz w:val="24"/>
                          <w:szCs w:val="24"/>
                        </w:rPr>
                      </w:pPr>
                      <w:r>
                        <w:rPr>
                          <w:b w:val="0"/>
                          <w:bCs w:val="0"/>
                          <w:sz w:val="24"/>
                          <w:szCs w:val="24"/>
                        </w:rPr>
                        <w:t>图1.4-1</w:t>
                      </w:r>
                      <w:r>
                        <w:rPr>
                          <w:rFonts w:hint="eastAsia"/>
                          <w:b w:val="0"/>
                          <w:bCs w:val="0"/>
                          <w:sz w:val="24"/>
                          <w:szCs w:val="24"/>
                        </w:rPr>
                        <w:t xml:space="preserve">  </w:t>
                      </w:r>
                      <w:r>
                        <w:rPr>
                          <w:b w:val="0"/>
                          <w:bCs w:val="0"/>
                          <w:sz w:val="24"/>
                          <w:szCs w:val="24"/>
                        </w:rPr>
                        <w:t>评价工作的主要内容及程序</w:t>
                      </w:r>
                    </w:p>
                  </w:txbxContent>
                </v:textbox>
              </v:shape>
            </w:pict>
          </mc:Fallback>
        </mc:AlternateContent>
      </w:r>
      <w:r>
        <w:rPr>
          <w:rFonts w:hint="eastAsia" w:ascii="Times New Roman" w:hAnsi="Times New Roman" w:eastAsia="黑体" w:cs="Times New Roman"/>
          <w:sz w:val="24"/>
          <w14:ligatures w14:val="none"/>
        </w:rPr>
        <w:t>图1.4-1  安全评价工作程序框图</w:t>
      </w:r>
      <w:r>
        <w:rPr>
          <w:rFonts w:ascii="Times New Roman" w:hAnsi="Times New Roman" w:eastAsia="黑体" w:cs="Times New Roman"/>
          <w:sz w:val="24"/>
          <w14:ligatures w14:val="none"/>
        </w:rPr>
        <w:br w:type="page"/>
      </w:r>
    </w:p>
    <w:p w14:paraId="13767DB4">
      <w:pPr>
        <w:adjustRightInd w:val="0"/>
        <w:snapToGrid w:val="0"/>
        <w:spacing w:before="468" w:beforeLines="150" w:after="468" w:afterLines="150" w:line="360" w:lineRule="auto"/>
        <w:jc w:val="center"/>
        <w:outlineLvl w:val="0"/>
        <w:rPr>
          <w:rFonts w:ascii="Times New Roman" w:hAnsi="Times New Roman" w:eastAsia="黑体" w:cs="黑体"/>
          <w:b/>
          <w:kern w:val="44"/>
          <w:sz w:val="32"/>
          <w:szCs w:val="44"/>
          <w14:ligatures w14:val="none"/>
        </w:rPr>
      </w:pPr>
      <w:bookmarkStart w:id="57" w:name="_Toc163051345"/>
      <w:bookmarkStart w:id="58" w:name="_Toc527536694"/>
      <w:bookmarkStart w:id="59" w:name="_Toc186441837"/>
      <w:bookmarkStart w:id="60" w:name="_Toc3501"/>
      <w:bookmarkStart w:id="61" w:name="_Toc187466151"/>
      <w:bookmarkStart w:id="62" w:name="_Toc187810785"/>
      <w:bookmarkStart w:id="63" w:name="_Toc194374139"/>
      <w:bookmarkStart w:id="64" w:name="_Toc187563581"/>
      <w:bookmarkStart w:id="65" w:name="_Toc181983934"/>
      <w:bookmarkStart w:id="66" w:name="_Toc492367638"/>
      <w:r>
        <w:rPr>
          <w:rFonts w:ascii="Times New Roman" w:hAnsi="Times New Roman" w:eastAsia="黑体" w:cs="黑体"/>
          <w:b/>
          <w:kern w:val="44"/>
          <w:sz w:val="32"/>
          <w:szCs w:val="44"/>
          <w14:ligatures w14:val="none"/>
        </w:rPr>
        <w:t>2</w:t>
      </w:r>
      <w:r>
        <w:rPr>
          <w:rFonts w:hint="eastAsia" w:ascii="Times New Roman" w:hAnsi="Times New Roman" w:eastAsia="黑体" w:cs="黑体"/>
          <w:b/>
          <w:kern w:val="44"/>
          <w:sz w:val="32"/>
          <w:szCs w:val="44"/>
          <w14:ligatures w14:val="none"/>
        </w:rPr>
        <w:t>企业</w:t>
      </w:r>
      <w:r>
        <w:rPr>
          <w:rFonts w:ascii="Times New Roman" w:hAnsi="Times New Roman" w:eastAsia="黑体" w:cs="黑体"/>
          <w:b/>
          <w:kern w:val="44"/>
          <w:sz w:val="32"/>
          <w:szCs w:val="44"/>
          <w14:ligatures w14:val="none"/>
        </w:rPr>
        <w:t>概况</w:t>
      </w:r>
      <w:bookmarkEnd w:id="57"/>
      <w:bookmarkEnd w:id="58"/>
      <w:bookmarkEnd w:id="59"/>
      <w:bookmarkEnd w:id="60"/>
      <w:bookmarkEnd w:id="61"/>
      <w:bookmarkEnd w:id="62"/>
      <w:bookmarkEnd w:id="63"/>
      <w:bookmarkEnd w:id="64"/>
      <w:bookmarkEnd w:id="65"/>
      <w:bookmarkEnd w:id="66"/>
    </w:p>
    <w:p w14:paraId="43C117D1">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67" w:name="_Toc527536695"/>
      <w:bookmarkStart w:id="68" w:name="_Toc492367639"/>
      <w:bookmarkStart w:id="69" w:name="_Toc14290"/>
      <w:bookmarkStart w:id="70" w:name="_Toc163051346"/>
      <w:r>
        <w:rPr>
          <w:rFonts w:ascii="Times New Roman" w:hAnsi="Times New Roman" w:eastAsia="楷体" w:cs="黑体"/>
          <w:b/>
          <w:sz w:val="32"/>
          <w:szCs w:val="32"/>
          <w14:ligatures w14:val="none"/>
        </w:rPr>
        <w:t>2.1</w:t>
      </w:r>
      <w:bookmarkEnd w:id="67"/>
      <w:bookmarkEnd w:id="68"/>
      <w:r>
        <w:rPr>
          <w:rFonts w:ascii="Times New Roman" w:hAnsi="Times New Roman" w:eastAsia="楷体" w:cs="黑体"/>
          <w:b/>
          <w:sz w:val="32"/>
          <w:szCs w:val="32"/>
          <w14:ligatures w14:val="none"/>
        </w:rPr>
        <w:t>企业基本情况</w:t>
      </w:r>
      <w:bookmarkEnd w:id="69"/>
      <w:bookmarkEnd w:id="70"/>
    </w:p>
    <w:p w14:paraId="61BB73F5">
      <w:pPr>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bookmarkStart w:id="71" w:name="_Toc479257147"/>
      <w:r>
        <w:rPr>
          <w:rFonts w:ascii="Times New Roman" w:hAnsi="Times New Roman" w:eastAsia="黑体" w:cs="Times New Roman"/>
          <w:b/>
          <w:sz w:val="28"/>
          <w:szCs w:val="32"/>
          <w14:ligatures w14:val="none"/>
        </w:rPr>
        <w:t>2.1.1</w:t>
      </w:r>
      <w:r>
        <w:rPr>
          <w:rFonts w:hint="eastAsia" w:ascii="Times New Roman" w:hAnsi="Times New Roman" w:eastAsia="黑体" w:cs="Times New Roman"/>
          <w:b/>
          <w:sz w:val="28"/>
          <w:szCs w:val="32"/>
          <w14:ligatures w14:val="none"/>
        </w:rPr>
        <w:t>企业简介</w:t>
      </w:r>
      <w:bookmarkEnd w:id="71"/>
    </w:p>
    <w:p w14:paraId="0625D1E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color w:val="auto"/>
          <w:sz w:val="28"/>
          <w:highlight w:val="none"/>
          <w:lang w:eastAsia="zh-CN"/>
          <w14:ligatures w14:val="none"/>
        </w:rPr>
      </w:pPr>
      <w:r>
        <w:rPr>
          <w:rFonts w:hint="eastAsia" w:ascii="Times New Roman" w:hAnsi="Times New Roman" w:eastAsia="宋体" w:cs="Times New Roman"/>
          <w:color w:val="auto"/>
          <w:sz w:val="28"/>
          <w:highlight w:val="none"/>
          <w:lang w:eastAsia="zh-CN"/>
          <w14:ligatures w14:val="none"/>
        </w:rPr>
        <w:t>国能安储（东港）燃料供应有限公司成立日期为2022年03月16日，位于辽宁省丹东市东港市前阳镇前阳村十二组，类型为有限责任公司，法定代表人刘元静，主要从事柴油等油品的经营活动。</w:t>
      </w:r>
    </w:p>
    <w:p w14:paraId="670EFA3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color w:val="auto"/>
          <w:sz w:val="28"/>
          <w:highlight w:val="none"/>
          <w:lang w:eastAsia="zh-CN"/>
          <w14:ligatures w14:val="none"/>
        </w:rPr>
      </w:pPr>
      <w:r>
        <w:rPr>
          <w:rFonts w:hint="eastAsia" w:ascii="Times New Roman" w:hAnsi="Times New Roman" w:eastAsia="宋体" w:cs="Times New Roman"/>
          <w:color w:val="auto"/>
          <w:sz w:val="28"/>
          <w:highlight w:val="none"/>
          <w:lang w:eastAsia="zh-CN"/>
          <w14:ligatures w14:val="none"/>
        </w:rPr>
        <w:t>国能安储（东港）燃料供应有限公司是国能安储（辽宁）石油有限公司辖属经营部之一，该油库原为中国石油天然气股份有限公司辽宁丹东东港经营部（该库区于1990年建成投产），国能安储（辽宁）石油有限公司于2021年5月整体收购该油库），国能安储（东港）燃料供应有限公司为国能安储（辽宁）石油有限公司全资子公司。</w:t>
      </w:r>
    </w:p>
    <w:p w14:paraId="32D3E950">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kern w:val="2"/>
          <w:sz w:val="28"/>
          <w:szCs w:val="24"/>
          <w:lang w:val="en-US" w:eastAsia="zh-CN" w:bidi="ar-SA"/>
          <w14:ligatures w14:val="standardContextual"/>
        </w:rPr>
      </w:pPr>
      <w:r>
        <w:rPr>
          <w:rFonts w:hint="eastAsia" w:ascii="Times New Roman" w:hAnsi="Times New Roman" w:eastAsia="宋体" w:cs="Times New Roman"/>
          <w:kern w:val="2"/>
          <w:sz w:val="28"/>
          <w:szCs w:val="24"/>
          <w:lang w:val="en-US" w:eastAsia="zh-CN" w:bidi="ar-SA"/>
          <w14:ligatures w14:val="standardContextual"/>
        </w:rPr>
        <w:t>国能安储（东港）燃料供应有限公司东港前阳油库共有7座地上立式储油罐，均用于储存柴油，油库总容量为9900m</w:t>
      </w:r>
      <w:r>
        <w:rPr>
          <w:rFonts w:hint="eastAsia" w:ascii="Times New Roman" w:hAnsi="Times New Roman" w:eastAsia="宋体" w:cs="Times New Roman"/>
          <w:kern w:val="2"/>
          <w:sz w:val="28"/>
          <w:szCs w:val="24"/>
          <w:vertAlign w:val="superscript"/>
          <w:lang w:val="en-US" w:eastAsia="zh-CN" w:bidi="ar-SA"/>
          <w14:ligatures w14:val="standardContextual"/>
        </w:rPr>
        <w:t>3</w:t>
      </w:r>
      <w:r>
        <w:rPr>
          <w:rFonts w:hint="eastAsia" w:ascii="Times New Roman" w:hAnsi="Times New Roman" w:eastAsia="宋体" w:cs="Times New Roman"/>
          <w:kern w:val="2"/>
          <w:sz w:val="28"/>
          <w:szCs w:val="24"/>
          <w:lang w:val="en-US" w:eastAsia="zh-CN" w:bidi="ar-SA"/>
          <w14:ligatures w14:val="standardContextual"/>
        </w:rPr>
        <w:t>，1座-35#储罐（乙类，容量1900m</w:t>
      </w:r>
      <w:r>
        <w:rPr>
          <w:rFonts w:hint="eastAsia" w:ascii="Times New Roman" w:hAnsi="Times New Roman" w:eastAsia="宋体" w:cs="Times New Roman"/>
          <w:kern w:val="2"/>
          <w:sz w:val="28"/>
          <w:szCs w:val="24"/>
          <w:vertAlign w:val="superscript"/>
          <w:lang w:val="en-US" w:eastAsia="zh-CN" w:bidi="ar-SA"/>
          <w14:ligatures w14:val="standardContextual"/>
        </w:rPr>
        <w:t>3</w:t>
      </w:r>
      <w:r>
        <w:rPr>
          <w:rFonts w:hint="eastAsia" w:ascii="Times New Roman" w:hAnsi="Times New Roman" w:eastAsia="宋体" w:cs="Times New Roman"/>
          <w:kern w:val="2"/>
          <w:sz w:val="28"/>
          <w:szCs w:val="24"/>
          <w:lang w:val="en-US" w:eastAsia="zh-CN" w:bidi="ar-SA"/>
          <w14:ligatures w14:val="standardContextual"/>
        </w:rPr>
        <w:t>），6座0#柴油储罐（丙</w:t>
      </w:r>
      <w:r>
        <w:rPr>
          <w:rFonts w:hint="eastAsia" w:ascii="Times New Roman" w:hAnsi="Times New Roman" w:eastAsia="宋体" w:cs="Times New Roman"/>
          <w:kern w:val="2"/>
          <w:sz w:val="28"/>
          <w:szCs w:val="24"/>
          <w:vertAlign w:val="subscript"/>
          <w:lang w:val="en-US" w:eastAsia="zh-CN" w:bidi="ar-SA"/>
          <w14:ligatures w14:val="standardContextual"/>
        </w:rPr>
        <w:t>A</w:t>
      </w:r>
      <w:r>
        <w:rPr>
          <w:rFonts w:hint="eastAsia" w:ascii="Times New Roman" w:hAnsi="Times New Roman" w:eastAsia="宋体" w:cs="Times New Roman"/>
          <w:kern w:val="2"/>
          <w:sz w:val="28"/>
          <w:szCs w:val="24"/>
          <w:lang w:val="en-US" w:eastAsia="zh-CN" w:bidi="ar-SA"/>
          <w14:ligatures w14:val="standardContextual"/>
        </w:rPr>
        <w:t>类，容量2000m</w:t>
      </w:r>
      <w:r>
        <w:rPr>
          <w:rFonts w:hint="eastAsia" w:ascii="Times New Roman" w:hAnsi="Times New Roman" w:eastAsia="宋体" w:cs="Times New Roman"/>
          <w:kern w:val="2"/>
          <w:sz w:val="28"/>
          <w:szCs w:val="24"/>
          <w:vertAlign w:val="superscript"/>
          <w:lang w:val="en-US" w:eastAsia="zh-CN" w:bidi="ar-SA"/>
          <w14:ligatures w14:val="standardContextual"/>
        </w:rPr>
        <w:t>3</w:t>
      </w:r>
      <w:r>
        <w:rPr>
          <w:rFonts w:hint="eastAsia" w:ascii="Times New Roman" w:hAnsi="Times New Roman" w:eastAsia="宋体" w:cs="Times New Roman"/>
          <w:kern w:val="2"/>
          <w:sz w:val="28"/>
          <w:szCs w:val="24"/>
          <w:lang w:val="en-US" w:eastAsia="zh-CN" w:bidi="ar-SA"/>
          <w14:ligatures w14:val="standardContextual"/>
        </w:rPr>
        <w:t>×2，1000m</w:t>
      </w:r>
      <w:r>
        <w:rPr>
          <w:rFonts w:hint="eastAsia" w:ascii="Times New Roman" w:hAnsi="Times New Roman" w:eastAsia="宋体" w:cs="Times New Roman"/>
          <w:kern w:val="2"/>
          <w:sz w:val="28"/>
          <w:szCs w:val="24"/>
          <w:vertAlign w:val="superscript"/>
          <w:lang w:val="en-US" w:eastAsia="zh-CN" w:bidi="ar-SA"/>
          <w14:ligatures w14:val="standardContextual"/>
        </w:rPr>
        <w:t>3</w:t>
      </w:r>
      <w:r>
        <w:rPr>
          <w:rFonts w:hint="eastAsia" w:ascii="Times New Roman" w:hAnsi="Times New Roman" w:eastAsia="宋体" w:cs="Times New Roman"/>
          <w:kern w:val="2"/>
          <w:sz w:val="28"/>
          <w:szCs w:val="24"/>
          <w:lang w:val="en-US" w:eastAsia="zh-CN" w:bidi="ar-SA"/>
          <w14:ligatures w14:val="standardContextual"/>
        </w:rPr>
        <w:t>×4），根据《石油库设计规范》（GB50074- 2014）第3.0.1条，丙</w:t>
      </w:r>
      <w:r>
        <w:rPr>
          <w:rFonts w:hint="eastAsia" w:ascii="Times New Roman" w:hAnsi="Times New Roman" w:eastAsia="宋体" w:cs="Times New Roman"/>
          <w:kern w:val="2"/>
          <w:sz w:val="28"/>
          <w:szCs w:val="24"/>
          <w:vertAlign w:val="subscript"/>
          <w:lang w:val="en-US" w:eastAsia="zh-CN" w:bidi="ar-SA"/>
          <w14:ligatures w14:val="standardContextual"/>
        </w:rPr>
        <w:t>A</w:t>
      </w:r>
      <w:r>
        <w:rPr>
          <w:rFonts w:hint="eastAsia" w:ascii="Times New Roman" w:hAnsi="Times New Roman" w:eastAsia="宋体" w:cs="Times New Roman"/>
          <w:kern w:val="2"/>
          <w:sz w:val="28"/>
          <w:szCs w:val="24"/>
          <w:lang w:val="en-US" w:eastAsia="zh-CN" w:bidi="ar-SA"/>
          <w14:ligatures w14:val="standardContextual"/>
        </w:rPr>
        <w:t>类液体储罐容量可乘以系数0.5计入储罐计算总容量，折合后容量为5900m</w:t>
      </w:r>
      <w:r>
        <w:rPr>
          <w:rFonts w:hint="eastAsia" w:ascii="Times New Roman" w:hAnsi="Times New Roman" w:eastAsia="宋体" w:cs="Times New Roman"/>
          <w:kern w:val="2"/>
          <w:sz w:val="28"/>
          <w:szCs w:val="24"/>
          <w:vertAlign w:val="superscript"/>
          <w:lang w:val="en-US" w:eastAsia="zh-CN" w:bidi="ar-SA"/>
          <w14:ligatures w14:val="standardContextual"/>
        </w:rPr>
        <w:t>3</w:t>
      </w:r>
      <w:r>
        <w:rPr>
          <w:rFonts w:hint="eastAsia" w:ascii="Times New Roman" w:hAnsi="Times New Roman" w:eastAsia="宋体" w:cs="Times New Roman"/>
          <w:kern w:val="2"/>
          <w:sz w:val="28"/>
          <w:szCs w:val="24"/>
          <w:lang w:val="en-US" w:eastAsia="zh-CN" w:bidi="ar-SA"/>
          <w14:ligatures w14:val="standardContextual"/>
        </w:rPr>
        <w:t>，该油库为四级油库。</w:t>
      </w:r>
    </w:p>
    <w:p w14:paraId="66CEA48C">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lang w:val="en-US" w:eastAsia="zh-CN"/>
        </w:rPr>
      </w:pPr>
      <w:r>
        <w:rPr>
          <w:rFonts w:hint="default" w:ascii="Times New Roman" w:hAnsi="Times New Roman" w:eastAsia="宋体" w:cs="Times New Roman"/>
          <w:color w:val="auto"/>
          <w:kern w:val="2"/>
          <w:sz w:val="28"/>
          <w:szCs w:val="24"/>
          <w:highlight w:val="none"/>
          <w:lang w:val="en-US" w:eastAsia="zh-CN" w:bidi="ar-SA"/>
          <w14:ligatures w14:val="none"/>
        </w:rPr>
        <w:t>国能安储（东港）燃料供应有限公司取得了</w:t>
      </w:r>
      <w:r>
        <w:rPr>
          <w:rFonts w:hint="eastAsia" w:ascii="Times New Roman" w:hAnsi="Times New Roman" w:eastAsia="宋体" w:cs="Times New Roman"/>
          <w:color w:val="auto"/>
          <w:kern w:val="2"/>
          <w:sz w:val="28"/>
          <w:szCs w:val="24"/>
          <w:highlight w:val="none"/>
          <w:lang w:val="en-US" w:eastAsia="zh-CN" w:bidi="ar-SA"/>
          <w14:ligatures w14:val="none"/>
        </w:rPr>
        <w:t>丹东市应急管理局</w:t>
      </w:r>
      <w:r>
        <w:rPr>
          <w:rFonts w:hint="default" w:ascii="Times New Roman" w:hAnsi="Times New Roman" w:eastAsia="宋体" w:cs="Times New Roman"/>
          <w:color w:val="auto"/>
          <w:kern w:val="2"/>
          <w:sz w:val="28"/>
          <w:szCs w:val="24"/>
          <w:highlight w:val="none"/>
          <w:lang w:val="en-US" w:eastAsia="zh-CN" w:bidi="ar-SA"/>
          <w14:ligatures w14:val="none"/>
        </w:rPr>
        <w:t>为其颁发的《危险化学品经营许可证》，证书有效期限</w:t>
      </w:r>
      <w:r>
        <w:rPr>
          <w:rFonts w:hint="eastAsia" w:ascii="Times New Roman" w:hAnsi="Times New Roman" w:eastAsia="宋体" w:cs="Times New Roman"/>
          <w:color w:val="auto"/>
          <w:kern w:val="2"/>
          <w:sz w:val="28"/>
          <w:szCs w:val="24"/>
          <w:highlight w:val="none"/>
          <w:lang w:val="en-US" w:eastAsia="zh-CN" w:bidi="ar-SA"/>
          <w14:ligatures w14:val="none"/>
        </w:rPr>
        <w:t>：2023年03月29日至2026年03月28日</w:t>
      </w:r>
      <w:r>
        <w:rPr>
          <w:rFonts w:hint="default" w:ascii="Times New Roman" w:hAnsi="Times New Roman" w:eastAsia="宋体" w:cs="Times New Roman"/>
          <w:color w:val="auto"/>
          <w:kern w:val="2"/>
          <w:sz w:val="28"/>
          <w:szCs w:val="24"/>
          <w:highlight w:val="none"/>
          <w:lang w:val="en-US" w:eastAsia="zh-CN" w:bidi="ar-SA"/>
          <w14:ligatures w14:val="none"/>
        </w:rPr>
        <w:t>，证书编号：</w:t>
      </w:r>
      <w:r>
        <w:rPr>
          <w:rFonts w:hint="eastAsia" w:ascii="Times New Roman" w:hAnsi="Times New Roman" w:eastAsia="宋体" w:cs="Times New Roman"/>
          <w:color w:val="auto"/>
          <w:kern w:val="2"/>
          <w:sz w:val="28"/>
          <w:szCs w:val="24"/>
          <w:highlight w:val="none"/>
          <w:lang w:val="en-US" w:eastAsia="zh-CN" w:bidi="ar-SA"/>
          <w14:ligatures w14:val="none"/>
        </w:rPr>
        <w:t>辽丹危化经字［2023］000334，</w:t>
      </w:r>
      <w:r>
        <w:rPr>
          <w:rFonts w:hint="default" w:ascii="Times New Roman" w:hAnsi="Times New Roman" w:eastAsia="宋体" w:cs="Times New Roman"/>
          <w:color w:val="auto"/>
          <w:kern w:val="2"/>
          <w:sz w:val="28"/>
          <w:szCs w:val="24"/>
          <w:highlight w:val="none"/>
          <w:lang w:val="en-US" w:eastAsia="zh-CN" w:bidi="ar-SA"/>
          <w14:ligatures w14:val="none"/>
        </w:rPr>
        <w:t>经营方式：</w:t>
      </w:r>
      <w:r>
        <w:rPr>
          <w:rFonts w:hint="eastAsia" w:ascii="Times New Roman" w:hAnsi="Times New Roman" w:eastAsia="宋体" w:cs="Times New Roman"/>
          <w:color w:val="auto"/>
          <w:kern w:val="2"/>
          <w:sz w:val="28"/>
          <w:szCs w:val="24"/>
          <w:highlight w:val="none"/>
          <w:lang w:val="en-US" w:eastAsia="zh-CN" w:bidi="ar-SA"/>
          <w14:ligatures w14:val="none"/>
        </w:rPr>
        <w:t>带有储存设施经营危险化学品</w:t>
      </w:r>
      <w:r>
        <w:rPr>
          <w:rFonts w:hint="eastAsia" w:ascii="Times New Roman" w:hAnsi="Times New Roman" w:eastAsia="宋体" w:cs="Times New Roman"/>
          <w:color w:val="auto"/>
          <w:sz w:val="28"/>
          <w:highlight w:val="none"/>
          <w14:ligatures w14:val="none"/>
        </w:rPr>
        <w:t>，</w:t>
      </w:r>
      <w:r>
        <w:rPr>
          <w:rFonts w:hint="eastAsia" w:ascii="Times New Roman" w:hAnsi="Times New Roman" w:eastAsia="宋体" w:cs="Times New Roman"/>
          <w:color w:val="auto"/>
          <w:sz w:val="28"/>
          <w:highlight w:val="none"/>
          <w:lang w:val="en-US" w:eastAsia="zh-CN"/>
          <w14:ligatures w14:val="none"/>
        </w:rPr>
        <w:t>许可</w:t>
      </w:r>
      <w:r>
        <w:rPr>
          <w:rFonts w:hint="eastAsia" w:ascii="Times New Roman" w:hAnsi="Times New Roman" w:eastAsia="宋体" w:cs="Times New Roman"/>
          <w:color w:val="auto"/>
          <w:sz w:val="28"/>
          <w:highlight w:val="none"/>
          <w14:ligatures w14:val="none"/>
        </w:rPr>
        <w:t>范围为：</w:t>
      </w:r>
      <w:r>
        <w:rPr>
          <w:rFonts w:hint="eastAsia" w:ascii="Times New Roman" w:hAnsi="Times New Roman" w:eastAsia="宋体" w:cs="Times New Roman"/>
          <w:color w:val="auto"/>
          <w:sz w:val="28"/>
          <w:highlight w:val="none"/>
          <w:lang w:val="en-US" w:eastAsia="zh-CN"/>
          <w14:ligatures w14:val="none"/>
        </w:rPr>
        <w:t>有仓储经营：柴油；无仓储经营：苯、二甲苯异构体混合物、甲醇、甲烷、甲基叔丁基醚、煤焦油、氢气、石脑油、石油原油、硝化沥青、樟脑油、正丁烷、正己烷、正戊烷、航空煤油（3#喷气燃料）、含易燃溶剂的合成树脂、油漆、天然气（富含甲烷的）、辅助材料和涂料等制品【闭环闪点≤60℃】。*</w:t>
      </w:r>
    </w:p>
    <w:p w14:paraId="7878C6D5">
      <w:pPr>
        <w:keepNext w:val="0"/>
        <w:keepLines w:val="0"/>
        <w:pageBreakBefore w:val="0"/>
        <w:widowControl w:val="0"/>
        <w:kinsoku/>
        <w:wordWrap/>
        <w:overflowPunct/>
        <w:topLinePunct w:val="0"/>
        <w:autoSpaceDE/>
        <w:autoSpaceDN/>
        <w:bidi w:val="0"/>
        <w:adjustRightInd w:val="0"/>
        <w:snapToGrid w:val="0"/>
        <w:spacing w:after="0" w:line="360" w:lineRule="auto"/>
        <w:ind w:firstLine="600" w:firstLineChars="200"/>
        <w:jc w:val="both"/>
        <w:textAlignment w:val="auto"/>
        <w:rPr>
          <w:rFonts w:hint="eastAsia" w:ascii="Times New Roman" w:hAnsi="Times New Roman" w:eastAsia="宋体" w:cs="Times New Roman"/>
          <w:kern w:val="2"/>
          <w:sz w:val="30"/>
          <w:szCs w:val="30"/>
          <w:lang w:val="en-US" w:eastAsia="zh-CN" w:bidi="ar-SA"/>
          <w14:ligatures w14:val="standardContextual"/>
        </w:rPr>
      </w:pPr>
      <w:r>
        <w:rPr>
          <w:rFonts w:hint="eastAsia" w:ascii="Times New Roman" w:hAnsi="Times New Roman" w:eastAsia="宋体" w:cs="Times New Roman"/>
          <w:kern w:val="2"/>
          <w:sz w:val="30"/>
          <w:szCs w:val="30"/>
          <w:lang w:val="en-US" w:eastAsia="zh-CN" w:bidi="ar-SA"/>
          <w14:ligatures w14:val="standardContextual"/>
        </w:rPr>
        <w:t>本次拟进行经营许可证的换证申请，有仓储经营品种及规模与上次相比无变化。</w:t>
      </w:r>
    </w:p>
    <w:p w14:paraId="2850782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kern w:val="2"/>
          <w:sz w:val="28"/>
          <w:szCs w:val="28"/>
          <w:lang w:val="en-US" w:eastAsia="zh-CN" w:bidi="ar-SA"/>
          <w14:ligatures w14:val="standardContextual"/>
        </w:rPr>
      </w:pPr>
      <w:r>
        <w:rPr>
          <w:rFonts w:hint="default" w:ascii="Times New Roman" w:hAnsi="Times New Roman" w:eastAsia="宋体" w:cs="Times New Roman"/>
          <w:kern w:val="2"/>
          <w:sz w:val="28"/>
          <w:szCs w:val="28"/>
          <w:lang w:val="en-US" w:eastAsia="zh-CN" w:bidi="ar-SA"/>
          <w14:ligatures w14:val="standardContextual"/>
        </w:rPr>
        <w:t>近三年情况</w:t>
      </w:r>
    </w:p>
    <w:p w14:paraId="321DB9FF">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kern w:val="2"/>
          <w:sz w:val="28"/>
          <w:szCs w:val="28"/>
          <w:lang w:val="en-US" w:eastAsia="zh-CN" w:bidi="ar-SA"/>
          <w14:ligatures w14:val="standardContextual"/>
        </w:rPr>
      </w:pPr>
      <w:r>
        <w:rPr>
          <w:rFonts w:hint="default" w:ascii="Times New Roman" w:hAnsi="Times New Roman" w:eastAsia="宋体" w:cs="Times New Roman"/>
          <w:kern w:val="2"/>
          <w:sz w:val="28"/>
          <w:szCs w:val="28"/>
          <w:lang w:val="en-US" w:eastAsia="zh-CN" w:bidi="ar-SA"/>
          <w14:ligatures w14:val="standardContextual"/>
        </w:rPr>
        <w:t>（1）近三年生产工艺、设施变化情况：自202</w:t>
      </w:r>
      <w:r>
        <w:rPr>
          <w:rFonts w:hint="eastAsia" w:ascii="Times New Roman" w:hAnsi="Times New Roman" w:eastAsia="宋体" w:cs="Times New Roman"/>
          <w:kern w:val="2"/>
          <w:sz w:val="28"/>
          <w:szCs w:val="28"/>
          <w:lang w:val="en-US" w:eastAsia="zh-CN" w:bidi="ar-SA"/>
          <w14:ligatures w14:val="standardContextual"/>
        </w:rPr>
        <w:t>3</w:t>
      </w:r>
      <w:r>
        <w:rPr>
          <w:rFonts w:hint="default" w:ascii="Times New Roman" w:hAnsi="Times New Roman" w:eastAsia="宋体" w:cs="Times New Roman"/>
          <w:kern w:val="2"/>
          <w:sz w:val="28"/>
          <w:szCs w:val="28"/>
          <w:lang w:val="en-US" w:eastAsia="zh-CN" w:bidi="ar-SA"/>
          <w14:ligatures w14:val="standardContextual"/>
        </w:rPr>
        <w:t>年取证以来，国能安储（东港）燃料供应有限公司工艺、设备设施均无变化。</w:t>
      </w:r>
    </w:p>
    <w:p w14:paraId="397538F7">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kern w:val="2"/>
          <w:sz w:val="28"/>
          <w:szCs w:val="28"/>
          <w:lang w:val="en-US" w:eastAsia="zh-CN" w:bidi="ar-SA"/>
          <w14:ligatures w14:val="standardContextual"/>
        </w:rPr>
      </w:pPr>
      <w:r>
        <w:rPr>
          <w:rFonts w:hint="default" w:ascii="Times New Roman" w:hAnsi="Times New Roman" w:eastAsia="宋体" w:cs="Times New Roman"/>
          <w:kern w:val="2"/>
          <w:sz w:val="28"/>
          <w:szCs w:val="28"/>
          <w:lang w:val="en-US" w:eastAsia="zh-CN" w:bidi="ar-SA"/>
          <w14:ligatures w14:val="standardContextual"/>
        </w:rPr>
        <w:t>（2）近三年新、改、扩建项目三同时情况：自202</w:t>
      </w:r>
      <w:r>
        <w:rPr>
          <w:rFonts w:hint="eastAsia" w:ascii="Times New Roman" w:hAnsi="Times New Roman" w:eastAsia="宋体" w:cs="Times New Roman"/>
          <w:kern w:val="2"/>
          <w:sz w:val="28"/>
          <w:szCs w:val="28"/>
          <w:lang w:val="en-US" w:eastAsia="zh-CN" w:bidi="ar-SA"/>
          <w14:ligatures w14:val="standardContextual"/>
        </w:rPr>
        <w:t>3</w:t>
      </w:r>
      <w:r>
        <w:rPr>
          <w:rFonts w:hint="default" w:ascii="Times New Roman" w:hAnsi="Times New Roman" w:eastAsia="宋体" w:cs="Times New Roman"/>
          <w:kern w:val="2"/>
          <w:sz w:val="28"/>
          <w:szCs w:val="28"/>
          <w:lang w:val="en-US" w:eastAsia="zh-CN" w:bidi="ar-SA"/>
          <w14:ligatures w14:val="standardContextual"/>
        </w:rPr>
        <w:t>年取证以来，国能安储（东港）燃料供应有限公司无新、改、扩建项目。</w:t>
      </w:r>
    </w:p>
    <w:p w14:paraId="3AEE794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kern w:val="2"/>
          <w:sz w:val="28"/>
          <w:szCs w:val="28"/>
          <w:lang w:val="en-US" w:eastAsia="zh-CN" w:bidi="ar-SA"/>
          <w14:ligatures w14:val="standardContextual"/>
        </w:rPr>
      </w:pPr>
      <w:r>
        <w:rPr>
          <w:rFonts w:hint="default" w:ascii="Times New Roman" w:hAnsi="Times New Roman" w:eastAsia="宋体" w:cs="Times New Roman"/>
          <w:kern w:val="2"/>
          <w:sz w:val="28"/>
          <w:szCs w:val="28"/>
          <w:lang w:val="en-US" w:eastAsia="zh-CN" w:bidi="ar-SA"/>
          <w14:ligatures w14:val="standardContextual"/>
        </w:rPr>
        <w:t>（3）近三年国能安储（东港）燃料供应有限公司未发生安全生产事故。</w:t>
      </w:r>
    </w:p>
    <w:p w14:paraId="61CBA3D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kern w:val="2"/>
          <w:sz w:val="28"/>
          <w:szCs w:val="28"/>
          <w:lang w:val="en-US" w:eastAsia="zh-CN" w:bidi="ar-SA"/>
          <w14:ligatures w14:val="standardContextual"/>
        </w:rPr>
      </w:pPr>
      <w:r>
        <w:rPr>
          <w:rFonts w:hint="default" w:ascii="Times New Roman" w:hAnsi="Times New Roman" w:eastAsia="宋体" w:cs="Times New Roman"/>
          <w:kern w:val="2"/>
          <w:sz w:val="28"/>
          <w:szCs w:val="28"/>
          <w:lang w:val="en-US" w:eastAsia="zh-CN" w:bidi="ar-SA"/>
          <w14:ligatures w14:val="standardContextual"/>
        </w:rPr>
        <w:t>（</w:t>
      </w:r>
      <w:r>
        <w:rPr>
          <w:rFonts w:hint="eastAsia" w:ascii="Times New Roman" w:hAnsi="Times New Roman" w:eastAsia="宋体" w:cs="Times New Roman"/>
          <w:kern w:val="2"/>
          <w:sz w:val="28"/>
          <w:szCs w:val="28"/>
          <w:lang w:val="en-US" w:eastAsia="zh-CN" w:bidi="ar-SA"/>
          <w14:ligatures w14:val="standardContextual"/>
        </w:rPr>
        <w:t>4</w:t>
      </w:r>
      <w:r>
        <w:rPr>
          <w:rFonts w:hint="default" w:ascii="Times New Roman" w:hAnsi="Times New Roman" w:eastAsia="宋体" w:cs="Times New Roman"/>
          <w:kern w:val="2"/>
          <w:sz w:val="28"/>
          <w:szCs w:val="28"/>
          <w:lang w:val="en-US" w:eastAsia="zh-CN" w:bidi="ar-SA"/>
          <w14:ligatures w14:val="standardContextual"/>
        </w:rPr>
        <w:t>）国能安储（东港）燃料供应有限公司原法定代表人为姜焕然，后于2025年12月24日变更法定代表人为刘元静。</w:t>
      </w:r>
    </w:p>
    <w:p w14:paraId="09BB866D">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kern w:val="2"/>
          <w:sz w:val="28"/>
          <w:szCs w:val="28"/>
          <w:lang w:val="en-US" w:eastAsia="zh-CN" w:bidi="ar-SA"/>
          <w14:ligatures w14:val="standardContextual"/>
        </w:rPr>
      </w:pPr>
      <w:r>
        <w:rPr>
          <w:rFonts w:hint="default" w:ascii="Times New Roman" w:hAnsi="Times New Roman" w:eastAsia="宋体" w:cs="Times New Roman"/>
          <w:kern w:val="2"/>
          <w:sz w:val="28"/>
          <w:szCs w:val="28"/>
          <w:lang w:val="en-US" w:eastAsia="zh-CN" w:bidi="ar-SA"/>
          <w14:ligatures w14:val="standardContextual"/>
        </w:rPr>
        <w:t>（</w:t>
      </w:r>
      <w:r>
        <w:rPr>
          <w:rFonts w:hint="eastAsia" w:ascii="Times New Roman" w:hAnsi="Times New Roman" w:eastAsia="宋体" w:cs="Times New Roman"/>
          <w:kern w:val="2"/>
          <w:sz w:val="28"/>
          <w:szCs w:val="28"/>
          <w:lang w:val="en-US" w:eastAsia="zh-CN" w:bidi="ar-SA"/>
          <w14:ligatures w14:val="standardContextual"/>
        </w:rPr>
        <w:t>5</w:t>
      </w:r>
      <w:r>
        <w:rPr>
          <w:rFonts w:hint="default" w:ascii="Times New Roman" w:hAnsi="Times New Roman" w:eastAsia="宋体" w:cs="Times New Roman"/>
          <w:kern w:val="2"/>
          <w:sz w:val="28"/>
          <w:szCs w:val="28"/>
          <w:lang w:val="en-US" w:eastAsia="zh-CN" w:bidi="ar-SA"/>
          <w14:ligatures w14:val="standardContextual"/>
        </w:rPr>
        <w:t>）国能安储（东港）燃料供应有限公司于2026年1月重新启用已停用的铁路线，经铁路部门评审，最终由沈阳万益安全科技有限公司出具了《国能安储（东港）燃料供应有限公司铁路危险货物专用铁路及其附属设备设施安全现状评价报告》。</w:t>
      </w:r>
    </w:p>
    <w:p w14:paraId="006D3DCB">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kern w:val="2"/>
          <w:sz w:val="28"/>
          <w:szCs w:val="28"/>
          <w:lang w:val="en-US" w:eastAsia="zh-CN" w:bidi="ar-SA"/>
          <w14:ligatures w14:val="standardContextual"/>
        </w:rPr>
      </w:pPr>
      <w:r>
        <w:rPr>
          <w:rFonts w:hint="default" w:ascii="Times New Roman" w:hAnsi="Times New Roman" w:eastAsia="宋体" w:cs="Times New Roman"/>
          <w:kern w:val="2"/>
          <w:sz w:val="28"/>
          <w:szCs w:val="28"/>
          <w:lang w:val="en-US" w:eastAsia="zh-CN" w:bidi="ar-SA"/>
          <w14:ligatures w14:val="standardContextual"/>
        </w:rPr>
        <w:t>（</w:t>
      </w:r>
      <w:r>
        <w:rPr>
          <w:rFonts w:hint="eastAsia" w:ascii="Times New Roman" w:hAnsi="Times New Roman" w:eastAsia="宋体" w:cs="Times New Roman"/>
          <w:kern w:val="2"/>
          <w:sz w:val="28"/>
          <w:szCs w:val="28"/>
          <w:lang w:val="en-US" w:eastAsia="zh-CN" w:bidi="ar-SA"/>
          <w14:ligatures w14:val="standardContextual"/>
        </w:rPr>
        <w:t>6</w:t>
      </w:r>
      <w:r>
        <w:rPr>
          <w:rFonts w:hint="default" w:ascii="Times New Roman" w:hAnsi="Times New Roman" w:eastAsia="宋体" w:cs="Times New Roman"/>
          <w:kern w:val="2"/>
          <w:sz w:val="28"/>
          <w:szCs w:val="28"/>
          <w:lang w:val="en-US" w:eastAsia="zh-CN" w:bidi="ar-SA"/>
          <w14:ligatures w14:val="standardContextual"/>
        </w:rPr>
        <w:t>）近三年周边环境变化为南侧许老三煤场变为空地，厂内总平面布置、经营危险化学品品种及储存规模、主要设备设施无变化。</w:t>
      </w:r>
    </w:p>
    <w:p w14:paraId="3710E96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kern w:val="2"/>
          <w:sz w:val="28"/>
          <w:szCs w:val="28"/>
          <w:lang w:val="en-US" w:eastAsia="zh-CN" w:bidi="ar-SA"/>
          <w14:ligatures w14:val="standardContextual"/>
        </w:rPr>
      </w:pPr>
      <w:r>
        <w:rPr>
          <w:rFonts w:hint="default" w:ascii="Times New Roman" w:hAnsi="Times New Roman" w:eastAsia="宋体" w:cs="Times New Roman"/>
          <w:kern w:val="2"/>
          <w:sz w:val="28"/>
          <w:szCs w:val="28"/>
          <w:lang w:val="en-US" w:eastAsia="zh-CN" w:bidi="ar-SA"/>
          <w14:ligatures w14:val="standardContextual"/>
        </w:rPr>
        <w:t>（</w:t>
      </w:r>
      <w:r>
        <w:rPr>
          <w:rFonts w:hint="eastAsia" w:ascii="Times New Roman" w:hAnsi="Times New Roman" w:eastAsia="宋体" w:cs="Times New Roman"/>
          <w:kern w:val="2"/>
          <w:sz w:val="28"/>
          <w:szCs w:val="28"/>
          <w:lang w:val="en-US" w:eastAsia="zh-CN" w:bidi="ar-SA"/>
          <w14:ligatures w14:val="standardContextual"/>
        </w:rPr>
        <w:t>7</w:t>
      </w:r>
      <w:r>
        <w:rPr>
          <w:rFonts w:hint="default" w:ascii="Times New Roman" w:hAnsi="Times New Roman" w:eastAsia="宋体" w:cs="Times New Roman"/>
          <w:kern w:val="2"/>
          <w:sz w:val="28"/>
          <w:szCs w:val="28"/>
          <w:lang w:val="en-US" w:eastAsia="zh-CN" w:bidi="ar-SA"/>
          <w14:ligatures w14:val="standardContextual"/>
        </w:rPr>
        <w:t>）国能安储（东港）燃料供应有限公司委托国全（北京）安全技术服务有限公司于2025年12月出具《国能安储（东港）燃料供应有限公司东港前阳油库危险与可操作性（HAZOP）分析报告》，并提出一条建议应严格按照相关管理规定进行巡检，发现漏点及时上报、处理。避免设备带病运行，引发安全事故</w:t>
      </w:r>
      <w:r>
        <w:rPr>
          <w:rFonts w:hint="eastAsia" w:ascii="Times New Roman" w:hAnsi="Times New Roman" w:eastAsia="宋体" w:cs="Times New Roman"/>
          <w:kern w:val="2"/>
          <w:sz w:val="28"/>
          <w:szCs w:val="28"/>
          <w:lang w:val="en-US" w:eastAsia="zh-CN" w:bidi="ar-SA"/>
          <w14:ligatures w14:val="standardContextual"/>
        </w:rPr>
        <w:t>，巡检照片见附件。</w:t>
      </w:r>
    </w:p>
    <w:p w14:paraId="4FB5E388">
      <w:pPr>
        <w:keepNext/>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2.1.2企业所在区域地理位置</w:t>
      </w:r>
    </w:p>
    <w:p w14:paraId="2AFE4D8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left"/>
        <w:textAlignment w:val="auto"/>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lang w:eastAsia="zh-CN"/>
          <w14:ligatures w14:val="none"/>
        </w:rPr>
        <w:t>国能安储（东港）燃料供应有限公司位于辽宁省丹东市东港市前阳镇前阳村</w:t>
      </w:r>
      <w:r>
        <w:rPr>
          <w:rFonts w:hint="eastAsia" w:ascii="Times New Roman" w:hAnsi="Times New Roman" w:eastAsia="宋体" w:cs="Times New Roman"/>
          <w:sz w:val="28"/>
          <w:szCs w:val="28"/>
          <w14:ligatures w14:val="none"/>
        </w:rPr>
        <w:t>。地理位置如下图2.1-1所示。</w:t>
      </w:r>
    </w:p>
    <w:p w14:paraId="491AB2FD">
      <w:pPr>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2.1.3企业周边环境及</w:t>
      </w:r>
      <w:r>
        <w:rPr>
          <w:rFonts w:hint="eastAsia" w:ascii="Times New Roman" w:hAnsi="Times New Roman" w:eastAsia="黑体" w:cs="Times New Roman"/>
          <w:b/>
          <w:sz w:val="28"/>
          <w:szCs w:val="32"/>
          <w:lang w:val="en-US" w:eastAsia="zh-CN"/>
          <w14:ligatures w14:val="none"/>
        </w:rPr>
        <w:t>总</w:t>
      </w:r>
      <w:r>
        <w:rPr>
          <w:rFonts w:hint="eastAsia" w:ascii="Times New Roman" w:hAnsi="Times New Roman" w:eastAsia="黑体" w:cs="Times New Roman"/>
          <w:b/>
          <w:sz w:val="28"/>
          <w:szCs w:val="32"/>
          <w14:ligatures w14:val="none"/>
        </w:rPr>
        <w:t>平面布置</w:t>
      </w:r>
    </w:p>
    <w:p w14:paraId="589C8996">
      <w:pPr>
        <w:adjustRightInd w:val="0"/>
        <w:snapToGrid w:val="0"/>
        <w:spacing w:after="0" w:line="360" w:lineRule="auto"/>
        <w:ind w:firstLine="560" w:firstLineChars="200"/>
        <w:jc w:val="both"/>
        <w:rPr>
          <w:rFonts w:hint="eastAsia" w:ascii="Times New Roman" w:hAnsi="Times New Roman" w:eastAsia="宋体" w:cs="Times New Roman"/>
          <w:sz w:val="28"/>
          <w:szCs w:val="28"/>
          <w:lang w:eastAsia="zh-CN"/>
          <w14:ligatures w14:val="none"/>
        </w:rPr>
      </w:pPr>
      <w:r>
        <w:rPr>
          <w:rFonts w:hint="eastAsia" w:ascii="Times New Roman" w:hAnsi="Times New Roman" w:eastAsia="宋体" w:cs="Times New Roman"/>
          <w:sz w:val="28"/>
          <w:szCs w:val="28"/>
          <w:lang w:eastAsia="zh-CN"/>
          <w14:ligatures w14:val="none"/>
        </w:rPr>
        <w:t>国能安储（东港）燃料供应有限公司厂区东侧为部队用地及一条架空电力线（H＝12m）；北侧为</w:t>
      </w:r>
      <w:r>
        <w:rPr>
          <w:rFonts w:hint="eastAsia" w:ascii="Times New Roman" w:hAnsi="Times New Roman" w:eastAsia="宋体" w:cs="Times New Roman"/>
          <w:sz w:val="28"/>
          <w:szCs w:val="28"/>
          <w:lang w:val="en-US" w:eastAsia="zh-CN"/>
          <w14:ligatures w14:val="none"/>
        </w:rPr>
        <w:t>前阳老煤厂、</w:t>
      </w:r>
      <w:r>
        <w:rPr>
          <w:rFonts w:hint="eastAsia" w:ascii="Times New Roman" w:hAnsi="Times New Roman" w:eastAsia="宋体" w:cs="Times New Roman"/>
          <w:sz w:val="28"/>
          <w:szCs w:val="28"/>
          <w:lang w:eastAsia="zh-CN"/>
          <w14:ligatures w14:val="none"/>
        </w:rPr>
        <w:t>铁路线、温室棚及一条架空通讯线（H＝6m）；南侧为居民区</w:t>
      </w:r>
      <w:r>
        <w:rPr>
          <w:rFonts w:hint="eastAsia" w:ascii="Times New Roman" w:hAnsi="Times New Roman" w:eastAsia="宋体" w:cs="Times New Roman"/>
          <w:sz w:val="28"/>
          <w:szCs w:val="28"/>
          <w:lang w:val="en-US" w:eastAsia="zh-CN"/>
          <w14:ligatures w14:val="none"/>
        </w:rPr>
        <w:t>及一条架空电力线</w:t>
      </w:r>
      <w:r>
        <w:rPr>
          <w:rFonts w:hint="eastAsia" w:ascii="Times New Roman" w:hAnsi="Times New Roman" w:eastAsia="宋体" w:cs="Times New Roman"/>
          <w:sz w:val="28"/>
          <w:szCs w:val="28"/>
          <w:lang w:eastAsia="zh-CN"/>
          <w14:ligatures w14:val="none"/>
        </w:rPr>
        <w:t>，西侧为前阳老煤场</w:t>
      </w:r>
      <w:r>
        <w:rPr>
          <w:rFonts w:hint="eastAsia" w:ascii="Times New Roman" w:hAnsi="Times New Roman" w:eastAsia="宋体" w:cs="Times New Roman"/>
          <w:sz w:val="28"/>
          <w:szCs w:val="28"/>
          <w:lang w:val="en-US" w:eastAsia="zh-CN"/>
          <w14:ligatures w14:val="none"/>
        </w:rPr>
        <w:t>仓库</w:t>
      </w:r>
      <w:r>
        <w:rPr>
          <w:rFonts w:hint="eastAsia" w:ascii="Times New Roman" w:hAnsi="Times New Roman" w:eastAsia="宋体" w:cs="Times New Roman"/>
          <w:sz w:val="28"/>
          <w:szCs w:val="28"/>
          <w:lang w:eastAsia="zh-CN"/>
          <w14:ligatures w14:val="none"/>
        </w:rPr>
        <w:t>。</w:t>
      </w:r>
    </w:p>
    <w:p w14:paraId="01C89E24">
      <w:pPr>
        <w:rPr>
          <w:rFonts w:hint="eastAsia"/>
          <w:lang w:eastAsia="zh-CN"/>
        </w:rPr>
      </w:pPr>
      <w:r>
        <w:rPr>
          <w:rFonts w:hint="eastAsia" w:ascii="Times New Roman" w:hAnsi="Times New Roman" w:eastAsia="宋体" w:cs="Times New Roman"/>
          <w:sz w:val="28"/>
          <w:szCs w:val="28"/>
          <w:lang w:eastAsia="zh-CN"/>
          <w14:ligatures w14:val="none"/>
        </w:rPr>
        <w:t>其周边环境情况示意图见图2.1-2；总平面布置情况，见图2</w:t>
      </w:r>
      <w:r>
        <w:rPr>
          <w:rFonts w:hint="eastAsia" w:ascii="Times New Roman" w:hAnsi="Times New Roman" w:eastAsia="宋体" w:cs="Times New Roman"/>
          <w:sz w:val="28"/>
          <w:szCs w:val="28"/>
          <w:lang w:val="en-US" w:eastAsia="zh-CN"/>
          <w14:ligatures w14:val="none"/>
        </w:rPr>
        <w:t>.1</w:t>
      </w:r>
      <w:r>
        <w:rPr>
          <w:rFonts w:hint="eastAsia" w:ascii="Times New Roman" w:hAnsi="Times New Roman" w:eastAsia="宋体" w:cs="Times New Roman"/>
          <w:sz w:val="28"/>
          <w:szCs w:val="28"/>
          <w:lang w:eastAsia="zh-CN"/>
          <w14:ligatures w14:val="none"/>
        </w:rPr>
        <w:t>-3。厂内设施与厂外建（构）筑物、厂内建（构）筑物之间的防火间距见下表2.1-</w:t>
      </w:r>
      <w:r>
        <w:rPr>
          <w:rFonts w:hint="eastAsia" w:ascii="Times New Roman" w:hAnsi="Times New Roman" w:eastAsia="宋体" w:cs="Times New Roman"/>
          <w:sz w:val="28"/>
          <w:szCs w:val="28"/>
          <w:lang w:val="en-US" w:eastAsia="zh-CN"/>
          <w14:ligatures w14:val="none"/>
        </w:rPr>
        <w:t>1</w:t>
      </w:r>
      <w:r>
        <w:rPr>
          <w:rFonts w:hint="eastAsia" w:ascii="Times New Roman" w:hAnsi="Times New Roman" w:eastAsia="宋体" w:cs="Times New Roman"/>
          <w:sz w:val="28"/>
          <w:szCs w:val="28"/>
          <w:lang w:eastAsia="zh-CN"/>
          <w14:ligatures w14:val="none"/>
        </w:rPr>
        <w:t>、表2.1-</w:t>
      </w:r>
      <w:r>
        <w:rPr>
          <w:rFonts w:hint="eastAsia" w:ascii="Times New Roman" w:hAnsi="Times New Roman" w:eastAsia="宋体" w:cs="Times New Roman"/>
          <w:sz w:val="28"/>
          <w:szCs w:val="28"/>
          <w:lang w:val="en-US" w:eastAsia="zh-CN"/>
          <w14:ligatures w14:val="none"/>
        </w:rPr>
        <w:t>2</w:t>
      </w:r>
      <w:r>
        <w:rPr>
          <w:rFonts w:hint="eastAsia" w:ascii="Times New Roman" w:hAnsi="Times New Roman" w:eastAsia="宋体" w:cs="Times New Roman"/>
          <w:sz w:val="28"/>
          <w:szCs w:val="28"/>
          <w:lang w:eastAsia="zh-CN"/>
          <w14:ligatures w14:val="none"/>
        </w:rPr>
        <w:t>。</w:t>
      </w:r>
    </w:p>
    <w:p w14:paraId="7BCE381D">
      <w:pPr>
        <w:pStyle w:val="34"/>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图</w:t>
      </w:r>
      <w:r>
        <w:rPr>
          <w:rFonts w:eastAsia="黑体" w:cs="Times New Roman"/>
          <w:sz w:val="24"/>
        </w:rPr>
        <w:t>2.</w:t>
      </w:r>
      <w:r>
        <w:rPr>
          <w:rFonts w:hint="eastAsia" w:eastAsia="黑体" w:cs="Times New Roman"/>
          <w:sz w:val="24"/>
          <w:lang w:val="en-US" w:eastAsia="zh-CN"/>
        </w:rPr>
        <w:t>1</w:t>
      </w:r>
      <w:r>
        <w:rPr>
          <w:rFonts w:eastAsia="黑体" w:cs="Times New Roman"/>
          <w:sz w:val="24"/>
        </w:rPr>
        <w:t>-2</w:t>
      </w:r>
      <w:r>
        <w:rPr>
          <w:rFonts w:hint="eastAsia" w:ascii="黑体" w:hAnsi="黑体" w:eastAsia="黑体"/>
          <w:sz w:val="24"/>
        </w:rPr>
        <w:t xml:space="preserve">  周边环境情况示意图</w:t>
      </w:r>
    </w:p>
    <w:p w14:paraId="7107540F">
      <w:pPr>
        <w:pStyle w:val="34"/>
        <w:keepNext/>
        <w:keepLines/>
        <w:spacing w:before="156" w:beforeLines="50" w:after="156" w:afterLines="50" w:line="240" w:lineRule="auto"/>
        <w:ind w:firstLine="0" w:firstLineChars="0"/>
        <w:jc w:val="center"/>
        <w:rPr>
          <w:rFonts w:hint="default" w:ascii="Times New Roman" w:hAnsi="Times New Roman" w:eastAsia="黑体" w:cs="Times New Roman"/>
          <w:sz w:val="24"/>
        </w:rPr>
      </w:pPr>
      <w:r>
        <w:rPr>
          <w:rFonts w:hint="default" w:ascii="Times New Roman" w:hAnsi="Times New Roman" w:eastAsia="黑体" w:cs="Times New Roman"/>
          <w:sz w:val="24"/>
        </w:rPr>
        <w:t>表2.</w:t>
      </w:r>
      <w:r>
        <w:rPr>
          <w:rFonts w:hint="eastAsia" w:eastAsia="黑体" w:cs="Times New Roman"/>
          <w:sz w:val="24"/>
          <w:lang w:val="en-US" w:eastAsia="zh-CN"/>
        </w:rPr>
        <w:t>1</w:t>
      </w:r>
      <w:r>
        <w:rPr>
          <w:rFonts w:hint="default" w:ascii="Times New Roman" w:hAnsi="Times New Roman" w:eastAsia="黑体" w:cs="Times New Roman"/>
          <w:sz w:val="24"/>
        </w:rPr>
        <w:t>-1  厂内建（构）筑物与厂外周边情况距离表</w:t>
      </w:r>
    </w:p>
    <w:tbl>
      <w:tblPr>
        <w:tblStyle w:val="1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9"/>
        <w:gridCol w:w="482"/>
        <w:gridCol w:w="2034"/>
        <w:gridCol w:w="2030"/>
        <w:gridCol w:w="727"/>
        <w:gridCol w:w="728"/>
        <w:gridCol w:w="1711"/>
      </w:tblGrid>
      <w:tr w14:paraId="37581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trPr>
        <w:tc>
          <w:tcPr>
            <w:tcW w:w="898" w:type="pct"/>
            <w:vAlign w:val="center"/>
          </w:tcPr>
          <w:p w14:paraId="01187623">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1"/>
                <w:lang w:val="en-US" w:eastAsia="zh-CN" w:bidi="ar"/>
                <w14:ligatures w14:val="standardContextual"/>
              </w:rPr>
              <w:t>建（构）筑物名称</w:t>
            </w:r>
          </w:p>
        </w:tc>
        <w:tc>
          <w:tcPr>
            <w:tcW w:w="256" w:type="pct"/>
            <w:vAlign w:val="center"/>
          </w:tcPr>
          <w:p w14:paraId="79D7985D">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1"/>
                <w:lang w:val="en-US" w:eastAsia="zh-CN" w:bidi="ar"/>
                <w14:ligatures w14:val="standardContextual"/>
              </w:rPr>
              <w:t>方位</w:t>
            </w:r>
          </w:p>
        </w:tc>
        <w:tc>
          <w:tcPr>
            <w:tcW w:w="1081" w:type="pct"/>
            <w:vAlign w:val="center"/>
          </w:tcPr>
          <w:p w14:paraId="7CABB9C6">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1"/>
                <w:lang w:val="en-US" w:eastAsia="zh-CN" w:bidi="ar"/>
                <w14:ligatures w14:val="standardContextual"/>
              </w:rPr>
              <w:t>厂外周边设施名称</w:t>
            </w:r>
          </w:p>
        </w:tc>
        <w:tc>
          <w:tcPr>
            <w:tcW w:w="1079" w:type="pct"/>
            <w:vAlign w:val="center"/>
          </w:tcPr>
          <w:p w14:paraId="1E594D33">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none"/>
              </w:rPr>
            </w:pPr>
            <w:r>
              <w:rPr>
                <w:rFonts w:hint="default" w:ascii="Times New Roman" w:hAnsi="Times New Roman" w:eastAsia="宋体" w:cs="Times New Roman"/>
                <w:kern w:val="2"/>
                <w:sz w:val="21"/>
                <w:szCs w:val="21"/>
                <w:lang w:val="en-US" w:eastAsia="zh-CN" w:bidi="ar"/>
                <w14:ligatures w14:val="none"/>
              </w:rPr>
              <w:t>类别</w:t>
            </w:r>
          </w:p>
        </w:tc>
        <w:tc>
          <w:tcPr>
            <w:tcW w:w="386" w:type="pct"/>
            <w:vAlign w:val="center"/>
          </w:tcPr>
          <w:p w14:paraId="4F977BC5">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none"/>
              </w:rPr>
            </w:pPr>
            <w:r>
              <w:rPr>
                <w:rFonts w:hint="default" w:ascii="Times New Roman" w:hAnsi="Times New Roman" w:eastAsia="宋体" w:cs="Times New Roman"/>
                <w:kern w:val="2"/>
                <w:sz w:val="21"/>
                <w:szCs w:val="21"/>
                <w:lang w:val="en-US" w:eastAsia="zh-CN" w:bidi="ar"/>
                <w14:ligatures w14:val="none"/>
              </w:rPr>
              <w:t>要求</w:t>
            </w:r>
          </w:p>
          <w:p w14:paraId="2DF4CFCF">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1"/>
                <w:lang w:val="en-US" w:eastAsia="zh-CN" w:bidi="ar"/>
                <w14:ligatures w14:val="standardContextual"/>
              </w:rPr>
              <w:t>距离</w:t>
            </w:r>
          </w:p>
        </w:tc>
        <w:tc>
          <w:tcPr>
            <w:tcW w:w="387" w:type="pct"/>
            <w:vAlign w:val="center"/>
          </w:tcPr>
          <w:p w14:paraId="456F1667">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none"/>
              </w:rPr>
            </w:pPr>
            <w:r>
              <w:rPr>
                <w:rFonts w:hint="default" w:ascii="Times New Roman" w:hAnsi="Times New Roman" w:eastAsia="宋体" w:cs="Times New Roman"/>
                <w:kern w:val="2"/>
                <w:sz w:val="21"/>
                <w:szCs w:val="21"/>
                <w:lang w:val="en-US" w:eastAsia="zh-CN" w:bidi="ar"/>
                <w14:ligatures w14:val="none"/>
              </w:rPr>
              <w:t>实际</w:t>
            </w:r>
          </w:p>
          <w:p w14:paraId="1F23222F">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1"/>
                <w:lang w:val="en-US" w:eastAsia="zh-CN" w:bidi="ar"/>
                <w14:ligatures w14:val="standardContextual"/>
              </w:rPr>
              <w:t>距离</w:t>
            </w:r>
          </w:p>
        </w:tc>
        <w:tc>
          <w:tcPr>
            <w:tcW w:w="910" w:type="pct"/>
            <w:vAlign w:val="center"/>
          </w:tcPr>
          <w:p w14:paraId="64797190">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1"/>
                <w:lang w:val="en-US" w:eastAsia="zh-CN" w:bidi="ar"/>
                <w14:ligatures w14:val="standardContextual"/>
              </w:rPr>
              <w:t>规范依据</w:t>
            </w:r>
          </w:p>
        </w:tc>
      </w:tr>
      <w:tr w14:paraId="0B85D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restart"/>
            <w:vAlign w:val="center"/>
          </w:tcPr>
          <w:p w14:paraId="16817159">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eastAsia" w:ascii="Times New Roman" w:hAnsi="Times New Roman" w:eastAsia="宋体" w:cs="Times New Roman"/>
                <w:kern w:val="2"/>
                <w:sz w:val="21"/>
                <w:szCs w:val="24"/>
                <w:lang w:val="en-US" w:eastAsia="zh-CN" w:bidi="ar-SA"/>
                <w14:ligatures w14:val="standardContextual"/>
              </w:rPr>
              <w:t>泵房（乙类）</w:t>
            </w:r>
          </w:p>
        </w:tc>
        <w:tc>
          <w:tcPr>
            <w:tcW w:w="256" w:type="pct"/>
            <w:vMerge w:val="restart"/>
            <w:vAlign w:val="center"/>
          </w:tcPr>
          <w:p w14:paraId="45A95EFE">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北</w:t>
            </w:r>
          </w:p>
        </w:tc>
        <w:tc>
          <w:tcPr>
            <w:tcW w:w="1081" w:type="pct"/>
            <w:vAlign w:val="center"/>
          </w:tcPr>
          <w:p w14:paraId="595D1297">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铁路线</w:t>
            </w:r>
          </w:p>
        </w:tc>
        <w:tc>
          <w:tcPr>
            <w:tcW w:w="1079" w:type="pct"/>
            <w:vAlign w:val="center"/>
          </w:tcPr>
          <w:p w14:paraId="5FBEDFE0">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国家铁路线</w:t>
            </w:r>
          </w:p>
        </w:tc>
        <w:tc>
          <w:tcPr>
            <w:tcW w:w="386" w:type="pct"/>
            <w:vAlign w:val="center"/>
          </w:tcPr>
          <w:p w14:paraId="09106CD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kern w:val="2"/>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38</w:t>
            </w:r>
          </w:p>
        </w:tc>
        <w:tc>
          <w:tcPr>
            <w:tcW w:w="387" w:type="pct"/>
            <w:vAlign w:val="center"/>
          </w:tcPr>
          <w:p w14:paraId="1BE1F8E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kern w:val="2"/>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61.3</w:t>
            </w:r>
          </w:p>
        </w:tc>
        <w:tc>
          <w:tcPr>
            <w:tcW w:w="910" w:type="pct"/>
            <w:vAlign w:val="center"/>
          </w:tcPr>
          <w:p w14:paraId="04BA0278">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2D352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706D011E">
            <w:pPr>
              <w:widowControl w:val="0"/>
              <w:spacing w:after="0" w:line="240" w:lineRule="auto"/>
              <w:ind w:firstLine="0" w:firstLineChars="0"/>
              <w:jc w:val="center"/>
              <w:rPr>
                <w:rFonts w:hint="eastAsia"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3F69E31F">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p>
        </w:tc>
        <w:tc>
          <w:tcPr>
            <w:tcW w:w="1081" w:type="pct"/>
            <w:vAlign w:val="center"/>
          </w:tcPr>
          <w:p w14:paraId="59837207">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前阳老煤厂</w:t>
            </w:r>
          </w:p>
        </w:tc>
        <w:tc>
          <w:tcPr>
            <w:tcW w:w="1079" w:type="pct"/>
            <w:vAlign w:val="center"/>
          </w:tcPr>
          <w:p w14:paraId="6765D605">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工矿企业</w:t>
            </w:r>
          </w:p>
        </w:tc>
        <w:tc>
          <w:tcPr>
            <w:tcW w:w="386" w:type="pct"/>
            <w:vAlign w:val="center"/>
          </w:tcPr>
          <w:p w14:paraId="442235B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26</w:t>
            </w:r>
          </w:p>
        </w:tc>
        <w:tc>
          <w:tcPr>
            <w:tcW w:w="387" w:type="pct"/>
            <w:vAlign w:val="center"/>
          </w:tcPr>
          <w:p w14:paraId="20B43E3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kern w:val="2"/>
                <w:sz w:val="21"/>
                <w:szCs w:val="21"/>
                <w:lang w:val="en-US" w:eastAsia="zh-CN" w:bidi="ar"/>
                <w14:ligatures w14:val="standardContextual"/>
              </w:rPr>
              <w:t>41.5</w:t>
            </w:r>
          </w:p>
        </w:tc>
        <w:tc>
          <w:tcPr>
            <w:tcW w:w="910" w:type="pct"/>
            <w:vAlign w:val="center"/>
          </w:tcPr>
          <w:p w14:paraId="0D80BA79">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3249B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5DE51373">
            <w:pPr>
              <w:widowControl w:val="0"/>
              <w:spacing w:after="0" w:line="240" w:lineRule="auto"/>
              <w:ind w:firstLine="0" w:firstLineChars="0"/>
              <w:jc w:val="center"/>
              <w:rPr>
                <w:rFonts w:hint="eastAsia"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61072A30">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p>
        </w:tc>
        <w:tc>
          <w:tcPr>
            <w:tcW w:w="1081" w:type="pct"/>
            <w:vAlign w:val="center"/>
          </w:tcPr>
          <w:p w14:paraId="6CE12B87">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架空通讯线</w:t>
            </w:r>
          </w:p>
          <w:p w14:paraId="4C150F25">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（H＝6m）</w:t>
            </w:r>
          </w:p>
        </w:tc>
        <w:tc>
          <w:tcPr>
            <w:tcW w:w="1079" w:type="pct"/>
            <w:vAlign w:val="center"/>
          </w:tcPr>
          <w:p w14:paraId="254A0B90">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架空通讯线</w:t>
            </w:r>
          </w:p>
        </w:tc>
        <w:tc>
          <w:tcPr>
            <w:tcW w:w="386" w:type="pct"/>
            <w:vAlign w:val="center"/>
          </w:tcPr>
          <w:p w14:paraId="4BBD89C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1.0H＝6</w:t>
            </w:r>
          </w:p>
        </w:tc>
        <w:tc>
          <w:tcPr>
            <w:tcW w:w="387" w:type="pct"/>
            <w:vAlign w:val="center"/>
          </w:tcPr>
          <w:p w14:paraId="678FF71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33.5</w:t>
            </w:r>
          </w:p>
        </w:tc>
        <w:tc>
          <w:tcPr>
            <w:tcW w:w="910" w:type="pct"/>
            <w:vAlign w:val="center"/>
          </w:tcPr>
          <w:p w14:paraId="0FE9284F">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②</w:t>
            </w:r>
          </w:p>
        </w:tc>
      </w:tr>
      <w:tr w14:paraId="0E8EA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5D8C008C">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restart"/>
            <w:vAlign w:val="center"/>
          </w:tcPr>
          <w:p w14:paraId="4C3BD725">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default" w:ascii="Times New Roman" w:hAnsi="Times New Roman" w:eastAsia="宋体" w:cs="Times New Roman"/>
                <w:kern w:val="2"/>
                <w:sz w:val="21"/>
                <w:szCs w:val="21"/>
                <w:lang w:val="en-US" w:eastAsia="zh-CN" w:bidi="ar"/>
                <w14:ligatures w14:val="standardContextual"/>
              </w:rPr>
              <w:t>南</w:t>
            </w:r>
          </w:p>
        </w:tc>
        <w:tc>
          <w:tcPr>
            <w:tcW w:w="1081" w:type="pct"/>
            <w:vAlign w:val="center"/>
          </w:tcPr>
          <w:p w14:paraId="63B847DF">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居民区</w:t>
            </w:r>
          </w:p>
        </w:tc>
        <w:tc>
          <w:tcPr>
            <w:tcW w:w="1079" w:type="pct"/>
            <w:vAlign w:val="center"/>
          </w:tcPr>
          <w:p w14:paraId="4DDD4A15">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居住区</w:t>
            </w:r>
          </w:p>
          <w:p w14:paraId="54C1D8F1">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（多于100人）</w:t>
            </w:r>
          </w:p>
        </w:tc>
        <w:tc>
          <w:tcPr>
            <w:tcW w:w="386" w:type="pct"/>
            <w:vAlign w:val="center"/>
          </w:tcPr>
          <w:p w14:paraId="2F0484B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kern w:val="2"/>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53</w:t>
            </w:r>
          </w:p>
        </w:tc>
        <w:tc>
          <w:tcPr>
            <w:tcW w:w="387" w:type="pct"/>
            <w:vAlign w:val="center"/>
          </w:tcPr>
          <w:p w14:paraId="4EA433A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kern w:val="2"/>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154.2</w:t>
            </w:r>
          </w:p>
        </w:tc>
        <w:tc>
          <w:tcPr>
            <w:tcW w:w="910" w:type="pct"/>
            <w:vAlign w:val="center"/>
          </w:tcPr>
          <w:p w14:paraId="43A8D6E1">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59EBB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05785A64">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32FA6786">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p>
        </w:tc>
        <w:tc>
          <w:tcPr>
            <w:tcW w:w="1081" w:type="pct"/>
            <w:vAlign w:val="center"/>
          </w:tcPr>
          <w:p w14:paraId="76D95334">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油库生活区</w:t>
            </w:r>
          </w:p>
        </w:tc>
        <w:tc>
          <w:tcPr>
            <w:tcW w:w="1079" w:type="pct"/>
            <w:vAlign w:val="center"/>
          </w:tcPr>
          <w:p w14:paraId="7DD70575">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居住区</w:t>
            </w:r>
          </w:p>
          <w:p w14:paraId="30ED2D87">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（少于100人）</w:t>
            </w:r>
          </w:p>
        </w:tc>
        <w:tc>
          <w:tcPr>
            <w:tcW w:w="386" w:type="pct"/>
            <w:vAlign w:val="center"/>
          </w:tcPr>
          <w:p w14:paraId="6AB3842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35</w:t>
            </w:r>
          </w:p>
        </w:tc>
        <w:tc>
          <w:tcPr>
            <w:tcW w:w="387" w:type="pct"/>
            <w:vAlign w:val="center"/>
          </w:tcPr>
          <w:p w14:paraId="0911670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126.7</w:t>
            </w:r>
          </w:p>
        </w:tc>
        <w:tc>
          <w:tcPr>
            <w:tcW w:w="910" w:type="pct"/>
            <w:vAlign w:val="center"/>
          </w:tcPr>
          <w:p w14:paraId="71D882F5">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69FA7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0B188FA3">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3C4DC63B">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p>
        </w:tc>
        <w:tc>
          <w:tcPr>
            <w:tcW w:w="1081" w:type="pct"/>
            <w:vAlign w:val="center"/>
          </w:tcPr>
          <w:p w14:paraId="50DA4424">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w:t>
            </w:r>
          </w:p>
          <w:p w14:paraId="03BCB84F">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（H＝12m）</w:t>
            </w:r>
          </w:p>
        </w:tc>
        <w:tc>
          <w:tcPr>
            <w:tcW w:w="1079" w:type="pct"/>
            <w:vAlign w:val="center"/>
          </w:tcPr>
          <w:p w14:paraId="60010AA4">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架空电力线路</w:t>
            </w:r>
          </w:p>
        </w:tc>
        <w:tc>
          <w:tcPr>
            <w:tcW w:w="386" w:type="pct"/>
            <w:vAlign w:val="center"/>
          </w:tcPr>
          <w:p w14:paraId="0E88037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1.0H＝12</w:t>
            </w:r>
          </w:p>
        </w:tc>
        <w:tc>
          <w:tcPr>
            <w:tcW w:w="387" w:type="pct"/>
            <w:vAlign w:val="center"/>
          </w:tcPr>
          <w:p w14:paraId="67F7D64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120.9</w:t>
            </w:r>
          </w:p>
        </w:tc>
        <w:tc>
          <w:tcPr>
            <w:tcW w:w="910" w:type="pct"/>
            <w:vAlign w:val="center"/>
          </w:tcPr>
          <w:p w14:paraId="14794DB6">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②</w:t>
            </w:r>
          </w:p>
        </w:tc>
      </w:tr>
      <w:tr w14:paraId="551F2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66F1099C">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Align w:val="center"/>
          </w:tcPr>
          <w:p w14:paraId="656EFDD7">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default" w:ascii="Times New Roman" w:hAnsi="Times New Roman" w:eastAsia="宋体" w:cs="Times New Roman"/>
                <w:kern w:val="2"/>
                <w:sz w:val="21"/>
                <w:szCs w:val="21"/>
                <w:lang w:val="en-US" w:eastAsia="zh-CN" w:bidi="ar"/>
                <w14:ligatures w14:val="standardContextual"/>
              </w:rPr>
              <w:t>西</w:t>
            </w:r>
          </w:p>
        </w:tc>
        <w:tc>
          <w:tcPr>
            <w:tcW w:w="1081" w:type="pct"/>
            <w:vAlign w:val="center"/>
          </w:tcPr>
          <w:p w14:paraId="1A648F30">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仓库</w:t>
            </w:r>
          </w:p>
        </w:tc>
        <w:tc>
          <w:tcPr>
            <w:tcW w:w="1079" w:type="pct"/>
            <w:vAlign w:val="center"/>
          </w:tcPr>
          <w:p w14:paraId="27046A03">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工矿企业</w:t>
            </w:r>
          </w:p>
        </w:tc>
        <w:tc>
          <w:tcPr>
            <w:tcW w:w="386" w:type="pct"/>
            <w:vAlign w:val="center"/>
          </w:tcPr>
          <w:p w14:paraId="2646240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26</w:t>
            </w:r>
          </w:p>
        </w:tc>
        <w:tc>
          <w:tcPr>
            <w:tcW w:w="387" w:type="pct"/>
            <w:vAlign w:val="center"/>
          </w:tcPr>
          <w:p w14:paraId="773DDD2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81.1</w:t>
            </w:r>
          </w:p>
        </w:tc>
        <w:tc>
          <w:tcPr>
            <w:tcW w:w="910" w:type="pct"/>
            <w:vAlign w:val="center"/>
          </w:tcPr>
          <w:p w14:paraId="17A7ED00">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246F5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76EEABAC">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restart"/>
            <w:vAlign w:val="center"/>
          </w:tcPr>
          <w:p w14:paraId="0DB2E4EF">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东</w:t>
            </w:r>
          </w:p>
        </w:tc>
        <w:tc>
          <w:tcPr>
            <w:tcW w:w="1081" w:type="pct"/>
            <w:vAlign w:val="center"/>
          </w:tcPr>
          <w:p w14:paraId="3257394B">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w:t>
            </w:r>
          </w:p>
          <w:p w14:paraId="7B4CE8EA">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（H＝12m）</w:t>
            </w:r>
          </w:p>
        </w:tc>
        <w:tc>
          <w:tcPr>
            <w:tcW w:w="1079" w:type="pct"/>
            <w:vAlign w:val="center"/>
          </w:tcPr>
          <w:p w14:paraId="41303233">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架空电力线路</w:t>
            </w:r>
            <w:r>
              <w:rPr>
                <w:rFonts w:hint="default" w:ascii="Times New Roman" w:hAnsi="Times New Roman" w:eastAsia="宋体" w:cs="Times New Roman"/>
                <w:kern w:val="2"/>
                <w:sz w:val="21"/>
                <w:szCs w:val="21"/>
                <w:lang w:val="en-US" w:eastAsia="zh-CN" w:bidi="ar"/>
                <w14:ligatures w14:val="standardContextual"/>
              </w:rPr>
              <w:t>-</w:t>
            </w:r>
          </w:p>
        </w:tc>
        <w:tc>
          <w:tcPr>
            <w:tcW w:w="386" w:type="pct"/>
            <w:vAlign w:val="center"/>
          </w:tcPr>
          <w:p w14:paraId="78C61CC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kern w:val="2"/>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1.0H＝12</w:t>
            </w:r>
          </w:p>
        </w:tc>
        <w:tc>
          <w:tcPr>
            <w:tcW w:w="387" w:type="pct"/>
            <w:vAlign w:val="center"/>
          </w:tcPr>
          <w:p w14:paraId="60B0A6A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kern w:val="2"/>
                <w:sz w:val="21"/>
                <w:szCs w:val="21"/>
                <w:lang w:val="en-US" w:eastAsia="en-US"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60.4</w:t>
            </w:r>
          </w:p>
        </w:tc>
        <w:tc>
          <w:tcPr>
            <w:tcW w:w="910" w:type="pct"/>
            <w:vAlign w:val="center"/>
          </w:tcPr>
          <w:p w14:paraId="745B1DB7">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②</w:t>
            </w:r>
          </w:p>
        </w:tc>
      </w:tr>
      <w:tr w14:paraId="070EB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16B0EF99">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798FB6C7">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p>
        </w:tc>
        <w:tc>
          <w:tcPr>
            <w:tcW w:w="1081" w:type="pct"/>
            <w:vAlign w:val="center"/>
          </w:tcPr>
          <w:p w14:paraId="3E165E0B">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部队用房</w:t>
            </w:r>
          </w:p>
        </w:tc>
        <w:tc>
          <w:tcPr>
            <w:tcW w:w="1079" w:type="pct"/>
            <w:vAlign w:val="center"/>
          </w:tcPr>
          <w:p w14:paraId="7FE073EE">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公共建筑物</w:t>
            </w:r>
          </w:p>
        </w:tc>
        <w:tc>
          <w:tcPr>
            <w:tcW w:w="386" w:type="pct"/>
            <w:vAlign w:val="center"/>
          </w:tcPr>
          <w:p w14:paraId="3BA6E52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53</w:t>
            </w:r>
          </w:p>
        </w:tc>
        <w:tc>
          <w:tcPr>
            <w:tcW w:w="387" w:type="pct"/>
            <w:vAlign w:val="center"/>
          </w:tcPr>
          <w:p w14:paraId="09330D0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150.6</w:t>
            </w:r>
          </w:p>
        </w:tc>
        <w:tc>
          <w:tcPr>
            <w:tcW w:w="910" w:type="pct"/>
            <w:vAlign w:val="center"/>
          </w:tcPr>
          <w:p w14:paraId="7B40BD8E">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7D0F3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6D161747">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61680F2A">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p>
        </w:tc>
        <w:tc>
          <w:tcPr>
            <w:tcW w:w="1081" w:type="pct"/>
            <w:vAlign w:val="center"/>
          </w:tcPr>
          <w:p w14:paraId="483B0915">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部队车库</w:t>
            </w:r>
          </w:p>
        </w:tc>
        <w:tc>
          <w:tcPr>
            <w:tcW w:w="1079" w:type="pct"/>
            <w:vAlign w:val="center"/>
          </w:tcPr>
          <w:p w14:paraId="6FA4F9B7">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公共建筑物</w:t>
            </w:r>
          </w:p>
        </w:tc>
        <w:tc>
          <w:tcPr>
            <w:tcW w:w="386" w:type="pct"/>
            <w:vAlign w:val="center"/>
          </w:tcPr>
          <w:p w14:paraId="0806009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53</w:t>
            </w:r>
          </w:p>
        </w:tc>
        <w:tc>
          <w:tcPr>
            <w:tcW w:w="387" w:type="pct"/>
            <w:vAlign w:val="center"/>
          </w:tcPr>
          <w:p w14:paraId="3E53FE1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150</w:t>
            </w:r>
          </w:p>
        </w:tc>
        <w:tc>
          <w:tcPr>
            <w:tcW w:w="910" w:type="pct"/>
            <w:vAlign w:val="center"/>
          </w:tcPr>
          <w:p w14:paraId="513BD7AF">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3B6EE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restart"/>
            <w:vAlign w:val="center"/>
          </w:tcPr>
          <w:p w14:paraId="0852B817">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eastAsia" w:ascii="Times New Roman" w:hAnsi="Times New Roman" w:eastAsia="宋体" w:cs="Times New Roman"/>
                <w:kern w:val="2"/>
                <w:sz w:val="21"/>
                <w:szCs w:val="24"/>
                <w:lang w:val="en-US" w:eastAsia="zh-CN" w:bidi="ar-SA"/>
                <w14:ligatures w14:val="standardContextual"/>
              </w:rPr>
              <w:t>装卸车棚（乙类）</w:t>
            </w:r>
          </w:p>
        </w:tc>
        <w:tc>
          <w:tcPr>
            <w:tcW w:w="256" w:type="pct"/>
            <w:vMerge w:val="restart"/>
            <w:vAlign w:val="center"/>
          </w:tcPr>
          <w:p w14:paraId="1A517FC8">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北</w:t>
            </w:r>
          </w:p>
        </w:tc>
        <w:tc>
          <w:tcPr>
            <w:tcW w:w="1081" w:type="pct"/>
            <w:vAlign w:val="center"/>
          </w:tcPr>
          <w:p w14:paraId="67A88815">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铁路线</w:t>
            </w:r>
          </w:p>
        </w:tc>
        <w:tc>
          <w:tcPr>
            <w:tcW w:w="1079" w:type="pct"/>
            <w:vAlign w:val="center"/>
          </w:tcPr>
          <w:p w14:paraId="257189FA">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国家铁路线</w:t>
            </w:r>
          </w:p>
        </w:tc>
        <w:tc>
          <w:tcPr>
            <w:tcW w:w="386" w:type="pct"/>
            <w:vAlign w:val="center"/>
          </w:tcPr>
          <w:p w14:paraId="04D3D99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38</w:t>
            </w:r>
          </w:p>
        </w:tc>
        <w:tc>
          <w:tcPr>
            <w:tcW w:w="387" w:type="pct"/>
            <w:vAlign w:val="center"/>
          </w:tcPr>
          <w:p w14:paraId="00ADFFB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104.7</w:t>
            </w:r>
          </w:p>
        </w:tc>
        <w:tc>
          <w:tcPr>
            <w:tcW w:w="910" w:type="pct"/>
            <w:vAlign w:val="center"/>
          </w:tcPr>
          <w:p w14:paraId="2F7EA68C">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eastAsia" w:ascii="Times New Roman" w:hAnsi="Times New Roman" w:eastAsia="宋体" w:cs="Times New Roman"/>
                <w:sz w:val="21"/>
                <w:szCs w:val="21"/>
                <w:lang w:eastAsia="zh-CN" w:bidi="ar"/>
              </w:rPr>
            </w:pPr>
            <w:r>
              <w:rPr>
                <w:rFonts w:hint="default" w:ascii="Times New Roman" w:hAnsi="Times New Roman" w:cs="Times New Roman"/>
                <w:sz w:val="21"/>
                <w:szCs w:val="21"/>
                <w:lang w:bidi="ar"/>
              </w:rPr>
              <w:t>①</w:t>
            </w:r>
          </w:p>
        </w:tc>
      </w:tr>
      <w:tr w14:paraId="73307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620246E1">
            <w:pPr>
              <w:widowControl w:val="0"/>
              <w:spacing w:after="0" w:line="240" w:lineRule="auto"/>
              <w:ind w:firstLine="0" w:firstLineChars="0"/>
              <w:jc w:val="center"/>
              <w:rPr>
                <w:rFonts w:hint="eastAsia"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4DDC18B8">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p>
        </w:tc>
        <w:tc>
          <w:tcPr>
            <w:tcW w:w="1081" w:type="pct"/>
            <w:vAlign w:val="center"/>
          </w:tcPr>
          <w:p w14:paraId="0A6D9309">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前阳老煤厂</w:t>
            </w:r>
          </w:p>
        </w:tc>
        <w:tc>
          <w:tcPr>
            <w:tcW w:w="1079" w:type="pct"/>
            <w:vAlign w:val="center"/>
          </w:tcPr>
          <w:p w14:paraId="1206862E">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工矿企业</w:t>
            </w:r>
          </w:p>
        </w:tc>
        <w:tc>
          <w:tcPr>
            <w:tcW w:w="386" w:type="pct"/>
            <w:vAlign w:val="center"/>
          </w:tcPr>
          <w:p w14:paraId="0CF7848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26</w:t>
            </w:r>
          </w:p>
        </w:tc>
        <w:tc>
          <w:tcPr>
            <w:tcW w:w="387" w:type="pct"/>
            <w:vAlign w:val="center"/>
          </w:tcPr>
          <w:p w14:paraId="676EAC5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kern w:val="2"/>
                <w:sz w:val="21"/>
                <w:szCs w:val="21"/>
                <w:lang w:val="en-US" w:eastAsia="zh-CN" w:bidi="ar"/>
                <w14:ligatures w14:val="standardContextual"/>
              </w:rPr>
              <w:t>46.4</w:t>
            </w:r>
          </w:p>
        </w:tc>
        <w:tc>
          <w:tcPr>
            <w:tcW w:w="910" w:type="pct"/>
            <w:vAlign w:val="center"/>
          </w:tcPr>
          <w:p w14:paraId="359D292D">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30782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70A6AA71">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0FEF75D8">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p>
        </w:tc>
        <w:tc>
          <w:tcPr>
            <w:tcW w:w="1081" w:type="pct"/>
            <w:vAlign w:val="center"/>
          </w:tcPr>
          <w:p w14:paraId="2047D686">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架空通讯线</w:t>
            </w:r>
          </w:p>
          <w:p w14:paraId="0C7F6ADD">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（H＝6m）</w:t>
            </w:r>
          </w:p>
        </w:tc>
        <w:tc>
          <w:tcPr>
            <w:tcW w:w="1079" w:type="pct"/>
            <w:vAlign w:val="center"/>
          </w:tcPr>
          <w:p w14:paraId="4836E61D">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架空通讯线</w:t>
            </w:r>
          </w:p>
        </w:tc>
        <w:tc>
          <w:tcPr>
            <w:tcW w:w="386" w:type="pct"/>
            <w:vAlign w:val="center"/>
          </w:tcPr>
          <w:p w14:paraId="4E9738F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1.0H＝6</w:t>
            </w:r>
          </w:p>
        </w:tc>
        <w:tc>
          <w:tcPr>
            <w:tcW w:w="387" w:type="pct"/>
            <w:vAlign w:val="center"/>
          </w:tcPr>
          <w:p w14:paraId="30826DF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70.3</w:t>
            </w:r>
          </w:p>
        </w:tc>
        <w:tc>
          <w:tcPr>
            <w:tcW w:w="910" w:type="pct"/>
            <w:vAlign w:val="center"/>
          </w:tcPr>
          <w:p w14:paraId="3A48D5D5">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eastAsia" w:ascii="Times New Roman" w:hAnsi="Times New Roman" w:eastAsia="宋体" w:cs="Times New Roman"/>
                <w:sz w:val="21"/>
                <w:szCs w:val="21"/>
                <w:lang w:eastAsia="zh-CN" w:bidi="ar"/>
              </w:rPr>
            </w:pPr>
            <w:r>
              <w:rPr>
                <w:rFonts w:hint="default" w:ascii="Times New Roman" w:hAnsi="Times New Roman" w:cs="Times New Roman"/>
                <w:sz w:val="21"/>
                <w:szCs w:val="21"/>
                <w:lang w:bidi="ar"/>
              </w:rPr>
              <w:t>②</w:t>
            </w:r>
          </w:p>
        </w:tc>
      </w:tr>
      <w:tr w14:paraId="719B3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5A04646D">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restart"/>
            <w:vAlign w:val="center"/>
          </w:tcPr>
          <w:p w14:paraId="3FA2F5AB">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default" w:ascii="Times New Roman" w:hAnsi="Times New Roman" w:eastAsia="宋体" w:cs="Times New Roman"/>
                <w:kern w:val="2"/>
                <w:sz w:val="21"/>
                <w:szCs w:val="21"/>
                <w:lang w:val="en-US" w:eastAsia="zh-CN" w:bidi="ar"/>
                <w14:ligatures w14:val="standardContextual"/>
              </w:rPr>
              <w:t>南</w:t>
            </w:r>
          </w:p>
        </w:tc>
        <w:tc>
          <w:tcPr>
            <w:tcW w:w="1081" w:type="pct"/>
            <w:vAlign w:val="center"/>
          </w:tcPr>
          <w:p w14:paraId="273EADD2">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居民区</w:t>
            </w:r>
          </w:p>
        </w:tc>
        <w:tc>
          <w:tcPr>
            <w:tcW w:w="1079" w:type="pct"/>
            <w:vAlign w:val="center"/>
          </w:tcPr>
          <w:p w14:paraId="49E3BC8D">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居住区</w:t>
            </w:r>
          </w:p>
          <w:p w14:paraId="1FD11D61">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（多于100人）</w:t>
            </w:r>
          </w:p>
        </w:tc>
        <w:tc>
          <w:tcPr>
            <w:tcW w:w="386" w:type="pct"/>
            <w:vAlign w:val="center"/>
          </w:tcPr>
          <w:p w14:paraId="2F99C46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53</w:t>
            </w:r>
          </w:p>
        </w:tc>
        <w:tc>
          <w:tcPr>
            <w:tcW w:w="387" w:type="pct"/>
            <w:vAlign w:val="center"/>
          </w:tcPr>
          <w:p w14:paraId="6970037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81.5</w:t>
            </w:r>
          </w:p>
        </w:tc>
        <w:tc>
          <w:tcPr>
            <w:tcW w:w="910" w:type="pct"/>
            <w:vAlign w:val="center"/>
          </w:tcPr>
          <w:p w14:paraId="7B210836">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eastAsia="宋体" w:cs="Times New Roman"/>
                <w:kern w:val="2"/>
                <w:sz w:val="21"/>
                <w:szCs w:val="21"/>
                <w:lang w:val="en-US" w:eastAsia="zh-CN" w:bidi="ar"/>
                <w14:ligatures w14:val="standardContextual"/>
              </w:rPr>
            </w:pPr>
            <w:r>
              <w:rPr>
                <w:rFonts w:hint="default" w:ascii="Times New Roman" w:hAnsi="Times New Roman" w:cs="Times New Roman"/>
                <w:sz w:val="21"/>
                <w:szCs w:val="21"/>
                <w:lang w:bidi="ar"/>
              </w:rPr>
              <w:t>①</w:t>
            </w:r>
          </w:p>
        </w:tc>
      </w:tr>
      <w:tr w14:paraId="3DB03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21905A0D">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58DE2935">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p>
        </w:tc>
        <w:tc>
          <w:tcPr>
            <w:tcW w:w="1081" w:type="pct"/>
            <w:vAlign w:val="center"/>
          </w:tcPr>
          <w:p w14:paraId="72913CB6">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油库生活区</w:t>
            </w:r>
          </w:p>
        </w:tc>
        <w:tc>
          <w:tcPr>
            <w:tcW w:w="1079" w:type="pct"/>
            <w:vAlign w:val="center"/>
          </w:tcPr>
          <w:p w14:paraId="686EFEE0">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居住区</w:t>
            </w:r>
          </w:p>
          <w:p w14:paraId="411C28C5">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（少于100人）</w:t>
            </w:r>
          </w:p>
        </w:tc>
        <w:tc>
          <w:tcPr>
            <w:tcW w:w="386" w:type="pct"/>
            <w:vAlign w:val="center"/>
          </w:tcPr>
          <w:p w14:paraId="6DF4AA8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35</w:t>
            </w:r>
          </w:p>
        </w:tc>
        <w:tc>
          <w:tcPr>
            <w:tcW w:w="387" w:type="pct"/>
            <w:vAlign w:val="center"/>
          </w:tcPr>
          <w:p w14:paraId="140B78C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70.8</w:t>
            </w:r>
          </w:p>
        </w:tc>
        <w:tc>
          <w:tcPr>
            <w:tcW w:w="910" w:type="pct"/>
            <w:vAlign w:val="center"/>
          </w:tcPr>
          <w:p w14:paraId="721B5F8E">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76CF1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7B4E190E">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20EE5A1C">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p>
        </w:tc>
        <w:tc>
          <w:tcPr>
            <w:tcW w:w="1081" w:type="pct"/>
            <w:vAlign w:val="center"/>
          </w:tcPr>
          <w:p w14:paraId="67D6EB1A">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w:t>
            </w:r>
          </w:p>
          <w:p w14:paraId="0A5E5DA7">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（H＝12m）</w:t>
            </w:r>
          </w:p>
        </w:tc>
        <w:tc>
          <w:tcPr>
            <w:tcW w:w="1079" w:type="pct"/>
            <w:vAlign w:val="center"/>
          </w:tcPr>
          <w:p w14:paraId="379216C2">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架空电力线路</w:t>
            </w:r>
          </w:p>
        </w:tc>
        <w:tc>
          <w:tcPr>
            <w:tcW w:w="386" w:type="pct"/>
            <w:vAlign w:val="center"/>
          </w:tcPr>
          <w:p w14:paraId="69A179F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1.0H＝12</w:t>
            </w:r>
          </w:p>
        </w:tc>
        <w:tc>
          <w:tcPr>
            <w:tcW w:w="387" w:type="pct"/>
            <w:vAlign w:val="center"/>
          </w:tcPr>
          <w:p w14:paraId="1491F90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61.8</w:t>
            </w:r>
          </w:p>
        </w:tc>
        <w:tc>
          <w:tcPr>
            <w:tcW w:w="910" w:type="pct"/>
            <w:vAlign w:val="center"/>
          </w:tcPr>
          <w:p w14:paraId="7BE0EAE0">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②</w:t>
            </w:r>
          </w:p>
        </w:tc>
      </w:tr>
      <w:tr w14:paraId="0ED6F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7AB5DA7A">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Align w:val="center"/>
          </w:tcPr>
          <w:p w14:paraId="48172885">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default" w:ascii="Times New Roman" w:hAnsi="Times New Roman" w:eastAsia="宋体" w:cs="Times New Roman"/>
                <w:kern w:val="2"/>
                <w:sz w:val="21"/>
                <w:szCs w:val="21"/>
                <w:lang w:val="en-US" w:eastAsia="zh-CN" w:bidi="ar"/>
                <w14:ligatures w14:val="standardContextual"/>
              </w:rPr>
              <w:t>西</w:t>
            </w:r>
          </w:p>
        </w:tc>
        <w:tc>
          <w:tcPr>
            <w:tcW w:w="1081" w:type="pct"/>
            <w:vAlign w:val="center"/>
          </w:tcPr>
          <w:p w14:paraId="35810CC6">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仓库</w:t>
            </w:r>
          </w:p>
        </w:tc>
        <w:tc>
          <w:tcPr>
            <w:tcW w:w="1079" w:type="pct"/>
            <w:vAlign w:val="center"/>
          </w:tcPr>
          <w:p w14:paraId="680E74A4">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工矿企业</w:t>
            </w:r>
          </w:p>
        </w:tc>
        <w:tc>
          <w:tcPr>
            <w:tcW w:w="386" w:type="pct"/>
            <w:vAlign w:val="center"/>
          </w:tcPr>
          <w:p w14:paraId="43DADBD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26</w:t>
            </w:r>
          </w:p>
        </w:tc>
        <w:tc>
          <w:tcPr>
            <w:tcW w:w="387" w:type="pct"/>
            <w:vAlign w:val="center"/>
          </w:tcPr>
          <w:p w14:paraId="12F9635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30.7</w:t>
            </w:r>
          </w:p>
        </w:tc>
        <w:tc>
          <w:tcPr>
            <w:tcW w:w="910" w:type="pct"/>
            <w:vAlign w:val="center"/>
          </w:tcPr>
          <w:p w14:paraId="21611482">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eastAsia="宋体" w:cs="Times New Roman"/>
                <w:kern w:val="2"/>
                <w:sz w:val="21"/>
                <w:szCs w:val="21"/>
                <w:lang w:val="en-US" w:eastAsia="zh-CN" w:bidi="ar"/>
                <w14:ligatures w14:val="standardContextual"/>
              </w:rPr>
            </w:pPr>
            <w:r>
              <w:rPr>
                <w:rFonts w:hint="default" w:ascii="Times New Roman" w:hAnsi="Times New Roman" w:cs="Times New Roman"/>
                <w:sz w:val="21"/>
                <w:szCs w:val="21"/>
                <w:lang w:bidi="ar"/>
              </w:rPr>
              <w:t>①</w:t>
            </w:r>
          </w:p>
        </w:tc>
      </w:tr>
      <w:tr w14:paraId="7EF73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1B5D5BA5">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restart"/>
            <w:vAlign w:val="center"/>
          </w:tcPr>
          <w:p w14:paraId="3509783F">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东</w:t>
            </w:r>
          </w:p>
        </w:tc>
        <w:tc>
          <w:tcPr>
            <w:tcW w:w="1081" w:type="pct"/>
            <w:vAlign w:val="center"/>
          </w:tcPr>
          <w:p w14:paraId="5CF92CAF">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w:t>
            </w:r>
          </w:p>
          <w:p w14:paraId="3F164842">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（H＝12m）</w:t>
            </w:r>
          </w:p>
        </w:tc>
        <w:tc>
          <w:tcPr>
            <w:tcW w:w="1079" w:type="pct"/>
            <w:vAlign w:val="center"/>
          </w:tcPr>
          <w:p w14:paraId="7BB3AC13">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架空电力线路</w:t>
            </w:r>
            <w:r>
              <w:rPr>
                <w:rFonts w:hint="default" w:ascii="Times New Roman" w:hAnsi="Times New Roman" w:eastAsia="宋体" w:cs="Times New Roman"/>
                <w:kern w:val="2"/>
                <w:sz w:val="21"/>
                <w:szCs w:val="21"/>
                <w:lang w:val="en-US" w:eastAsia="zh-CN" w:bidi="ar"/>
                <w14:ligatures w14:val="standardContextual"/>
              </w:rPr>
              <w:t>-</w:t>
            </w:r>
          </w:p>
        </w:tc>
        <w:tc>
          <w:tcPr>
            <w:tcW w:w="386" w:type="pct"/>
            <w:vAlign w:val="center"/>
          </w:tcPr>
          <w:p w14:paraId="6AE3019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1.0H＝12</w:t>
            </w:r>
          </w:p>
        </w:tc>
        <w:tc>
          <w:tcPr>
            <w:tcW w:w="387" w:type="pct"/>
            <w:vAlign w:val="center"/>
          </w:tcPr>
          <w:p w14:paraId="14699B7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105.3</w:t>
            </w:r>
          </w:p>
        </w:tc>
        <w:tc>
          <w:tcPr>
            <w:tcW w:w="910" w:type="pct"/>
            <w:vAlign w:val="center"/>
          </w:tcPr>
          <w:p w14:paraId="22C7A138">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eastAsia="宋体" w:cs="Times New Roman"/>
                <w:kern w:val="2"/>
                <w:sz w:val="21"/>
                <w:szCs w:val="21"/>
                <w:lang w:val="en-US" w:eastAsia="zh-CN" w:bidi="ar"/>
                <w14:ligatures w14:val="standardContextual"/>
              </w:rPr>
            </w:pPr>
            <w:r>
              <w:rPr>
                <w:rFonts w:hint="default" w:ascii="Times New Roman" w:hAnsi="Times New Roman" w:cs="Times New Roman"/>
                <w:sz w:val="21"/>
                <w:szCs w:val="21"/>
                <w:lang w:bidi="ar"/>
              </w:rPr>
              <w:t>②</w:t>
            </w:r>
          </w:p>
        </w:tc>
      </w:tr>
      <w:tr w14:paraId="221D7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266597A5">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7644705E">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p>
        </w:tc>
        <w:tc>
          <w:tcPr>
            <w:tcW w:w="1081" w:type="pct"/>
            <w:vAlign w:val="center"/>
          </w:tcPr>
          <w:p w14:paraId="43521BFB">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部队用房</w:t>
            </w:r>
          </w:p>
        </w:tc>
        <w:tc>
          <w:tcPr>
            <w:tcW w:w="1079" w:type="pct"/>
            <w:vAlign w:val="center"/>
          </w:tcPr>
          <w:p w14:paraId="4E488EFB">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公共建筑物</w:t>
            </w:r>
          </w:p>
        </w:tc>
        <w:tc>
          <w:tcPr>
            <w:tcW w:w="386" w:type="pct"/>
            <w:vAlign w:val="center"/>
          </w:tcPr>
          <w:p w14:paraId="70A0A57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53</w:t>
            </w:r>
          </w:p>
        </w:tc>
        <w:tc>
          <w:tcPr>
            <w:tcW w:w="387" w:type="pct"/>
            <w:vAlign w:val="center"/>
          </w:tcPr>
          <w:p w14:paraId="785BB62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189.7</w:t>
            </w:r>
          </w:p>
        </w:tc>
        <w:tc>
          <w:tcPr>
            <w:tcW w:w="910" w:type="pct"/>
            <w:vAlign w:val="center"/>
          </w:tcPr>
          <w:p w14:paraId="2D9DCC4F">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7B92D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75E2E555">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3D101D2E">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p>
        </w:tc>
        <w:tc>
          <w:tcPr>
            <w:tcW w:w="1081" w:type="pct"/>
            <w:vAlign w:val="center"/>
          </w:tcPr>
          <w:p w14:paraId="00CAD0B8">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部队车库</w:t>
            </w:r>
          </w:p>
        </w:tc>
        <w:tc>
          <w:tcPr>
            <w:tcW w:w="1079" w:type="pct"/>
            <w:vAlign w:val="center"/>
          </w:tcPr>
          <w:p w14:paraId="5D3431B3">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公共建筑物</w:t>
            </w:r>
          </w:p>
        </w:tc>
        <w:tc>
          <w:tcPr>
            <w:tcW w:w="386" w:type="pct"/>
            <w:vAlign w:val="center"/>
          </w:tcPr>
          <w:p w14:paraId="0DFBF8D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53</w:t>
            </w:r>
          </w:p>
        </w:tc>
        <w:tc>
          <w:tcPr>
            <w:tcW w:w="387" w:type="pct"/>
            <w:vAlign w:val="center"/>
          </w:tcPr>
          <w:p w14:paraId="6DEDBD6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170.0</w:t>
            </w:r>
          </w:p>
        </w:tc>
        <w:tc>
          <w:tcPr>
            <w:tcW w:w="910" w:type="pct"/>
            <w:vAlign w:val="center"/>
          </w:tcPr>
          <w:p w14:paraId="16150005">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7D93C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restart"/>
            <w:vAlign w:val="center"/>
          </w:tcPr>
          <w:p w14:paraId="4B2FF3C3">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eastAsia" w:ascii="Times New Roman" w:hAnsi="Times New Roman" w:eastAsia="宋体" w:cs="Times New Roman"/>
                <w:kern w:val="2"/>
                <w:sz w:val="21"/>
                <w:szCs w:val="24"/>
                <w:lang w:val="en-US" w:eastAsia="zh-CN" w:bidi="ar-SA"/>
                <w14:ligatures w14:val="standardContextual"/>
              </w:rPr>
              <w:t>地上罐组（乙类）</w:t>
            </w:r>
          </w:p>
        </w:tc>
        <w:tc>
          <w:tcPr>
            <w:tcW w:w="256" w:type="pct"/>
            <w:vMerge w:val="restart"/>
            <w:vAlign w:val="center"/>
          </w:tcPr>
          <w:p w14:paraId="08C3EFF0">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北</w:t>
            </w:r>
          </w:p>
        </w:tc>
        <w:tc>
          <w:tcPr>
            <w:tcW w:w="1081" w:type="pct"/>
            <w:vAlign w:val="center"/>
          </w:tcPr>
          <w:p w14:paraId="4F2B7027">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铁路线</w:t>
            </w:r>
          </w:p>
        </w:tc>
        <w:tc>
          <w:tcPr>
            <w:tcW w:w="1079" w:type="pct"/>
            <w:vAlign w:val="center"/>
          </w:tcPr>
          <w:p w14:paraId="24F84CF5">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国家铁路线</w:t>
            </w:r>
          </w:p>
        </w:tc>
        <w:tc>
          <w:tcPr>
            <w:tcW w:w="386" w:type="pct"/>
            <w:vAlign w:val="center"/>
          </w:tcPr>
          <w:p w14:paraId="050D414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50</w:t>
            </w:r>
          </w:p>
        </w:tc>
        <w:tc>
          <w:tcPr>
            <w:tcW w:w="387" w:type="pct"/>
            <w:vAlign w:val="center"/>
          </w:tcPr>
          <w:p w14:paraId="12CFF6F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91.3</w:t>
            </w:r>
          </w:p>
        </w:tc>
        <w:tc>
          <w:tcPr>
            <w:tcW w:w="910" w:type="pct"/>
            <w:vAlign w:val="center"/>
          </w:tcPr>
          <w:p w14:paraId="34DF6B27">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6D26B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898" w:type="pct"/>
            <w:vMerge w:val="continue"/>
            <w:vAlign w:val="center"/>
          </w:tcPr>
          <w:p w14:paraId="6D9D6B89">
            <w:pPr>
              <w:widowControl w:val="0"/>
              <w:spacing w:after="0" w:line="240" w:lineRule="auto"/>
              <w:ind w:firstLine="0" w:firstLineChars="0"/>
              <w:jc w:val="center"/>
              <w:rPr>
                <w:rFonts w:hint="eastAsia"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62132DA9">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p>
        </w:tc>
        <w:tc>
          <w:tcPr>
            <w:tcW w:w="1081" w:type="pct"/>
            <w:vAlign w:val="center"/>
          </w:tcPr>
          <w:p w14:paraId="2C59BC00">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前阳老煤厂</w:t>
            </w:r>
          </w:p>
        </w:tc>
        <w:tc>
          <w:tcPr>
            <w:tcW w:w="1079" w:type="pct"/>
            <w:vAlign w:val="center"/>
          </w:tcPr>
          <w:p w14:paraId="0587E575">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工矿企业</w:t>
            </w:r>
          </w:p>
        </w:tc>
        <w:tc>
          <w:tcPr>
            <w:tcW w:w="386" w:type="pct"/>
            <w:vAlign w:val="center"/>
          </w:tcPr>
          <w:p w14:paraId="79C9679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35</w:t>
            </w:r>
          </w:p>
        </w:tc>
        <w:tc>
          <w:tcPr>
            <w:tcW w:w="387" w:type="pct"/>
            <w:vAlign w:val="center"/>
          </w:tcPr>
          <w:p w14:paraId="0C982D8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75.6</w:t>
            </w:r>
          </w:p>
        </w:tc>
        <w:tc>
          <w:tcPr>
            <w:tcW w:w="910" w:type="pct"/>
            <w:vAlign w:val="center"/>
          </w:tcPr>
          <w:p w14:paraId="31130683">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3337A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0FEB73B0">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037C725F">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p>
        </w:tc>
        <w:tc>
          <w:tcPr>
            <w:tcW w:w="1081" w:type="pct"/>
            <w:vAlign w:val="center"/>
          </w:tcPr>
          <w:p w14:paraId="5EDE59C3">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架空通讯线</w:t>
            </w:r>
          </w:p>
          <w:p w14:paraId="4F05866D">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（H＝6m）</w:t>
            </w:r>
          </w:p>
        </w:tc>
        <w:tc>
          <w:tcPr>
            <w:tcW w:w="1079" w:type="pct"/>
            <w:vAlign w:val="center"/>
          </w:tcPr>
          <w:p w14:paraId="774EEED1">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架空通讯线</w:t>
            </w:r>
          </w:p>
        </w:tc>
        <w:tc>
          <w:tcPr>
            <w:tcW w:w="386" w:type="pct"/>
            <w:vAlign w:val="center"/>
          </w:tcPr>
          <w:p w14:paraId="250C1F0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1.5H＝9</w:t>
            </w:r>
          </w:p>
        </w:tc>
        <w:tc>
          <w:tcPr>
            <w:tcW w:w="387" w:type="pct"/>
            <w:vAlign w:val="center"/>
          </w:tcPr>
          <w:p w14:paraId="049DC9B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60.7</w:t>
            </w:r>
          </w:p>
        </w:tc>
        <w:tc>
          <w:tcPr>
            <w:tcW w:w="910" w:type="pct"/>
            <w:vAlign w:val="center"/>
          </w:tcPr>
          <w:p w14:paraId="1A391F71">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②</w:t>
            </w:r>
          </w:p>
        </w:tc>
      </w:tr>
      <w:tr w14:paraId="1D4F0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46CB6B01">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restart"/>
            <w:vAlign w:val="center"/>
          </w:tcPr>
          <w:p w14:paraId="57855E2F">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default" w:ascii="Times New Roman" w:hAnsi="Times New Roman" w:eastAsia="宋体" w:cs="Times New Roman"/>
                <w:kern w:val="2"/>
                <w:sz w:val="21"/>
                <w:szCs w:val="21"/>
                <w:lang w:val="en-US" w:eastAsia="zh-CN" w:bidi="ar"/>
                <w14:ligatures w14:val="standardContextual"/>
              </w:rPr>
              <w:t>南</w:t>
            </w:r>
          </w:p>
        </w:tc>
        <w:tc>
          <w:tcPr>
            <w:tcW w:w="1081" w:type="pct"/>
            <w:vAlign w:val="center"/>
          </w:tcPr>
          <w:p w14:paraId="143D217B">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居民区</w:t>
            </w:r>
          </w:p>
        </w:tc>
        <w:tc>
          <w:tcPr>
            <w:tcW w:w="1079" w:type="pct"/>
            <w:vAlign w:val="center"/>
          </w:tcPr>
          <w:p w14:paraId="01DA233D">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居住区</w:t>
            </w:r>
          </w:p>
          <w:p w14:paraId="212C0474">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（多于100人）</w:t>
            </w:r>
          </w:p>
        </w:tc>
        <w:tc>
          <w:tcPr>
            <w:tcW w:w="386" w:type="pct"/>
            <w:vAlign w:val="center"/>
          </w:tcPr>
          <w:p w14:paraId="1345DC5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70</w:t>
            </w:r>
          </w:p>
        </w:tc>
        <w:tc>
          <w:tcPr>
            <w:tcW w:w="387" w:type="pct"/>
            <w:vAlign w:val="center"/>
          </w:tcPr>
          <w:p w14:paraId="2DFF9F9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121.4</w:t>
            </w:r>
          </w:p>
        </w:tc>
        <w:tc>
          <w:tcPr>
            <w:tcW w:w="910" w:type="pct"/>
            <w:vAlign w:val="center"/>
          </w:tcPr>
          <w:p w14:paraId="656DE20A">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11718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5EC78550">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478772E9">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p>
        </w:tc>
        <w:tc>
          <w:tcPr>
            <w:tcW w:w="1081" w:type="pct"/>
            <w:vAlign w:val="center"/>
          </w:tcPr>
          <w:p w14:paraId="528B94BE">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油库生活区</w:t>
            </w:r>
          </w:p>
        </w:tc>
        <w:tc>
          <w:tcPr>
            <w:tcW w:w="1079" w:type="pct"/>
            <w:vAlign w:val="center"/>
          </w:tcPr>
          <w:p w14:paraId="3AB49F94">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居住区</w:t>
            </w:r>
          </w:p>
          <w:p w14:paraId="33A8BEBD">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（少于100人）</w:t>
            </w:r>
          </w:p>
        </w:tc>
        <w:tc>
          <w:tcPr>
            <w:tcW w:w="386" w:type="pct"/>
            <w:vAlign w:val="center"/>
          </w:tcPr>
          <w:p w14:paraId="53F3529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35</w:t>
            </w:r>
          </w:p>
        </w:tc>
        <w:tc>
          <w:tcPr>
            <w:tcW w:w="387" w:type="pct"/>
            <w:vAlign w:val="center"/>
          </w:tcPr>
          <w:p w14:paraId="0EA26DE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76.5</w:t>
            </w:r>
          </w:p>
        </w:tc>
        <w:tc>
          <w:tcPr>
            <w:tcW w:w="910" w:type="pct"/>
            <w:vAlign w:val="center"/>
          </w:tcPr>
          <w:p w14:paraId="36D2CC68">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37278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057C4C6F">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1188D0D9">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p>
        </w:tc>
        <w:tc>
          <w:tcPr>
            <w:tcW w:w="1081" w:type="pct"/>
            <w:vAlign w:val="center"/>
          </w:tcPr>
          <w:p w14:paraId="16DE5A67">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w:t>
            </w:r>
          </w:p>
          <w:p w14:paraId="6F9277F1">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（H＝12m）</w:t>
            </w:r>
          </w:p>
        </w:tc>
        <w:tc>
          <w:tcPr>
            <w:tcW w:w="1079" w:type="pct"/>
            <w:vAlign w:val="center"/>
          </w:tcPr>
          <w:p w14:paraId="3A62E10A">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架空电力线路</w:t>
            </w:r>
          </w:p>
        </w:tc>
        <w:tc>
          <w:tcPr>
            <w:tcW w:w="386" w:type="pct"/>
            <w:vAlign w:val="center"/>
          </w:tcPr>
          <w:p w14:paraId="2EADB13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1.5H＝18</w:t>
            </w:r>
          </w:p>
        </w:tc>
        <w:tc>
          <w:tcPr>
            <w:tcW w:w="387" w:type="pct"/>
            <w:vAlign w:val="center"/>
          </w:tcPr>
          <w:p w14:paraId="22AA88B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23.7</w:t>
            </w:r>
          </w:p>
        </w:tc>
        <w:tc>
          <w:tcPr>
            <w:tcW w:w="910" w:type="pct"/>
            <w:vAlign w:val="center"/>
          </w:tcPr>
          <w:p w14:paraId="720EA7D7">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②</w:t>
            </w:r>
          </w:p>
        </w:tc>
      </w:tr>
      <w:tr w14:paraId="7BCEC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0A621763">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Align w:val="center"/>
          </w:tcPr>
          <w:p w14:paraId="66EDBA4E">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default" w:ascii="Times New Roman" w:hAnsi="Times New Roman" w:eastAsia="宋体" w:cs="Times New Roman"/>
                <w:kern w:val="2"/>
                <w:sz w:val="21"/>
                <w:szCs w:val="21"/>
                <w:lang w:val="en-US" w:eastAsia="zh-CN" w:bidi="ar"/>
                <w14:ligatures w14:val="standardContextual"/>
              </w:rPr>
              <w:t>西</w:t>
            </w:r>
          </w:p>
        </w:tc>
        <w:tc>
          <w:tcPr>
            <w:tcW w:w="1081" w:type="pct"/>
            <w:vAlign w:val="center"/>
          </w:tcPr>
          <w:p w14:paraId="16DE2EA4">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仓库</w:t>
            </w:r>
          </w:p>
        </w:tc>
        <w:tc>
          <w:tcPr>
            <w:tcW w:w="1079" w:type="pct"/>
            <w:vAlign w:val="center"/>
          </w:tcPr>
          <w:p w14:paraId="79F3F2B9">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工矿企业</w:t>
            </w:r>
          </w:p>
        </w:tc>
        <w:tc>
          <w:tcPr>
            <w:tcW w:w="386" w:type="pct"/>
            <w:vAlign w:val="center"/>
          </w:tcPr>
          <w:p w14:paraId="0C3657E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35</w:t>
            </w:r>
          </w:p>
        </w:tc>
        <w:tc>
          <w:tcPr>
            <w:tcW w:w="387" w:type="pct"/>
            <w:vAlign w:val="center"/>
          </w:tcPr>
          <w:p w14:paraId="607A499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104.9</w:t>
            </w:r>
          </w:p>
        </w:tc>
        <w:tc>
          <w:tcPr>
            <w:tcW w:w="910" w:type="pct"/>
            <w:vAlign w:val="center"/>
          </w:tcPr>
          <w:p w14:paraId="4D5D0EDF">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03403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148BE58C">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restart"/>
            <w:vAlign w:val="center"/>
          </w:tcPr>
          <w:p w14:paraId="4C3211A0">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东</w:t>
            </w:r>
          </w:p>
        </w:tc>
        <w:tc>
          <w:tcPr>
            <w:tcW w:w="1081" w:type="pct"/>
            <w:vAlign w:val="center"/>
          </w:tcPr>
          <w:p w14:paraId="03DFDD6C">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w:t>
            </w:r>
          </w:p>
          <w:p w14:paraId="4D024767">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（H＝12m）</w:t>
            </w:r>
          </w:p>
        </w:tc>
        <w:tc>
          <w:tcPr>
            <w:tcW w:w="1079" w:type="pct"/>
            <w:vAlign w:val="center"/>
          </w:tcPr>
          <w:p w14:paraId="378A8137">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架空电力线路</w:t>
            </w:r>
          </w:p>
        </w:tc>
        <w:tc>
          <w:tcPr>
            <w:tcW w:w="386" w:type="pct"/>
            <w:vAlign w:val="center"/>
          </w:tcPr>
          <w:p w14:paraId="596A53C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1.5H＝18</w:t>
            </w:r>
          </w:p>
        </w:tc>
        <w:tc>
          <w:tcPr>
            <w:tcW w:w="387" w:type="pct"/>
            <w:vAlign w:val="center"/>
          </w:tcPr>
          <w:p w14:paraId="4C243C6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22.2</w:t>
            </w:r>
          </w:p>
        </w:tc>
        <w:tc>
          <w:tcPr>
            <w:tcW w:w="910" w:type="pct"/>
            <w:vAlign w:val="center"/>
          </w:tcPr>
          <w:p w14:paraId="6DBF82ED">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②</w:t>
            </w:r>
          </w:p>
        </w:tc>
      </w:tr>
      <w:tr w14:paraId="5E5A0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38192E0B">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760160A2">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p>
        </w:tc>
        <w:tc>
          <w:tcPr>
            <w:tcW w:w="2034" w:type="dxa"/>
            <w:vAlign w:val="center"/>
          </w:tcPr>
          <w:p w14:paraId="651FF78D">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部队车库</w:t>
            </w:r>
          </w:p>
        </w:tc>
        <w:tc>
          <w:tcPr>
            <w:tcW w:w="2030" w:type="dxa"/>
            <w:vAlign w:val="center"/>
          </w:tcPr>
          <w:p w14:paraId="681942DE">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公共建筑物</w:t>
            </w:r>
          </w:p>
        </w:tc>
        <w:tc>
          <w:tcPr>
            <w:tcW w:w="386" w:type="pct"/>
            <w:vAlign w:val="center"/>
          </w:tcPr>
          <w:p w14:paraId="3627071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70</w:t>
            </w:r>
          </w:p>
        </w:tc>
        <w:tc>
          <w:tcPr>
            <w:tcW w:w="387" w:type="pct"/>
            <w:vAlign w:val="center"/>
          </w:tcPr>
          <w:p w14:paraId="692552A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83.1</w:t>
            </w:r>
          </w:p>
        </w:tc>
        <w:tc>
          <w:tcPr>
            <w:tcW w:w="910" w:type="pct"/>
            <w:vAlign w:val="center"/>
          </w:tcPr>
          <w:p w14:paraId="1FCF371B">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6CC0B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459ACBE0">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440DEA2D">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p>
        </w:tc>
        <w:tc>
          <w:tcPr>
            <w:tcW w:w="2034" w:type="dxa"/>
            <w:vAlign w:val="center"/>
          </w:tcPr>
          <w:p w14:paraId="1E6B11C2">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部队用房</w:t>
            </w:r>
          </w:p>
        </w:tc>
        <w:tc>
          <w:tcPr>
            <w:tcW w:w="2030" w:type="dxa"/>
            <w:vAlign w:val="center"/>
          </w:tcPr>
          <w:p w14:paraId="0168C295">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公共建筑物</w:t>
            </w:r>
          </w:p>
        </w:tc>
        <w:tc>
          <w:tcPr>
            <w:tcW w:w="386" w:type="pct"/>
            <w:vAlign w:val="center"/>
          </w:tcPr>
          <w:p w14:paraId="51FB316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70</w:t>
            </w:r>
          </w:p>
        </w:tc>
        <w:tc>
          <w:tcPr>
            <w:tcW w:w="387" w:type="pct"/>
            <w:vAlign w:val="center"/>
          </w:tcPr>
          <w:p w14:paraId="5B9C5E1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101.8</w:t>
            </w:r>
          </w:p>
        </w:tc>
        <w:tc>
          <w:tcPr>
            <w:tcW w:w="910" w:type="pct"/>
            <w:vAlign w:val="center"/>
          </w:tcPr>
          <w:p w14:paraId="3F14851C">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69F93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000" w:type="pct"/>
            <w:gridSpan w:val="7"/>
            <w:vAlign w:val="center"/>
          </w:tcPr>
          <w:p w14:paraId="754D43C6">
            <w:pPr>
              <w:widowControl w:val="0"/>
              <w:spacing w:after="0" w:line="240" w:lineRule="auto"/>
              <w:ind w:firstLine="0" w:firstLineChars="0"/>
              <w:jc w:val="left"/>
              <w:rPr>
                <w:rFonts w:hint="eastAsia"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4"/>
                <w:lang w:val="en-US" w:eastAsia="zh-CN" w:bidi="ar-SA"/>
                <w14:ligatures w14:val="standardContextual"/>
              </w:rPr>
              <w:t>注</w:t>
            </w:r>
            <w:r>
              <w:rPr>
                <w:rFonts w:hint="eastAsia" w:ascii="Times New Roman" w:hAnsi="Times New Roman" w:eastAsia="宋体" w:cs="Times New Roman"/>
                <w:kern w:val="2"/>
                <w:sz w:val="21"/>
                <w:szCs w:val="24"/>
                <w:lang w:val="en-US" w:eastAsia="zh-CN" w:bidi="ar-SA"/>
                <w14:ligatures w14:val="standardContextual"/>
              </w:rPr>
              <w:t>1</w:t>
            </w:r>
            <w:r>
              <w:rPr>
                <w:rFonts w:hint="default" w:ascii="Times New Roman" w:hAnsi="Times New Roman" w:eastAsia="宋体" w:cs="Times New Roman"/>
                <w:kern w:val="2"/>
                <w:sz w:val="21"/>
                <w:szCs w:val="24"/>
                <w:lang w:val="en-US" w:eastAsia="zh-CN" w:bidi="ar-SA"/>
                <w14:ligatures w14:val="standardContextual"/>
              </w:rPr>
              <w:t>：①《石油库设计规范》（GB50057-2014）</w:t>
            </w:r>
            <w:r>
              <w:rPr>
                <w:rFonts w:hint="eastAsia" w:ascii="Times New Roman" w:hAnsi="Times New Roman" w:eastAsia="宋体" w:cs="Times New Roman"/>
                <w:kern w:val="2"/>
                <w:sz w:val="21"/>
                <w:szCs w:val="24"/>
                <w:lang w:val="en-US" w:eastAsia="zh-CN" w:bidi="ar-SA"/>
                <w14:ligatures w14:val="standardContextual"/>
              </w:rPr>
              <w:t>第4.0.10条；</w:t>
            </w:r>
          </w:p>
          <w:p w14:paraId="5AEE91B0">
            <w:pPr>
              <w:widowControl w:val="0"/>
              <w:spacing w:after="0" w:line="240" w:lineRule="auto"/>
              <w:ind w:firstLine="630" w:firstLineChars="300"/>
              <w:jc w:val="left"/>
              <w:rPr>
                <w:rFonts w:hint="default" w:ascii="Times New Roman" w:hAnsi="Times New Roman" w:eastAsia="宋体" w:cs="Times New Roman"/>
                <w:kern w:val="2"/>
                <w:sz w:val="21"/>
                <w:szCs w:val="24"/>
                <w:lang w:val="en-US" w:eastAsia="zh-CN" w:bidi="ar-SA"/>
                <w14:ligatures w14:val="standardContextual"/>
              </w:rPr>
            </w:pPr>
            <w:r>
              <w:rPr>
                <w:rFonts w:hint="eastAsia" w:ascii="Times New Roman" w:hAnsi="Times New Roman" w:eastAsia="宋体" w:cs="Times New Roman"/>
                <w:kern w:val="2"/>
                <w:sz w:val="21"/>
                <w:szCs w:val="24"/>
                <w:lang w:val="en-US" w:eastAsia="zh-CN" w:bidi="ar-SA"/>
                <w14:ligatures w14:val="standardContextual"/>
              </w:rPr>
              <w:t>②《石油库设计规范》（GB50057-2014）第4.0.11条。</w:t>
            </w:r>
          </w:p>
        </w:tc>
      </w:tr>
    </w:tbl>
    <w:p w14:paraId="66AB2CAE">
      <w:pPr>
        <w:pStyle w:val="34"/>
        <w:keepNext w:val="0"/>
        <w:keepLines w:val="0"/>
        <w:pageBreakBefore w:val="0"/>
        <w:widowControl w:val="0"/>
        <w:kinsoku/>
        <w:wordWrap/>
        <w:overflowPunct/>
        <w:topLinePunct w:val="0"/>
        <w:autoSpaceDE/>
        <w:autoSpaceDN/>
        <w:bidi w:val="0"/>
        <w:adjustRightInd w:val="0"/>
        <w:snapToGrid w:val="0"/>
        <w:spacing w:before="157" w:beforeLines="50"/>
        <w:ind w:firstLine="560"/>
        <w:jc w:val="both"/>
        <w:textAlignment w:val="auto"/>
        <w:rPr>
          <w:rFonts w:hint="eastAsia" w:ascii="Times New Roman" w:hAnsi="Times New Roman" w:eastAsia="宋体"/>
        </w:rPr>
      </w:pPr>
      <w:r>
        <w:rPr>
          <w:rFonts w:hint="eastAsia" w:ascii="Times New Roman" w:hAnsi="Times New Roman" w:eastAsia="宋体"/>
          <w:lang w:val="en-US" w:eastAsia="zh-CN"/>
        </w:rPr>
        <w:t>小结：</w:t>
      </w:r>
      <w:r>
        <w:rPr>
          <w:rFonts w:hint="eastAsia" w:ascii="Times New Roman" w:hAnsi="Times New Roman" w:eastAsia="宋体"/>
        </w:rPr>
        <w:t>由上表可知，该库区与周边设施的安全</w:t>
      </w:r>
      <w:r>
        <w:rPr>
          <w:rFonts w:hint="eastAsia" w:ascii="Times New Roman" w:hAnsi="Times New Roman" w:eastAsia="宋体"/>
          <w:lang w:val="en-US" w:eastAsia="zh-CN"/>
        </w:rPr>
        <w:t>距离</w:t>
      </w:r>
      <w:r>
        <w:rPr>
          <w:rFonts w:hint="eastAsia" w:ascii="Times New Roman" w:hAnsi="Times New Roman" w:eastAsia="宋体"/>
        </w:rPr>
        <w:t>均符合《石油库设计规范》（GB50074-2014）的要求。</w:t>
      </w:r>
    </w:p>
    <w:p w14:paraId="78DEE6DA">
      <w:pPr>
        <w:pStyle w:val="34"/>
        <w:keepNext w:val="0"/>
        <w:keepLines w:val="0"/>
        <w:pageBreakBefore w:val="0"/>
        <w:widowControl w:val="0"/>
        <w:kinsoku/>
        <w:wordWrap/>
        <w:overflowPunct/>
        <w:topLinePunct w:val="0"/>
        <w:autoSpaceDE/>
        <w:autoSpaceDN/>
        <w:bidi w:val="0"/>
        <w:adjustRightInd w:val="0"/>
        <w:snapToGrid w:val="0"/>
        <w:ind w:firstLine="560"/>
        <w:jc w:val="both"/>
        <w:textAlignment w:val="auto"/>
        <w:rPr>
          <w:rFonts w:hint="default" w:ascii="Times New Roman" w:hAnsi="Times New Roman" w:eastAsia="宋体"/>
          <w:lang w:val="en-US" w:eastAsia="zh-CN"/>
        </w:rPr>
      </w:pPr>
      <w:r>
        <w:rPr>
          <w:rFonts w:hint="eastAsia"/>
          <w:lang w:val="en-US" w:eastAsia="zh-CN"/>
        </w:rPr>
        <w:t>总平面布置：</w:t>
      </w:r>
    </w:p>
    <w:p w14:paraId="58A45E8D">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该公司总占地面积22400m</w:t>
      </w:r>
      <w:r>
        <w:rPr>
          <w:rFonts w:hint="eastAsia" w:ascii="Times New Roman" w:hAnsi="Times New Roman" w:eastAsia="宋体" w:cstheme="minorBidi"/>
          <w:kern w:val="2"/>
          <w:sz w:val="28"/>
          <w:szCs w:val="24"/>
          <w:vertAlign w:val="superscript"/>
          <w:lang w:val="en-US" w:eastAsia="zh-CN" w:bidi="ar-SA"/>
          <w14:ligatures w14:val="standardContextual"/>
        </w:rPr>
        <w:t>2</w:t>
      </w:r>
      <w:r>
        <w:rPr>
          <w:rFonts w:hint="eastAsia" w:ascii="Times New Roman" w:hAnsi="Times New Roman" w:eastAsia="宋体" w:cstheme="minorBidi"/>
          <w:kern w:val="2"/>
          <w:sz w:val="28"/>
          <w:szCs w:val="24"/>
          <w:lang w:val="en-US" w:eastAsia="zh-CN" w:bidi="ar-SA"/>
          <w14:ligatures w14:val="standardContextual"/>
        </w:rPr>
        <w:t>。该油库按照不同的使用功能分为储油罐区、铁路油品装卸设施区、汽车油品装卸设施区，辅助生产区（公用工程房、办公楼）及生活区。储油罐区位于库区东部，共有地上立式储油罐7座，均用于储存柴油；铁路装卸区位于库区北部，包括火车卸车栈桥一座，栈桥全长120m，为平直线，设有9个接卸鹤位，铁路专用线为尽头式，总长642m，卸油泵房一座；公路装卸区位于铁路装卸区南部，有一座汽车油罐装车亭（设有六个装车鹤位）；辅助生产区位于库区西部及库区南部，生活区位于库区外南部，消防水池有效容积为1200m</w:t>
      </w:r>
      <w:r>
        <w:rPr>
          <w:rFonts w:hint="eastAsia" w:ascii="Times New Roman" w:hAnsi="Times New Roman" w:eastAsia="宋体" w:cstheme="minorBidi"/>
          <w:kern w:val="2"/>
          <w:sz w:val="28"/>
          <w:szCs w:val="24"/>
          <w:vertAlign w:val="superscript"/>
          <w:lang w:val="en-US" w:eastAsia="zh-CN" w:bidi="ar-SA"/>
          <w14:ligatures w14:val="standardContextual"/>
        </w:rPr>
        <w:t>3</w:t>
      </w:r>
      <w:r>
        <w:rPr>
          <w:rFonts w:hint="eastAsia" w:ascii="Times New Roman" w:hAnsi="Times New Roman" w:eastAsia="宋体" w:cstheme="minorBidi"/>
          <w:kern w:val="2"/>
          <w:sz w:val="28"/>
          <w:szCs w:val="24"/>
          <w:lang w:val="en-US" w:eastAsia="zh-CN" w:bidi="ar-SA"/>
          <w14:ligatures w14:val="standardContextual"/>
        </w:rPr>
        <w:t>，密闭隔油池一处，辅助生产区包含消防泵房、计量室、化验室、变配电室、发电机房及工具间、办公楼、门卫等，生活区包含综合房等。</w:t>
      </w:r>
    </w:p>
    <w:p w14:paraId="4D431C4E">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厂区设有围墙，厂门与厂内、外道路直接相通。</w:t>
      </w:r>
    </w:p>
    <w:p w14:paraId="7AA965A5">
      <w:pPr>
        <w:pStyle w:val="34"/>
        <w:keepNext/>
        <w:keepLines/>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lang w:val="en-US" w:eastAsia="zh-CN"/>
        </w:rPr>
        <w:t>1</w:t>
      </w:r>
      <w:r>
        <w:rPr>
          <w:rFonts w:eastAsia="黑体" w:cs="Times New Roman"/>
          <w:sz w:val="24"/>
        </w:rPr>
        <w:t>-2</w:t>
      </w:r>
      <w:r>
        <w:rPr>
          <w:rFonts w:hint="eastAsia" w:ascii="黑体" w:hAnsi="黑体" w:eastAsia="黑体"/>
          <w:sz w:val="24"/>
        </w:rPr>
        <w:t xml:space="preserve">  厂内设施</w:t>
      </w:r>
      <w:r>
        <w:rPr>
          <w:rFonts w:hint="eastAsia" w:ascii="黑体" w:hAnsi="黑体" w:eastAsia="黑体"/>
          <w:sz w:val="24"/>
          <w:lang w:val="en-US" w:eastAsia="zh-CN"/>
        </w:rPr>
        <w:t>间</w:t>
      </w:r>
      <w:r>
        <w:rPr>
          <w:rFonts w:hint="eastAsia" w:ascii="黑体" w:hAnsi="黑体" w:eastAsia="黑体"/>
          <w:sz w:val="24"/>
        </w:rPr>
        <w:t>的防火间距情况表</w:t>
      </w:r>
    </w:p>
    <w:tbl>
      <w:tblPr>
        <w:tblStyle w:val="36"/>
        <w:tblW w:w="92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96"/>
        <w:gridCol w:w="697"/>
        <w:gridCol w:w="1559"/>
        <w:gridCol w:w="1226"/>
        <w:gridCol w:w="1090"/>
        <w:gridCol w:w="2333"/>
        <w:gridCol w:w="751"/>
      </w:tblGrid>
      <w:tr w14:paraId="2B3A4C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5" w:hRule="atLeast"/>
          <w:tblHeader/>
        </w:trPr>
        <w:tc>
          <w:tcPr>
            <w:tcW w:w="1596" w:type="dxa"/>
            <w:vAlign w:val="center"/>
          </w:tcPr>
          <w:p w14:paraId="43F4FE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建筑名称</w:t>
            </w:r>
          </w:p>
        </w:tc>
        <w:tc>
          <w:tcPr>
            <w:tcW w:w="697" w:type="dxa"/>
            <w:vAlign w:val="center"/>
          </w:tcPr>
          <w:p w14:paraId="664FB1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方位</w:t>
            </w:r>
          </w:p>
        </w:tc>
        <w:tc>
          <w:tcPr>
            <w:tcW w:w="1559" w:type="dxa"/>
            <w:vAlign w:val="center"/>
          </w:tcPr>
          <w:p w14:paraId="4679F8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建筑名称</w:t>
            </w:r>
          </w:p>
        </w:tc>
        <w:tc>
          <w:tcPr>
            <w:tcW w:w="1226" w:type="dxa"/>
            <w:vAlign w:val="center"/>
          </w:tcPr>
          <w:p w14:paraId="5E8C0B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规范距离（m）</w:t>
            </w:r>
          </w:p>
        </w:tc>
        <w:tc>
          <w:tcPr>
            <w:tcW w:w="1090" w:type="dxa"/>
            <w:vAlign w:val="center"/>
          </w:tcPr>
          <w:p w14:paraId="4AB5C0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实际距离（m）</w:t>
            </w:r>
          </w:p>
        </w:tc>
        <w:tc>
          <w:tcPr>
            <w:tcW w:w="2333" w:type="dxa"/>
            <w:vAlign w:val="center"/>
          </w:tcPr>
          <w:p w14:paraId="683B33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依据</w:t>
            </w:r>
          </w:p>
        </w:tc>
        <w:tc>
          <w:tcPr>
            <w:tcW w:w="751" w:type="dxa"/>
            <w:vAlign w:val="center"/>
          </w:tcPr>
          <w:p w14:paraId="3F1EC5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结论</w:t>
            </w:r>
          </w:p>
        </w:tc>
      </w:tr>
      <w:tr w14:paraId="57522B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restart"/>
            <w:shd w:val="clear" w:color="auto" w:fill="auto"/>
            <w:vAlign w:val="center"/>
          </w:tcPr>
          <w:p w14:paraId="1364572C">
            <w:pPr>
              <w:widowControl w:val="0"/>
              <w:autoSpaceDE w:val="0"/>
              <w:autoSpaceDN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eastAsia" w:ascii="Times New Roman" w:hAnsi="Times New Roman" w:eastAsia="宋体" w:cs="Times New Roman"/>
                <w:kern w:val="2"/>
                <w:sz w:val="21"/>
                <w:szCs w:val="24"/>
                <w:lang w:val="en-US" w:eastAsia="zh-CN" w:bidi="ar-SA"/>
                <w14:ligatures w14:val="standardContextual"/>
              </w:rPr>
              <w:t>1#柴油储</w:t>
            </w:r>
            <w:r>
              <w:rPr>
                <w:rFonts w:hint="default" w:ascii="Times New Roman" w:hAnsi="Times New Roman" w:eastAsia="宋体" w:cs="Times New Roman"/>
                <w:kern w:val="2"/>
                <w:sz w:val="21"/>
                <w:szCs w:val="24"/>
                <w:lang w:val="en-US" w:eastAsia="zh-CN" w:bidi="ar-SA"/>
                <w14:ligatures w14:val="standardContextual"/>
              </w:rPr>
              <w:t>罐</w:t>
            </w:r>
          </w:p>
          <w:p w14:paraId="31AE835F">
            <w:pPr>
              <w:widowControl w:val="0"/>
              <w:autoSpaceDE w:val="0"/>
              <w:autoSpaceDN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4"/>
                <w:lang w:val="en-US" w:eastAsia="zh-CN" w:bidi="ar-SA"/>
                <w14:ligatures w14:val="standardContextual"/>
              </w:rPr>
              <w:t>（</w:t>
            </w:r>
            <w:r>
              <w:rPr>
                <w:rFonts w:hint="eastAsia" w:ascii="Times New Roman" w:hAnsi="Times New Roman" w:eastAsia="宋体" w:cs="Times New Roman"/>
                <w:kern w:val="2"/>
                <w:sz w:val="21"/>
                <w:szCs w:val="24"/>
                <w:lang w:val="en-US" w:eastAsia="zh-CN" w:bidi="ar-SA"/>
                <w14:ligatures w14:val="standardContextual"/>
              </w:rPr>
              <w:t>乙类、内浮顶储罐</w:t>
            </w:r>
            <w:r>
              <w:rPr>
                <w:rFonts w:hint="default" w:ascii="Times New Roman" w:hAnsi="Times New Roman" w:eastAsia="宋体" w:cs="Times New Roman"/>
                <w:kern w:val="2"/>
                <w:sz w:val="21"/>
                <w:szCs w:val="24"/>
                <w:lang w:val="en-US" w:eastAsia="zh-CN" w:bidi="ar-SA"/>
                <w14:ligatures w14:val="standardContextual"/>
              </w:rPr>
              <w:t>，</w:t>
            </w:r>
          </w:p>
          <w:p w14:paraId="2709F36B">
            <w:pPr>
              <w:widowControl w:val="0"/>
              <w:autoSpaceDE w:val="0"/>
              <w:autoSpaceDN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4"/>
                <w:lang w:val="en-US" w:eastAsia="zh-CN" w:bidi="ar-SA"/>
                <w14:ligatures w14:val="standardContextual"/>
              </w:rPr>
              <w:t>容积</w:t>
            </w:r>
            <w:r>
              <w:rPr>
                <w:rFonts w:hint="eastAsia" w:ascii="Times New Roman" w:hAnsi="Times New Roman" w:eastAsia="宋体" w:cs="Times New Roman"/>
                <w:kern w:val="2"/>
                <w:sz w:val="21"/>
                <w:szCs w:val="24"/>
                <w:lang w:val="en-US" w:eastAsia="zh-CN" w:bidi="ar-SA"/>
                <w14:ligatures w14:val="standardContextual"/>
              </w:rPr>
              <w:t>1900</w:t>
            </w:r>
            <w:r>
              <w:rPr>
                <w:rFonts w:hint="default" w:ascii="Times New Roman" w:hAnsi="Times New Roman" w:eastAsia="宋体" w:cs="Times New Roman"/>
                <w:kern w:val="2"/>
                <w:sz w:val="21"/>
                <w:szCs w:val="24"/>
                <w:lang w:val="en-US" w:eastAsia="zh-CN" w:bidi="ar-SA"/>
                <w14:ligatures w14:val="standardContextual"/>
              </w:rPr>
              <w:t>m</w:t>
            </w:r>
            <w:r>
              <w:rPr>
                <w:rFonts w:hint="default" w:ascii="Times New Roman" w:hAnsi="Times New Roman" w:eastAsia="宋体" w:cs="Times New Roman"/>
                <w:kern w:val="2"/>
                <w:sz w:val="21"/>
                <w:szCs w:val="24"/>
                <w:vertAlign w:val="superscript"/>
                <w:lang w:val="en-US" w:eastAsia="zh-CN" w:bidi="ar-SA"/>
                <w14:ligatures w14:val="standardContextual"/>
              </w:rPr>
              <w:t>3</w:t>
            </w:r>
            <w:r>
              <w:rPr>
                <w:rFonts w:hint="eastAsia" w:ascii="Times New Roman" w:hAnsi="Times New Roman" w:eastAsia="宋体" w:cs="Times New Roman"/>
                <w:kern w:val="2"/>
                <w:sz w:val="21"/>
                <w:szCs w:val="24"/>
                <w:vertAlign w:val="baseline"/>
                <w:lang w:val="en-US" w:eastAsia="zh-CN" w:bidi="ar-SA"/>
                <w14:ligatures w14:val="standardContextual"/>
              </w:rPr>
              <w:t>、D＝15.19m、H＝12.275m</w:t>
            </w:r>
            <w:r>
              <w:rPr>
                <w:rFonts w:hint="default" w:ascii="Times New Roman" w:hAnsi="Times New Roman" w:eastAsia="宋体" w:cs="Times New Roman"/>
                <w:kern w:val="2"/>
                <w:sz w:val="21"/>
                <w:szCs w:val="24"/>
                <w:lang w:val="en-US" w:eastAsia="zh-CN" w:bidi="ar-SA"/>
                <w14:ligatures w14:val="standardContextual"/>
              </w:rPr>
              <w:t>）</w:t>
            </w:r>
          </w:p>
        </w:tc>
        <w:tc>
          <w:tcPr>
            <w:tcW w:w="697" w:type="dxa"/>
            <w:vMerge w:val="restart"/>
            <w:vAlign w:val="center"/>
          </w:tcPr>
          <w:p w14:paraId="030140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北</w:t>
            </w:r>
          </w:p>
        </w:tc>
        <w:tc>
          <w:tcPr>
            <w:tcW w:w="1559" w:type="dxa"/>
            <w:vAlign w:val="center"/>
          </w:tcPr>
          <w:p w14:paraId="7C04A2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val="en-US" w:eastAsia="zh-CN"/>
                <w14:ligatures w14:val="none"/>
              </w:rPr>
              <w:t>泵房（乙类）</w:t>
            </w:r>
          </w:p>
        </w:tc>
        <w:tc>
          <w:tcPr>
            <w:tcW w:w="1226" w:type="dxa"/>
            <w:vAlign w:val="center"/>
          </w:tcPr>
          <w:p w14:paraId="160E1B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11</w:t>
            </w:r>
          </w:p>
        </w:tc>
        <w:tc>
          <w:tcPr>
            <w:tcW w:w="1090" w:type="dxa"/>
            <w:vAlign w:val="center"/>
          </w:tcPr>
          <w:p w14:paraId="61B59D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85.6</w:t>
            </w:r>
          </w:p>
        </w:tc>
        <w:tc>
          <w:tcPr>
            <w:tcW w:w="2333" w:type="dxa"/>
            <w:vAlign w:val="center"/>
          </w:tcPr>
          <w:p w14:paraId="0F2B96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31B9B0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6DE6BA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2E9011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shd w:val="clear" w:color="auto" w:fill="auto"/>
            <w:vAlign w:val="center"/>
          </w:tcPr>
          <w:p w14:paraId="0276FAEA">
            <w:pPr>
              <w:widowControl w:val="0"/>
              <w:autoSpaceDE w:val="0"/>
              <w:autoSpaceDN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697" w:type="dxa"/>
            <w:vMerge w:val="continue"/>
            <w:vAlign w:val="center"/>
          </w:tcPr>
          <w:p w14:paraId="2CAE62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1559" w:type="dxa"/>
            <w:vAlign w:val="center"/>
          </w:tcPr>
          <w:p w14:paraId="462553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隔油池（容积200m</w:t>
            </w:r>
            <w:r>
              <w:rPr>
                <w:rFonts w:hint="eastAsia" w:ascii="Times New Roman" w:hAnsi="Times New Roman" w:eastAsia="宋体" w:cs="Times New Roman"/>
                <w:sz w:val="21"/>
                <w:szCs w:val="21"/>
                <w:vertAlign w:val="superscript"/>
                <w:lang w:val="en-US" w:eastAsia="zh-CN"/>
                <w14:ligatures w14:val="none"/>
              </w:rPr>
              <w:t>3</w:t>
            </w:r>
            <w:r>
              <w:rPr>
                <w:rFonts w:hint="eastAsia" w:ascii="Times New Roman" w:hAnsi="Times New Roman" w:eastAsia="宋体" w:cs="Times New Roman"/>
                <w:sz w:val="21"/>
                <w:szCs w:val="21"/>
                <w:lang w:val="en-US" w:eastAsia="zh-CN"/>
                <w14:ligatures w14:val="none"/>
              </w:rPr>
              <w:t>）</w:t>
            </w:r>
          </w:p>
        </w:tc>
        <w:tc>
          <w:tcPr>
            <w:tcW w:w="1226" w:type="dxa"/>
            <w:vAlign w:val="center"/>
          </w:tcPr>
          <w:p w14:paraId="460E45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19</w:t>
            </w:r>
          </w:p>
        </w:tc>
        <w:tc>
          <w:tcPr>
            <w:tcW w:w="1090" w:type="dxa"/>
            <w:vAlign w:val="center"/>
          </w:tcPr>
          <w:p w14:paraId="67795D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82.1</w:t>
            </w:r>
          </w:p>
        </w:tc>
        <w:tc>
          <w:tcPr>
            <w:tcW w:w="2333" w:type="dxa"/>
            <w:vAlign w:val="center"/>
          </w:tcPr>
          <w:p w14:paraId="68D1DF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3076C3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731660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71CACB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shd w:val="clear" w:color="auto" w:fill="auto"/>
            <w:vAlign w:val="center"/>
          </w:tcPr>
          <w:p w14:paraId="275C7DA4">
            <w:pPr>
              <w:widowControl w:val="0"/>
              <w:autoSpaceDE w:val="0"/>
              <w:autoSpaceDN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697" w:type="dxa"/>
            <w:vMerge w:val="continue"/>
            <w:vAlign w:val="center"/>
          </w:tcPr>
          <w:p w14:paraId="4BCC89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1559" w:type="dxa"/>
            <w:vAlign w:val="center"/>
          </w:tcPr>
          <w:p w14:paraId="5180AD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w:t>
            </w:r>
            <w:r>
              <w:rPr>
                <w:rFonts w:hint="eastAsia" w:ascii="Times New Roman" w:hAnsi="Times New Roman" w:eastAsia="宋体" w:cs="Times New Roman"/>
                <w:sz w:val="21"/>
                <w:szCs w:val="21"/>
                <w:highlight w:val="none"/>
                <w:lang w:val="en-US" w:eastAsia="zh-CN"/>
                <w14:ligatures w14:val="none"/>
              </w:rPr>
              <w:t>#柴油储罐（丙类、固定顶储罐、容积2000m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、D＝15.414m</w:t>
            </w:r>
            <w:r>
              <w:rPr>
                <w:rFonts w:hint="eastAsia" w:ascii="Times New Roman" w:hAnsi="Times New Roman" w:eastAsia="宋体" w:cs="Times New Roman"/>
                <w:sz w:val="21"/>
                <w:szCs w:val="21"/>
                <w:highlight w:val="none"/>
                <w:lang w:val="en-US" w:eastAsia="zh-CN"/>
                <w14:ligatures w14:val="none"/>
              </w:rPr>
              <w:t>）</w:t>
            </w:r>
          </w:p>
        </w:tc>
        <w:tc>
          <w:tcPr>
            <w:tcW w:w="1226" w:type="dxa"/>
            <w:vAlign w:val="center"/>
          </w:tcPr>
          <w:p w14:paraId="2277EA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6.1656</w:t>
            </w:r>
          </w:p>
        </w:tc>
        <w:tc>
          <w:tcPr>
            <w:tcW w:w="1090" w:type="dxa"/>
            <w:vAlign w:val="center"/>
          </w:tcPr>
          <w:p w14:paraId="3A2BDB0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9.3</w:t>
            </w:r>
          </w:p>
        </w:tc>
        <w:tc>
          <w:tcPr>
            <w:tcW w:w="2333" w:type="dxa"/>
            <w:vAlign w:val="center"/>
          </w:tcPr>
          <w:p w14:paraId="5E8260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67A1E6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vAlign w:val="center"/>
          </w:tcPr>
          <w:p w14:paraId="607358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494EC8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76A046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restart"/>
            <w:vAlign w:val="center"/>
          </w:tcPr>
          <w:p w14:paraId="6A67F0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西</w:t>
            </w:r>
          </w:p>
        </w:tc>
        <w:tc>
          <w:tcPr>
            <w:tcW w:w="1559" w:type="dxa"/>
            <w:vAlign w:val="center"/>
          </w:tcPr>
          <w:p w14:paraId="591D38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汽车罐车装卸设施（乙类）</w:t>
            </w:r>
          </w:p>
        </w:tc>
        <w:tc>
          <w:tcPr>
            <w:tcW w:w="1226" w:type="dxa"/>
            <w:vAlign w:val="center"/>
          </w:tcPr>
          <w:p w14:paraId="04D358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11</w:t>
            </w:r>
          </w:p>
        </w:tc>
        <w:tc>
          <w:tcPr>
            <w:tcW w:w="1090" w:type="dxa"/>
            <w:vAlign w:val="center"/>
          </w:tcPr>
          <w:p w14:paraId="6BC290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54.1</w:t>
            </w:r>
          </w:p>
        </w:tc>
        <w:tc>
          <w:tcPr>
            <w:tcW w:w="2333" w:type="dxa"/>
            <w:vAlign w:val="center"/>
          </w:tcPr>
          <w:p w14:paraId="45E156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7058B8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3A71F1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40870D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5F354C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vAlign w:val="center"/>
          </w:tcPr>
          <w:p w14:paraId="39FD29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693B54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公用工程房</w:t>
            </w:r>
          </w:p>
          <w:p w14:paraId="2CCF8B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（内含消防泵房、柴油发电机间、控制室等）</w:t>
            </w:r>
          </w:p>
        </w:tc>
        <w:tc>
          <w:tcPr>
            <w:tcW w:w="1226" w:type="dxa"/>
            <w:vAlign w:val="center"/>
          </w:tcPr>
          <w:p w14:paraId="1FB1BA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30</w:t>
            </w:r>
          </w:p>
        </w:tc>
        <w:tc>
          <w:tcPr>
            <w:tcW w:w="1090" w:type="dxa"/>
            <w:vAlign w:val="center"/>
          </w:tcPr>
          <w:p w14:paraId="7543A0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99.4</w:t>
            </w:r>
          </w:p>
        </w:tc>
        <w:tc>
          <w:tcPr>
            <w:tcW w:w="2333" w:type="dxa"/>
            <w:vAlign w:val="center"/>
          </w:tcPr>
          <w:p w14:paraId="738A17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8A129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448882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6389ED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69B9F3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restart"/>
            <w:vAlign w:val="center"/>
          </w:tcPr>
          <w:p w14:paraId="167B84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1559" w:type="dxa"/>
            <w:vAlign w:val="center"/>
          </w:tcPr>
          <w:p w14:paraId="78FFCE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库区围墙</w:t>
            </w:r>
          </w:p>
        </w:tc>
        <w:tc>
          <w:tcPr>
            <w:tcW w:w="1226" w:type="dxa"/>
            <w:vAlign w:val="center"/>
          </w:tcPr>
          <w:p w14:paraId="7A9499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7.5</w:t>
            </w:r>
          </w:p>
        </w:tc>
        <w:tc>
          <w:tcPr>
            <w:tcW w:w="1090" w:type="dxa"/>
            <w:vAlign w:val="center"/>
          </w:tcPr>
          <w:p w14:paraId="2E7340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13.7</w:t>
            </w:r>
          </w:p>
        </w:tc>
        <w:tc>
          <w:tcPr>
            <w:tcW w:w="2333" w:type="dxa"/>
            <w:vAlign w:val="center"/>
          </w:tcPr>
          <w:p w14:paraId="30F540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27D14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491F58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6A8471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12184E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vAlign w:val="center"/>
          </w:tcPr>
          <w:p w14:paraId="6F082E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08100C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33A364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即6.1375</w:t>
            </w:r>
          </w:p>
        </w:tc>
        <w:tc>
          <w:tcPr>
            <w:tcW w:w="1090" w:type="dxa"/>
            <w:vAlign w:val="center"/>
          </w:tcPr>
          <w:p w14:paraId="723A5D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6.14</w:t>
            </w:r>
          </w:p>
        </w:tc>
        <w:tc>
          <w:tcPr>
            <w:tcW w:w="2333" w:type="dxa"/>
            <w:vAlign w:val="center"/>
          </w:tcPr>
          <w:p w14:paraId="4DC8DA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1F7FBA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13BFED3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7EFF48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64A1AC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vAlign w:val="center"/>
          </w:tcPr>
          <w:p w14:paraId="7B7B24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52CA45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门卫（其他建筑物）</w:t>
            </w:r>
          </w:p>
        </w:tc>
        <w:tc>
          <w:tcPr>
            <w:tcW w:w="1226" w:type="dxa"/>
            <w:vAlign w:val="center"/>
          </w:tcPr>
          <w:p w14:paraId="6BC111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15</w:t>
            </w:r>
          </w:p>
        </w:tc>
        <w:tc>
          <w:tcPr>
            <w:tcW w:w="1090" w:type="dxa"/>
            <w:vAlign w:val="center"/>
          </w:tcPr>
          <w:p w14:paraId="521F96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50.1</w:t>
            </w:r>
          </w:p>
        </w:tc>
        <w:tc>
          <w:tcPr>
            <w:tcW w:w="2333" w:type="dxa"/>
            <w:vAlign w:val="center"/>
          </w:tcPr>
          <w:p w14:paraId="5D49FB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385C48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468C32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2EF520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685BE1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restart"/>
            <w:shd w:val="clear" w:color="auto" w:fill="auto"/>
            <w:vAlign w:val="center"/>
          </w:tcPr>
          <w:p w14:paraId="581362A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z w:val="21"/>
                <w:szCs w:val="21"/>
                <w:lang w:val="en-US" w:eastAsia="zh-CN"/>
                <w14:ligatures w14:val="none"/>
              </w:rPr>
              <w:t>东</w:t>
            </w:r>
          </w:p>
        </w:tc>
        <w:tc>
          <w:tcPr>
            <w:tcW w:w="1559" w:type="dxa"/>
            <w:shd w:val="clear" w:color="auto" w:fill="auto"/>
            <w:vAlign w:val="center"/>
          </w:tcPr>
          <w:p w14:paraId="35B60E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sz w:val="21"/>
                <w:szCs w:val="21"/>
                <w:lang w:val="en-US" w:eastAsia="zh-CN"/>
                <w14:ligatures w14:val="none"/>
              </w:rPr>
              <w:t>库区围墙</w:t>
            </w:r>
          </w:p>
        </w:tc>
        <w:tc>
          <w:tcPr>
            <w:tcW w:w="1226" w:type="dxa"/>
            <w:shd w:val="clear" w:color="auto" w:fill="auto"/>
            <w:vAlign w:val="center"/>
          </w:tcPr>
          <w:p w14:paraId="6E9616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sz w:val="21"/>
                <w:szCs w:val="21"/>
                <w:lang w:val="en-US" w:eastAsia="zh-CN"/>
                <w14:ligatures w14:val="none"/>
              </w:rPr>
              <w:t>7.5</w:t>
            </w:r>
          </w:p>
        </w:tc>
        <w:tc>
          <w:tcPr>
            <w:tcW w:w="1090" w:type="dxa"/>
            <w:shd w:val="clear" w:color="auto" w:fill="auto"/>
            <w:vAlign w:val="center"/>
          </w:tcPr>
          <w:p w14:paraId="316CEC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kern w:val="2"/>
                <w:sz w:val="21"/>
                <w:szCs w:val="21"/>
                <w:highlight w:val="none"/>
                <w:lang w:val="en-US" w:eastAsia="zh-CN" w:bidi="ar-SA"/>
                <w14:ligatures w14:val="none"/>
              </w:rPr>
              <w:t>39.4</w:t>
            </w:r>
          </w:p>
        </w:tc>
        <w:tc>
          <w:tcPr>
            <w:tcW w:w="2333" w:type="dxa"/>
            <w:shd w:val="clear" w:color="auto" w:fill="auto"/>
            <w:vAlign w:val="center"/>
          </w:tcPr>
          <w:p w14:paraId="322257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6264A4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highlight w:val="yellow"/>
                <w:lang w:val="en-US" w:eastAsia="zh-CN" w:bidi="ar-SA"/>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shd w:val="clear" w:color="auto" w:fill="auto"/>
            <w:vAlign w:val="center"/>
          </w:tcPr>
          <w:p w14:paraId="0C1202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highlight w:val="yellow"/>
                <w:lang w:val="en-US" w:eastAsia="zh-CN" w:bidi="ar-SA"/>
                <w14:ligatures w14:val="none"/>
              </w:rPr>
            </w:pPr>
            <w:r>
              <w:rPr>
                <w:rFonts w:hint="eastAsia" w:ascii="Times New Roman" w:hAnsi="Times New Roman" w:eastAsia="宋体" w:cs="Times New Roman"/>
                <w:sz w:val="21"/>
                <w:szCs w:val="21"/>
                <w:lang w:val="en-US" w:eastAsia="zh-CN"/>
                <w14:ligatures w14:val="none"/>
              </w:rPr>
              <w:t>符合</w:t>
            </w:r>
          </w:p>
        </w:tc>
      </w:tr>
      <w:tr w14:paraId="3FE073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56BB75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shd w:val="clear" w:color="auto" w:fill="auto"/>
            <w:vAlign w:val="center"/>
          </w:tcPr>
          <w:p w14:paraId="264B1E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lang w:val="en-US" w:eastAsia="zh-CN" w:bidi="ar-SA"/>
                <w14:ligatures w14:val="none"/>
              </w:rPr>
            </w:pPr>
          </w:p>
        </w:tc>
        <w:tc>
          <w:tcPr>
            <w:tcW w:w="1559" w:type="dxa"/>
            <w:shd w:val="clear" w:color="auto" w:fill="auto"/>
            <w:vAlign w:val="center"/>
          </w:tcPr>
          <w:p w14:paraId="5C790A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sz w:val="21"/>
                <w:szCs w:val="21"/>
                <w:highlight w:val="none"/>
                <w:lang w:val="en-US" w:eastAsia="zh-CN"/>
                <w14:ligatures w14:val="none"/>
              </w:rPr>
              <w:t>4#柴油储罐（丙类、固定顶储罐、容积1000m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lang w:val="en-US" w:eastAsia="zh-CN"/>
                <w14:ligatures w14:val="none"/>
              </w:rPr>
              <w:t>）</w:t>
            </w:r>
          </w:p>
        </w:tc>
        <w:tc>
          <w:tcPr>
            <w:tcW w:w="1226" w:type="dxa"/>
            <w:shd w:val="clear" w:color="auto" w:fill="auto"/>
            <w:vAlign w:val="center"/>
          </w:tcPr>
          <w:p w14:paraId="72D124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sz w:val="21"/>
                <w:szCs w:val="21"/>
                <w:highlight w:val="none"/>
                <w:lang w:val="en-US" w:eastAsia="zh-CN"/>
                <w14:ligatures w14:val="none"/>
              </w:rPr>
              <w:t>6.076</w:t>
            </w:r>
          </w:p>
        </w:tc>
        <w:tc>
          <w:tcPr>
            <w:tcW w:w="1090" w:type="dxa"/>
            <w:shd w:val="clear" w:color="auto" w:fill="auto"/>
            <w:vAlign w:val="center"/>
          </w:tcPr>
          <w:p w14:paraId="29292E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sz w:val="21"/>
                <w:szCs w:val="21"/>
                <w:highlight w:val="none"/>
                <w:lang w:val="en-US" w:eastAsia="zh-CN"/>
                <w14:ligatures w14:val="none"/>
              </w:rPr>
              <w:t>6.1</w:t>
            </w:r>
          </w:p>
        </w:tc>
        <w:tc>
          <w:tcPr>
            <w:tcW w:w="2333" w:type="dxa"/>
            <w:shd w:val="clear" w:color="auto" w:fill="auto"/>
            <w:vAlign w:val="center"/>
          </w:tcPr>
          <w:p w14:paraId="432FB9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242418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highlight w:val="none"/>
                <w:lang w:val="en-US" w:eastAsia="zh-CN" w:bidi="ar-SA"/>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shd w:val="clear" w:color="auto" w:fill="auto"/>
            <w:vAlign w:val="center"/>
          </w:tcPr>
          <w:p w14:paraId="3526F7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sz w:val="21"/>
                <w:szCs w:val="21"/>
                <w:lang w:val="en-US" w:eastAsia="zh-CN"/>
                <w14:ligatures w14:val="none"/>
              </w:rPr>
              <w:t>符合</w:t>
            </w:r>
          </w:p>
        </w:tc>
      </w:tr>
      <w:tr w14:paraId="374F44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restart"/>
            <w:vAlign w:val="center"/>
          </w:tcPr>
          <w:p w14:paraId="1601AF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highlight w:val="none"/>
                <w:lang w:val="en-US" w:eastAsia="zh-CN"/>
                <w14:ligatures w14:val="none"/>
              </w:rPr>
              <w:t>3#柴油储罐（丙类、固定顶储罐、容积2000m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、D＝15.512m、H＝11.245m</w:t>
            </w:r>
            <w:r>
              <w:rPr>
                <w:rFonts w:hint="eastAsia" w:ascii="Times New Roman" w:hAnsi="Times New Roman" w:eastAsia="宋体" w:cs="Times New Roman"/>
                <w:sz w:val="21"/>
                <w:szCs w:val="21"/>
                <w:highlight w:val="none"/>
                <w:lang w:val="en-US" w:eastAsia="zh-CN"/>
                <w14:ligatures w14:val="none"/>
              </w:rPr>
              <w:t>）</w:t>
            </w:r>
          </w:p>
        </w:tc>
        <w:tc>
          <w:tcPr>
            <w:tcW w:w="697" w:type="dxa"/>
            <w:vMerge w:val="restart"/>
            <w:vAlign w:val="center"/>
          </w:tcPr>
          <w:p w14:paraId="5619C4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北</w:t>
            </w:r>
          </w:p>
        </w:tc>
        <w:tc>
          <w:tcPr>
            <w:tcW w:w="1559" w:type="dxa"/>
            <w:vAlign w:val="center"/>
          </w:tcPr>
          <w:p w14:paraId="518F3A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泵房（乙类）</w:t>
            </w:r>
          </w:p>
        </w:tc>
        <w:tc>
          <w:tcPr>
            <w:tcW w:w="1226" w:type="dxa"/>
            <w:vAlign w:val="center"/>
          </w:tcPr>
          <w:p w14:paraId="6B75D1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11</w:t>
            </w:r>
          </w:p>
        </w:tc>
        <w:tc>
          <w:tcPr>
            <w:tcW w:w="1090" w:type="dxa"/>
            <w:vAlign w:val="center"/>
          </w:tcPr>
          <w:p w14:paraId="601B3A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38.3</w:t>
            </w:r>
          </w:p>
        </w:tc>
        <w:tc>
          <w:tcPr>
            <w:tcW w:w="2333" w:type="dxa"/>
            <w:vAlign w:val="center"/>
          </w:tcPr>
          <w:p w14:paraId="5A1D33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8B237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799FE8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3AD6DE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2543AF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491581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043848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铁路装卸设施</w:t>
            </w:r>
          </w:p>
        </w:tc>
        <w:tc>
          <w:tcPr>
            <w:tcW w:w="1226" w:type="dxa"/>
            <w:vAlign w:val="center"/>
          </w:tcPr>
          <w:p w14:paraId="727303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11</w:t>
            </w:r>
          </w:p>
        </w:tc>
        <w:tc>
          <w:tcPr>
            <w:tcW w:w="1090" w:type="dxa"/>
            <w:vAlign w:val="center"/>
          </w:tcPr>
          <w:p w14:paraId="4D6BDC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48</w:t>
            </w:r>
          </w:p>
        </w:tc>
        <w:tc>
          <w:tcPr>
            <w:tcW w:w="2333" w:type="dxa"/>
            <w:vAlign w:val="center"/>
          </w:tcPr>
          <w:p w14:paraId="0A5D0B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726207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1743C3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028FC2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4F5689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05ED62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17389D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隔油池（容积200m</w:t>
            </w:r>
            <w:r>
              <w:rPr>
                <w:rFonts w:hint="eastAsia" w:ascii="Times New Roman" w:hAnsi="Times New Roman" w:eastAsia="宋体" w:cs="Times New Roman"/>
                <w:sz w:val="21"/>
                <w:szCs w:val="21"/>
                <w:vertAlign w:val="superscript"/>
                <w:lang w:val="en-US" w:eastAsia="zh-CN"/>
                <w14:ligatures w14:val="none"/>
              </w:rPr>
              <w:t>3</w:t>
            </w:r>
            <w:r>
              <w:rPr>
                <w:rFonts w:hint="eastAsia" w:ascii="Times New Roman" w:hAnsi="Times New Roman" w:eastAsia="宋体" w:cs="Times New Roman"/>
                <w:sz w:val="21"/>
                <w:szCs w:val="21"/>
                <w:lang w:val="en-US" w:eastAsia="zh-CN"/>
                <w14:ligatures w14:val="none"/>
              </w:rPr>
              <w:t>）</w:t>
            </w:r>
          </w:p>
        </w:tc>
        <w:tc>
          <w:tcPr>
            <w:tcW w:w="1226" w:type="dxa"/>
            <w:vAlign w:val="center"/>
          </w:tcPr>
          <w:p w14:paraId="44FE70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19</w:t>
            </w:r>
          </w:p>
        </w:tc>
        <w:tc>
          <w:tcPr>
            <w:tcW w:w="1090" w:type="dxa"/>
            <w:vAlign w:val="center"/>
          </w:tcPr>
          <w:p w14:paraId="6208AA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31.6</w:t>
            </w:r>
          </w:p>
        </w:tc>
        <w:tc>
          <w:tcPr>
            <w:tcW w:w="2333" w:type="dxa"/>
            <w:vAlign w:val="center"/>
          </w:tcPr>
          <w:p w14:paraId="0EB88F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CC4F5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3DA524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1000CD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54087A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restart"/>
            <w:vAlign w:val="center"/>
          </w:tcPr>
          <w:p w14:paraId="181D8A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西</w:t>
            </w:r>
          </w:p>
        </w:tc>
        <w:tc>
          <w:tcPr>
            <w:tcW w:w="1559" w:type="dxa"/>
            <w:vAlign w:val="center"/>
          </w:tcPr>
          <w:p w14:paraId="739386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汽车罐车装卸设施（乙类）</w:t>
            </w:r>
          </w:p>
        </w:tc>
        <w:tc>
          <w:tcPr>
            <w:tcW w:w="1226" w:type="dxa"/>
            <w:vAlign w:val="center"/>
          </w:tcPr>
          <w:p w14:paraId="5466B6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11</w:t>
            </w:r>
          </w:p>
        </w:tc>
        <w:tc>
          <w:tcPr>
            <w:tcW w:w="1090" w:type="dxa"/>
            <w:vAlign w:val="center"/>
          </w:tcPr>
          <w:p w14:paraId="68537B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51.7</w:t>
            </w:r>
          </w:p>
        </w:tc>
        <w:tc>
          <w:tcPr>
            <w:tcW w:w="2333" w:type="dxa"/>
            <w:vAlign w:val="center"/>
          </w:tcPr>
          <w:p w14:paraId="235CE1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0C9AF3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16B845C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30A942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354EC0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vAlign w:val="center"/>
          </w:tcPr>
          <w:p w14:paraId="05C69D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11B899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公用工程房</w:t>
            </w:r>
          </w:p>
          <w:p w14:paraId="7D48C13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（内含消防泵房、柴油发电机间、控制室等）</w:t>
            </w:r>
          </w:p>
        </w:tc>
        <w:tc>
          <w:tcPr>
            <w:tcW w:w="1226" w:type="dxa"/>
            <w:vAlign w:val="center"/>
          </w:tcPr>
          <w:p w14:paraId="760D5B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30</w:t>
            </w:r>
          </w:p>
        </w:tc>
        <w:tc>
          <w:tcPr>
            <w:tcW w:w="1090" w:type="dxa"/>
            <w:vAlign w:val="center"/>
          </w:tcPr>
          <w:p w14:paraId="29EBD8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96.6</w:t>
            </w:r>
          </w:p>
        </w:tc>
        <w:tc>
          <w:tcPr>
            <w:tcW w:w="2333" w:type="dxa"/>
            <w:vAlign w:val="center"/>
          </w:tcPr>
          <w:p w14:paraId="65C42C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7BA69D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62FA24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770DBD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63FED2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vAlign w:val="center"/>
          </w:tcPr>
          <w:p w14:paraId="74F6AB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39E9CE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4AF593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即5.6225</w:t>
            </w:r>
          </w:p>
        </w:tc>
        <w:tc>
          <w:tcPr>
            <w:tcW w:w="1090" w:type="dxa"/>
            <w:vAlign w:val="center"/>
          </w:tcPr>
          <w:p w14:paraId="06F784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5.9</w:t>
            </w:r>
          </w:p>
        </w:tc>
        <w:tc>
          <w:tcPr>
            <w:tcW w:w="2333" w:type="dxa"/>
            <w:vAlign w:val="center"/>
          </w:tcPr>
          <w:p w14:paraId="127D98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071FE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3EC59F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69A7A9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596" w:type="dxa"/>
            <w:vMerge w:val="continue"/>
            <w:vAlign w:val="center"/>
          </w:tcPr>
          <w:p w14:paraId="6117F4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restart"/>
            <w:vAlign w:val="center"/>
          </w:tcPr>
          <w:p w14:paraId="3DF682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东</w:t>
            </w:r>
          </w:p>
        </w:tc>
        <w:tc>
          <w:tcPr>
            <w:tcW w:w="1559" w:type="dxa"/>
            <w:vAlign w:val="center"/>
          </w:tcPr>
          <w:p w14:paraId="206956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库区围墙</w:t>
            </w:r>
          </w:p>
        </w:tc>
        <w:tc>
          <w:tcPr>
            <w:tcW w:w="1226" w:type="dxa"/>
            <w:vAlign w:val="center"/>
          </w:tcPr>
          <w:p w14:paraId="6C2D84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7.5</w:t>
            </w:r>
          </w:p>
        </w:tc>
        <w:tc>
          <w:tcPr>
            <w:tcW w:w="1090" w:type="dxa"/>
            <w:vAlign w:val="center"/>
          </w:tcPr>
          <w:p w14:paraId="051C33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kern w:val="2"/>
                <w:sz w:val="21"/>
                <w:szCs w:val="21"/>
                <w:highlight w:val="none"/>
                <w:lang w:val="en-US" w:eastAsia="zh-CN" w:bidi="ar-SA"/>
                <w14:ligatures w14:val="none"/>
              </w:rPr>
              <w:t>36.2</w:t>
            </w:r>
          </w:p>
        </w:tc>
        <w:tc>
          <w:tcPr>
            <w:tcW w:w="2333" w:type="dxa"/>
            <w:vAlign w:val="center"/>
          </w:tcPr>
          <w:p w14:paraId="7C3422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A9842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7B16CD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4C2A64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596" w:type="dxa"/>
            <w:vMerge w:val="continue"/>
            <w:vAlign w:val="center"/>
          </w:tcPr>
          <w:p w14:paraId="1167A9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vAlign w:val="center"/>
          </w:tcPr>
          <w:p w14:paraId="6AA161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1559" w:type="dxa"/>
            <w:vAlign w:val="center"/>
          </w:tcPr>
          <w:p w14:paraId="24F3AB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highlight w:val="none"/>
                <w:lang w:val="en-US" w:eastAsia="zh-CN"/>
                <w14:ligatures w14:val="none"/>
              </w:rPr>
              <w:t>6#柴油储罐（丙类、固定顶储罐、容积1000m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、D＝11.150m</w:t>
            </w:r>
            <w:r>
              <w:rPr>
                <w:rFonts w:hint="eastAsia" w:ascii="Times New Roman" w:hAnsi="Times New Roman" w:eastAsia="宋体" w:cs="Times New Roman"/>
                <w:sz w:val="21"/>
                <w:szCs w:val="21"/>
                <w:highlight w:val="none"/>
                <w:lang w:val="en-US" w:eastAsia="zh-CN"/>
                <w14:ligatures w14:val="none"/>
              </w:rPr>
              <w:t>）</w:t>
            </w:r>
          </w:p>
        </w:tc>
        <w:tc>
          <w:tcPr>
            <w:tcW w:w="1226" w:type="dxa"/>
            <w:vAlign w:val="center"/>
          </w:tcPr>
          <w:p w14:paraId="308647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6.2048</w:t>
            </w:r>
          </w:p>
        </w:tc>
        <w:tc>
          <w:tcPr>
            <w:tcW w:w="1090" w:type="dxa"/>
            <w:vAlign w:val="center"/>
          </w:tcPr>
          <w:p w14:paraId="596A98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kern w:val="2"/>
                <w:sz w:val="21"/>
                <w:szCs w:val="21"/>
                <w:highlight w:val="none"/>
                <w:lang w:val="en-US" w:eastAsia="zh-CN" w:bidi="ar-SA"/>
                <w14:ligatures w14:val="none"/>
              </w:rPr>
              <w:t>8.6</w:t>
            </w:r>
          </w:p>
        </w:tc>
        <w:tc>
          <w:tcPr>
            <w:tcW w:w="2333" w:type="dxa"/>
            <w:vAlign w:val="center"/>
          </w:tcPr>
          <w:p w14:paraId="791921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6E85F2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vAlign w:val="center"/>
          </w:tcPr>
          <w:p w14:paraId="6B9402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33600A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596" w:type="dxa"/>
            <w:vMerge w:val="continue"/>
            <w:vAlign w:val="center"/>
          </w:tcPr>
          <w:p w14:paraId="32EBA8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vAlign w:val="center"/>
          </w:tcPr>
          <w:p w14:paraId="512ADA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1559" w:type="dxa"/>
            <w:vAlign w:val="center"/>
          </w:tcPr>
          <w:p w14:paraId="72CFAF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highlight w:val="none"/>
                <w:lang w:val="en-US" w:eastAsia="zh-CN"/>
                <w14:ligatures w14:val="none"/>
              </w:rPr>
              <w:t>7#柴油储罐（丙类、固定顶储罐、容积1000m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、D＝11.032m</w:t>
            </w:r>
            <w:r>
              <w:rPr>
                <w:rFonts w:hint="eastAsia" w:ascii="Times New Roman" w:hAnsi="Times New Roman" w:eastAsia="宋体" w:cs="Times New Roman"/>
                <w:sz w:val="21"/>
                <w:szCs w:val="21"/>
                <w:highlight w:val="none"/>
                <w:lang w:val="en-US" w:eastAsia="zh-CN"/>
                <w14:ligatures w14:val="none"/>
              </w:rPr>
              <w:t>）</w:t>
            </w:r>
          </w:p>
        </w:tc>
        <w:tc>
          <w:tcPr>
            <w:tcW w:w="1226" w:type="dxa"/>
            <w:vAlign w:val="center"/>
          </w:tcPr>
          <w:p w14:paraId="51015B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6.2048</w:t>
            </w:r>
          </w:p>
        </w:tc>
        <w:tc>
          <w:tcPr>
            <w:tcW w:w="1090" w:type="dxa"/>
            <w:vAlign w:val="center"/>
          </w:tcPr>
          <w:p w14:paraId="17C796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kern w:val="2"/>
                <w:sz w:val="21"/>
                <w:szCs w:val="21"/>
                <w:highlight w:val="none"/>
                <w:lang w:val="en-US" w:eastAsia="zh-CN" w:bidi="ar-SA"/>
                <w14:ligatures w14:val="none"/>
              </w:rPr>
              <w:t>8.6</w:t>
            </w:r>
          </w:p>
        </w:tc>
        <w:tc>
          <w:tcPr>
            <w:tcW w:w="2333" w:type="dxa"/>
            <w:vAlign w:val="center"/>
          </w:tcPr>
          <w:p w14:paraId="5C5F74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39E2BB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vAlign w:val="center"/>
          </w:tcPr>
          <w:p w14:paraId="3DA83A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2526E5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596" w:type="dxa"/>
            <w:vMerge w:val="continue"/>
            <w:vAlign w:val="center"/>
          </w:tcPr>
          <w:p w14:paraId="1109AC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Align w:val="center"/>
          </w:tcPr>
          <w:p w14:paraId="478706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1559" w:type="dxa"/>
            <w:vAlign w:val="center"/>
          </w:tcPr>
          <w:p w14:paraId="628BAE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2#柴油储罐（丙类、固定顶储罐、容积2000m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、D＝15.414m</w:t>
            </w:r>
            <w:r>
              <w:rPr>
                <w:rFonts w:hint="eastAsia" w:ascii="Times New Roman" w:hAnsi="Times New Roman" w:eastAsia="宋体" w:cs="Times New Roman"/>
                <w:sz w:val="21"/>
                <w:szCs w:val="21"/>
                <w:highlight w:val="none"/>
                <w:lang w:val="en-US" w:eastAsia="zh-CN"/>
                <w14:ligatures w14:val="none"/>
              </w:rPr>
              <w:t>）</w:t>
            </w:r>
          </w:p>
        </w:tc>
        <w:tc>
          <w:tcPr>
            <w:tcW w:w="1226" w:type="dxa"/>
            <w:vAlign w:val="center"/>
          </w:tcPr>
          <w:p w14:paraId="229357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6.1656</w:t>
            </w:r>
          </w:p>
        </w:tc>
        <w:tc>
          <w:tcPr>
            <w:tcW w:w="1090" w:type="dxa"/>
            <w:vAlign w:val="center"/>
          </w:tcPr>
          <w:p w14:paraId="77310E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9.4</w:t>
            </w:r>
          </w:p>
        </w:tc>
        <w:tc>
          <w:tcPr>
            <w:tcW w:w="2333" w:type="dxa"/>
            <w:vAlign w:val="center"/>
          </w:tcPr>
          <w:p w14:paraId="4D2AE2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509A2A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vAlign w:val="center"/>
          </w:tcPr>
          <w:p w14:paraId="2B4552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lang w:val="en-US" w:eastAsia="zh-CN"/>
                <w14:ligatures w14:val="none"/>
              </w:rPr>
              <w:t>符合</w:t>
            </w:r>
          </w:p>
        </w:tc>
      </w:tr>
      <w:tr w14:paraId="62DD49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Align w:val="center"/>
          </w:tcPr>
          <w:p w14:paraId="1EE674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highlight w:val="none"/>
                <w:lang w:val="en-US" w:eastAsia="zh-CN"/>
                <w14:ligatures w14:val="none"/>
              </w:rPr>
              <w:t>2#柴油储罐（丙类、固定顶储罐、容积2000m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、H＝11.232m、D＝15.414m</w:t>
            </w:r>
            <w:r>
              <w:rPr>
                <w:rFonts w:hint="eastAsia" w:ascii="Times New Roman" w:hAnsi="Times New Roman" w:eastAsia="宋体" w:cs="Times New Roman"/>
                <w:sz w:val="21"/>
                <w:szCs w:val="21"/>
                <w:highlight w:val="none"/>
                <w:lang w:val="en-US" w:eastAsia="zh-CN"/>
                <w14:ligatures w14:val="none"/>
              </w:rPr>
              <w:t>）</w:t>
            </w:r>
          </w:p>
        </w:tc>
        <w:tc>
          <w:tcPr>
            <w:tcW w:w="697" w:type="dxa"/>
            <w:vAlign w:val="center"/>
          </w:tcPr>
          <w:p w14:paraId="634259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西</w:t>
            </w:r>
          </w:p>
        </w:tc>
        <w:tc>
          <w:tcPr>
            <w:tcW w:w="1559" w:type="dxa"/>
            <w:vAlign w:val="center"/>
          </w:tcPr>
          <w:p w14:paraId="124661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4357EC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w:t>
            </w:r>
          </w:p>
          <w:p w14:paraId="30C86A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5.616</w:t>
            </w:r>
          </w:p>
        </w:tc>
        <w:tc>
          <w:tcPr>
            <w:tcW w:w="1090" w:type="dxa"/>
            <w:vAlign w:val="center"/>
          </w:tcPr>
          <w:p w14:paraId="4AA0A2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5.9</w:t>
            </w:r>
          </w:p>
        </w:tc>
        <w:tc>
          <w:tcPr>
            <w:tcW w:w="2333" w:type="dxa"/>
            <w:vAlign w:val="center"/>
          </w:tcPr>
          <w:p w14:paraId="57FB98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503569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1395E8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2924F2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restart"/>
            <w:vAlign w:val="center"/>
          </w:tcPr>
          <w:p w14:paraId="73F083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highlight w:val="none"/>
                <w:lang w:val="en-US" w:eastAsia="zh-CN"/>
                <w14:ligatures w14:val="none"/>
              </w:rPr>
              <w:t>4#柴油储罐（丙类、固定顶储罐、容积1000m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、H＝9.476m</w:t>
            </w:r>
            <w:r>
              <w:rPr>
                <w:rFonts w:hint="eastAsia" w:ascii="Times New Roman" w:hAnsi="Times New Roman" w:eastAsia="宋体" w:cs="Times New Roman"/>
                <w:sz w:val="21"/>
                <w:szCs w:val="21"/>
                <w:highlight w:val="none"/>
                <w:lang w:val="en-US" w:eastAsia="zh-CN"/>
                <w14:ligatures w14:val="none"/>
              </w:rPr>
              <w:t>）</w:t>
            </w:r>
          </w:p>
        </w:tc>
        <w:tc>
          <w:tcPr>
            <w:tcW w:w="697" w:type="dxa"/>
            <w:vMerge w:val="restart"/>
            <w:vAlign w:val="center"/>
          </w:tcPr>
          <w:p w14:paraId="6A86B5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1559" w:type="dxa"/>
            <w:vAlign w:val="center"/>
          </w:tcPr>
          <w:p w14:paraId="61911A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库区围墙</w:t>
            </w:r>
          </w:p>
        </w:tc>
        <w:tc>
          <w:tcPr>
            <w:tcW w:w="1226" w:type="dxa"/>
            <w:vAlign w:val="center"/>
          </w:tcPr>
          <w:p w14:paraId="78D272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7.5</w:t>
            </w:r>
          </w:p>
        </w:tc>
        <w:tc>
          <w:tcPr>
            <w:tcW w:w="1090" w:type="dxa"/>
            <w:vAlign w:val="center"/>
          </w:tcPr>
          <w:p w14:paraId="5FCBBC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12.8</w:t>
            </w:r>
          </w:p>
        </w:tc>
        <w:tc>
          <w:tcPr>
            <w:tcW w:w="2333" w:type="dxa"/>
            <w:vAlign w:val="center"/>
          </w:tcPr>
          <w:p w14:paraId="265F04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70353C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770AAB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387D25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49AB30B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0B5D1B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11FED4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49A4CA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w:t>
            </w:r>
          </w:p>
          <w:p w14:paraId="592FC4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4.738</w:t>
            </w:r>
          </w:p>
        </w:tc>
        <w:tc>
          <w:tcPr>
            <w:tcW w:w="1090" w:type="dxa"/>
            <w:vAlign w:val="center"/>
          </w:tcPr>
          <w:p w14:paraId="5B8FDE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6.5</w:t>
            </w:r>
          </w:p>
        </w:tc>
        <w:tc>
          <w:tcPr>
            <w:tcW w:w="2333" w:type="dxa"/>
            <w:vAlign w:val="center"/>
          </w:tcPr>
          <w:p w14:paraId="08958A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0B774C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175B44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061737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4312FA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restart"/>
            <w:vAlign w:val="center"/>
          </w:tcPr>
          <w:p w14:paraId="68E81E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1559" w:type="dxa"/>
            <w:vAlign w:val="center"/>
          </w:tcPr>
          <w:p w14:paraId="414D31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库区围墙</w:t>
            </w:r>
          </w:p>
        </w:tc>
        <w:tc>
          <w:tcPr>
            <w:tcW w:w="1226" w:type="dxa"/>
            <w:vAlign w:val="center"/>
          </w:tcPr>
          <w:p w14:paraId="407332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7.5</w:t>
            </w:r>
          </w:p>
        </w:tc>
        <w:tc>
          <w:tcPr>
            <w:tcW w:w="1090" w:type="dxa"/>
            <w:vAlign w:val="center"/>
          </w:tcPr>
          <w:p w14:paraId="02F1C4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21.6</w:t>
            </w:r>
          </w:p>
        </w:tc>
        <w:tc>
          <w:tcPr>
            <w:tcW w:w="2333" w:type="dxa"/>
            <w:vAlign w:val="center"/>
          </w:tcPr>
          <w:p w14:paraId="72ABAF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597D104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027575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14E96C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3E0636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501594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29F159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221587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w:t>
            </w:r>
          </w:p>
          <w:p w14:paraId="3C059849">
            <w:pPr>
              <w:widowControl w:val="0"/>
              <w:autoSpaceDE w:val="0"/>
              <w:autoSpaceDN w:val="0"/>
              <w:spacing w:after="0" w:line="240" w:lineRule="auto"/>
              <w:ind w:firstLine="420" w:firstLineChars="200"/>
              <w:jc w:val="both"/>
              <w:rPr>
                <w:rFonts w:hint="default" w:ascii="Times New Roman" w:hAnsi="Times New Roman" w:eastAsia="宋体" w:cs="Times New Roman"/>
                <w:kern w:val="2"/>
                <w:sz w:val="21"/>
                <w:szCs w:val="20"/>
                <w:lang w:val="en-US" w:eastAsia="zh-CN" w:bidi="ar-SA"/>
                <w14:ligatures w14:val="none"/>
              </w:rPr>
            </w:pPr>
            <w:r>
              <w:rPr>
                <w:rFonts w:hint="eastAsia" w:ascii="Times New Roman" w:hAnsi="Times New Roman" w:eastAsia="宋体" w:cs="Times New Roman"/>
                <w:kern w:val="2"/>
                <w:sz w:val="21"/>
                <w:szCs w:val="21"/>
                <w:lang w:val="en-US" w:eastAsia="zh-CN" w:bidi="ar-SA"/>
                <w14:ligatures w14:val="none"/>
              </w:rPr>
              <w:t>4.738</w:t>
            </w:r>
          </w:p>
        </w:tc>
        <w:tc>
          <w:tcPr>
            <w:tcW w:w="1090" w:type="dxa"/>
            <w:vAlign w:val="center"/>
          </w:tcPr>
          <w:p w14:paraId="030F9E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6.2</w:t>
            </w:r>
          </w:p>
        </w:tc>
        <w:tc>
          <w:tcPr>
            <w:tcW w:w="2333" w:type="dxa"/>
            <w:vAlign w:val="center"/>
          </w:tcPr>
          <w:p w14:paraId="120B73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6D4093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34C9E5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6D93C6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restart"/>
            <w:vAlign w:val="center"/>
          </w:tcPr>
          <w:p w14:paraId="6BA8E0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highlight w:val="none"/>
                <w:lang w:val="en-US" w:eastAsia="zh-CN"/>
                <w14:ligatures w14:val="none"/>
              </w:rPr>
              <w:t>5#柴油储罐（丙类、固定顶储罐、容积1000m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、H＝9.441m、D＝11.886m</w:t>
            </w:r>
            <w:r>
              <w:rPr>
                <w:rFonts w:hint="eastAsia" w:ascii="Times New Roman" w:hAnsi="Times New Roman" w:eastAsia="宋体" w:cs="Times New Roman"/>
                <w:sz w:val="21"/>
                <w:szCs w:val="21"/>
                <w:highlight w:val="none"/>
                <w:lang w:val="en-US" w:eastAsia="zh-CN"/>
                <w14:ligatures w14:val="none"/>
              </w:rPr>
              <w:t>）</w:t>
            </w:r>
          </w:p>
        </w:tc>
        <w:tc>
          <w:tcPr>
            <w:tcW w:w="697" w:type="dxa"/>
            <w:vMerge w:val="restart"/>
            <w:vAlign w:val="center"/>
          </w:tcPr>
          <w:p w14:paraId="4C926E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1559" w:type="dxa"/>
            <w:vAlign w:val="center"/>
          </w:tcPr>
          <w:p w14:paraId="023EBF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库区围墙</w:t>
            </w:r>
          </w:p>
        </w:tc>
        <w:tc>
          <w:tcPr>
            <w:tcW w:w="1226" w:type="dxa"/>
            <w:vAlign w:val="center"/>
          </w:tcPr>
          <w:p w14:paraId="7E44DB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7.5</w:t>
            </w:r>
          </w:p>
        </w:tc>
        <w:tc>
          <w:tcPr>
            <w:tcW w:w="1090" w:type="dxa"/>
            <w:vAlign w:val="center"/>
          </w:tcPr>
          <w:p w14:paraId="4828E8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22.0</w:t>
            </w:r>
          </w:p>
        </w:tc>
        <w:tc>
          <w:tcPr>
            <w:tcW w:w="2333" w:type="dxa"/>
            <w:vAlign w:val="center"/>
          </w:tcPr>
          <w:p w14:paraId="4F4572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6C2290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624372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6789B0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285B7A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272267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108CDE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2B2170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w:t>
            </w:r>
          </w:p>
          <w:p w14:paraId="73CB3C55">
            <w:pPr>
              <w:widowControl w:val="0"/>
              <w:autoSpaceDE w:val="0"/>
              <w:autoSpaceDN w:val="0"/>
              <w:spacing w:after="0" w:line="240" w:lineRule="auto"/>
              <w:ind w:left="0" w:leftChars="0" w:firstLine="0" w:firstLineChars="0"/>
              <w:jc w:val="center"/>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kern w:val="2"/>
                <w:sz w:val="21"/>
                <w:szCs w:val="21"/>
                <w:lang w:val="en-US" w:eastAsia="zh-CN" w:bidi="ar-SA"/>
                <w14:ligatures w14:val="none"/>
              </w:rPr>
              <w:t>4.7205</w:t>
            </w:r>
          </w:p>
        </w:tc>
        <w:tc>
          <w:tcPr>
            <w:tcW w:w="1090" w:type="dxa"/>
            <w:vAlign w:val="center"/>
          </w:tcPr>
          <w:p w14:paraId="35D58E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6.4</w:t>
            </w:r>
          </w:p>
        </w:tc>
        <w:tc>
          <w:tcPr>
            <w:tcW w:w="2333" w:type="dxa"/>
            <w:vAlign w:val="center"/>
          </w:tcPr>
          <w:p w14:paraId="2C9788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AAB78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15A521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2A3AF7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6FD02B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Align w:val="center"/>
          </w:tcPr>
          <w:p w14:paraId="080E84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1559" w:type="dxa"/>
            <w:vAlign w:val="center"/>
          </w:tcPr>
          <w:p w14:paraId="52EDEB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highlight w:val="none"/>
                <w:lang w:val="en-US" w:eastAsia="zh-CN"/>
                <w14:ligatures w14:val="none"/>
              </w:rPr>
              <w:t>6#柴油储罐（丙类、固定顶储罐、容积1000m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、H＝11.125m、D＝11.150m</w:t>
            </w:r>
            <w:r>
              <w:rPr>
                <w:rFonts w:hint="eastAsia" w:ascii="Times New Roman" w:hAnsi="Times New Roman" w:eastAsia="宋体" w:cs="Times New Roman"/>
                <w:sz w:val="21"/>
                <w:szCs w:val="21"/>
                <w:highlight w:val="none"/>
                <w:lang w:val="en-US" w:eastAsia="zh-CN"/>
                <w14:ligatures w14:val="none"/>
              </w:rPr>
              <w:t>）</w:t>
            </w:r>
          </w:p>
        </w:tc>
        <w:tc>
          <w:tcPr>
            <w:tcW w:w="1226" w:type="dxa"/>
            <w:vAlign w:val="center"/>
          </w:tcPr>
          <w:p w14:paraId="5AF247A2">
            <w:pPr>
              <w:widowControl w:val="0"/>
              <w:autoSpaceDE w:val="0"/>
              <w:autoSpaceDN w:val="0"/>
              <w:spacing w:after="0" w:line="240" w:lineRule="auto"/>
              <w:ind w:left="0" w:leftChars="0" w:firstLine="0" w:firstLineChars="0"/>
              <w:jc w:val="center"/>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kern w:val="2"/>
                <w:sz w:val="21"/>
                <w:szCs w:val="21"/>
                <w:lang w:val="en-US" w:eastAsia="zh-CN" w:bidi="ar-SA"/>
                <w14:ligatures w14:val="none"/>
              </w:rPr>
              <w:t>4.7544</w:t>
            </w:r>
          </w:p>
        </w:tc>
        <w:tc>
          <w:tcPr>
            <w:tcW w:w="1090" w:type="dxa"/>
            <w:vAlign w:val="center"/>
          </w:tcPr>
          <w:p w14:paraId="5B93A1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7.4</w:t>
            </w:r>
          </w:p>
        </w:tc>
        <w:tc>
          <w:tcPr>
            <w:tcW w:w="2333" w:type="dxa"/>
            <w:vAlign w:val="center"/>
          </w:tcPr>
          <w:p w14:paraId="521B4B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2F3D2F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vAlign w:val="center"/>
          </w:tcPr>
          <w:p w14:paraId="3EEC27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1AABEB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5EF3B8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Align w:val="center"/>
          </w:tcPr>
          <w:p w14:paraId="634714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1559" w:type="dxa"/>
            <w:vAlign w:val="center"/>
          </w:tcPr>
          <w:p w14:paraId="7764F2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4#柴油储罐（丙类、固定顶储罐、容积1000m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、H＝9.476m、D＝11.970m</w:t>
            </w:r>
            <w:r>
              <w:rPr>
                <w:rFonts w:hint="eastAsia" w:ascii="Times New Roman" w:hAnsi="Times New Roman" w:eastAsia="宋体" w:cs="Times New Roman"/>
                <w:sz w:val="21"/>
                <w:szCs w:val="21"/>
                <w:highlight w:val="none"/>
                <w:lang w:val="en-US" w:eastAsia="zh-CN"/>
                <w14:ligatures w14:val="none"/>
              </w:rPr>
              <w:t>）</w:t>
            </w:r>
          </w:p>
        </w:tc>
        <w:tc>
          <w:tcPr>
            <w:tcW w:w="1226" w:type="dxa"/>
            <w:vAlign w:val="center"/>
          </w:tcPr>
          <w:p w14:paraId="2EACF9C0">
            <w:pPr>
              <w:widowControl w:val="0"/>
              <w:autoSpaceDE w:val="0"/>
              <w:autoSpaceDN w:val="0"/>
              <w:spacing w:after="0" w:line="240" w:lineRule="auto"/>
              <w:ind w:left="0" w:leftChars="0" w:firstLine="0" w:firstLineChars="0"/>
              <w:jc w:val="center"/>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kern w:val="2"/>
                <w:sz w:val="21"/>
                <w:szCs w:val="21"/>
                <w:lang w:val="en-US" w:eastAsia="zh-CN" w:bidi="ar-SA"/>
                <w14:ligatures w14:val="none"/>
              </w:rPr>
              <w:t>4.788</w:t>
            </w:r>
          </w:p>
        </w:tc>
        <w:tc>
          <w:tcPr>
            <w:tcW w:w="1090" w:type="dxa"/>
            <w:vAlign w:val="center"/>
          </w:tcPr>
          <w:p w14:paraId="7E94C4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12.5</w:t>
            </w:r>
          </w:p>
        </w:tc>
        <w:tc>
          <w:tcPr>
            <w:tcW w:w="2333" w:type="dxa"/>
            <w:vAlign w:val="center"/>
          </w:tcPr>
          <w:p w14:paraId="60C4AA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65FEEB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vAlign w:val="center"/>
          </w:tcPr>
          <w:p w14:paraId="77CEF5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3AD62B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390D13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Align w:val="center"/>
          </w:tcPr>
          <w:p w14:paraId="3512FA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西</w:t>
            </w:r>
          </w:p>
        </w:tc>
        <w:tc>
          <w:tcPr>
            <w:tcW w:w="1559" w:type="dxa"/>
            <w:vAlign w:val="center"/>
          </w:tcPr>
          <w:p w14:paraId="0A8E8B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highlight w:val="none"/>
                <w:lang w:val="en-US" w:eastAsia="zh-CN"/>
                <w14:ligatures w14:val="none"/>
              </w:rPr>
              <w:t>2#柴油储罐（丙类、固定顶储罐、容积2000m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、H＝11.232m、D＝15.414m</w:t>
            </w:r>
            <w:r>
              <w:rPr>
                <w:rFonts w:hint="eastAsia" w:ascii="Times New Roman" w:hAnsi="Times New Roman" w:eastAsia="宋体" w:cs="Times New Roman"/>
                <w:sz w:val="21"/>
                <w:szCs w:val="21"/>
                <w:highlight w:val="none"/>
                <w:lang w:val="en-US" w:eastAsia="zh-CN"/>
                <w14:ligatures w14:val="none"/>
              </w:rPr>
              <w:t>）</w:t>
            </w:r>
          </w:p>
        </w:tc>
        <w:tc>
          <w:tcPr>
            <w:tcW w:w="1226" w:type="dxa"/>
            <w:vAlign w:val="center"/>
          </w:tcPr>
          <w:p w14:paraId="213683B4">
            <w:pPr>
              <w:widowControl w:val="0"/>
              <w:autoSpaceDE w:val="0"/>
              <w:autoSpaceDN w:val="0"/>
              <w:spacing w:after="0" w:line="240" w:lineRule="auto"/>
              <w:ind w:left="0" w:leftChars="0" w:firstLine="0" w:firstLineChars="0"/>
              <w:jc w:val="center"/>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kern w:val="2"/>
                <w:sz w:val="21"/>
                <w:szCs w:val="21"/>
                <w:lang w:val="en-US" w:eastAsia="zh-CN" w:bidi="ar-SA"/>
                <w14:ligatures w14:val="none"/>
              </w:rPr>
              <w:t>6.1656</w:t>
            </w:r>
          </w:p>
        </w:tc>
        <w:tc>
          <w:tcPr>
            <w:tcW w:w="1090" w:type="dxa"/>
            <w:vAlign w:val="center"/>
          </w:tcPr>
          <w:p w14:paraId="289D6E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6.3</w:t>
            </w:r>
          </w:p>
        </w:tc>
        <w:tc>
          <w:tcPr>
            <w:tcW w:w="2333" w:type="dxa"/>
            <w:vAlign w:val="center"/>
          </w:tcPr>
          <w:p w14:paraId="5E9DE3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89DCE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vAlign w:val="center"/>
          </w:tcPr>
          <w:p w14:paraId="508197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176D1B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restart"/>
            <w:vAlign w:val="center"/>
          </w:tcPr>
          <w:p w14:paraId="510074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6#柴油储罐（丙类、固定顶储罐、容积1000m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、H＝11.125m、D＝11.150m</w:t>
            </w:r>
            <w:r>
              <w:rPr>
                <w:rFonts w:hint="eastAsia" w:ascii="Times New Roman" w:hAnsi="Times New Roman" w:eastAsia="宋体" w:cs="Times New Roman"/>
                <w:sz w:val="21"/>
                <w:szCs w:val="21"/>
                <w:highlight w:val="none"/>
                <w:lang w:val="en-US" w:eastAsia="zh-CN"/>
                <w14:ligatures w14:val="none"/>
              </w:rPr>
              <w:t>）</w:t>
            </w:r>
          </w:p>
        </w:tc>
        <w:tc>
          <w:tcPr>
            <w:tcW w:w="697" w:type="dxa"/>
            <w:vMerge w:val="restart"/>
            <w:vAlign w:val="center"/>
          </w:tcPr>
          <w:p w14:paraId="4DA0CB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1559" w:type="dxa"/>
            <w:vAlign w:val="center"/>
          </w:tcPr>
          <w:p w14:paraId="0B304F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lang w:val="en-US" w:eastAsia="zh-CN"/>
                <w14:ligatures w14:val="none"/>
              </w:rPr>
              <w:t>库区围墙</w:t>
            </w:r>
          </w:p>
        </w:tc>
        <w:tc>
          <w:tcPr>
            <w:tcW w:w="1226" w:type="dxa"/>
            <w:vAlign w:val="center"/>
          </w:tcPr>
          <w:p w14:paraId="0A00A05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7.5</w:t>
            </w:r>
          </w:p>
        </w:tc>
        <w:tc>
          <w:tcPr>
            <w:tcW w:w="1090" w:type="dxa"/>
            <w:vAlign w:val="center"/>
          </w:tcPr>
          <w:p w14:paraId="2A3C39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21.1</w:t>
            </w:r>
          </w:p>
        </w:tc>
        <w:tc>
          <w:tcPr>
            <w:tcW w:w="2333" w:type="dxa"/>
            <w:vAlign w:val="center"/>
          </w:tcPr>
          <w:p w14:paraId="6335FA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55EEB7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4DC0D4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46B0A6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4551BA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5CC4CD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4E261F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4AB64C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w:t>
            </w:r>
          </w:p>
          <w:p w14:paraId="014E8F7A">
            <w:pPr>
              <w:widowControl w:val="0"/>
              <w:autoSpaceDE w:val="0"/>
              <w:autoSpaceDN w:val="0"/>
              <w:spacing w:after="0" w:line="240" w:lineRule="auto"/>
              <w:ind w:left="0" w:leftChars="0" w:firstLine="0" w:firstLineChars="0"/>
              <w:jc w:val="center"/>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kern w:val="2"/>
                <w:sz w:val="21"/>
                <w:szCs w:val="21"/>
                <w:lang w:val="en-US" w:eastAsia="zh-CN" w:bidi="ar-SA"/>
                <w14:ligatures w14:val="none"/>
              </w:rPr>
              <w:t>5.5625</w:t>
            </w:r>
          </w:p>
        </w:tc>
        <w:tc>
          <w:tcPr>
            <w:tcW w:w="1090" w:type="dxa"/>
            <w:vAlign w:val="center"/>
          </w:tcPr>
          <w:p w14:paraId="48C9CE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5.6</w:t>
            </w:r>
          </w:p>
        </w:tc>
        <w:tc>
          <w:tcPr>
            <w:tcW w:w="2333" w:type="dxa"/>
            <w:vAlign w:val="center"/>
          </w:tcPr>
          <w:p w14:paraId="7B4F20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23C8F8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1EEFD5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00D3CE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0C27CD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Align w:val="center"/>
          </w:tcPr>
          <w:p w14:paraId="741E7D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1559" w:type="dxa"/>
            <w:vAlign w:val="center"/>
          </w:tcPr>
          <w:p w14:paraId="4D7513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highlight w:val="none"/>
                <w:lang w:val="en-US" w:eastAsia="zh-CN"/>
                <w14:ligatures w14:val="none"/>
              </w:rPr>
              <w:t>7#柴油储罐（丙类、固定顶储罐、容积1000m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、D＝11.032m</w:t>
            </w:r>
            <w:r>
              <w:rPr>
                <w:rFonts w:hint="eastAsia" w:ascii="Times New Roman" w:hAnsi="Times New Roman" w:eastAsia="宋体" w:cs="Times New Roman"/>
                <w:sz w:val="21"/>
                <w:szCs w:val="21"/>
                <w:highlight w:val="none"/>
                <w:lang w:val="en-US" w:eastAsia="zh-CN"/>
                <w14:ligatures w14:val="none"/>
              </w:rPr>
              <w:t>）</w:t>
            </w:r>
          </w:p>
        </w:tc>
        <w:tc>
          <w:tcPr>
            <w:tcW w:w="1226" w:type="dxa"/>
            <w:vAlign w:val="center"/>
          </w:tcPr>
          <w:p w14:paraId="5AFA9407">
            <w:pPr>
              <w:widowControl w:val="0"/>
              <w:autoSpaceDE w:val="0"/>
              <w:autoSpaceDN w:val="0"/>
              <w:spacing w:after="0" w:line="240" w:lineRule="auto"/>
              <w:ind w:left="0" w:leftChars="0" w:firstLine="0" w:firstLineChars="0"/>
              <w:jc w:val="center"/>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kern w:val="2"/>
                <w:sz w:val="21"/>
                <w:szCs w:val="21"/>
                <w:lang w:val="en-US" w:eastAsia="zh-CN" w:bidi="ar-SA"/>
                <w14:ligatures w14:val="none"/>
              </w:rPr>
              <w:t>4.46</w:t>
            </w:r>
          </w:p>
        </w:tc>
        <w:tc>
          <w:tcPr>
            <w:tcW w:w="1090" w:type="dxa"/>
            <w:vAlign w:val="center"/>
          </w:tcPr>
          <w:p w14:paraId="4A807D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7.6</w:t>
            </w:r>
          </w:p>
        </w:tc>
        <w:tc>
          <w:tcPr>
            <w:tcW w:w="2333" w:type="dxa"/>
            <w:vAlign w:val="center"/>
          </w:tcPr>
          <w:p w14:paraId="66170D0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270A1C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vAlign w:val="center"/>
          </w:tcPr>
          <w:p w14:paraId="4DF682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222B31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restart"/>
            <w:vAlign w:val="center"/>
          </w:tcPr>
          <w:p w14:paraId="4C9F86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7#柴油储罐（丙类、固定顶储罐、容积1000m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、H＝11.125m、D＝11.150m</w:t>
            </w:r>
            <w:r>
              <w:rPr>
                <w:rFonts w:hint="eastAsia" w:ascii="Times New Roman" w:hAnsi="Times New Roman" w:eastAsia="宋体" w:cs="Times New Roman"/>
                <w:sz w:val="21"/>
                <w:szCs w:val="21"/>
                <w:highlight w:val="none"/>
                <w:lang w:val="en-US" w:eastAsia="zh-CN"/>
                <w14:ligatures w14:val="none"/>
              </w:rPr>
              <w:t>）</w:t>
            </w:r>
          </w:p>
        </w:tc>
        <w:tc>
          <w:tcPr>
            <w:tcW w:w="697" w:type="dxa"/>
            <w:vMerge w:val="restart"/>
            <w:vAlign w:val="center"/>
          </w:tcPr>
          <w:p w14:paraId="565D894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1559" w:type="dxa"/>
            <w:vAlign w:val="center"/>
          </w:tcPr>
          <w:p w14:paraId="773AE4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2881F94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w:t>
            </w:r>
          </w:p>
          <w:p w14:paraId="2A49168F">
            <w:pPr>
              <w:widowControl w:val="0"/>
              <w:autoSpaceDE w:val="0"/>
              <w:autoSpaceDN w:val="0"/>
              <w:spacing w:after="0" w:line="240" w:lineRule="auto"/>
              <w:ind w:left="0" w:leftChars="0" w:firstLine="0" w:firstLineChars="0"/>
              <w:jc w:val="center"/>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kern w:val="2"/>
                <w:sz w:val="21"/>
                <w:szCs w:val="21"/>
                <w:lang w:val="en-US" w:eastAsia="zh-CN" w:bidi="ar-SA"/>
                <w14:ligatures w14:val="none"/>
              </w:rPr>
              <w:t>5.5625</w:t>
            </w:r>
          </w:p>
        </w:tc>
        <w:tc>
          <w:tcPr>
            <w:tcW w:w="1090" w:type="dxa"/>
            <w:vAlign w:val="center"/>
          </w:tcPr>
          <w:p w14:paraId="58AECB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7.7</w:t>
            </w:r>
          </w:p>
        </w:tc>
        <w:tc>
          <w:tcPr>
            <w:tcW w:w="2333" w:type="dxa"/>
            <w:vAlign w:val="center"/>
          </w:tcPr>
          <w:p w14:paraId="009562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CF5C2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17EE49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6C45E7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1EBE5D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307E66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188EBC7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铁路装卸设施</w:t>
            </w:r>
          </w:p>
        </w:tc>
        <w:tc>
          <w:tcPr>
            <w:tcW w:w="1226" w:type="dxa"/>
            <w:vAlign w:val="center"/>
          </w:tcPr>
          <w:p w14:paraId="0823FE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z w:val="21"/>
                <w:szCs w:val="21"/>
                <w:lang w:val="en-US" w:eastAsia="zh-CN"/>
                <w14:ligatures w14:val="none"/>
              </w:rPr>
              <w:t>11</w:t>
            </w:r>
          </w:p>
        </w:tc>
        <w:tc>
          <w:tcPr>
            <w:tcW w:w="1090" w:type="dxa"/>
            <w:vAlign w:val="center"/>
          </w:tcPr>
          <w:p w14:paraId="1F6B1C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50</w:t>
            </w:r>
          </w:p>
        </w:tc>
        <w:tc>
          <w:tcPr>
            <w:tcW w:w="2333" w:type="dxa"/>
            <w:vAlign w:val="center"/>
          </w:tcPr>
          <w:p w14:paraId="26CF4B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3DE967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4875F9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6E21AE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0A570E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4E2552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0CE810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隔油池（容积200m</w:t>
            </w:r>
            <w:r>
              <w:rPr>
                <w:rFonts w:hint="eastAsia" w:ascii="Times New Roman" w:hAnsi="Times New Roman" w:eastAsia="宋体" w:cs="Times New Roman"/>
                <w:sz w:val="21"/>
                <w:szCs w:val="21"/>
                <w:vertAlign w:val="superscript"/>
                <w:lang w:val="en-US" w:eastAsia="zh-CN"/>
                <w14:ligatures w14:val="none"/>
              </w:rPr>
              <w:t>3</w:t>
            </w:r>
            <w:r>
              <w:rPr>
                <w:rFonts w:hint="eastAsia" w:ascii="Times New Roman" w:hAnsi="Times New Roman" w:eastAsia="宋体" w:cs="Times New Roman"/>
                <w:sz w:val="21"/>
                <w:szCs w:val="21"/>
                <w:lang w:val="en-US" w:eastAsia="zh-CN"/>
                <w14:ligatures w14:val="none"/>
              </w:rPr>
              <w:t>）</w:t>
            </w:r>
          </w:p>
        </w:tc>
        <w:tc>
          <w:tcPr>
            <w:tcW w:w="1226" w:type="dxa"/>
            <w:vAlign w:val="center"/>
          </w:tcPr>
          <w:p w14:paraId="5C42B4F5">
            <w:pPr>
              <w:widowControl w:val="0"/>
              <w:autoSpaceDE w:val="0"/>
              <w:autoSpaceDN w:val="0"/>
              <w:spacing w:after="0" w:line="240" w:lineRule="auto"/>
              <w:ind w:left="0" w:leftChars="0" w:firstLine="0" w:firstLineChars="0"/>
              <w:jc w:val="center"/>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kern w:val="2"/>
                <w:sz w:val="21"/>
                <w:szCs w:val="21"/>
                <w:lang w:val="en-US" w:eastAsia="zh-CN" w:bidi="ar-SA"/>
                <w14:ligatures w14:val="none"/>
              </w:rPr>
              <w:t>19</w:t>
            </w:r>
          </w:p>
        </w:tc>
        <w:tc>
          <w:tcPr>
            <w:tcW w:w="1090" w:type="dxa"/>
            <w:vAlign w:val="center"/>
          </w:tcPr>
          <w:p w14:paraId="1CBB12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27.8</w:t>
            </w:r>
          </w:p>
        </w:tc>
        <w:tc>
          <w:tcPr>
            <w:tcW w:w="2333" w:type="dxa"/>
            <w:vAlign w:val="center"/>
          </w:tcPr>
          <w:p w14:paraId="2E094E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2737DE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2D6B5F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2EBFFD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5208C4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restart"/>
            <w:vAlign w:val="center"/>
          </w:tcPr>
          <w:p w14:paraId="14A1AB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1559" w:type="dxa"/>
            <w:vAlign w:val="center"/>
          </w:tcPr>
          <w:p w14:paraId="2E6AEA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lang w:val="en-US" w:eastAsia="zh-CN"/>
                <w14:ligatures w14:val="none"/>
              </w:rPr>
              <w:t>库区围墙</w:t>
            </w:r>
          </w:p>
        </w:tc>
        <w:tc>
          <w:tcPr>
            <w:tcW w:w="1226" w:type="dxa"/>
            <w:vAlign w:val="center"/>
          </w:tcPr>
          <w:p w14:paraId="60E96E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7.5</w:t>
            </w:r>
          </w:p>
        </w:tc>
        <w:tc>
          <w:tcPr>
            <w:tcW w:w="1090" w:type="dxa"/>
            <w:vAlign w:val="center"/>
          </w:tcPr>
          <w:p w14:paraId="0D571CC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20.6</w:t>
            </w:r>
          </w:p>
        </w:tc>
        <w:tc>
          <w:tcPr>
            <w:tcW w:w="2333" w:type="dxa"/>
            <w:vAlign w:val="center"/>
          </w:tcPr>
          <w:p w14:paraId="5AFAAF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A7A23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5A3DED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2551DE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3DA7ED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3CA5B9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1157E2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1B1CD1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w:t>
            </w:r>
          </w:p>
          <w:p w14:paraId="5288BB5B">
            <w:pPr>
              <w:widowControl w:val="0"/>
              <w:autoSpaceDE w:val="0"/>
              <w:autoSpaceDN w:val="0"/>
              <w:spacing w:after="0" w:line="240" w:lineRule="auto"/>
              <w:ind w:left="0" w:leftChars="0" w:firstLine="0" w:firstLineChars="0"/>
              <w:jc w:val="center"/>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kern w:val="2"/>
                <w:sz w:val="21"/>
                <w:szCs w:val="21"/>
                <w:lang w:val="en-US" w:eastAsia="zh-CN" w:bidi="ar-SA"/>
                <w14:ligatures w14:val="none"/>
              </w:rPr>
              <w:t>5.5625</w:t>
            </w:r>
          </w:p>
        </w:tc>
        <w:tc>
          <w:tcPr>
            <w:tcW w:w="1090" w:type="dxa"/>
            <w:vAlign w:val="center"/>
          </w:tcPr>
          <w:p w14:paraId="2A9C3F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6.5</w:t>
            </w:r>
          </w:p>
        </w:tc>
        <w:tc>
          <w:tcPr>
            <w:tcW w:w="2333" w:type="dxa"/>
            <w:vAlign w:val="center"/>
          </w:tcPr>
          <w:p w14:paraId="14FB30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296F2B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0B4B7B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09D52C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restart"/>
            <w:vAlign w:val="center"/>
          </w:tcPr>
          <w:p w14:paraId="195BFC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泵房（乙类）</w:t>
            </w:r>
          </w:p>
        </w:tc>
        <w:tc>
          <w:tcPr>
            <w:tcW w:w="697" w:type="dxa"/>
            <w:vAlign w:val="center"/>
          </w:tcPr>
          <w:p w14:paraId="58C3DA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1559" w:type="dxa"/>
            <w:vAlign w:val="center"/>
          </w:tcPr>
          <w:p w14:paraId="373A9D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铁路装卸设施</w:t>
            </w:r>
          </w:p>
        </w:tc>
        <w:tc>
          <w:tcPr>
            <w:tcW w:w="1226" w:type="dxa"/>
            <w:vAlign w:val="center"/>
          </w:tcPr>
          <w:p w14:paraId="33AB274E">
            <w:pPr>
              <w:widowControl w:val="0"/>
              <w:autoSpaceDE w:val="0"/>
              <w:autoSpaceDN w:val="0"/>
              <w:spacing w:after="0" w:line="240" w:lineRule="auto"/>
              <w:ind w:left="0" w:leftChars="0" w:firstLine="0" w:firstLineChars="0"/>
              <w:jc w:val="center"/>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kern w:val="2"/>
                <w:sz w:val="21"/>
                <w:szCs w:val="21"/>
                <w:lang w:val="en-US" w:eastAsia="zh-CN" w:bidi="ar-SA"/>
                <w14:ligatures w14:val="none"/>
              </w:rPr>
              <w:t>8</w:t>
            </w:r>
          </w:p>
        </w:tc>
        <w:tc>
          <w:tcPr>
            <w:tcW w:w="1090" w:type="dxa"/>
            <w:vAlign w:val="center"/>
          </w:tcPr>
          <w:p w14:paraId="4F8640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8.5</w:t>
            </w:r>
          </w:p>
        </w:tc>
        <w:tc>
          <w:tcPr>
            <w:tcW w:w="2333" w:type="dxa"/>
            <w:vAlign w:val="center"/>
          </w:tcPr>
          <w:p w14:paraId="4F7B71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6A0006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4A37BE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67D5FD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525E7E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restart"/>
            <w:vAlign w:val="center"/>
          </w:tcPr>
          <w:p w14:paraId="608224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1559" w:type="dxa"/>
            <w:vAlign w:val="center"/>
          </w:tcPr>
          <w:p w14:paraId="7A8EDC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办公楼</w:t>
            </w:r>
          </w:p>
        </w:tc>
        <w:tc>
          <w:tcPr>
            <w:tcW w:w="1226" w:type="dxa"/>
            <w:vAlign w:val="center"/>
          </w:tcPr>
          <w:p w14:paraId="3D57E5D2">
            <w:pPr>
              <w:widowControl w:val="0"/>
              <w:autoSpaceDE w:val="0"/>
              <w:autoSpaceDN w:val="0"/>
              <w:spacing w:after="0" w:line="240" w:lineRule="auto"/>
              <w:ind w:left="0" w:leftChars="0" w:firstLine="0" w:firstLineChars="0"/>
              <w:jc w:val="center"/>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kern w:val="2"/>
                <w:sz w:val="21"/>
                <w:szCs w:val="21"/>
                <w:lang w:val="en-US" w:eastAsia="zh-CN" w:bidi="ar-SA"/>
                <w14:ligatures w14:val="none"/>
              </w:rPr>
              <w:t>30</w:t>
            </w:r>
          </w:p>
        </w:tc>
        <w:tc>
          <w:tcPr>
            <w:tcW w:w="1090" w:type="dxa"/>
            <w:vAlign w:val="center"/>
          </w:tcPr>
          <w:p w14:paraId="07E0DAF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108.1</w:t>
            </w:r>
          </w:p>
        </w:tc>
        <w:tc>
          <w:tcPr>
            <w:tcW w:w="2333" w:type="dxa"/>
            <w:vAlign w:val="center"/>
          </w:tcPr>
          <w:p w14:paraId="354D68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6216F2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67AFA1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6EAD66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2D06067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38738F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3F5D1F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汽车罐车装卸设施（乙类）</w:t>
            </w:r>
          </w:p>
        </w:tc>
        <w:tc>
          <w:tcPr>
            <w:tcW w:w="1226" w:type="dxa"/>
            <w:vAlign w:val="center"/>
          </w:tcPr>
          <w:p w14:paraId="30A470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kern w:val="2"/>
                <w:sz w:val="21"/>
                <w:szCs w:val="21"/>
                <w:lang w:val="en-US" w:eastAsia="zh-CN" w:bidi="ar-SA"/>
                <w14:ligatures w14:val="none"/>
              </w:rPr>
              <w:t>15</w:t>
            </w:r>
          </w:p>
        </w:tc>
        <w:tc>
          <w:tcPr>
            <w:tcW w:w="1090" w:type="dxa"/>
            <w:vAlign w:val="center"/>
          </w:tcPr>
          <w:p w14:paraId="260ECC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48.3</w:t>
            </w:r>
          </w:p>
        </w:tc>
        <w:tc>
          <w:tcPr>
            <w:tcW w:w="2333" w:type="dxa"/>
            <w:vAlign w:val="center"/>
          </w:tcPr>
          <w:p w14:paraId="166516F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16C736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4987E7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1C3D58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241FF2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restart"/>
            <w:vAlign w:val="center"/>
          </w:tcPr>
          <w:p w14:paraId="6A50BB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西</w:t>
            </w:r>
          </w:p>
        </w:tc>
        <w:tc>
          <w:tcPr>
            <w:tcW w:w="1559" w:type="dxa"/>
            <w:vAlign w:val="center"/>
          </w:tcPr>
          <w:p w14:paraId="4F3613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highlight w:val="none"/>
                <w:lang w:val="en-US" w:eastAsia="zh-CN"/>
                <w14:ligatures w14:val="none"/>
              </w:rPr>
              <w:t>公用工程房（丁类、内含配电室、消防泵房等）</w:t>
            </w:r>
          </w:p>
        </w:tc>
        <w:tc>
          <w:tcPr>
            <w:tcW w:w="1226" w:type="dxa"/>
            <w:vAlign w:val="center"/>
          </w:tcPr>
          <w:p w14:paraId="6615EC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kern w:val="2"/>
                <w:sz w:val="21"/>
                <w:szCs w:val="21"/>
                <w:lang w:val="en-US" w:eastAsia="zh-CN" w:bidi="ar-SA"/>
                <w14:ligatures w14:val="none"/>
              </w:rPr>
              <w:t>30</w:t>
            </w:r>
          </w:p>
        </w:tc>
        <w:tc>
          <w:tcPr>
            <w:tcW w:w="1090" w:type="dxa"/>
            <w:vAlign w:val="center"/>
          </w:tcPr>
          <w:p w14:paraId="4BC4D4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76.8</w:t>
            </w:r>
          </w:p>
        </w:tc>
        <w:tc>
          <w:tcPr>
            <w:tcW w:w="2333" w:type="dxa"/>
            <w:vAlign w:val="center"/>
          </w:tcPr>
          <w:p w14:paraId="4CCC4A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E01B6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4F5BFA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09CA66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74A231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586133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029EBB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lang w:val="en-US" w:eastAsia="zh-CN"/>
                <w14:ligatures w14:val="none"/>
              </w:rPr>
              <w:t>工具间（丁类、内含柴油发电机房）</w:t>
            </w:r>
          </w:p>
        </w:tc>
        <w:tc>
          <w:tcPr>
            <w:tcW w:w="1226" w:type="dxa"/>
            <w:vAlign w:val="center"/>
          </w:tcPr>
          <w:p w14:paraId="29B819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kern w:val="2"/>
                <w:sz w:val="21"/>
                <w:szCs w:val="21"/>
                <w:lang w:val="en-US" w:eastAsia="zh-CN" w:bidi="ar-SA"/>
                <w14:ligatures w14:val="none"/>
              </w:rPr>
              <w:t>15</w:t>
            </w:r>
          </w:p>
        </w:tc>
        <w:tc>
          <w:tcPr>
            <w:tcW w:w="1090" w:type="dxa"/>
            <w:vAlign w:val="center"/>
          </w:tcPr>
          <w:p w14:paraId="183B9D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103</w:t>
            </w:r>
          </w:p>
        </w:tc>
        <w:tc>
          <w:tcPr>
            <w:tcW w:w="2333" w:type="dxa"/>
            <w:vAlign w:val="center"/>
          </w:tcPr>
          <w:p w14:paraId="50DBFE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75A340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29F22D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385207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2B566B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Align w:val="center"/>
          </w:tcPr>
          <w:p w14:paraId="5270FE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1559" w:type="dxa"/>
            <w:vAlign w:val="center"/>
          </w:tcPr>
          <w:p w14:paraId="14BECC7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隔油池（容积200m</w:t>
            </w:r>
            <w:r>
              <w:rPr>
                <w:rFonts w:hint="eastAsia" w:ascii="Times New Roman" w:hAnsi="Times New Roman" w:eastAsia="宋体" w:cs="Times New Roman"/>
                <w:sz w:val="21"/>
                <w:szCs w:val="21"/>
                <w:vertAlign w:val="superscript"/>
                <w:lang w:val="en-US" w:eastAsia="zh-CN"/>
                <w14:ligatures w14:val="none"/>
              </w:rPr>
              <w:t>3</w:t>
            </w:r>
            <w:r>
              <w:rPr>
                <w:rFonts w:hint="eastAsia" w:ascii="Times New Roman" w:hAnsi="Times New Roman" w:eastAsia="宋体" w:cs="Times New Roman"/>
                <w:sz w:val="21"/>
                <w:szCs w:val="21"/>
                <w:lang w:val="en-US" w:eastAsia="zh-CN"/>
                <w14:ligatures w14:val="none"/>
              </w:rPr>
              <w:t>）</w:t>
            </w:r>
          </w:p>
        </w:tc>
        <w:tc>
          <w:tcPr>
            <w:tcW w:w="1226" w:type="dxa"/>
            <w:vAlign w:val="center"/>
          </w:tcPr>
          <w:p w14:paraId="3A2DDBE5">
            <w:pPr>
              <w:widowControl w:val="0"/>
              <w:autoSpaceDE w:val="0"/>
              <w:autoSpaceDN w:val="0"/>
              <w:spacing w:after="0" w:line="240" w:lineRule="auto"/>
              <w:ind w:left="0" w:leftChars="0" w:firstLine="0" w:firstLineChars="0"/>
              <w:jc w:val="center"/>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kern w:val="2"/>
                <w:sz w:val="21"/>
                <w:szCs w:val="21"/>
                <w:lang w:val="en-US" w:eastAsia="zh-CN" w:bidi="ar-SA"/>
                <w14:ligatures w14:val="none"/>
              </w:rPr>
              <w:t>10</w:t>
            </w:r>
          </w:p>
        </w:tc>
        <w:tc>
          <w:tcPr>
            <w:tcW w:w="1090" w:type="dxa"/>
            <w:vAlign w:val="center"/>
          </w:tcPr>
          <w:p w14:paraId="095369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15.6</w:t>
            </w:r>
          </w:p>
        </w:tc>
        <w:tc>
          <w:tcPr>
            <w:tcW w:w="2333" w:type="dxa"/>
            <w:vAlign w:val="center"/>
          </w:tcPr>
          <w:p w14:paraId="4F8BEB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6AB9BA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0BD504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0719AD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restart"/>
            <w:vAlign w:val="center"/>
          </w:tcPr>
          <w:p w14:paraId="22DC19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公用工程房（丁类、内含配电室、消防泵房等）</w:t>
            </w:r>
          </w:p>
        </w:tc>
        <w:tc>
          <w:tcPr>
            <w:tcW w:w="697" w:type="dxa"/>
            <w:vAlign w:val="center"/>
          </w:tcPr>
          <w:p w14:paraId="4C8A56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1559" w:type="dxa"/>
            <w:vAlign w:val="center"/>
          </w:tcPr>
          <w:p w14:paraId="199CEE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汽车罐车装卸设施（乙类）</w:t>
            </w:r>
          </w:p>
        </w:tc>
        <w:tc>
          <w:tcPr>
            <w:tcW w:w="1226" w:type="dxa"/>
            <w:vAlign w:val="center"/>
          </w:tcPr>
          <w:p w14:paraId="255E59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cs="Times New Roman"/>
                <w:sz w:val="21"/>
                <w:szCs w:val="21"/>
                <w:lang w:val="en-US" w:eastAsia="zh-CN"/>
                <w14:ligatures w14:val="none"/>
              </w:rPr>
            </w:pPr>
            <w:r>
              <w:rPr>
                <w:rFonts w:hint="eastAsia" w:ascii="Times New Roman" w:hAnsi="Times New Roman" w:cs="Times New Roman"/>
                <w:sz w:val="21"/>
                <w:szCs w:val="21"/>
                <w:lang w:val="en-US" w:eastAsia="zh-CN"/>
                <w14:ligatures w14:val="none"/>
              </w:rPr>
              <w:t>23</w:t>
            </w:r>
          </w:p>
        </w:tc>
        <w:tc>
          <w:tcPr>
            <w:tcW w:w="1090" w:type="dxa"/>
            <w:vAlign w:val="center"/>
          </w:tcPr>
          <w:p w14:paraId="59E2D1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26</w:t>
            </w:r>
          </w:p>
        </w:tc>
        <w:tc>
          <w:tcPr>
            <w:tcW w:w="2333" w:type="dxa"/>
            <w:vAlign w:val="center"/>
          </w:tcPr>
          <w:p w14:paraId="41A33E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2563F0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01424C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0961D3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7D6BC7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Align w:val="center"/>
          </w:tcPr>
          <w:p w14:paraId="71F7F3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1559" w:type="dxa"/>
            <w:vAlign w:val="center"/>
          </w:tcPr>
          <w:p w14:paraId="5D3341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工具间（丁类、内含柴油发电机房）</w:t>
            </w:r>
          </w:p>
        </w:tc>
        <w:tc>
          <w:tcPr>
            <w:tcW w:w="1226" w:type="dxa"/>
            <w:vAlign w:val="center"/>
          </w:tcPr>
          <w:p w14:paraId="67921B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较高一侧为防火墙距离不限</w:t>
            </w:r>
          </w:p>
        </w:tc>
        <w:tc>
          <w:tcPr>
            <w:tcW w:w="1090" w:type="dxa"/>
            <w:vAlign w:val="center"/>
          </w:tcPr>
          <w:p w14:paraId="009704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2.5</w:t>
            </w:r>
          </w:p>
        </w:tc>
        <w:tc>
          <w:tcPr>
            <w:tcW w:w="2333" w:type="dxa"/>
            <w:vAlign w:val="center"/>
          </w:tcPr>
          <w:p w14:paraId="319060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GB50016-2014</w:t>
            </w:r>
          </w:p>
          <w:p w14:paraId="074ECE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(2018 年版)</w:t>
            </w:r>
          </w:p>
          <w:p w14:paraId="14C2360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第 3.4.1 条注2</w:t>
            </w:r>
          </w:p>
        </w:tc>
        <w:tc>
          <w:tcPr>
            <w:tcW w:w="751" w:type="dxa"/>
            <w:vAlign w:val="center"/>
          </w:tcPr>
          <w:p w14:paraId="522CC3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2E1E3D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restart"/>
            <w:vAlign w:val="center"/>
          </w:tcPr>
          <w:p w14:paraId="13417A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lang w:val="en-US" w:eastAsia="zh-CN"/>
                <w14:ligatures w14:val="none"/>
              </w:rPr>
              <w:t>工具间（丁类、内含柴油发电机房）</w:t>
            </w:r>
          </w:p>
        </w:tc>
        <w:tc>
          <w:tcPr>
            <w:tcW w:w="697" w:type="dxa"/>
            <w:vAlign w:val="center"/>
          </w:tcPr>
          <w:p w14:paraId="5262BC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1559" w:type="dxa"/>
            <w:vAlign w:val="center"/>
          </w:tcPr>
          <w:p w14:paraId="6ACE8A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办公楼（民建）</w:t>
            </w:r>
          </w:p>
        </w:tc>
        <w:tc>
          <w:tcPr>
            <w:tcW w:w="1226" w:type="dxa"/>
            <w:vAlign w:val="center"/>
          </w:tcPr>
          <w:p w14:paraId="5E2C55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较高一侧为防火墙距离不限</w:t>
            </w:r>
          </w:p>
        </w:tc>
        <w:tc>
          <w:tcPr>
            <w:tcW w:w="1090" w:type="dxa"/>
            <w:vAlign w:val="center"/>
          </w:tcPr>
          <w:p w14:paraId="57AB64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2.3</w:t>
            </w:r>
          </w:p>
        </w:tc>
        <w:tc>
          <w:tcPr>
            <w:tcW w:w="2333" w:type="dxa"/>
            <w:vAlign w:val="center"/>
          </w:tcPr>
          <w:p w14:paraId="406326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GB50016-2014</w:t>
            </w:r>
          </w:p>
          <w:p w14:paraId="2B1A6B6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(2018 年版)</w:t>
            </w:r>
          </w:p>
          <w:p w14:paraId="4CC1E3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14:ligatures w14:val="none"/>
              </w:rPr>
              <w:t>第 3.</w:t>
            </w:r>
            <w:r>
              <w:rPr>
                <w:rFonts w:hint="eastAsia" w:ascii="Times New Roman" w:hAnsi="Times New Roman" w:eastAsia="宋体" w:cs="Times New Roman"/>
                <w:sz w:val="21"/>
                <w:szCs w:val="21"/>
                <w:lang w:val="en-US" w:eastAsia="zh-CN"/>
                <w14:ligatures w14:val="none"/>
              </w:rPr>
              <w:t>5.3</w:t>
            </w:r>
            <w:r>
              <w:rPr>
                <w:rFonts w:hint="eastAsia" w:ascii="Times New Roman" w:hAnsi="Times New Roman" w:eastAsia="宋体" w:cs="Times New Roman"/>
                <w:sz w:val="21"/>
                <w:szCs w:val="21"/>
                <w14:ligatures w14:val="none"/>
              </w:rPr>
              <w:t>条注</w:t>
            </w:r>
            <w:r>
              <w:rPr>
                <w:rFonts w:hint="eastAsia" w:ascii="Times New Roman" w:hAnsi="Times New Roman" w:eastAsia="宋体" w:cs="Times New Roman"/>
                <w:sz w:val="21"/>
                <w:szCs w:val="21"/>
                <w:lang w:val="en-US" w:eastAsia="zh-CN"/>
                <w14:ligatures w14:val="none"/>
              </w:rPr>
              <w:t>1</w:t>
            </w:r>
          </w:p>
        </w:tc>
        <w:tc>
          <w:tcPr>
            <w:tcW w:w="751" w:type="dxa"/>
            <w:vAlign w:val="center"/>
          </w:tcPr>
          <w:p w14:paraId="18F354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0FDFF3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5BED43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697" w:type="dxa"/>
            <w:vAlign w:val="center"/>
          </w:tcPr>
          <w:p w14:paraId="349867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1559" w:type="dxa"/>
            <w:vAlign w:val="center"/>
          </w:tcPr>
          <w:p w14:paraId="670754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汽车罐车装卸设施（乙类）</w:t>
            </w:r>
          </w:p>
        </w:tc>
        <w:tc>
          <w:tcPr>
            <w:tcW w:w="1226" w:type="dxa"/>
            <w:vAlign w:val="center"/>
          </w:tcPr>
          <w:p w14:paraId="4865B7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23</w:t>
            </w:r>
          </w:p>
        </w:tc>
        <w:tc>
          <w:tcPr>
            <w:tcW w:w="1090" w:type="dxa"/>
            <w:vAlign w:val="center"/>
          </w:tcPr>
          <w:p w14:paraId="3A03B8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26.9</w:t>
            </w:r>
          </w:p>
        </w:tc>
        <w:tc>
          <w:tcPr>
            <w:tcW w:w="2333" w:type="dxa"/>
            <w:vAlign w:val="center"/>
          </w:tcPr>
          <w:p w14:paraId="533BB8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5B6806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34D676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5E8465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restart"/>
            <w:vAlign w:val="center"/>
          </w:tcPr>
          <w:p w14:paraId="7845E82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综合房（民建，内含宿舍食堂等）</w:t>
            </w:r>
          </w:p>
        </w:tc>
        <w:tc>
          <w:tcPr>
            <w:tcW w:w="697" w:type="dxa"/>
            <w:vAlign w:val="center"/>
          </w:tcPr>
          <w:p w14:paraId="1FC37B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1559" w:type="dxa"/>
            <w:vAlign w:val="center"/>
          </w:tcPr>
          <w:p w14:paraId="125636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罐区（乙类）</w:t>
            </w:r>
          </w:p>
        </w:tc>
        <w:tc>
          <w:tcPr>
            <w:tcW w:w="1226" w:type="dxa"/>
            <w:vAlign w:val="center"/>
          </w:tcPr>
          <w:p w14:paraId="1882CE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35</w:t>
            </w:r>
          </w:p>
        </w:tc>
        <w:tc>
          <w:tcPr>
            <w:tcW w:w="1090" w:type="dxa"/>
            <w:vAlign w:val="center"/>
          </w:tcPr>
          <w:p w14:paraId="59749A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97.8</w:t>
            </w:r>
          </w:p>
        </w:tc>
        <w:tc>
          <w:tcPr>
            <w:tcW w:w="2333" w:type="dxa"/>
            <w:vAlign w:val="center"/>
          </w:tcPr>
          <w:p w14:paraId="5FD43C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72E664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4.0.10</w:t>
            </w:r>
            <w:r>
              <w:rPr>
                <w:rFonts w:ascii="Times New Roman" w:hAnsi="Times New Roman" w:eastAsia="宋体" w:cs="Times New Roman"/>
                <w:sz w:val="21"/>
                <w:szCs w:val="21"/>
                <w14:ligatures w14:val="none"/>
              </w:rPr>
              <w:t>条</w:t>
            </w:r>
          </w:p>
        </w:tc>
        <w:tc>
          <w:tcPr>
            <w:tcW w:w="751" w:type="dxa"/>
            <w:vAlign w:val="center"/>
          </w:tcPr>
          <w:p w14:paraId="463260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4C4407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6D26F8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697" w:type="dxa"/>
            <w:vAlign w:val="center"/>
          </w:tcPr>
          <w:p w14:paraId="3B3347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1559" w:type="dxa"/>
            <w:vAlign w:val="center"/>
          </w:tcPr>
          <w:p w14:paraId="66F58B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办公楼</w:t>
            </w:r>
          </w:p>
        </w:tc>
        <w:tc>
          <w:tcPr>
            <w:tcW w:w="1226" w:type="dxa"/>
            <w:vAlign w:val="center"/>
          </w:tcPr>
          <w:p w14:paraId="16134B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w:t>
            </w:r>
          </w:p>
        </w:tc>
        <w:tc>
          <w:tcPr>
            <w:tcW w:w="1090" w:type="dxa"/>
            <w:vAlign w:val="center"/>
          </w:tcPr>
          <w:p w14:paraId="49375E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20.5</w:t>
            </w:r>
          </w:p>
        </w:tc>
        <w:tc>
          <w:tcPr>
            <w:tcW w:w="2333" w:type="dxa"/>
            <w:vAlign w:val="center"/>
          </w:tcPr>
          <w:p w14:paraId="56BFAC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GB50016-2014</w:t>
            </w:r>
          </w:p>
          <w:p w14:paraId="49D771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(2018 年版)</w:t>
            </w:r>
          </w:p>
          <w:p w14:paraId="790D6D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5.2.2</w:t>
            </w:r>
            <w:r>
              <w:rPr>
                <w:rFonts w:hint="eastAsia" w:ascii="Times New Roman" w:hAnsi="Times New Roman" w:eastAsia="宋体" w:cs="Times New Roman"/>
                <w:sz w:val="21"/>
                <w:szCs w:val="21"/>
                <w14:ligatures w14:val="none"/>
              </w:rPr>
              <w:t>条</w:t>
            </w:r>
          </w:p>
        </w:tc>
        <w:tc>
          <w:tcPr>
            <w:tcW w:w="751" w:type="dxa"/>
            <w:vAlign w:val="center"/>
          </w:tcPr>
          <w:p w14:paraId="15144C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185DB6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restart"/>
            <w:vAlign w:val="center"/>
          </w:tcPr>
          <w:p w14:paraId="3985A2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办公楼（民建）</w:t>
            </w:r>
          </w:p>
        </w:tc>
        <w:tc>
          <w:tcPr>
            <w:tcW w:w="697" w:type="dxa"/>
            <w:vAlign w:val="center"/>
          </w:tcPr>
          <w:p w14:paraId="7B2848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1559" w:type="dxa"/>
            <w:vAlign w:val="center"/>
          </w:tcPr>
          <w:p w14:paraId="2B7B0C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汽车罐车装卸设施（乙类）</w:t>
            </w:r>
          </w:p>
        </w:tc>
        <w:tc>
          <w:tcPr>
            <w:tcW w:w="1226" w:type="dxa"/>
            <w:vAlign w:val="center"/>
          </w:tcPr>
          <w:p w14:paraId="7C506C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23</w:t>
            </w:r>
          </w:p>
        </w:tc>
        <w:tc>
          <w:tcPr>
            <w:tcW w:w="1090" w:type="dxa"/>
            <w:vAlign w:val="center"/>
          </w:tcPr>
          <w:p w14:paraId="1AD835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40.3</w:t>
            </w:r>
          </w:p>
        </w:tc>
        <w:tc>
          <w:tcPr>
            <w:tcW w:w="2333" w:type="dxa"/>
            <w:vAlign w:val="center"/>
          </w:tcPr>
          <w:p w14:paraId="6B801B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54DD97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5A5838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5DE505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39793B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697" w:type="dxa"/>
            <w:vAlign w:val="center"/>
          </w:tcPr>
          <w:p w14:paraId="767F8F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1559" w:type="dxa"/>
            <w:vAlign w:val="center"/>
          </w:tcPr>
          <w:p w14:paraId="4A1408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门卫</w:t>
            </w:r>
          </w:p>
        </w:tc>
        <w:tc>
          <w:tcPr>
            <w:tcW w:w="1226" w:type="dxa"/>
            <w:vAlign w:val="center"/>
          </w:tcPr>
          <w:p w14:paraId="7750CF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w:t>
            </w:r>
          </w:p>
        </w:tc>
        <w:tc>
          <w:tcPr>
            <w:tcW w:w="1090" w:type="dxa"/>
            <w:vAlign w:val="center"/>
          </w:tcPr>
          <w:p w14:paraId="2F0AE6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19.5</w:t>
            </w:r>
          </w:p>
        </w:tc>
        <w:tc>
          <w:tcPr>
            <w:tcW w:w="2333" w:type="dxa"/>
            <w:vAlign w:val="center"/>
          </w:tcPr>
          <w:p w14:paraId="12CEA6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GB50016-2014</w:t>
            </w:r>
          </w:p>
          <w:p w14:paraId="76DC9D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(2018 年版)</w:t>
            </w:r>
          </w:p>
          <w:p w14:paraId="20C8D6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5.2.2</w:t>
            </w:r>
            <w:r>
              <w:rPr>
                <w:rFonts w:hint="eastAsia" w:ascii="Times New Roman" w:hAnsi="Times New Roman" w:eastAsia="宋体" w:cs="Times New Roman"/>
                <w:sz w:val="21"/>
                <w:szCs w:val="21"/>
                <w14:ligatures w14:val="none"/>
              </w:rPr>
              <w:t>条</w:t>
            </w:r>
          </w:p>
        </w:tc>
        <w:tc>
          <w:tcPr>
            <w:tcW w:w="751" w:type="dxa"/>
            <w:vAlign w:val="center"/>
          </w:tcPr>
          <w:p w14:paraId="4BA55E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298B61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Align w:val="center"/>
          </w:tcPr>
          <w:p w14:paraId="601E5A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门卫</w:t>
            </w:r>
          </w:p>
        </w:tc>
        <w:tc>
          <w:tcPr>
            <w:tcW w:w="697" w:type="dxa"/>
            <w:vAlign w:val="center"/>
          </w:tcPr>
          <w:p w14:paraId="2F0E38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1559" w:type="dxa"/>
            <w:vAlign w:val="center"/>
          </w:tcPr>
          <w:p w14:paraId="1935B7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汽车罐车装卸设施（乙类）</w:t>
            </w:r>
          </w:p>
        </w:tc>
        <w:tc>
          <w:tcPr>
            <w:tcW w:w="1226" w:type="dxa"/>
            <w:vAlign w:val="center"/>
          </w:tcPr>
          <w:p w14:paraId="1D8F51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11</w:t>
            </w:r>
          </w:p>
        </w:tc>
        <w:tc>
          <w:tcPr>
            <w:tcW w:w="1090" w:type="dxa"/>
            <w:vAlign w:val="center"/>
          </w:tcPr>
          <w:p w14:paraId="1FFF15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44.6</w:t>
            </w:r>
          </w:p>
        </w:tc>
        <w:tc>
          <w:tcPr>
            <w:tcW w:w="2333" w:type="dxa"/>
            <w:vAlign w:val="center"/>
          </w:tcPr>
          <w:p w14:paraId="17B576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3399A3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2525AA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bl>
    <w:p w14:paraId="3C00E243">
      <w:pPr>
        <w:pStyle w:val="34"/>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pPr>
      <w:r>
        <w:rPr>
          <w:rFonts w:hint="eastAsia"/>
        </w:rPr>
        <w:t>小结：</w:t>
      </w:r>
      <w:r>
        <w:rPr>
          <w:rFonts w:hint="eastAsia"/>
          <w:lang w:val="en-US" w:eastAsia="zh-CN"/>
        </w:rPr>
        <w:t>厂内设施</w:t>
      </w:r>
      <w:r>
        <w:rPr>
          <w:rFonts w:hint="eastAsia"/>
        </w:rPr>
        <w:t>间</w:t>
      </w:r>
      <w:r>
        <w:rPr>
          <w:rFonts w:hint="eastAsia"/>
          <w:lang w:val="en-US" w:eastAsia="zh-CN"/>
        </w:rPr>
        <w:t>的</w:t>
      </w:r>
      <w:r>
        <w:rPr>
          <w:rFonts w:hint="eastAsia"/>
        </w:rPr>
        <w:t>防火间距均符合《石油库设计规范》（GB50057-2014）</w:t>
      </w:r>
      <w:r>
        <w:rPr>
          <w:rFonts w:hint="eastAsia"/>
          <w:lang w:val="en-US" w:eastAsia="zh-CN"/>
        </w:rPr>
        <w:t>以及《建筑设计防火规范（2018年版）》（GB 50016-2014）的</w:t>
      </w:r>
      <w:r>
        <w:rPr>
          <w:rFonts w:hint="eastAsia"/>
        </w:rPr>
        <w:t>要求。</w:t>
      </w:r>
    </w:p>
    <w:p w14:paraId="1DAFBCEB">
      <w:pPr>
        <w:keepNext w:val="0"/>
        <w:keepLines w:val="0"/>
        <w:pageBreakBefore w:val="0"/>
        <w:widowControl w:val="0"/>
        <w:tabs>
          <w:tab w:val="left" w:pos="840"/>
          <w:tab w:val="left" w:pos="1260"/>
        </w:tabs>
        <w:kinsoku/>
        <w:wordWrap/>
        <w:overflowPunct/>
        <w:topLinePunct w:val="0"/>
        <w:autoSpaceDE/>
        <w:autoSpaceDN/>
        <w:bidi w:val="0"/>
        <w:adjustRightInd w:val="0"/>
        <w:snapToGrid w:val="0"/>
        <w:spacing w:before="157" w:beforeLines="50" w:after="156" w:afterLines="50" w:line="360" w:lineRule="auto"/>
        <w:ind w:firstLine="560" w:firstLineChars="200"/>
        <w:jc w:val="both"/>
        <w:textAlignment w:val="auto"/>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2.1.4企业所在区域自然条件，包括地质、气象、水文等</w:t>
      </w:r>
    </w:p>
    <w:p w14:paraId="3D0F526D">
      <w:pPr>
        <w:widowControl w:val="0"/>
        <w:adjustRightInd w:val="0"/>
        <w:snapToGrid w:val="0"/>
        <w:spacing w:after="0" w:line="360" w:lineRule="auto"/>
        <w:ind w:firstLine="560" w:firstLineChars="200"/>
        <w:jc w:val="both"/>
        <w:rPr>
          <w:rFonts w:hint="eastAsia"/>
        </w:rPr>
      </w:pPr>
      <w:r>
        <w:rPr>
          <w:rFonts w:hint="eastAsia" w:ascii="Times New Roman" w:hAnsi="Times New Roman" w:eastAsia="宋体" w:cstheme="minorBidi"/>
          <w:kern w:val="2"/>
          <w:sz w:val="28"/>
          <w:szCs w:val="24"/>
          <w:lang w:val="en-US" w:eastAsia="zh-CN" w:bidi="ar-SA"/>
          <w14:ligatures w14:val="standardContextual"/>
        </w:rPr>
        <w:t>国能安储（东港）燃料供应有限公司位于丹东市东港市，现将有关情况介绍如下：</w:t>
      </w:r>
    </w:p>
    <w:p w14:paraId="01B62E8B">
      <w:pPr>
        <w:pStyle w:val="34"/>
        <w:adjustRightInd w:val="0"/>
        <w:snapToGrid w:val="0"/>
        <w:ind w:firstLine="560"/>
        <w:rPr>
          <w:rFonts w:hint="eastAsia"/>
        </w:rPr>
      </w:pPr>
      <w:r>
        <w:rPr>
          <w:rFonts w:hint="eastAsia"/>
        </w:rPr>
        <w:t>（1）气候条件</w:t>
      </w:r>
    </w:p>
    <w:p w14:paraId="51AE0F76">
      <w:pPr>
        <w:pStyle w:val="34"/>
        <w:adjustRightInd w:val="0"/>
        <w:snapToGrid w:val="0"/>
        <w:ind w:firstLine="560"/>
        <w:rPr>
          <w:rFonts w:hint="eastAsia"/>
        </w:rPr>
      </w:pPr>
      <w:r>
        <w:rPr>
          <w:rFonts w:hint="eastAsia"/>
        </w:rPr>
        <w:t>年平均气温：                      7.6℃</w:t>
      </w:r>
    </w:p>
    <w:p w14:paraId="06979CD8">
      <w:pPr>
        <w:pStyle w:val="34"/>
        <w:adjustRightInd w:val="0"/>
        <w:snapToGrid w:val="0"/>
        <w:ind w:firstLine="560"/>
        <w:rPr>
          <w:rFonts w:hint="eastAsia"/>
        </w:rPr>
      </w:pPr>
      <w:r>
        <w:rPr>
          <w:rFonts w:hint="eastAsia"/>
        </w:rPr>
        <w:t>最冷月平均气温：                  -20℃</w:t>
      </w:r>
    </w:p>
    <w:p w14:paraId="7F655F28">
      <w:pPr>
        <w:pStyle w:val="34"/>
        <w:adjustRightInd w:val="0"/>
        <w:snapToGrid w:val="0"/>
        <w:ind w:firstLine="560"/>
        <w:rPr>
          <w:rFonts w:hint="eastAsia"/>
        </w:rPr>
      </w:pPr>
      <w:r>
        <w:rPr>
          <w:rFonts w:hint="eastAsia"/>
        </w:rPr>
        <w:t>最热月平均气温：                  24.6℃</w:t>
      </w:r>
    </w:p>
    <w:p w14:paraId="70457020">
      <w:pPr>
        <w:pStyle w:val="34"/>
        <w:adjustRightInd w:val="0"/>
        <w:snapToGrid w:val="0"/>
        <w:ind w:firstLine="560"/>
        <w:rPr>
          <w:rFonts w:hint="eastAsia"/>
        </w:rPr>
      </w:pPr>
      <w:r>
        <w:rPr>
          <w:rFonts w:hint="eastAsia"/>
        </w:rPr>
        <w:t>极端最高气温：                    37℃</w:t>
      </w:r>
    </w:p>
    <w:p w14:paraId="150E88C1">
      <w:pPr>
        <w:pStyle w:val="34"/>
        <w:adjustRightInd w:val="0"/>
        <w:snapToGrid w:val="0"/>
        <w:ind w:firstLine="560"/>
        <w:rPr>
          <w:rFonts w:hint="eastAsia"/>
        </w:rPr>
      </w:pPr>
      <w:r>
        <w:rPr>
          <w:rFonts w:hint="eastAsia"/>
        </w:rPr>
        <w:t>极端最低气温：                    -36.9℃</w:t>
      </w:r>
    </w:p>
    <w:p w14:paraId="0C23C895">
      <w:pPr>
        <w:pStyle w:val="34"/>
        <w:adjustRightInd w:val="0"/>
        <w:snapToGrid w:val="0"/>
        <w:ind w:firstLine="560"/>
        <w:rPr>
          <w:rFonts w:hint="eastAsia"/>
        </w:rPr>
      </w:pPr>
      <w:r>
        <w:rPr>
          <w:rFonts w:hint="eastAsia"/>
        </w:rPr>
        <w:t>全年平均相对湿度：                68％</w:t>
      </w:r>
    </w:p>
    <w:p w14:paraId="034CC36A">
      <w:pPr>
        <w:pStyle w:val="34"/>
        <w:adjustRightInd w:val="0"/>
        <w:snapToGrid w:val="0"/>
        <w:ind w:firstLine="560"/>
        <w:rPr>
          <w:rFonts w:hint="eastAsia"/>
        </w:rPr>
      </w:pPr>
      <w:r>
        <w:rPr>
          <w:rFonts w:hint="eastAsia"/>
        </w:rPr>
        <w:t>年平均气压</w:t>
      </w:r>
      <w:r>
        <w:rPr>
          <w:rFonts w:hint="eastAsia"/>
          <w:lang w:eastAsia="zh-CN"/>
        </w:rPr>
        <w:t>：</w:t>
      </w:r>
      <w:r>
        <w:rPr>
          <w:rFonts w:hint="eastAsia"/>
        </w:rPr>
        <w:t xml:space="preserve">                      100.54KPa</w:t>
      </w:r>
    </w:p>
    <w:p w14:paraId="68095EA5">
      <w:pPr>
        <w:pStyle w:val="34"/>
        <w:adjustRightInd w:val="0"/>
        <w:snapToGrid w:val="0"/>
        <w:ind w:firstLine="560"/>
        <w:rPr>
          <w:rFonts w:hint="eastAsia"/>
        </w:rPr>
      </w:pPr>
      <w:r>
        <w:rPr>
          <w:rFonts w:hint="eastAsia"/>
        </w:rPr>
        <w:t>绝对最高气压：                    101.42KPa</w:t>
      </w:r>
    </w:p>
    <w:p w14:paraId="0A812817">
      <w:pPr>
        <w:pStyle w:val="34"/>
        <w:adjustRightInd w:val="0"/>
        <w:snapToGrid w:val="0"/>
        <w:ind w:firstLine="560"/>
        <w:rPr>
          <w:rFonts w:hint="eastAsia"/>
        </w:rPr>
      </w:pPr>
      <w:r>
        <w:rPr>
          <w:rFonts w:hint="eastAsia"/>
        </w:rPr>
        <w:t>绝对最低气压：                    99.35KPa</w:t>
      </w:r>
    </w:p>
    <w:p w14:paraId="5740ED27">
      <w:pPr>
        <w:pStyle w:val="34"/>
        <w:adjustRightInd w:val="0"/>
        <w:snapToGrid w:val="0"/>
        <w:ind w:firstLine="560"/>
        <w:rPr>
          <w:rFonts w:hint="eastAsia"/>
        </w:rPr>
      </w:pPr>
      <w:r>
        <w:rPr>
          <w:rFonts w:hint="eastAsia"/>
        </w:rPr>
        <w:t>年平均降雨量：                    614.7mm</w:t>
      </w:r>
    </w:p>
    <w:p w14:paraId="790919A6">
      <w:pPr>
        <w:pStyle w:val="34"/>
        <w:adjustRightInd w:val="0"/>
        <w:snapToGrid w:val="0"/>
        <w:ind w:firstLine="560"/>
        <w:rPr>
          <w:rFonts w:hint="default" w:eastAsia="宋体"/>
          <w:lang w:val="en-US" w:eastAsia="zh-CN"/>
        </w:rPr>
      </w:pPr>
      <w:r>
        <w:rPr>
          <w:rFonts w:hint="eastAsia"/>
          <w:lang w:val="en-US" w:eastAsia="zh-CN"/>
        </w:rPr>
        <w:t>年平均降雨日数：                  37d</w:t>
      </w:r>
    </w:p>
    <w:p w14:paraId="45636075">
      <w:pPr>
        <w:pStyle w:val="34"/>
        <w:adjustRightInd w:val="0"/>
        <w:snapToGrid w:val="0"/>
        <w:ind w:firstLine="560"/>
        <w:rPr>
          <w:rFonts w:hint="eastAsia"/>
        </w:rPr>
      </w:pPr>
      <w:r>
        <w:rPr>
          <w:rFonts w:hint="eastAsia"/>
        </w:rPr>
        <w:t>日最大降水量：                    215.5mm</w:t>
      </w:r>
    </w:p>
    <w:p w14:paraId="74443994">
      <w:pPr>
        <w:pStyle w:val="34"/>
        <w:adjustRightInd w:val="0"/>
        <w:snapToGrid w:val="0"/>
        <w:ind w:firstLine="560"/>
        <w:rPr>
          <w:rFonts w:hint="eastAsia"/>
        </w:rPr>
      </w:pPr>
      <w:r>
        <w:rPr>
          <w:rFonts w:hint="eastAsia"/>
        </w:rPr>
        <w:t>最大积雪厚度：                    200mm</w:t>
      </w:r>
    </w:p>
    <w:p w14:paraId="1BFD0B5E">
      <w:pPr>
        <w:pStyle w:val="34"/>
        <w:adjustRightInd w:val="0"/>
        <w:snapToGrid w:val="0"/>
        <w:ind w:firstLine="560"/>
        <w:rPr>
          <w:rFonts w:hint="eastAsia"/>
        </w:rPr>
      </w:pPr>
      <w:r>
        <w:rPr>
          <w:rFonts w:hint="eastAsia"/>
        </w:rPr>
        <w:t>年平均风速；                      3.3m/s</w:t>
      </w:r>
    </w:p>
    <w:p w14:paraId="558B8E93">
      <w:pPr>
        <w:pStyle w:val="34"/>
        <w:adjustRightInd w:val="0"/>
        <w:snapToGrid w:val="0"/>
        <w:ind w:firstLine="560"/>
        <w:rPr>
          <w:rFonts w:hint="eastAsia"/>
        </w:rPr>
      </w:pPr>
      <w:r>
        <w:rPr>
          <w:rFonts w:hint="eastAsia"/>
        </w:rPr>
        <w:t>风荷载：                          60kg/m</w:t>
      </w:r>
      <w:r>
        <w:rPr>
          <w:rFonts w:hint="eastAsia"/>
          <w:vertAlign w:val="superscript"/>
        </w:rPr>
        <w:t>3</w:t>
      </w:r>
    </w:p>
    <w:p w14:paraId="5042D31C">
      <w:pPr>
        <w:pStyle w:val="34"/>
        <w:adjustRightInd w:val="0"/>
        <w:snapToGrid w:val="0"/>
        <w:ind w:firstLine="560"/>
        <w:rPr>
          <w:rFonts w:hint="eastAsia"/>
        </w:rPr>
      </w:pPr>
      <w:r>
        <w:rPr>
          <w:rFonts w:hint="eastAsia"/>
        </w:rPr>
        <w:t>夏季主导风向：                    SEE</w:t>
      </w:r>
    </w:p>
    <w:p w14:paraId="48D6DC5E">
      <w:pPr>
        <w:pStyle w:val="34"/>
        <w:adjustRightInd w:val="0"/>
        <w:snapToGrid w:val="0"/>
        <w:ind w:firstLine="560"/>
        <w:rPr>
          <w:rFonts w:hint="eastAsia"/>
        </w:rPr>
      </w:pPr>
      <w:r>
        <w:rPr>
          <w:rFonts w:hint="eastAsia"/>
        </w:rPr>
        <w:t>冬季主导风向；                    北风</w:t>
      </w:r>
    </w:p>
    <w:p w14:paraId="48FA7B8E">
      <w:pPr>
        <w:pStyle w:val="34"/>
        <w:adjustRightInd w:val="0"/>
        <w:snapToGrid w:val="0"/>
        <w:ind w:firstLine="560"/>
        <w:rPr>
          <w:rFonts w:hint="eastAsia"/>
        </w:rPr>
      </w:pPr>
      <w:r>
        <w:rPr>
          <w:rFonts w:hint="eastAsia"/>
        </w:rPr>
        <w:t>最大瞬时风速（地面以上10m处）：   21m/s</w:t>
      </w:r>
    </w:p>
    <w:p w14:paraId="0F3330EE">
      <w:pPr>
        <w:pStyle w:val="34"/>
        <w:adjustRightInd w:val="0"/>
        <w:snapToGrid w:val="0"/>
        <w:ind w:firstLine="560"/>
        <w:rPr>
          <w:rFonts w:hint="eastAsia"/>
        </w:rPr>
      </w:pPr>
      <w:r>
        <w:rPr>
          <w:rFonts w:hint="eastAsia"/>
        </w:rPr>
        <w:t>年主导风向：                       北风</w:t>
      </w:r>
    </w:p>
    <w:p w14:paraId="638E2D6D">
      <w:pPr>
        <w:pStyle w:val="34"/>
        <w:adjustRightInd w:val="0"/>
        <w:snapToGrid w:val="0"/>
        <w:ind w:firstLine="560"/>
        <w:rPr>
          <w:rFonts w:hint="eastAsia"/>
        </w:rPr>
      </w:pPr>
      <w:r>
        <w:rPr>
          <w:rFonts w:hint="eastAsia"/>
        </w:rPr>
        <w:t>最大冻土深度：                     -93cm</w:t>
      </w:r>
    </w:p>
    <w:p w14:paraId="50C73D0C">
      <w:pPr>
        <w:pStyle w:val="34"/>
        <w:adjustRightInd w:val="0"/>
        <w:snapToGrid w:val="0"/>
        <w:ind w:firstLine="560"/>
        <w:rPr>
          <w:rFonts w:hint="eastAsia"/>
        </w:rPr>
      </w:pPr>
      <w:r>
        <w:rPr>
          <w:rFonts w:hint="eastAsia"/>
        </w:rPr>
        <w:t>冰冻期：                           4个月</w:t>
      </w:r>
    </w:p>
    <w:p w14:paraId="2800E2EA">
      <w:pPr>
        <w:pStyle w:val="34"/>
        <w:adjustRightInd w:val="0"/>
        <w:snapToGrid w:val="0"/>
        <w:ind w:firstLine="560"/>
        <w:rPr>
          <w:rFonts w:hint="eastAsia"/>
        </w:rPr>
      </w:pPr>
      <w:r>
        <w:rPr>
          <w:rFonts w:hint="eastAsia"/>
        </w:rPr>
        <w:t>最多年雷暴日数：                   30d</w:t>
      </w:r>
    </w:p>
    <w:p w14:paraId="4467A4F1">
      <w:pPr>
        <w:pStyle w:val="34"/>
        <w:adjustRightInd w:val="0"/>
        <w:snapToGrid w:val="0"/>
        <w:ind w:firstLine="560"/>
        <w:rPr>
          <w:rFonts w:hint="eastAsia"/>
        </w:rPr>
      </w:pPr>
      <w:r>
        <w:rPr>
          <w:rFonts w:hint="eastAsia"/>
        </w:rPr>
        <w:t>最少年雷暴日数：                   11d</w:t>
      </w:r>
    </w:p>
    <w:p w14:paraId="68E19DFC">
      <w:pPr>
        <w:pStyle w:val="34"/>
        <w:adjustRightInd w:val="0"/>
        <w:snapToGrid w:val="0"/>
        <w:ind w:firstLine="560"/>
      </w:pPr>
      <w:r>
        <w:rPr>
          <w:rFonts w:hint="eastAsia"/>
        </w:rPr>
        <w:t>（2）水文条件</w:t>
      </w:r>
    </w:p>
    <w:p w14:paraId="5B701B34">
      <w:pPr>
        <w:pStyle w:val="34"/>
        <w:adjustRightInd w:val="0"/>
        <w:snapToGrid w:val="0"/>
        <w:ind w:firstLine="560"/>
        <w:rPr>
          <w:rFonts w:hint="eastAsia"/>
          <w:spacing w:val="-10"/>
          <w:lang w:eastAsia="zh-CN"/>
        </w:rPr>
      </w:pPr>
      <w:r>
        <w:rPr>
          <w:rFonts w:hint="eastAsia"/>
          <w:spacing w:val="-10"/>
          <w:lang w:eastAsia="zh-CN"/>
        </w:rPr>
        <w:t>东港市河流密布，有213条溪流纵横山涧，汇入30条河流，北南向分别注入鸭绿江、黄海、大洋河三个承泄区。境内有鸭绿江、大洋河和发源东港市境内集水面积在50平方千米以上的河流12条。</w:t>
      </w:r>
    </w:p>
    <w:p w14:paraId="27544860">
      <w:pPr>
        <w:pStyle w:val="34"/>
        <w:numPr>
          <w:ilvl w:val="0"/>
          <w:numId w:val="6"/>
        </w:numPr>
        <w:adjustRightInd w:val="0"/>
        <w:snapToGrid w:val="0"/>
        <w:ind w:firstLine="560"/>
        <w:rPr>
          <w:rFonts w:hint="eastAsia"/>
        </w:rPr>
      </w:pPr>
      <w:r>
        <w:rPr>
          <w:rFonts w:hint="eastAsia"/>
          <w:spacing w:val="-10"/>
          <w:lang w:val="en-US" w:eastAsia="zh-CN"/>
        </w:rPr>
        <w:t>地质条件</w:t>
      </w:r>
    </w:p>
    <w:p w14:paraId="2B84D03C">
      <w:pPr>
        <w:pStyle w:val="34"/>
        <w:numPr>
          <w:ilvl w:val="0"/>
          <w:numId w:val="0"/>
        </w:numPr>
        <w:adjustRightInd w:val="0"/>
        <w:snapToGrid w:val="0"/>
        <w:ind w:firstLine="560" w:firstLineChars="200"/>
        <w:rPr>
          <w:rFonts w:hint="default" w:ascii="Times New Roman" w:hAnsi="Times New Roman" w:cs="Times New Roman"/>
        </w:rPr>
      </w:pPr>
      <w:r>
        <w:rPr>
          <w:rFonts w:hint="default" w:ascii="Times New Roman" w:hAnsi="Times New Roman" w:cs="Times New Roman"/>
        </w:rPr>
        <w:t>东港市地处辽东半岛22端，南临黄海，东依鸭绿江，隔江隔海与朝鲜半岛相望，地理位置特殊，属沿江、沿海、沿边地区，是中国海岸线上最北端的市（县）。位于辽宁省东南部。南临黄海；北、西北接凤城市、岫岩满族自治县；西与庄河市毗邻；东北和丹东市振安区相连；东隔鸭绿江同朝鲜平安北道龙川郡相望。</w:t>
      </w:r>
    </w:p>
    <w:p w14:paraId="3480D042">
      <w:pPr>
        <w:pStyle w:val="34"/>
        <w:numPr>
          <w:ilvl w:val="0"/>
          <w:numId w:val="0"/>
        </w:numPr>
        <w:adjustRightInd w:val="0"/>
        <w:snapToGrid w:val="0"/>
        <w:ind w:firstLine="560" w:firstLineChars="200"/>
        <w:rPr>
          <w:rFonts w:hint="default" w:ascii="Times New Roman" w:hAnsi="Times New Roman" w:cs="Times New Roman"/>
        </w:rPr>
      </w:pPr>
      <w:r>
        <w:rPr>
          <w:rFonts w:hint="default" w:ascii="Times New Roman" w:hAnsi="Times New Roman" w:cs="Times New Roman"/>
        </w:rPr>
        <w:t>境内江岸线（边境线）23.85公里,海岸线长126公里，地理坐标东经123°22′-124°22′,北纬39°45′-40°15′。南北极宽38公里。全市陆域总面积2445平方公里，海域面积3500平方公里。</w:t>
      </w:r>
    </w:p>
    <w:p w14:paraId="18CD0EC8">
      <w:pPr>
        <w:pStyle w:val="34"/>
        <w:numPr>
          <w:ilvl w:val="0"/>
          <w:numId w:val="6"/>
        </w:numPr>
        <w:adjustRightInd w:val="0"/>
        <w:snapToGrid w:val="0"/>
        <w:ind w:firstLine="560"/>
        <w:rPr>
          <w:rFonts w:hint="default" w:ascii="Times New Roman" w:hAnsi="Times New Roman" w:cs="Times New Roman"/>
        </w:rPr>
      </w:pPr>
      <w:r>
        <w:rPr>
          <w:rFonts w:hint="default" w:ascii="Times New Roman" w:hAnsi="Times New Roman" w:cs="Times New Roman"/>
        </w:rPr>
        <w:t>地震烈度</w:t>
      </w:r>
    </w:p>
    <w:p w14:paraId="7B26BE59">
      <w:pPr>
        <w:pStyle w:val="34"/>
        <w:adjustRightInd w:val="0"/>
        <w:snapToGrid w:val="0"/>
        <w:ind w:firstLine="560"/>
        <w:rPr>
          <w:rFonts w:hint="default" w:ascii="Times New Roman" w:hAnsi="Times New Roman" w:eastAsia="宋体" w:cs="Times New Roman"/>
          <w:lang w:val="en-US" w:eastAsia="zh-CN"/>
        </w:rPr>
      </w:pPr>
      <w:r>
        <w:rPr>
          <w:rFonts w:hint="default" w:ascii="Times New Roman" w:hAnsi="Times New Roman" w:cs="Times New Roman"/>
        </w:rPr>
        <w:t>根据《中国地震动参数区划图》（GB 18306-201</w:t>
      </w:r>
      <w:r>
        <w:rPr>
          <w:rFonts w:hint="eastAsia"/>
        </w:rPr>
        <w:t>5）和《建筑抗震设计标准（2024年版）》（GB/T 50011-2010）附录A.0.6规定，东港市的抗震设防烈度为8度，设计基本地震加速度值为0.20g，设计地震分组为第一组。</w:t>
      </w:r>
    </w:p>
    <w:p w14:paraId="6FED3A02">
      <w:pPr>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highlight w:val="none"/>
          <w14:ligatures w14:val="none"/>
        </w:rPr>
      </w:pPr>
      <w:r>
        <w:rPr>
          <w:rFonts w:hint="eastAsia" w:ascii="Times New Roman" w:hAnsi="Times New Roman" w:eastAsia="黑体" w:cs="Times New Roman"/>
          <w:b/>
          <w:sz w:val="28"/>
          <w:szCs w:val="32"/>
          <w:highlight w:val="none"/>
          <w14:ligatures w14:val="none"/>
        </w:rPr>
        <w:t>2.1.5安全管理</w:t>
      </w:r>
    </w:p>
    <w:p w14:paraId="5291259F">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（1）安全管理制度</w:t>
      </w:r>
    </w:p>
    <w:p w14:paraId="7116BC6E">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企业制定了详细的安全管理制度，层层落实各项安全管理制度，根据企业的实际情况不断更新和改进各项安全生产管理制度，通过现场询问及调查</w:t>
      </w:r>
      <w:r>
        <w:rPr>
          <w:rFonts w:hint="eastAsia" w:ascii="Times New Roman" w:hAnsi="Times New Roman" w:eastAsia="宋体" w:cs="Times New Roman"/>
          <w:sz w:val="28"/>
          <w:szCs w:val="28"/>
          <w:lang w:val="en-US" w:eastAsia="zh-CN"/>
          <w14:ligatures w14:val="none"/>
        </w:rPr>
        <w:t>了解</w:t>
      </w:r>
      <w:r>
        <w:rPr>
          <w:rFonts w:hint="eastAsia" w:ascii="Times New Roman" w:hAnsi="Times New Roman" w:eastAsia="宋体" w:cs="Times New Roman"/>
          <w:sz w:val="28"/>
          <w:szCs w:val="28"/>
          <w14:ligatures w14:val="none"/>
        </w:rPr>
        <w:t>，现场人员熟知本单位的各项安全管理制度并认真执行。</w:t>
      </w:r>
    </w:p>
    <w:p w14:paraId="79644FAD">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（2）全员安全生产责任制</w:t>
      </w:r>
    </w:p>
    <w:p w14:paraId="65E22BC6">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企业从管理层到各生产岗位制定了详细的安全生产责任制，“横向到边，纵向到底”，明确了岗位安全职责，并认真贯彻落实安全生产责任制，通过现场询问及调查了解，该公司各岗位人员熟知自己的安全职责，并认真执行岗位安全职责。</w:t>
      </w:r>
    </w:p>
    <w:p w14:paraId="3182F75D">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（3）操作规程</w:t>
      </w:r>
    </w:p>
    <w:p w14:paraId="63A0B29F">
      <w:pPr>
        <w:adjustRightInd w:val="0"/>
        <w:snapToGrid w:val="0"/>
        <w:spacing w:after="0" w:line="360" w:lineRule="auto"/>
        <w:ind w:firstLine="560" w:firstLineChars="200"/>
        <w:jc w:val="both"/>
        <w:rPr>
          <w:rFonts w:hint="eastAsia" w:ascii="Times New Roman" w:hAnsi="Times New Roman" w:eastAsia="宋体" w:cs="Times New Roman"/>
          <w:sz w:val="28"/>
          <w:szCs w:val="28"/>
          <w:highlight w:val="none"/>
          <w:lang w:eastAsia="zh-CN"/>
          <w14:ligatures w14:val="none"/>
        </w:rPr>
      </w:pPr>
      <w:r>
        <w:rPr>
          <w:rFonts w:hint="eastAsia" w:ascii="Times New Roman" w:hAnsi="Times New Roman" w:eastAsia="宋体" w:cs="Times New Roman"/>
          <w:sz w:val="28"/>
          <w:szCs w:val="28"/>
          <w:lang w:eastAsia="zh-CN"/>
          <w14:ligatures w14:val="none"/>
        </w:rPr>
        <w:t>国能安储（东港）燃料供应有限公司</w:t>
      </w:r>
      <w:r>
        <w:rPr>
          <w:rFonts w:hint="eastAsia" w:ascii="Times New Roman" w:hAnsi="Times New Roman" w:eastAsia="宋体" w:cs="Times New Roman"/>
          <w:sz w:val="28"/>
          <w:szCs w:val="28"/>
          <w14:ligatures w14:val="none"/>
        </w:rPr>
        <w:t>结合生产实际编制了安全</w:t>
      </w:r>
      <w:r>
        <w:rPr>
          <w:rFonts w:hint="eastAsia" w:ascii="Times New Roman" w:hAnsi="Times New Roman" w:eastAsia="宋体" w:cs="Times New Roman"/>
          <w:sz w:val="28"/>
          <w:szCs w:val="28"/>
          <w:lang w:val="en-US" w:eastAsia="zh-CN"/>
          <w14:ligatures w14:val="none"/>
        </w:rPr>
        <w:t>操作规程</w:t>
      </w:r>
      <w:r>
        <w:rPr>
          <w:rFonts w:hint="eastAsia" w:ascii="Times New Roman" w:hAnsi="Times New Roman" w:eastAsia="宋体" w:cs="Times New Roman"/>
          <w:sz w:val="28"/>
          <w:szCs w:val="28"/>
          <w14:ligatures w14:val="none"/>
        </w:rPr>
        <w:t>，主要包括发油台作业安全操作规程</w:t>
      </w:r>
      <w:r>
        <w:rPr>
          <w:rFonts w:hint="eastAsia" w:ascii="Times New Roman" w:hAnsi="Times New Roman" w:eastAsia="宋体" w:cs="Times New Roman"/>
          <w:sz w:val="28"/>
          <w:szCs w:val="28"/>
          <w:lang w:val="en-US" w:eastAsia="zh-CN"/>
          <w14:ligatures w14:val="none"/>
        </w:rPr>
        <w:t>、接卸柴油作业安全操作规程</w:t>
      </w:r>
      <w:r>
        <w:rPr>
          <w:rFonts w:hint="eastAsia" w:ascii="Times New Roman" w:hAnsi="Times New Roman" w:eastAsia="宋体" w:cs="Times New Roman"/>
          <w:sz w:val="28"/>
          <w:szCs w:val="28"/>
          <w:highlight w:val="none"/>
          <w14:ligatures w14:val="none"/>
        </w:rPr>
        <w:t>、倒油作业安全操作规程等。</w:t>
      </w:r>
    </w:p>
    <w:p w14:paraId="6CD310DE">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4）企业制定了相对完善的危险化学品事故应急预案，明确应急救援组织机构及其相应分工责任明确，联络、报警系统完善。能够按照危险化学品事故应急预案的规定进行演练，对演练效果能够进行讲评。符合事故应急预案的相关要求。应急预案备案登记表情况如下：</w:t>
      </w:r>
    </w:p>
    <w:p w14:paraId="783AF60D">
      <w:pPr>
        <w:adjustRightInd w:val="0"/>
        <w:snapToGrid w:val="0"/>
        <w:spacing w:after="0" w:line="360" w:lineRule="auto"/>
        <w:ind w:firstLine="560" w:firstLineChars="200"/>
        <w:jc w:val="both"/>
        <w:rPr>
          <w:rFonts w:hint="eastAsia" w:ascii="Times New Roman" w:hAnsi="Times New Roman" w:eastAsia="宋体" w:cs="Times New Roman"/>
          <w:sz w:val="28"/>
          <w:szCs w:val="28"/>
          <w:lang w:eastAsia="zh-CN"/>
          <w14:ligatures w14:val="none"/>
        </w:rPr>
      </w:pPr>
      <w:r>
        <w:rPr>
          <w:rFonts w:hint="eastAsia" w:ascii="Times New Roman" w:hAnsi="Times New Roman" w:eastAsia="宋体" w:cs="Times New Roman"/>
          <w:sz w:val="28"/>
          <w:szCs w:val="28"/>
          <w14:ligatures w14:val="none"/>
        </w:rPr>
        <w:t>备案单位：</w:t>
      </w:r>
      <w:r>
        <w:rPr>
          <w:rFonts w:hint="eastAsia" w:ascii="Times New Roman" w:hAnsi="Times New Roman" w:eastAsia="宋体" w:cs="Times New Roman"/>
          <w:sz w:val="28"/>
          <w:szCs w:val="28"/>
          <w:lang w:eastAsia="zh-CN"/>
          <w14:ligatures w14:val="none"/>
        </w:rPr>
        <w:t>国能安储（东港）燃料供应有限公司</w:t>
      </w:r>
    </w:p>
    <w:p w14:paraId="08FE5606">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14:ligatures w14:val="none"/>
        </w:rPr>
        <w:t>发证单位：</w:t>
      </w:r>
      <w:r>
        <w:rPr>
          <w:rFonts w:hint="eastAsia" w:ascii="Times New Roman" w:hAnsi="Times New Roman" w:eastAsia="宋体" w:cs="Times New Roman"/>
          <w:sz w:val="28"/>
          <w:szCs w:val="28"/>
          <w:lang w:val="en-US" w:eastAsia="zh-CN"/>
          <w14:ligatures w14:val="none"/>
        </w:rPr>
        <w:t>丹东市应急管理局</w:t>
      </w:r>
    </w:p>
    <w:p w14:paraId="2036DD0D">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备案日期</w:t>
      </w:r>
      <w:r>
        <w:rPr>
          <w:rFonts w:hint="eastAsia" w:ascii="Times New Roman" w:hAnsi="Times New Roman" w:eastAsia="宋体" w:cs="Times New Roman"/>
          <w:sz w:val="28"/>
          <w:szCs w:val="28"/>
          <w:highlight w:val="none"/>
          <w14:ligatures w14:val="none"/>
        </w:rPr>
        <w:t>：202</w:t>
      </w:r>
      <w:r>
        <w:rPr>
          <w:rFonts w:hint="eastAsia" w:ascii="Times New Roman" w:hAnsi="Times New Roman" w:eastAsia="宋体" w:cs="Times New Roman"/>
          <w:sz w:val="28"/>
          <w:szCs w:val="28"/>
          <w:highlight w:val="none"/>
          <w:lang w:val="en-US" w:eastAsia="zh-CN"/>
          <w14:ligatures w14:val="none"/>
        </w:rPr>
        <w:t>6</w:t>
      </w:r>
      <w:r>
        <w:rPr>
          <w:rFonts w:hint="eastAsia" w:ascii="Times New Roman" w:hAnsi="Times New Roman" w:eastAsia="宋体" w:cs="Times New Roman"/>
          <w:sz w:val="28"/>
          <w:szCs w:val="28"/>
          <w:highlight w:val="none"/>
          <w14:ligatures w14:val="none"/>
        </w:rPr>
        <w:t>年</w:t>
      </w:r>
      <w:r>
        <w:rPr>
          <w:rFonts w:hint="eastAsia" w:ascii="Times New Roman" w:hAnsi="Times New Roman" w:eastAsia="宋体" w:cs="Times New Roman"/>
          <w:sz w:val="28"/>
          <w:szCs w:val="28"/>
          <w:highlight w:val="none"/>
          <w:lang w:val="en-US" w:eastAsia="zh-CN"/>
          <w14:ligatures w14:val="none"/>
        </w:rPr>
        <w:t>02</w:t>
      </w:r>
      <w:r>
        <w:rPr>
          <w:rFonts w:hint="eastAsia" w:ascii="Times New Roman" w:hAnsi="Times New Roman" w:eastAsia="宋体" w:cs="Times New Roman"/>
          <w:sz w:val="28"/>
          <w:szCs w:val="28"/>
          <w:highlight w:val="none"/>
          <w14:ligatures w14:val="none"/>
        </w:rPr>
        <w:t>月</w:t>
      </w:r>
      <w:r>
        <w:rPr>
          <w:rFonts w:hint="eastAsia" w:ascii="Times New Roman" w:hAnsi="Times New Roman" w:eastAsia="宋体" w:cs="Times New Roman"/>
          <w:sz w:val="28"/>
          <w:szCs w:val="28"/>
          <w:highlight w:val="none"/>
          <w:lang w:val="en-US" w:eastAsia="zh-CN"/>
          <w14:ligatures w14:val="none"/>
        </w:rPr>
        <w:t>12</w:t>
      </w:r>
      <w:r>
        <w:rPr>
          <w:rFonts w:hint="eastAsia" w:ascii="Times New Roman" w:hAnsi="Times New Roman" w:eastAsia="宋体" w:cs="Times New Roman"/>
          <w:sz w:val="28"/>
          <w:szCs w:val="28"/>
          <w:highlight w:val="none"/>
          <w14:ligatures w14:val="none"/>
        </w:rPr>
        <w:t>日</w:t>
      </w:r>
    </w:p>
    <w:p w14:paraId="77DC9154">
      <w:pPr>
        <w:adjustRightInd w:val="0"/>
        <w:snapToGrid w:val="0"/>
        <w:spacing w:after="0" w:line="360" w:lineRule="auto"/>
        <w:ind w:firstLine="560" w:firstLineChars="200"/>
        <w:jc w:val="both"/>
        <w:rPr>
          <w:rFonts w:hint="default" w:ascii="Times New Roman" w:hAnsi="Times New Roman" w:eastAsia="宋体" w:cs="Times New Roman"/>
          <w:sz w:val="28"/>
          <w:szCs w:val="28"/>
          <w:highlight w:val="none"/>
          <w:lang w:val="en-US" w:eastAsia="zh-CN"/>
          <w14:ligatures w14:val="none"/>
        </w:rPr>
      </w:pPr>
      <w:r>
        <w:rPr>
          <w:rFonts w:hint="eastAsia" w:ascii="Times New Roman" w:hAnsi="Times New Roman" w:eastAsia="宋体" w:cs="Times New Roman"/>
          <w:sz w:val="28"/>
          <w:szCs w:val="28"/>
          <w:highlight w:val="none"/>
          <w14:ligatures w14:val="none"/>
        </w:rPr>
        <w:t>备案编号：</w:t>
      </w:r>
      <w:r>
        <w:rPr>
          <w:rFonts w:hint="eastAsia" w:ascii="Times New Roman" w:hAnsi="Times New Roman" w:eastAsia="宋体" w:cs="Times New Roman"/>
          <w:sz w:val="28"/>
          <w:szCs w:val="28"/>
          <w:highlight w:val="none"/>
          <w:lang w:val="en-US" w:eastAsia="zh-CN"/>
          <w14:ligatures w14:val="none"/>
        </w:rPr>
        <w:t>2106012026018</w:t>
      </w:r>
    </w:p>
    <w:p w14:paraId="157CF6F8">
      <w:pPr>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highlight w:val="none"/>
          <w14:ligatures w14:val="none"/>
        </w:rPr>
      </w:pPr>
      <w:r>
        <w:rPr>
          <w:rFonts w:hint="eastAsia" w:ascii="Times New Roman" w:hAnsi="Times New Roman" w:eastAsia="黑体" w:cs="Times New Roman"/>
          <w:b/>
          <w:sz w:val="28"/>
          <w:szCs w:val="32"/>
          <w:highlight w:val="none"/>
          <w14:ligatures w14:val="none"/>
        </w:rPr>
        <w:t>2.1.6机构设置及人员培训情况</w:t>
      </w:r>
    </w:p>
    <w:p w14:paraId="761B34AC">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企业现有职工</w:t>
      </w:r>
      <w:r>
        <w:rPr>
          <w:rFonts w:hint="eastAsia" w:ascii="Times New Roman" w:hAnsi="Times New Roman" w:eastAsia="宋体" w:cs="Times New Roman"/>
          <w:sz w:val="28"/>
          <w:szCs w:val="28"/>
          <w:lang w:val="en-US" w:eastAsia="zh-CN"/>
          <w14:ligatures w14:val="none"/>
        </w:rPr>
        <w:t>11</w:t>
      </w:r>
      <w:r>
        <w:rPr>
          <w:rFonts w:hint="eastAsia" w:ascii="Times New Roman" w:hAnsi="Times New Roman" w:eastAsia="宋体" w:cs="Times New Roman"/>
          <w:sz w:val="28"/>
          <w:szCs w:val="28"/>
          <w14:ligatures w14:val="none"/>
        </w:rPr>
        <w:t>人，设有安全生产领导小组，由</w:t>
      </w:r>
      <w:r>
        <w:rPr>
          <w:rFonts w:hint="eastAsia" w:ascii="Times New Roman" w:hAnsi="Times New Roman" w:eastAsia="宋体" w:cs="Times New Roman"/>
          <w:sz w:val="28"/>
          <w:szCs w:val="28"/>
          <w:lang w:val="en-US" w:eastAsia="zh-CN"/>
          <w14:ligatures w14:val="none"/>
        </w:rPr>
        <w:t>刘元静</w:t>
      </w:r>
      <w:r>
        <w:rPr>
          <w:rFonts w:hint="eastAsia" w:ascii="Times New Roman" w:hAnsi="Times New Roman" w:eastAsia="宋体" w:cs="Times New Roman"/>
          <w:sz w:val="28"/>
          <w:szCs w:val="28"/>
          <w14:ligatures w14:val="none"/>
        </w:rPr>
        <w:t>担任主要负责人，</w:t>
      </w:r>
      <w:r>
        <w:rPr>
          <w:rFonts w:hint="eastAsia" w:ascii="Times New Roman" w:hAnsi="Times New Roman" w:eastAsia="宋体" w:cs="Times New Roman"/>
          <w:sz w:val="28"/>
          <w:szCs w:val="28"/>
          <w:lang w:val="en-US" w:eastAsia="zh-CN"/>
          <w14:ligatures w14:val="none"/>
        </w:rPr>
        <w:t>秦勇</w:t>
      </w:r>
      <w:r>
        <w:rPr>
          <w:rFonts w:hint="eastAsia" w:ascii="Times New Roman" w:hAnsi="Times New Roman" w:eastAsia="宋体" w:cs="Times New Roman"/>
          <w:sz w:val="28"/>
          <w:szCs w:val="28"/>
          <w14:ligatures w14:val="none"/>
        </w:rPr>
        <w:t>担任专职安全管理人员。</w:t>
      </w:r>
    </w:p>
    <w:p w14:paraId="6273E3C6">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企业设安全生产领导小组负责站内安全生产工作，并配有1名主要负责人、1名专职安全管理人员及1名注册安全工程师。企业</w:t>
      </w:r>
      <w:r>
        <w:rPr>
          <w:rFonts w:hint="eastAsia" w:ascii="Times New Roman" w:hAnsi="Times New Roman" w:eastAsia="宋体" w:cs="Times New Roman"/>
          <w:sz w:val="28"/>
          <w:szCs w:val="28"/>
          <w:lang w:val="en-US" w:eastAsia="zh-CN"/>
          <w14:ligatures w14:val="none"/>
        </w:rPr>
        <w:t>主要</w:t>
      </w:r>
      <w:r>
        <w:rPr>
          <w:rFonts w:hint="eastAsia" w:ascii="Times New Roman" w:hAnsi="Times New Roman" w:eastAsia="宋体" w:cs="Times New Roman"/>
          <w:sz w:val="28"/>
          <w:szCs w:val="28"/>
          <w14:ligatures w14:val="none"/>
        </w:rPr>
        <w:t>负责人和专职安全管理人员均取得安全资格证书；企业特种作业人员</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lang w:val="en-US" w:eastAsia="zh-CN"/>
          <w14:ligatures w14:val="none"/>
        </w:rPr>
        <w:t>电工</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14:ligatures w14:val="none"/>
        </w:rPr>
        <w:t>均已经相关培训考核后合格，取得特种作业资格证书。</w:t>
      </w:r>
    </w:p>
    <w:p w14:paraId="0011E35B">
      <w:pPr>
        <w:adjustRightInd w:val="0"/>
        <w:snapToGrid w:val="0"/>
        <w:spacing w:before="312" w:beforeLines="100" w:after="312" w:afterLines="100" w:line="360" w:lineRule="auto"/>
        <w:jc w:val="center"/>
        <w:outlineLvl w:val="1"/>
        <w:rPr>
          <w:rFonts w:hint="eastAsia" w:ascii="Times New Roman" w:hAnsi="Times New Roman" w:eastAsia="楷体" w:cs="黑体"/>
          <w:b/>
          <w:sz w:val="32"/>
          <w:szCs w:val="32"/>
          <w:lang w:eastAsia="zh-CN"/>
          <w14:ligatures w14:val="none"/>
        </w:rPr>
      </w:pPr>
      <w:bookmarkStart w:id="72" w:name="_Toc23527"/>
      <w:r>
        <w:rPr>
          <w:rFonts w:hint="eastAsia" w:ascii="Times New Roman" w:hAnsi="Times New Roman" w:eastAsia="楷体" w:cs="黑体"/>
          <w:b/>
          <w:sz w:val="32"/>
          <w:szCs w:val="32"/>
          <w14:ligatures w14:val="none"/>
        </w:rPr>
        <w:t>2.2工艺</w:t>
      </w:r>
      <w:r>
        <w:rPr>
          <w:rFonts w:hint="eastAsia" w:ascii="Times New Roman" w:hAnsi="Times New Roman" w:eastAsia="楷体" w:cs="黑体"/>
          <w:b/>
          <w:sz w:val="32"/>
          <w:szCs w:val="32"/>
          <w:lang w:val="en-US" w:eastAsia="zh-CN"/>
          <w14:ligatures w14:val="none"/>
        </w:rPr>
        <w:t>流程</w:t>
      </w:r>
      <w:bookmarkEnd w:id="72"/>
    </w:p>
    <w:p w14:paraId="0B998FAD">
      <w:pPr>
        <w:keepNext w:val="0"/>
        <w:keepLines w:val="0"/>
        <w:pageBreakBefore w:val="0"/>
        <w:wordWrap/>
        <w:overflowPunct/>
        <w:topLinePunct w:val="0"/>
        <w:bidi w:val="0"/>
        <w:adjustRightInd w:val="0"/>
        <w:snapToGrid w:val="0"/>
        <w:spacing w:after="0" w:line="360" w:lineRule="auto"/>
        <w:ind w:left="0" w:leftChars="0" w:firstLine="560" w:firstLineChars="200"/>
        <w:jc w:val="both"/>
        <w:rPr>
          <w:rFonts w:ascii="Times New Roman" w:hAnsi="Times New Roman" w:eastAsia="宋体" w:cs="Times New Roman"/>
          <w:color w:val="000000"/>
          <w:sz w:val="28"/>
          <w:szCs w:val="28"/>
          <w14:ligatures w14:val="none"/>
        </w:rPr>
      </w:pPr>
      <w:r>
        <w:rPr>
          <w:rFonts w:hint="eastAsia" w:ascii="Times New Roman" w:hAnsi="Times New Roman" w:eastAsia="宋体" w:cs="Times New Roman"/>
          <w:color w:val="000000"/>
          <w:sz w:val="28"/>
          <w:szCs w:val="28"/>
          <w:lang w:eastAsia="zh-CN"/>
          <w14:ligatures w14:val="none"/>
        </w:rPr>
        <w:t>国能安储（东港）燃料供应有限公司</w:t>
      </w:r>
      <w:r>
        <w:rPr>
          <w:rFonts w:hint="eastAsia" w:ascii="Times New Roman" w:hAnsi="Times New Roman" w:eastAsia="宋体" w:cs="Times New Roman"/>
          <w:color w:val="000000"/>
          <w:sz w:val="28"/>
          <w:szCs w:val="28"/>
          <w14:ligatures w14:val="none"/>
        </w:rPr>
        <w:t>东港前阳油库</w:t>
      </w:r>
      <w:r>
        <w:rPr>
          <w:rFonts w:hint="eastAsia" w:ascii="Times New Roman" w:hAnsi="Times New Roman" w:eastAsia="宋体" w:cs="Times New Roman"/>
          <w:color w:val="000000"/>
          <w:sz w:val="28"/>
          <w:szCs w:val="28"/>
          <w:lang w:val="en-US" w:eastAsia="zh-CN"/>
          <w14:ligatures w14:val="none"/>
        </w:rPr>
        <w:t>公路部分</w:t>
      </w:r>
      <w:r>
        <w:rPr>
          <w:rFonts w:ascii="Times New Roman" w:hAnsi="Times New Roman" w:eastAsia="宋体" w:cs="Times New Roman"/>
          <w:color w:val="000000"/>
          <w:sz w:val="28"/>
          <w:szCs w:val="28"/>
          <w14:ligatures w14:val="none"/>
        </w:rPr>
        <w:t>工艺</w:t>
      </w:r>
      <w:r>
        <w:rPr>
          <w:rFonts w:hint="eastAsia" w:ascii="Times New Roman" w:hAnsi="Times New Roman" w:eastAsia="宋体" w:cs="Times New Roman"/>
          <w:color w:val="000000"/>
          <w:sz w:val="28"/>
          <w:szCs w:val="28"/>
          <w:lang w:val="en-US" w:eastAsia="zh-CN"/>
          <w14:ligatures w14:val="none"/>
        </w:rPr>
        <w:t>流程</w:t>
      </w:r>
      <w:r>
        <w:rPr>
          <w:rFonts w:ascii="Times New Roman" w:hAnsi="Times New Roman" w:eastAsia="宋体" w:cs="Times New Roman"/>
          <w:color w:val="000000"/>
          <w:sz w:val="28"/>
          <w:szCs w:val="28"/>
          <w14:ligatures w14:val="none"/>
        </w:rPr>
        <w:t>如下：</w:t>
      </w:r>
    </w:p>
    <w:p w14:paraId="6C1C5D02">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8" w:firstLineChars="200"/>
        <w:jc w:val="both"/>
        <w:textAlignment w:val="baseline"/>
        <w:rPr>
          <w:rFonts w:ascii="宋体" w:hAnsi="宋体" w:eastAsia="宋体" w:cs="宋体"/>
          <w:snapToGrid w:val="0"/>
          <w:color w:val="000000"/>
          <w:kern w:val="0"/>
          <w:sz w:val="28"/>
          <w:szCs w:val="28"/>
          <w:lang w:val="en-US" w:eastAsia="en-US" w:bidi="ar-SA"/>
        </w:rPr>
      </w:pPr>
      <w:r>
        <w:rPr>
          <w:rFonts w:ascii="宋体" w:hAnsi="宋体" w:eastAsia="宋体" w:cs="宋体"/>
          <w:snapToGrid w:val="0"/>
          <w:color w:val="000000"/>
          <w:spacing w:val="-3"/>
          <w:kern w:val="0"/>
          <w:sz w:val="28"/>
          <w:szCs w:val="28"/>
          <w:lang w:val="en-US" w:eastAsia="en-US" w:bidi="ar-SA"/>
        </w:rPr>
        <w:t>（</w:t>
      </w:r>
      <w:r>
        <w:rPr>
          <w:rFonts w:ascii="Times New Roman" w:hAnsi="Times New Roman" w:eastAsia="Times New Roman" w:cs="Times New Roman"/>
          <w:snapToGrid w:val="0"/>
          <w:color w:val="000000"/>
          <w:spacing w:val="-3"/>
          <w:kern w:val="0"/>
          <w:sz w:val="28"/>
          <w:szCs w:val="28"/>
          <w:lang w:val="en-US" w:eastAsia="en-US" w:bidi="ar-SA"/>
        </w:rPr>
        <w:t>1</w:t>
      </w:r>
      <w:r>
        <w:rPr>
          <w:rFonts w:ascii="宋体" w:hAnsi="宋体" w:eastAsia="宋体" w:cs="宋体"/>
          <w:snapToGrid w:val="0"/>
          <w:color w:val="000000"/>
          <w:spacing w:val="-3"/>
          <w:kern w:val="0"/>
          <w:sz w:val="28"/>
          <w:szCs w:val="28"/>
          <w:lang w:val="en-US" w:eastAsia="en-US" w:bidi="ar-SA"/>
        </w:rPr>
        <w:t>）油品进库</w:t>
      </w:r>
    </w:p>
    <w:p w14:paraId="60D3B858">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4" w:firstLineChars="200"/>
        <w:jc w:val="left"/>
        <w:textAlignment w:val="baseline"/>
        <w:rPr>
          <w:rFonts w:ascii="宋体" w:hAnsi="宋体" w:eastAsia="宋体" w:cs="宋体"/>
          <w:snapToGrid w:val="0"/>
          <w:color w:val="000000"/>
          <w:spacing w:val="-4"/>
          <w:kern w:val="0"/>
          <w:sz w:val="28"/>
          <w:szCs w:val="28"/>
          <w:lang w:val="en-US" w:eastAsia="en-US" w:bidi="ar-SA"/>
        </w:rPr>
      </w:pPr>
      <w:r>
        <w:rPr>
          <w:rFonts w:ascii="宋体" w:hAnsi="宋体" w:eastAsia="宋体" w:cs="宋体"/>
          <w:snapToGrid w:val="0"/>
          <w:color w:val="000000"/>
          <w:spacing w:val="-4"/>
          <w:kern w:val="0"/>
          <w:sz w:val="28"/>
          <w:szCs w:val="28"/>
          <w:lang w:val="en-US" w:eastAsia="en-US" w:bidi="ar-SA"/>
        </w:rPr>
        <w:t>公路槽车</w:t>
      </w:r>
      <w:r>
        <w:rPr>
          <w:rFonts w:ascii="宋体" w:hAnsi="宋体" w:eastAsia="宋体" w:cs="宋体"/>
          <w:snapToGrid w:val="0"/>
          <w:color w:val="000000"/>
          <w:spacing w:val="-47"/>
          <w:kern w:val="0"/>
          <w:sz w:val="28"/>
          <w:szCs w:val="28"/>
          <w:lang w:val="en-US" w:eastAsia="en-US" w:bidi="ar-SA"/>
        </w:rPr>
        <w:t xml:space="preserve"> </w:t>
      </w:r>
      <w:r>
        <w:rPr>
          <w:rFonts w:ascii="宋体" w:hAnsi="宋体" w:eastAsia="宋体" w:cs="宋体"/>
          <w:snapToGrid w:val="0"/>
          <w:color w:val="000000"/>
          <w:kern w:val="0"/>
          <w:position w:val="5"/>
          <w:sz w:val="28"/>
          <w:szCs w:val="28"/>
          <w:lang w:val="en-US" w:eastAsia="en-US" w:bidi="ar-SA"/>
        </w:rPr>
        <w:drawing>
          <wp:inline distT="0" distB="0" distL="0" distR="0">
            <wp:extent cx="514350" cy="75565"/>
            <wp:effectExtent l="0" t="0" r="0" b="635"/>
            <wp:docPr id="518" name="IM 30"/>
            <wp:cNvGraphicFramePr/>
            <a:graphic xmlns:a="http://schemas.openxmlformats.org/drawingml/2006/main">
              <a:graphicData uri="http://schemas.openxmlformats.org/drawingml/2006/picture">
                <pic:pic xmlns:pic="http://schemas.openxmlformats.org/drawingml/2006/picture">
                  <pic:nvPicPr>
                    <pic:cNvPr id="518" name="IM 30"/>
                    <pic:cNvPicPr/>
                  </pic:nvPicPr>
                  <pic:blipFill>
                    <a:blip r:embed="rId12"/>
                    <a:stretch>
                      <a:fillRect/>
                    </a:stretch>
                  </pic:blipFill>
                  <pic:spPr>
                    <a:xfrm>
                      <a:off x="0" y="0"/>
                      <a:ext cx="514438" cy="76187"/>
                    </a:xfrm>
                    <a:prstGeom prst="rect">
                      <a:avLst/>
                    </a:prstGeom>
                  </pic:spPr>
                </pic:pic>
              </a:graphicData>
            </a:graphic>
          </wp:inline>
        </w:drawing>
      </w:r>
      <w:r>
        <w:rPr>
          <w:rFonts w:ascii="宋体" w:hAnsi="宋体" w:eastAsia="宋体" w:cs="宋体"/>
          <w:snapToGrid w:val="0"/>
          <w:color w:val="000000"/>
          <w:spacing w:val="-35"/>
          <w:kern w:val="0"/>
          <w:sz w:val="28"/>
          <w:szCs w:val="28"/>
          <w:lang w:val="en-US" w:eastAsia="en-US" w:bidi="ar-SA"/>
        </w:rPr>
        <w:t xml:space="preserve"> </w:t>
      </w:r>
      <w:r>
        <w:rPr>
          <w:rFonts w:ascii="宋体" w:hAnsi="宋体" w:eastAsia="宋体" w:cs="宋体"/>
          <w:snapToGrid w:val="0"/>
          <w:color w:val="000000"/>
          <w:spacing w:val="-4"/>
          <w:kern w:val="0"/>
          <w:sz w:val="28"/>
          <w:szCs w:val="28"/>
          <w:lang w:val="en-US" w:eastAsia="en-US" w:bidi="ar-SA"/>
        </w:rPr>
        <w:t xml:space="preserve">卸车软管 </w:t>
      </w:r>
      <w:r>
        <w:rPr>
          <w:rFonts w:ascii="宋体" w:hAnsi="宋体" w:eastAsia="宋体" w:cs="宋体"/>
          <w:snapToGrid w:val="0"/>
          <w:color w:val="000000"/>
          <w:kern w:val="0"/>
          <w:position w:val="4"/>
          <w:sz w:val="28"/>
          <w:szCs w:val="28"/>
          <w:lang w:val="en-US" w:eastAsia="en-US" w:bidi="ar-SA"/>
        </w:rPr>
        <w:drawing>
          <wp:inline distT="0" distB="0" distL="0" distR="0">
            <wp:extent cx="714375" cy="76200"/>
            <wp:effectExtent l="0" t="0" r="9525" b="0"/>
            <wp:docPr id="445" name="IM 32"/>
            <wp:cNvGraphicFramePr/>
            <a:graphic xmlns:a="http://schemas.openxmlformats.org/drawingml/2006/main">
              <a:graphicData uri="http://schemas.openxmlformats.org/drawingml/2006/picture">
                <pic:pic xmlns:pic="http://schemas.openxmlformats.org/drawingml/2006/picture">
                  <pic:nvPicPr>
                    <pic:cNvPr id="445" name="IM 32"/>
                    <pic:cNvPicPr/>
                  </pic:nvPicPr>
                  <pic:blipFill>
                    <a:blip r:embed="rId13"/>
                    <a:stretch>
                      <a:fillRect/>
                    </a:stretch>
                  </pic:blipFill>
                  <pic:spPr>
                    <a:xfrm>
                      <a:off x="0" y="0"/>
                      <a:ext cx="714375" cy="76200"/>
                    </a:xfrm>
                    <a:prstGeom prst="rect">
                      <a:avLst/>
                    </a:prstGeom>
                  </pic:spPr>
                </pic:pic>
              </a:graphicData>
            </a:graphic>
          </wp:inline>
        </w:drawing>
      </w:r>
      <w:r>
        <w:rPr>
          <w:rFonts w:ascii="宋体" w:hAnsi="宋体" w:eastAsia="宋体" w:cs="宋体"/>
          <w:snapToGrid w:val="0"/>
          <w:color w:val="000000"/>
          <w:spacing w:val="3"/>
          <w:kern w:val="0"/>
          <w:sz w:val="28"/>
          <w:szCs w:val="28"/>
          <w:lang w:val="en-US" w:eastAsia="en-US" w:bidi="ar-SA"/>
        </w:rPr>
        <w:t xml:space="preserve"> </w:t>
      </w:r>
      <w:r>
        <w:rPr>
          <w:rFonts w:ascii="宋体" w:hAnsi="宋体" w:eastAsia="宋体" w:cs="宋体"/>
          <w:snapToGrid w:val="0"/>
          <w:color w:val="000000"/>
          <w:spacing w:val="-4"/>
          <w:kern w:val="0"/>
          <w:sz w:val="28"/>
          <w:szCs w:val="28"/>
          <w:lang w:val="en-US" w:eastAsia="en-US" w:bidi="ar-SA"/>
        </w:rPr>
        <w:t>接卸泵</w:t>
      </w:r>
      <w:r>
        <w:rPr>
          <w:rFonts w:ascii="Times New Roman" w:hAnsi="Times New Roman" w:eastAsia="Times New Roman" w:cs="Times New Roman"/>
          <w:snapToGrid w:val="0"/>
          <w:color w:val="000000"/>
          <w:spacing w:val="-4"/>
          <w:kern w:val="0"/>
          <w:sz w:val="28"/>
          <w:szCs w:val="28"/>
          <w:lang w:val="en-US" w:eastAsia="en-US" w:bidi="ar-SA"/>
        </w:rPr>
        <w:t>/</w:t>
      </w:r>
      <w:r>
        <w:rPr>
          <w:rFonts w:ascii="宋体" w:hAnsi="宋体" w:eastAsia="宋体" w:cs="宋体"/>
          <w:snapToGrid w:val="0"/>
          <w:color w:val="000000"/>
          <w:spacing w:val="-4"/>
          <w:kern w:val="0"/>
          <w:sz w:val="28"/>
          <w:szCs w:val="28"/>
          <w:lang w:val="en-US" w:eastAsia="en-US" w:bidi="ar-SA"/>
        </w:rPr>
        <w:t>扫舱泵</w:t>
      </w:r>
      <w:r>
        <w:rPr>
          <w:rFonts w:ascii="宋体" w:hAnsi="宋体" w:eastAsia="宋体" w:cs="宋体"/>
          <w:snapToGrid w:val="0"/>
          <w:color w:val="000000"/>
          <w:spacing w:val="-35"/>
          <w:kern w:val="0"/>
          <w:sz w:val="28"/>
          <w:szCs w:val="28"/>
          <w:lang w:val="en-US" w:eastAsia="en-US" w:bidi="ar-SA"/>
        </w:rPr>
        <w:t xml:space="preserve"> </w:t>
      </w:r>
      <w:r>
        <w:rPr>
          <w:rFonts w:ascii="宋体" w:hAnsi="宋体" w:eastAsia="宋体" w:cs="宋体"/>
          <w:snapToGrid w:val="0"/>
          <w:color w:val="000000"/>
          <w:kern w:val="0"/>
          <w:position w:val="5"/>
          <w:sz w:val="28"/>
          <w:szCs w:val="28"/>
          <w:lang w:val="en-US" w:eastAsia="en-US" w:bidi="ar-SA"/>
        </w:rPr>
        <w:drawing>
          <wp:inline distT="0" distB="0" distL="0" distR="0">
            <wp:extent cx="419100" cy="76200"/>
            <wp:effectExtent l="0" t="0" r="0" b="0"/>
            <wp:docPr id="454" name="IM 34"/>
            <wp:cNvGraphicFramePr/>
            <a:graphic xmlns:a="http://schemas.openxmlformats.org/drawingml/2006/main">
              <a:graphicData uri="http://schemas.openxmlformats.org/drawingml/2006/picture">
                <pic:pic xmlns:pic="http://schemas.openxmlformats.org/drawingml/2006/picture">
                  <pic:nvPicPr>
                    <pic:cNvPr id="454" name="IM 34"/>
                    <pic:cNvPicPr/>
                  </pic:nvPicPr>
                  <pic:blipFill>
                    <a:blip r:embed="rId14"/>
                    <a:stretch>
                      <a:fillRect/>
                    </a:stretch>
                  </pic:blipFill>
                  <pic:spPr>
                    <a:xfrm>
                      <a:off x="0" y="0"/>
                      <a:ext cx="419100" cy="76200"/>
                    </a:xfrm>
                    <a:prstGeom prst="rect">
                      <a:avLst/>
                    </a:prstGeom>
                  </pic:spPr>
                </pic:pic>
              </a:graphicData>
            </a:graphic>
          </wp:inline>
        </w:drawing>
      </w:r>
      <w:r>
        <w:rPr>
          <w:rFonts w:ascii="宋体" w:hAnsi="宋体" w:eastAsia="宋体" w:cs="宋体"/>
          <w:snapToGrid w:val="0"/>
          <w:color w:val="000000"/>
          <w:spacing w:val="-50"/>
          <w:kern w:val="0"/>
          <w:sz w:val="28"/>
          <w:szCs w:val="28"/>
          <w:lang w:val="en-US" w:eastAsia="en-US" w:bidi="ar-SA"/>
        </w:rPr>
        <w:t xml:space="preserve"> </w:t>
      </w:r>
      <w:r>
        <w:rPr>
          <w:rFonts w:ascii="宋体" w:hAnsi="宋体" w:eastAsia="宋体" w:cs="宋体"/>
          <w:snapToGrid w:val="0"/>
          <w:color w:val="000000"/>
          <w:spacing w:val="-4"/>
          <w:kern w:val="0"/>
          <w:sz w:val="28"/>
          <w:szCs w:val="28"/>
          <w:lang w:val="en-US" w:eastAsia="en-US" w:bidi="ar-SA"/>
        </w:rPr>
        <w:t>油罐</w:t>
      </w:r>
    </w:p>
    <w:p w14:paraId="5E8CA966">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4" w:firstLineChars="200"/>
        <w:jc w:val="left"/>
        <w:textAlignment w:val="baseline"/>
        <w:rPr>
          <w:rFonts w:ascii="宋体" w:hAnsi="宋体" w:eastAsia="宋体" w:cs="宋体"/>
          <w:snapToGrid w:val="0"/>
          <w:color w:val="000000"/>
          <w:spacing w:val="-4"/>
          <w:kern w:val="0"/>
          <w:sz w:val="28"/>
          <w:szCs w:val="28"/>
          <w:lang w:val="en-US" w:eastAsia="en-US" w:bidi="ar-SA"/>
        </w:rPr>
      </w:pPr>
      <w:r>
        <w:rPr>
          <w:rFonts w:ascii="宋体" w:hAnsi="宋体" w:eastAsia="宋体" w:cs="宋体"/>
          <w:snapToGrid w:val="0"/>
          <w:color w:val="000000"/>
          <w:spacing w:val="-4"/>
          <w:kern w:val="0"/>
          <w:sz w:val="28"/>
          <w:szCs w:val="28"/>
          <w:lang w:val="en-US" w:eastAsia="en-US" w:bidi="ar-SA"/>
        </w:rPr>
        <w:t>槽车底油</w:t>
      </w:r>
      <w:r>
        <w:rPr>
          <w:rFonts w:ascii="宋体" w:hAnsi="宋体" w:eastAsia="宋体" w:cs="宋体"/>
          <w:snapToGrid w:val="0"/>
          <w:color w:val="000000"/>
          <w:spacing w:val="-60"/>
          <w:kern w:val="0"/>
          <w:sz w:val="28"/>
          <w:szCs w:val="28"/>
          <w:lang w:val="en-US" w:eastAsia="en-US" w:bidi="ar-SA"/>
        </w:rPr>
        <w:t xml:space="preserve"> </w:t>
      </w:r>
      <w:r>
        <w:rPr>
          <w:rFonts w:ascii="宋体" w:hAnsi="宋体" w:eastAsia="宋体" w:cs="宋体"/>
          <w:snapToGrid w:val="0"/>
          <w:color w:val="000000"/>
          <w:kern w:val="0"/>
          <w:position w:val="10"/>
          <w:sz w:val="28"/>
          <w:szCs w:val="28"/>
          <w:lang w:val="en-US" w:eastAsia="en-US" w:bidi="ar-SA"/>
        </w:rPr>
        <w:drawing>
          <wp:inline distT="0" distB="0" distL="0" distR="0">
            <wp:extent cx="202565" cy="76200"/>
            <wp:effectExtent l="0" t="0" r="6985" b="0"/>
            <wp:docPr id="519" name="IM 36"/>
            <wp:cNvGraphicFramePr/>
            <a:graphic xmlns:a="http://schemas.openxmlformats.org/drawingml/2006/main">
              <a:graphicData uri="http://schemas.openxmlformats.org/drawingml/2006/picture">
                <pic:pic xmlns:pic="http://schemas.openxmlformats.org/drawingml/2006/picture">
                  <pic:nvPicPr>
                    <pic:cNvPr id="519" name="IM 36"/>
                    <pic:cNvPicPr/>
                  </pic:nvPicPr>
                  <pic:blipFill>
                    <a:blip r:embed="rId15"/>
                    <a:stretch>
                      <a:fillRect/>
                    </a:stretch>
                  </pic:blipFill>
                  <pic:spPr>
                    <a:xfrm>
                      <a:off x="0" y="0"/>
                      <a:ext cx="203103" cy="76200"/>
                    </a:xfrm>
                    <a:prstGeom prst="rect">
                      <a:avLst/>
                    </a:prstGeom>
                  </pic:spPr>
                </pic:pic>
              </a:graphicData>
            </a:graphic>
          </wp:inline>
        </w:drawing>
      </w:r>
      <w:r>
        <w:rPr>
          <w:rFonts w:ascii="宋体" w:hAnsi="宋体" w:eastAsia="宋体" w:cs="宋体"/>
          <w:snapToGrid w:val="0"/>
          <w:color w:val="000000"/>
          <w:spacing w:val="-103"/>
          <w:kern w:val="0"/>
          <w:sz w:val="28"/>
          <w:szCs w:val="28"/>
          <w:lang w:val="en-US" w:eastAsia="en-US" w:bidi="ar-SA"/>
        </w:rPr>
        <w:t xml:space="preserve"> </w:t>
      </w:r>
      <w:r>
        <w:rPr>
          <w:rFonts w:ascii="宋体" w:hAnsi="宋体" w:eastAsia="宋体" w:cs="宋体"/>
          <w:snapToGrid w:val="0"/>
          <w:color w:val="000000"/>
          <w:spacing w:val="-4"/>
          <w:kern w:val="0"/>
          <w:sz w:val="28"/>
          <w:szCs w:val="28"/>
          <w:lang w:val="en-US" w:eastAsia="en-US" w:bidi="ar-SA"/>
        </w:rPr>
        <w:t>扫舱软管</w:t>
      </w:r>
      <w:r>
        <w:rPr>
          <w:rFonts w:ascii="宋体" w:hAnsi="宋体" w:eastAsia="宋体" w:cs="宋体"/>
          <w:snapToGrid w:val="0"/>
          <w:color w:val="000000"/>
          <w:kern w:val="0"/>
          <w:position w:val="10"/>
          <w:sz w:val="28"/>
          <w:szCs w:val="28"/>
          <w:lang w:val="en-US" w:eastAsia="en-US" w:bidi="ar-SA"/>
        </w:rPr>
        <w:drawing>
          <wp:inline distT="0" distB="0" distL="0" distR="0">
            <wp:extent cx="202565" cy="76200"/>
            <wp:effectExtent l="0" t="0" r="6985" b="0"/>
            <wp:docPr id="538" name="IM 36"/>
            <wp:cNvGraphicFramePr/>
            <a:graphic xmlns:a="http://schemas.openxmlformats.org/drawingml/2006/main">
              <a:graphicData uri="http://schemas.openxmlformats.org/drawingml/2006/picture">
                <pic:pic xmlns:pic="http://schemas.openxmlformats.org/drawingml/2006/picture">
                  <pic:nvPicPr>
                    <pic:cNvPr id="538" name="IM 36"/>
                    <pic:cNvPicPr/>
                  </pic:nvPicPr>
                  <pic:blipFill>
                    <a:blip r:embed="rId15"/>
                    <a:stretch>
                      <a:fillRect/>
                    </a:stretch>
                  </pic:blipFill>
                  <pic:spPr>
                    <a:xfrm>
                      <a:off x="0" y="0"/>
                      <a:ext cx="203103" cy="76200"/>
                    </a:xfrm>
                    <a:prstGeom prst="rect">
                      <a:avLst/>
                    </a:prstGeom>
                  </pic:spPr>
                </pic:pic>
              </a:graphicData>
            </a:graphic>
          </wp:inline>
        </w:drawing>
      </w:r>
      <w:r>
        <w:rPr>
          <w:rFonts w:ascii="微软雅黑" w:hAnsi="微软雅黑" w:eastAsia="微软雅黑" w:cs="微软雅黑"/>
          <w:snapToGrid w:val="0"/>
          <w:color w:val="000000"/>
          <w:spacing w:val="-27"/>
          <w:kern w:val="0"/>
          <w:position w:val="4"/>
          <w:sz w:val="35"/>
          <w:szCs w:val="35"/>
          <w:lang w:val="en-US" w:eastAsia="en-US" w:bidi="ar-SA"/>
        </w:rPr>
        <w:t xml:space="preserve"> </w:t>
      </w:r>
      <w:r>
        <w:rPr>
          <w:rFonts w:ascii="宋体" w:hAnsi="宋体" w:eastAsia="宋体" w:cs="宋体"/>
          <w:snapToGrid w:val="0"/>
          <w:color w:val="000000"/>
          <w:spacing w:val="-4"/>
          <w:kern w:val="0"/>
          <w:sz w:val="28"/>
          <w:szCs w:val="28"/>
          <w:lang w:val="en-US" w:eastAsia="en-US" w:bidi="ar-SA"/>
        </w:rPr>
        <w:t>扫舱泵</w:t>
      </w:r>
      <w:r>
        <w:rPr>
          <w:rFonts w:ascii="宋体" w:hAnsi="宋体" w:eastAsia="宋体" w:cs="宋体"/>
          <w:snapToGrid w:val="0"/>
          <w:color w:val="000000"/>
          <w:kern w:val="0"/>
          <w:position w:val="7"/>
          <w:sz w:val="28"/>
          <w:szCs w:val="28"/>
          <w:lang w:val="en-US" w:eastAsia="en-US" w:bidi="ar-SA"/>
        </w:rPr>
        <w:drawing>
          <wp:inline distT="0" distB="0" distL="0" distR="0">
            <wp:extent cx="280035" cy="76200"/>
            <wp:effectExtent l="0" t="0" r="5715" b="0"/>
            <wp:docPr id="520" name="IM 38"/>
            <wp:cNvGraphicFramePr/>
            <a:graphic xmlns:a="http://schemas.openxmlformats.org/drawingml/2006/main">
              <a:graphicData uri="http://schemas.openxmlformats.org/drawingml/2006/picture">
                <pic:pic xmlns:pic="http://schemas.openxmlformats.org/drawingml/2006/picture">
                  <pic:nvPicPr>
                    <pic:cNvPr id="520" name="IM 38"/>
                    <pic:cNvPicPr/>
                  </pic:nvPicPr>
                  <pic:blipFill>
                    <a:blip r:embed="rId16"/>
                    <a:stretch>
                      <a:fillRect/>
                    </a:stretch>
                  </pic:blipFill>
                  <pic:spPr>
                    <a:xfrm>
                      <a:off x="0" y="0"/>
                      <a:ext cx="280476" cy="76200"/>
                    </a:xfrm>
                    <a:prstGeom prst="rect">
                      <a:avLst/>
                    </a:prstGeom>
                  </pic:spPr>
                </pic:pic>
              </a:graphicData>
            </a:graphic>
          </wp:inline>
        </w:drawing>
      </w:r>
      <w:r>
        <w:rPr>
          <w:rFonts w:ascii="宋体" w:hAnsi="宋体" w:eastAsia="宋体" w:cs="宋体"/>
          <w:snapToGrid w:val="0"/>
          <w:color w:val="000000"/>
          <w:spacing w:val="-4"/>
          <w:kern w:val="0"/>
          <w:sz w:val="28"/>
          <w:szCs w:val="28"/>
          <w:lang w:val="en-US" w:eastAsia="en-US" w:bidi="ar-SA"/>
        </w:rPr>
        <w:t>扫仓罐</w:t>
      </w:r>
      <w:r>
        <w:rPr>
          <w:rFonts w:ascii="宋体" w:hAnsi="宋体" w:eastAsia="宋体" w:cs="宋体"/>
          <w:snapToGrid w:val="0"/>
          <w:color w:val="000000"/>
          <w:spacing w:val="-68"/>
          <w:kern w:val="0"/>
          <w:sz w:val="28"/>
          <w:szCs w:val="28"/>
          <w:lang w:val="en-US" w:eastAsia="en-US" w:bidi="ar-SA"/>
        </w:rPr>
        <w:t xml:space="preserve"> </w:t>
      </w:r>
      <w:r>
        <w:rPr>
          <w:rFonts w:ascii="宋体" w:hAnsi="宋体" w:eastAsia="宋体" w:cs="宋体"/>
          <w:snapToGrid w:val="0"/>
          <w:color w:val="000000"/>
          <w:kern w:val="0"/>
          <w:position w:val="8"/>
          <w:sz w:val="28"/>
          <w:szCs w:val="28"/>
          <w:lang w:val="en-US" w:eastAsia="en-US" w:bidi="ar-SA"/>
        </w:rPr>
        <w:drawing>
          <wp:inline distT="0" distB="0" distL="0" distR="0">
            <wp:extent cx="299720" cy="76200"/>
            <wp:effectExtent l="0" t="0" r="5080" b="0"/>
            <wp:docPr id="521" name="IM 40"/>
            <wp:cNvGraphicFramePr/>
            <a:graphic xmlns:a="http://schemas.openxmlformats.org/drawingml/2006/main">
              <a:graphicData uri="http://schemas.openxmlformats.org/drawingml/2006/picture">
                <pic:pic xmlns:pic="http://schemas.openxmlformats.org/drawingml/2006/picture">
                  <pic:nvPicPr>
                    <pic:cNvPr id="521" name="IM 40"/>
                    <pic:cNvPicPr/>
                  </pic:nvPicPr>
                  <pic:blipFill>
                    <a:blip r:embed="rId17"/>
                    <a:stretch>
                      <a:fillRect/>
                    </a:stretch>
                  </pic:blipFill>
                  <pic:spPr>
                    <a:xfrm>
                      <a:off x="0" y="0"/>
                      <a:ext cx="299819" cy="76200"/>
                    </a:xfrm>
                    <a:prstGeom prst="rect">
                      <a:avLst/>
                    </a:prstGeom>
                  </pic:spPr>
                </pic:pic>
              </a:graphicData>
            </a:graphic>
          </wp:inline>
        </w:drawing>
      </w:r>
      <w:r>
        <w:rPr>
          <w:rFonts w:ascii="宋体" w:hAnsi="宋体" w:eastAsia="宋体" w:cs="宋体"/>
          <w:snapToGrid w:val="0"/>
          <w:color w:val="000000"/>
          <w:spacing w:val="-4"/>
          <w:kern w:val="0"/>
          <w:sz w:val="28"/>
          <w:szCs w:val="28"/>
          <w:lang w:val="en-US" w:eastAsia="en-US" w:bidi="ar-SA"/>
        </w:rPr>
        <w:t>接卸泵</w:t>
      </w:r>
      <w:r>
        <w:rPr>
          <w:rFonts w:ascii="宋体" w:hAnsi="宋体" w:eastAsia="宋体" w:cs="宋体"/>
          <w:snapToGrid w:val="0"/>
          <w:color w:val="000000"/>
          <w:spacing w:val="-90"/>
          <w:kern w:val="0"/>
          <w:sz w:val="28"/>
          <w:szCs w:val="28"/>
          <w:lang w:val="en-US" w:eastAsia="en-US" w:bidi="ar-SA"/>
        </w:rPr>
        <w:t xml:space="preserve"> </w:t>
      </w:r>
      <w:r>
        <w:rPr>
          <w:rFonts w:ascii="宋体" w:hAnsi="宋体" w:eastAsia="宋体" w:cs="宋体"/>
          <w:snapToGrid w:val="0"/>
          <w:color w:val="000000"/>
          <w:kern w:val="0"/>
          <w:position w:val="7"/>
          <w:sz w:val="28"/>
          <w:szCs w:val="28"/>
          <w:lang w:val="en-US" w:eastAsia="en-US" w:bidi="ar-SA"/>
        </w:rPr>
        <w:drawing>
          <wp:inline distT="0" distB="0" distL="0" distR="0">
            <wp:extent cx="347980" cy="76200"/>
            <wp:effectExtent l="0" t="0" r="13970" b="0"/>
            <wp:docPr id="522" name="IM 42"/>
            <wp:cNvGraphicFramePr/>
            <a:graphic xmlns:a="http://schemas.openxmlformats.org/drawingml/2006/main">
              <a:graphicData uri="http://schemas.openxmlformats.org/drawingml/2006/picture">
                <pic:pic xmlns:pic="http://schemas.openxmlformats.org/drawingml/2006/picture">
                  <pic:nvPicPr>
                    <pic:cNvPr id="522" name="IM 42"/>
                    <pic:cNvPicPr/>
                  </pic:nvPicPr>
                  <pic:blipFill>
                    <a:blip r:embed="rId18"/>
                    <a:stretch>
                      <a:fillRect/>
                    </a:stretch>
                  </pic:blipFill>
                  <pic:spPr>
                    <a:xfrm>
                      <a:off x="0" y="0"/>
                      <a:ext cx="348177" cy="76200"/>
                    </a:xfrm>
                    <a:prstGeom prst="rect">
                      <a:avLst/>
                    </a:prstGeom>
                  </pic:spPr>
                </pic:pic>
              </a:graphicData>
            </a:graphic>
          </wp:inline>
        </w:drawing>
      </w:r>
      <w:r>
        <w:rPr>
          <w:rFonts w:ascii="宋体" w:hAnsi="宋体" w:eastAsia="宋体" w:cs="宋体"/>
          <w:snapToGrid w:val="0"/>
          <w:color w:val="000000"/>
          <w:spacing w:val="-4"/>
          <w:kern w:val="0"/>
          <w:sz w:val="28"/>
          <w:szCs w:val="28"/>
          <w:lang w:val="en-US" w:eastAsia="en-US" w:bidi="ar-SA"/>
        </w:rPr>
        <w:t>油罐</w:t>
      </w:r>
    </w:p>
    <w:p w14:paraId="7F8B90C1">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8" w:firstLineChars="200"/>
        <w:jc w:val="left"/>
        <w:textAlignment w:val="baseline"/>
        <w:rPr>
          <w:rFonts w:ascii="宋体" w:hAnsi="宋体" w:eastAsia="宋体" w:cs="宋体"/>
          <w:snapToGrid w:val="0"/>
          <w:color w:val="000000"/>
          <w:kern w:val="0"/>
          <w:sz w:val="28"/>
          <w:szCs w:val="28"/>
          <w:lang w:val="en-US" w:eastAsia="en-US" w:bidi="ar-SA"/>
        </w:rPr>
      </w:pPr>
      <w:r>
        <w:rPr>
          <w:rFonts w:ascii="宋体" w:hAnsi="宋体" w:eastAsia="宋体" w:cs="宋体"/>
          <w:snapToGrid w:val="0"/>
          <w:color w:val="000000"/>
          <w:spacing w:val="-3"/>
          <w:kern w:val="0"/>
          <w:sz w:val="28"/>
          <w:szCs w:val="28"/>
          <w:lang w:val="en-US" w:eastAsia="en-US" w:bidi="ar-SA"/>
        </w:rPr>
        <w:t>卸车集油管道油品</w:t>
      </w:r>
      <w:r>
        <w:rPr>
          <w:rFonts w:ascii="宋体" w:hAnsi="宋体" w:eastAsia="宋体" w:cs="宋体"/>
          <w:snapToGrid w:val="0"/>
          <w:color w:val="000000"/>
          <w:spacing w:val="-70"/>
          <w:kern w:val="0"/>
          <w:sz w:val="28"/>
          <w:szCs w:val="28"/>
          <w:lang w:val="en-US" w:eastAsia="en-US" w:bidi="ar-SA"/>
        </w:rPr>
        <w:t xml:space="preserve"> </w:t>
      </w:r>
      <w:r>
        <w:rPr>
          <w:rFonts w:ascii="宋体" w:hAnsi="宋体" w:eastAsia="宋体" w:cs="宋体"/>
          <w:snapToGrid w:val="0"/>
          <w:color w:val="000000"/>
          <w:kern w:val="0"/>
          <w:position w:val="3"/>
          <w:sz w:val="28"/>
          <w:szCs w:val="28"/>
          <w:lang w:val="en-US" w:eastAsia="en-US" w:bidi="ar-SA"/>
        </w:rPr>
        <w:drawing>
          <wp:inline distT="0" distB="0" distL="0" distR="0">
            <wp:extent cx="333375" cy="76200"/>
            <wp:effectExtent l="0" t="0" r="9525" b="0"/>
            <wp:docPr id="523" name="IM 44"/>
            <wp:cNvGraphicFramePr/>
            <a:graphic xmlns:a="http://schemas.openxmlformats.org/drawingml/2006/main">
              <a:graphicData uri="http://schemas.openxmlformats.org/drawingml/2006/picture">
                <pic:pic xmlns:pic="http://schemas.openxmlformats.org/drawingml/2006/picture">
                  <pic:nvPicPr>
                    <pic:cNvPr id="523" name="IM 44"/>
                    <pic:cNvPicPr/>
                  </pic:nvPicPr>
                  <pic:blipFill>
                    <a:blip r:embed="rId19"/>
                    <a:stretch>
                      <a:fillRect/>
                    </a:stretch>
                  </pic:blipFill>
                  <pic:spPr>
                    <a:xfrm>
                      <a:off x="0" y="0"/>
                      <a:ext cx="333375" cy="76200"/>
                    </a:xfrm>
                    <a:prstGeom prst="rect">
                      <a:avLst/>
                    </a:prstGeom>
                  </pic:spPr>
                </pic:pic>
              </a:graphicData>
            </a:graphic>
          </wp:inline>
        </w:drawing>
      </w:r>
      <w:r>
        <w:rPr>
          <w:rFonts w:ascii="宋体" w:hAnsi="宋体" w:eastAsia="宋体" w:cs="宋体"/>
          <w:snapToGrid w:val="0"/>
          <w:color w:val="000000"/>
          <w:spacing w:val="-3"/>
          <w:kern w:val="0"/>
          <w:sz w:val="28"/>
          <w:szCs w:val="28"/>
          <w:lang w:val="en-US" w:eastAsia="en-US" w:bidi="ar-SA"/>
        </w:rPr>
        <w:t>扫舱泵</w:t>
      </w:r>
      <w:r>
        <w:rPr>
          <w:rFonts w:ascii="宋体" w:hAnsi="宋体" w:eastAsia="宋体" w:cs="宋体"/>
          <w:snapToGrid w:val="0"/>
          <w:color w:val="000000"/>
          <w:spacing w:val="-57"/>
          <w:kern w:val="0"/>
          <w:sz w:val="28"/>
          <w:szCs w:val="28"/>
          <w:lang w:val="en-US" w:eastAsia="en-US" w:bidi="ar-SA"/>
        </w:rPr>
        <w:t xml:space="preserve"> </w:t>
      </w:r>
      <w:r>
        <w:rPr>
          <w:rFonts w:ascii="宋体" w:hAnsi="宋体" w:eastAsia="宋体" w:cs="宋体"/>
          <w:snapToGrid w:val="0"/>
          <w:color w:val="000000"/>
          <w:kern w:val="0"/>
          <w:position w:val="3"/>
          <w:sz w:val="28"/>
          <w:szCs w:val="28"/>
          <w:lang w:val="en-US" w:eastAsia="en-US" w:bidi="ar-SA"/>
        </w:rPr>
        <w:drawing>
          <wp:inline distT="0" distB="0" distL="0" distR="0">
            <wp:extent cx="295275" cy="76200"/>
            <wp:effectExtent l="0" t="0" r="9525" b="0"/>
            <wp:docPr id="524" name="IM 46"/>
            <wp:cNvGraphicFramePr/>
            <a:graphic xmlns:a="http://schemas.openxmlformats.org/drawingml/2006/main">
              <a:graphicData uri="http://schemas.openxmlformats.org/drawingml/2006/picture">
                <pic:pic xmlns:pic="http://schemas.openxmlformats.org/drawingml/2006/picture">
                  <pic:nvPicPr>
                    <pic:cNvPr id="524" name="IM 46"/>
                    <pic:cNvPicPr/>
                  </pic:nvPicPr>
                  <pic:blipFill>
                    <a:blip r:embed="rId17"/>
                    <a:stretch>
                      <a:fillRect/>
                    </a:stretch>
                  </pic:blipFill>
                  <pic:spPr>
                    <a:xfrm>
                      <a:off x="0" y="0"/>
                      <a:ext cx="295275" cy="76200"/>
                    </a:xfrm>
                    <a:prstGeom prst="rect">
                      <a:avLst/>
                    </a:prstGeom>
                  </pic:spPr>
                </pic:pic>
              </a:graphicData>
            </a:graphic>
          </wp:inline>
        </w:drawing>
      </w:r>
      <w:r>
        <w:rPr>
          <w:rFonts w:ascii="宋体" w:hAnsi="宋体" w:eastAsia="宋体" w:cs="宋体"/>
          <w:snapToGrid w:val="0"/>
          <w:color w:val="000000"/>
          <w:spacing w:val="-3"/>
          <w:kern w:val="0"/>
          <w:sz w:val="28"/>
          <w:szCs w:val="28"/>
          <w:lang w:val="en-US" w:eastAsia="en-US" w:bidi="ar-SA"/>
        </w:rPr>
        <w:t>扫舱罐</w:t>
      </w:r>
      <w:r>
        <w:rPr>
          <w:rFonts w:ascii="宋体" w:hAnsi="宋体" w:eastAsia="宋体" w:cs="宋体"/>
          <w:snapToGrid w:val="0"/>
          <w:color w:val="000000"/>
          <w:spacing w:val="-49"/>
          <w:kern w:val="0"/>
          <w:sz w:val="28"/>
          <w:szCs w:val="28"/>
          <w:lang w:val="en-US" w:eastAsia="en-US" w:bidi="ar-SA"/>
        </w:rPr>
        <w:t xml:space="preserve"> </w:t>
      </w:r>
      <w:r>
        <w:rPr>
          <w:rFonts w:ascii="宋体" w:hAnsi="宋体" w:eastAsia="宋体" w:cs="宋体"/>
          <w:snapToGrid w:val="0"/>
          <w:color w:val="000000"/>
          <w:kern w:val="0"/>
          <w:position w:val="3"/>
          <w:sz w:val="28"/>
          <w:szCs w:val="28"/>
          <w:lang w:val="en-US" w:eastAsia="en-US" w:bidi="ar-SA"/>
        </w:rPr>
        <w:drawing>
          <wp:inline distT="0" distB="0" distL="0" distR="0">
            <wp:extent cx="390525" cy="76200"/>
            <wp:effectExtent l="0" t="0" r="9525" b="0"/>
            <wp:docPr id="525" name="IM 48"/>
            <wp:cNvGraphicFramePr/>
            <a:graphic xmlns:a="http://schemas.openxmlformats.org/drawingml/2006/main">
              <a:graphicData uri="http://schemas.openxmlformats.org/drawingml/2006/picture">
                <pic:pic xmlns:pic="http://schemas.openxmlformats.org/drawingml/2006/picture">
                  <pic:nvPicPr>
                    <pic:cNvPr id="525" name="IM 48"/>
                    <pic:cNvPicPr/>
                  </pic:nvPicPr>
                  <pic:blipFill>
                    <a:blip r:embed="rId20"/>
                    <a:stretch>
                      <a:fillRect/>
                    </a:stretch>
                  </pic:blipFill>
                  <pic:spPr>
                    <a:xfrm>
                      <a:off x="0" y="0"/>
                      <a:ext cx="390525" cy="76200"/>
                    </a:xfrm>
                    <a:prstGeom prst="rect">
                      <a:avLst/>
                    </a:prstGeom>
                  </pic:spPr>
                </pic:pic>
              </a:graphicData>
            </a:graphic>
          </wp:inline>
        </w:drawing>
      </w:r>
      <w:r>
        <w:rPr>
          <w:rFonts w:ascii="宋体" w:hAnsi="宋体" w:eastAsia="宋体" w:cs="宋体"/>
          <w:snapToGrid w:val="0"/>
          <w:color w:val="000000"/>
          <w:spacing w:val="-3"/>
          <w:kern w:val="0"/>
          <w:sz w:val="28"/>
          <w:szCs w:val="28"/>
          <w:lang w:val="en-US" w:eastAsia="en-US" w:bidi="ar-SA"/>
        </w:rPr>
        <w:t>扫舱泵</w:t>
      </w:r>
      <w:r>
        <w:rPr>
          <w:rFonts w:ascii="宋体" w:hAnsi="宋体" w:eastAsia="宋体" w:cs="宋体"/>
          <w:snapToGrid w:val="0"/>
          <w:color w:val="000000"/>
          <w:spacing w:val="-102"/>
          <w:kern w:val="0"/>
          <w:sz w:val="28"/>
          <w:szCs w:val="28"/>
          <w:lang w:val="en-US" w:eastAsia="en-US" w:bidi="ar-SA"/>
        </w:rPr>
        <w:t xml:space="preserve"> </w:t>
      </w:r>
      <w:r>
        <w:rPr>
          <w:rFonts w:ascii="宋体" w:hAnsi="宋体" w:eastAsia="宋体" w:cs="宋体"/>
          <w:snapToGrid w:val="0"/>
          <w:color w:val="000000"/>
          <w:kern w:val="0"/>
          <w:position w:val="4"/>
          <w:sz w:val="28"/>
          <w:szCs w:val="28"/>
          <w:lang w:val="en-US" w:eastAsia="en-US" w:bidi="ar-SA"/>
        </w:rPr>
        <w:drawing>
          <wp:inline distT="0" distB="0" distL="0" distR="0">
            <wp:extent cx="342900" cy="76200"/>
            <wp:effectExtent l="0" t="0" r="0" b="0"/>
            <wp:docPr id="526" name="IM 50"/>
            <wp:cNvGraphicFramePr/>
            <a:graphic xmlns:a="http://schemas.openxmlformats.org/drawingml/2006/main">
              <a:graphicData uri="http://schemas.openxmlformats.org/drawingml/2006/picture">
                <pic:pic xmlns:pic="http://schemas.openxmlformats.org/drawingml/2006/picture">
                  <pic:nvPicPr>
                    <pic:cNvPr id="526" name="IM 50"/>
                    <pic:cNvPicPr/>
                  </pic:nvPicPr>
                  <pic:blipFill>
                    <a:blip r:embed="rId18"/>
                    <a:stretch>
                      <a:fillRect/>
                    </a:stretch>
                  </pic:blipFill>
                  <pic:spPr>
                    <a:xfrm>
                      <a:off x="0" y="0"/>
                      <a:ext cx="342900" cy="76200"/>
                    </a:xfrm>
                    <a:prstGeom prst="rect">
                      <a:avLst/>
                    </a:prstGeom>
                  </pic:spPr>
                </pic:pic>
              </a:graphicData>
            </a:graphic>
          </wp:inline>
        </w:drawing>
      </w:r>
      <w:r>
        <w:rPr>
          <w:rFonts w:ascii="宋体" w:hAnsi="宋体" w:eastAsia="宋体" w:cs="宋体"/>
          <w:snapToGrid w:val="0"/>
          <w:color w:val="000000"/>
          <w:spacing w:val="-3"/>
          <w:kern w:val="0"/>
          <w:sz w:val="28"/>
          <w:szCs w:val="28"/>
          <w:lang w:val="en-US" w:eastAsia="en-US" w:bidi="ar-SA"/>
        </w:rPr>
        <w:t>油罐</w:t>
      </w:r>
    </w:p>
    <w:p w14:paraId="728DB3E6">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8" w:firstLineChars="200"/>
        <w:jc w:val="left"/>
        <w:textAlignment w:val="baseline"/>
        <w:rPr>
          <w:rFonts w:ascii="宋体" w:hAnsi="宋体" w:eastAsia="宋体" w:cs="宋体"/>
          <w:snapToGrid w:val="0"/>
          <w:color w:val="000000"/>
          <w:kern w:val="0"/>
          <w:sz w:val="28"/>
          <w:szCs w:val="28"/>
          <w:lang w:val="en-US" w:eastAsia="en-US" w:bidi="ar-SA"/>
        </w:rPr>
      </w:pPr>
      <w:r>
        <w:rPr>
          <w:rFonts w:ascii="宋体" w:hAnsi="宋体" w:eastAsia="宋体" w:cs="宋体"/>
          <w:snapToGrid w:val="0"/>
          <w:color w:val="000000"/>
          <w:spacing w:val="-3"/>
          <w:kern w:val="0"/>
          <w:sz w:val="28"/>
          <w:szCs w:val="28"/>
          <w:lang w:val="en-US" w:eastAsia="en-US" w:bidi="ar-SA"/>
        </w:rPr>
        <w:t>（</w:t>
      </w:r>
      <w:r>
        <w:rPr>
          <w:rFonts w:ascii="Times New Roman" w:hAnsi="Times New Roman" w:eastAsia="Times New Roman" w:cs="Times New Roman"/>
          <w:snapToGrid w:val="0"/>
          <w:color w:val="000000"/>
          <w:spacing w:val="-3"/>
          <w:kern w:val="0"/>
          <w:sz w:val="28"/>
          <w:szCs w:val="28"/>
          <w:lang w:val="en-US" w:eastAsia="en-US" w:bidi="ar-SA"/>
        </w:rPr>
        <w:t>2</w:t>
      </w:r>
      <w:r>
        <w:rPr>
          <w:rFonts w:ascii="宋体" w:hAnsi="宋体" w:eastAsia="宋体" w:cs="宋体"/>
          <w:snapToGrid w:val="0"/>
          <w:color w:val="000000"/>
          <w:spacing w:val="-3"/>
          <w:kern w:val="0"/>
          <w:sz w:val="28"/>
          <w:szCs w:val="28"/>
          <w:lang w:val="en-US" w:eastAsia="en-US" w:bidi="ar-SA"/>
        </w:rPr>
        <w:t>）油品出库</w:t>
      </w:r>
    </w:p>
    <w:p w14:paraId="01743149">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0" w:firstLineChars="200"/>
        <w:jc w:val="left"/>
        <w:textAlignment w:val="baseline"/>
        <w:rPr>
          <w:rFonts w:ascii="宋体" w:hAnsi="宋体" w:eastAsia="宋体" w:cs="宋体"/>
          <w:snapToGrid w:val="0"/>
          <w:color w:val="000000"/>
          <w:kern w:val="0"/>
          <w:sz w:val="28"/>
          <w:szCs w:val="28"/>
          <w:lang w:val="en-US" w:eastAsia="en-US" w:bidi="ar-SA"/>
        </w:rPr>
      </w:pPr>
      <w:r>
        <w:rPr>
          <w:rFonts w:ascii="宋体" w:hAnsi="宋体" w:eastAsia="宋体" w:cs="宋体"/>
          <w:snapToGrid w:val="0"/>
          <w:color w:val="000000"/>
          <w:spacing w:val="-5"/>
          <w:kern w:val="0"/>
          <w:sz w:val="28"/>
          <w:szCs w:val="28"/>
          <w:lang w:val="en-US" w:eastAsia="en-US" w:bidi="ar-SA"/>
        </w:rPr>
        <w:t>公路发油</w:t>
      </w:r>
    </w:p>
    <w:p w14:paraId="65C00384">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0" w:firstLineChars="200"/>
        <w:jc w:val="left"/>
        <w:textAlignment w:val="baseline"/>
        <w:rPr>
          <w:rFonts w:ascii="宋体" w:hAnsi="宋体" w:eastAsia="宋体" w:cs="宋体"/>
          <w:snapToGrid w:val="0"/>
          <w:color w:val="000000"/>
          <w:kern w:val="0"/>
          <w:sz w:val="28"/>
          <w:szCs w:val="28"/>
          <w:lang w:val="en-US" w:eastAsia="en-US" w:bidi="ar-SA"/>
        </w:rPr>
      </w:pPr>
      <w:r>
        <w:rPr>
          <w:rFonts w:ascii="宋体" w:hAnsi="宋体" w:eastAsia="宋体" w:cs="宋体"/>
          <w:snapToGrid w:val="0"/>
          <w:color w:val="000000"/>
          <w:spacing w:val="-5"/>
          <w:kern w:val="0"/>
          <w:sz w:val="28"/>
          <w:szCs w:val="28"/>
          <w:lang w:val="en-US" w:eastAsia="en-US" w:bidi="ar-SA"/>
        </w:rPr>
        <w:t>柴油油罐</w:t>
      </w:r>
      <w:r>
        <w:rPr>
          <w:rFonts w:ascii="宋体" w:hAnsi="宋体" w:eastAsia="宋体" w:cs="宋体"/>
          <w:snapToGrid w:val="0"/>
          <w:color w:val="000000"/>
          <w:spacing w:val="-20"/>
          <w:kern w:val="0"/>
          <w:sz w:val="28"/>
          <w:szCs w:val="28"/>
          <w:lang w:val="en-US" w:eastAsia="en-US" w:bidi="ar-SA"/>
        </w:rPr>
        <w:t xml:space="preserve"> </w:t>
      </w:r>
      <w:r>
        <w:rPr>
          <w:rFonts w:ascii="宋体" w:hAnsi="宋体" w:eastAsia="宋体" w:cs="宋体"/>
          <w:snapToGrid w:val="0"/>
          <w:color w:val="000000"/>
          <w:kern w:val="0"/>
          <w:position w:val="4"/>
          <w:sz w:val="28"/>
          <w:szCs w:val="28"/>
          <w:lang w:val="en-US" w:eastAsia="en-US" w:bidi="ar-SA"/>
        </w:rPr>
        <w:drawing>
          <wp:inline distT="0" distB="0" distL="0" distR="0">
            <wp:extent cx="419100" cy="76200"/>
            <wp:effectExtent l="0" t="0" r="0" b="0"/>
            <wp:docPr id="527" name="IM 52"/>
            <wp:cNvGraphicFramePr/>
            <a:graphic xmlns:a="http://schemas.openxmlformats.org/drawingml/2006/main">
              <a:graphicData uri="http://schemas.openxmlformats.org/drawingml/2006/picture">
                <pic:pic xmlns:pic="http://schemas.openxmlformats.org/drawingml/2006/picture">
                  <pic:nvPicPr>
                    <pic:cNvPr id="527" name="IM 52"/>
                    <pic:cNvPicPr/>
                  </pic:nvPicPr>
                  <pic:blipFill>
                    <a:blip r:embed="rId14"/>
                    <a:stretch>
                      <a:fillRect/>
                    </a:stretch>
                  </pic:blipFill>
                  <pic:spPr>
                    <a:xfrm>
                      <a:off x="0" y="0"/>
                      <a:ext cx="419100" cy="76200"/>
                    </a:xfrm>
                    <a:prstGeom prst="rect">
                      <a:avLst/>
                    </a:prstGeom>
                  </pic:spPr>
                </pic:pic>
              </a:graphicData>
            </a:graphic>
          </wp:inline>
        </w:drawing>
      </w:r>
      <w:r>
        <w:rPr>
          <w:rFonts w:ascii="宋体" w:hAnsi="宋体" w:eastAsia="宋体" w:cs="宋体"/>
          <w:snapToGrid w:val="0"/>
          <w:color w:val="000000"/>
          <w:spacing w:val="-54"/>
          <w:kern w:val="0"/>
          <w:sz w:val="28"/>
          <w:szCs w:val="28"/>
          <w:lang w:val="en-US" w:eastAsia="en-US" w:bidi="ar-SA"/>
        </w:rPr>
        <w:t xml:space="preserve"> </w:t>
      </w:r>
      <w:r>
        <w:rPr>
          <w:rFonts w:ascii="宋体" w:hAnsi="宋体" w:eastAsia="宋体" w:cs="宋体"/>
          <w:snapToGrid w:val="0"/>
          <w:color w:val="000000"/>
          <w:spacing w:val="-5"/>
          <w:kern w:val="0"/>
          <w:sz w:val="28"/>
          <w:szCs w:val="28"/>
          <w:lang w:val="en-US" w:eastAsia="en-US" w:bidi="ar-SA"/>
        </w:rPr>
        <w:t>公路装车泵</w:t>
      </w:r>
      <w:r>
        <w:rPr>
          <w:rFonts w:ascii="宋体" w:hAnsi="宋体" w:eastAsia="宋体" w:cs="宋体"/>
          <w:snapToGrid w:val="0"/>
          <w:color w:val="000000"/>
          <w:spacing w:val="-79"/>
          <w:kern w:val="0"/>
          <w:sz w:val="28"/>
          <w:szCs w:val="28"/>
          <w:lang w:val="en-US" w:eastAsia="en-US" w:bidi="ar-SA"/>
        </w:rPr>
        <w:t xml:space="preserve"> </w:t>
      </w:r>
      <w:r>
        <w:rPr>
          <w:rFonts w:ascii="宋体" w:hAnsi="宋体" w:eastAsia="宋体" w:cs="宋体"/>
          <w:snapToGrid w:val="0"/>
          <w:color w:val="000000"/>
          <w:kern w:val="0"/>
          <w:position w:val="4"/>
          <w:sz w:val="28"/>
          <w:szCs w:val="28"/>
          <w:lang w:val="en-US" w:eastAsia="en-US" w:bidi="ar-SA"/>
        </w:rPr>
        <w:drawing>
          <wp:inline distT="0" distB="0" distL="0" distR="0">
            <wp:extent cx="476250" cy="76200"/>
            <wp:effectExtent l="0" t="0" r="0" b="0"/>
            <wp:docPr id="528" name="IM 54"/>
            <wp:cNvGraphicFramePr/>
            <a:graphic xmlns:a="http://schemas.openxmlformats.org/drawingml/2006/main">
              <a:graphicData uri="http://schemas.openxmlformats.org/drawingml/2006/picture">
                <pic:pic xmlns:pic="http://schemas.openxmlformats.org/drawingml/2006/picture">
                  <pic:nvPicPr>
                    <pic:cNvPr id="528" name="IM 54"/>
                    <pic:cNvPicPr/>
                  </pic:nvPicPr>
                  <pic:blipFill>
                    <a:blip r:embed="rId21"/>
                    <a:stretch>
                      <a:fillRect/>
                    </a:stretch>
                  </pic:blipFill>
                  <pic:spPr>
                    <a:xfrm>
                      <a:off x="0" y="0"/>
                      <a:ext cx="476250" cy="76200"/>
                    </a:xfrm>
                    <a:prstGeom prst="rect">
                      <a:avLst/>
                    </a:prstGeom>
                  </pic:spPr>
                </pic:pic>
              </a:graphicData>
            </a:graphic>
          </wp:inline>
        </w:drawing>
      </w:r>
      <w:r>
        <w:rPr>
          <w:rFonts w:ascii="宋体" w:hAnsi="宋体" w:eastAsia="宋体" w:cs="宋体"/>
          <w:snapToGrid w:val="0"/>
          <w:color w:val="000000"/>
          <w:spacing w:val="-99"/>
          <w:kern w:val="0"/>
          <w:sz w:val="28"/>
          <w:szCs w:val="28"/>
          <w:lang w:val="en-US" w:eastAsia="en-US" w:bidi="ar-SA"/>
        </w:rPr>
        <w:t xml:space="preserve"> </w:t>
      </w:r>
      <w:r>
        <w:rPr>
          <w:rFonts w:ascii="宋体" w:hAnsi="宋体" w:eastAsia="宋体" w:cs="宋体"/>
          <w:snapToGrid w:val="0"/>
          <w:color w:val="000000"/>
          <w:spacing w:val="-5"/>
          <w:kern w:val="0"/>
          <w:sz w:val="28"/>
          <w:szCs w:val="28"/>
          <w:lang w:val="en-US" w:eastAsia="en-US" w:bidi="ar-SA"/>
        </w:rPr>
        <w:t>流量计计量</w:t>
      </w:r>
      <w:r>
        <w:rPr>
          <w:rFonts w:ascii="宋体" w:hAnsi="宋体" w:eastAsia="宋体" w:cs="宋体"/>
          <w:snapToGrid w:val="0"/>
          <w:color w:val="000000"/>
          <w:spacing w:val="-40"/>
          <w:kern w:val="0"/>
          <w:sz w:val="28"/>
          <w:szCs w:val="28"/>
          <w:lang w:val="en-US" w:eastAsia="en-US" w:bidi="ar-SA"/>
        </w:rPr>
        <w:t xml:space="preserve"> </w:t>
      </w:r>
      <w:r>
        <w:rPr>
          <w:rFonts w:ascii="宋体" w:hAnsi="宋体" w:eastAsia="宋体" w:cs="宋体"/>
          <w:snapToGrid w:val="0"/>
          <w:color w:val="000000"/>
          <w:kern w:val="0"/>
          <w:position w:val="3"/>
          <w:sz w:val="28"/>
          <w:szCs w:val="28"/>
          <w:lang w:val="en-US" w:eastAsia="en-US" w:bidi="ar-SA"/>
        </w:rPr>
        <w:drawing>
          <wp:inline distT="0" distB="0" distL="0" distR="0">
            <wp:extent cx="581025" cy="76200"/>
            <wp:effectExtent l="0" t="0" r="9525" b="0"/>
            <wp:docPr id="529" name="IM 56"/>
            <wp:cNvGraphicFramePr/>
            <a:graphic xmlns:a="http://schemas.openxmlformats.org/drawingml/2006/main">
              <a:graphicData uri="http://schemas.openxmlformats.org/drawingml/2006/picture">
                <pic:pic xmlns:pic="http://schemas.openxmlformats.org/drawingml/2006/picture">
                  <pic:nvPicPr>
                    <pic:cNvPr id="529" name="IM 56"/>
                    <pic:cNvPicPr/>
                  </pic:nvPicPr>
                  <pic:blipFill>
                    <a:blip r:embed="rId22"/>
                    <a:stretch>
                      <a:fillRect/>
                    </a:stretch>
                  </pic:blipFill>
                  <pic:spPr>
                    <a:xfrm>
                      <a:off x="0" y="0"/>
                      <a:ext cx="581025" cy="76200"/>
                    </a:xfrm>
                    <a:prstGeom prst="rect">
                      <a:avLst/>
                    </a:prstGeom>
                  </pic:spPr>
                </pic:pic>
              </a:graphicData>
            </a:graphic>
          </wp:inline>
        </w:drawing>
      </w:r>
      <w:r>
        <w:rPr>
          <w:rFonts w:ascii="宋体" w:hAnsi="宋体" w:eastAsia="宋体" w:cs="宋体"/>
          <w:snapToGrid w:val="0"/>
          <w:color w:val="000000"/>
          <w:spacing w:val="-5"/>
          <w:kern w:val="0"/>
          <w:sz w:val="28"/>
          <w:szCs w:val="28"/>
          <w:lang w:val="en-US" w:eastAsia="en-US" w:bidi="ar-SA"/>
        </w:rPr>
        <w:t>装汽车</w:t>
      </w:r>
    </w:p>
    <w:p w14:paraId="007D0635">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8" w:firstLineChars="200"/>
        <w:jc w:val="left"/>
        <w:textAlignment w:val="baseline"/>
        <w:rPr>
          <w:rFonts w:ascii="宋体" w:hAnsi="宋体" w:eastAsia="宋体" w:cs="宋体"/>
          <w:snapToGrid w:val="0"/>
          <w:color w:val="000000"/>
          <w:kern w:val="0"/>
          <w:sz w:val="28"/>
          <w:szCs w:val="28"/>
          <w:lang w:val="en-US" w:eastAsia="en-US" w:bidi="ar-SA"/>
        </w:rPr>
      </w:pPr>
      <w:r>
        <w:rPr>
          <w:rFonts w:ascii="宋体" w:hAnsi="宋体" w:eastAsia="宋体" w:cs="宋体"/>
          <w:snapToGrid w:val="0"/>
          <w:color w:val="000000"/>
          <w:spacing w:val="-3"/>
          <w:kern w:val="0"/>
          <w:sz w:val="28"/>
          <w:szCs w:val="28"/>
          <w:lang w:val="en-US" w:eastAsia="en-US" w:bidi="ar-SA"/>
        </w:rPr>
        <w:t>（</w:t>
      </w:r>
      <w:r>
        <w:rPr>
          <w:rFonts w:ascii="Times New Roman" w:hAnsi="Times New Roman" w:eastAsia="Times New Roman" w:cs="Times New Roman"/>
          <w:snapToGrid w:val="0"/>
          <w:color w:val="000000"/>
          <w:spacing w:val="-3"/>
          <w:kern w:val="0"/>
          <w:sz w:val="28"/>
          <w:szCs w:val="28"/>
          <w:lang w:val="en-US" w:eastAsia="en-US" w:bidi="ar-SA"/>
        </w:rPr>
        <w:t>3</w:t>
      </w:r>
      <w:r>
        <w:rPr>
          <w:rFonts w:ascii="宋体" w:hAnsi="宋体" w:eastAsia="宋体" w:cs="宋体"/>
          <w:snapToGrid w:val="0"/>
          <w:color w:val="000000"/>
          <w:spacing w:val="-3"/>
          <w:kern w:val="0"/>
          <w:sz w:val="28"/>
          <w:szCs w:val="28"/>
          <w:lang w:val="en-US" w:eastAsia="en-US" w:bidi="ar-SA"/>
        </w:rPr>
        <w:t>）油品倒罐</w:t>
      </w:r>
    </w:p>
    <w:p w14:paraId="1898347C">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8" w:firstLineChars="200"/>
        <w:jc w:val="left"/>
        <w:textAlignment w:val="baseline"/>
        <w:rPr>
          <w:rFonts w:ascii="宋体" w:hAnsi="宋体" w:eastAsia="宋体" w:cs="宋体"/>
          <w:snapToGrid w:val="0"/>
          <w:color w:val="000000"/>
          <w:kern w:val="0"/>
          <w:sz w:val="28"/>
          <w:szCs w:val="28"/>
          <w:lang w:val="en-US" w:eastAsia="en-US" w:bidi="ar-SA"/>
        </w:rPr>
      </w:pPr>
      <w:r>
        <w:rPr>
          <w:rFonts w:ascii="宋体" w:hAnsi="宋体" w:eastAsia="宋体" w:cs="宋体"/>
          <w:snapToGrid w:val="0"/>
          <w:color w:val="000000"/>
          <w:spacing w:val="-3"/>
          <w:kern w:val="0"/>
          <w:sz w:val="28"/>
          <w:szCs w:val="28"/>
          <w:lang w:val="en-US" w:eastAsia="en-US" w:bidi="ar-SA"/>
        </w:rPr>
        <w:t>柴油油罐</w:t>
      </w:r>
      <w:r>
        <w:rPr>
          <w:rFonts w:ascii="宋体" w:hAnsi="宋体" w:eastAsia="宋体" w:cs="宋体"/>
          <w:snapToGrid w:val="0"/>
          <w:color w:val="000000"/>
          <w:spacing w:val="58"/>
          <w:kern w:val="0"/>
          <w:sz w:val="28"/>
          <w:szCs w:val="28"/>
          <w:lang w:val="en-US" w:eastAsia="en-US" w:bidi="ar-SA"/>
        </w:rPr>
        <w:t xml:space="preserve"> </w:t>
      </w:r>
      <w:r>
        <w:rPr>
          <w:rFonts w:ascii="宋体" w:hAnsi="宋体" w:eastAsia="宋体" w:cs="宋体"/>
          <w:snapToGrid w:val="0"/>
          <w:color w:val="000000"/>
          <w:kern w:val="0"/>
          <w:position w:val="4"/>
          <w:sz w:val="28"/>
          <w:szCs w:val="28"/>
          <w:lang w:val="en-US" w:eastAsia="en-US" w:bidi="ar-SA"/>
        </w:rPr>
        <w:drawing>
          <wp:inline distT="0" distB="0" distL="0" distR="0">
            <wp:extent cx="544195" cy="76200"/>
            <wp:effectExtent l="0" t="0" r="8255" b="0"/>
            <wp:docPr id="530" name="IM 58"/>
            <wp:cNvGraphicFramePr/>
            <a:graphic xmlns:a="http://schemas.openxmlformats.org/drawingml/2006/main">
              <a:graphicData uri="http://schemas.openxmlformats.org/drawingml/2006/picture">
                <pic:pic xmlns:pic="http://schemas.openxmlformats.org/drawingml/2006/picture">
                  <pic:nvPicPr>
                    <pic:cNvPr id="530" name="IM 58"/>
                    <pic:cNvPicPr/>
                  </pic:nvPicPr>
                  <pic:blipFill>
                    <a:blip r:embed="rId23"/>
                    <a:stretch>
                      <a:fillRect/>
                    </a:stretch>
                  </pic:blipFill>
                  <pic:spPr>
                    <a:xfrm>
                      <a:off x="0" y="0"/>
                      <a:ext cx="544233" cy="76200"/>
                    </a:xfrm>
                    <a:prstGeom prst="rect">
                      <a:avLst/>
                    </a:prstGeom>
                  </pic:spPr>
                </pic:pic>
              </a:graphicData>
            </a:graphic>
          </wp:inline>
        </w:drawing>
      </w:r>
      <w:r>
        <w:rPr>
          <w:rFonts w:ascii="宋体" w:hAnsi="宋体" w:eastAsia="宋体" w:cs="宋体"/>
          <w:snapToGrid w:val="0"/>
          <w:color w:val="000000"/>
          <w:spacing w:val="-67"/>
          <w:kern w:val="0"/>
          <w:sz w:val="28"/>
          <w:szCs w:val="28"/>
          <w:lang w:val="en-US" w:eastAsia="en-US" w:bidi="ar-SA"/>
        </w:rPr>
        <w:t xml:space="preserve"> </w:t>
      </w:r>
      <w:r>
        <w:rPr>
          <w:rFonts w:ascii="宋体" w:hAnsi="宋体" w:eastAsia="宋体" w:cs="宋体"/>
          <w:snapToGrid w:val="0"/>
          <w:color w:val="000000"/>
          <w:spacing w:val="-3"/>
          <w:kern w:val="0"/>
          <w:sz w:val="28"/>
          <w:szCs w:val="28"/>
          <w:lang w:val="en-US" w:eastAsia="en-US" w:bidi="ar-SA"/>
        </w:rPr>
        <w:t>接卸泵</w:t>
      </w:r>
      <w:r>
        <w:rPr>
          <w:rFonts w:ascii="宋体" w:hAnsi="宋体" w:eastAsia="宋体" w:cs="宋体"/>
          <w:snapToGrid w:val="0"/>
          <w:color w:val="000000"/>
          <w:spacing w:val="-90"/>
          <w:kern w:val="0"/>
          <w:sz w:val="28"/>
          <w:szCs w:val="28"/>
          <w:lang w:val="en-US" w:eastAsia="en-US" w:bidi="ar-SA"/>
        </w:rPr>
        <w:t xml:space="preserve"> </w:t>
      </w:r>
      <w:r>
        <w:rPr>
          <w:rFonts w:ascii="宋体" w:hAnsi="宋体" w:eastAsia="宋体" w:cs="宋体"/>
          <w:snapToGrid w:val="0"/>
          <w:color w:val="000000"/>
          <w:kern w:val="0"/>
          <w:position w:val="4"/>
          <w:sz w:val="28"/>
          <w:szCs w:val="28"/>
          <w:lang w:val="en-US" w:eastAsia="en-US" w:bidi="ar-SA"/>
        </w:rPr>
        <w:drawing>
          <wp:inline distT="0" distB="0" distL="0" distR="0">
            <wp:extent cx="466725" cy="76200"/>
            <wp:effectExtent l="0" t="0" r="9525" b="0"/>
            <wp:docPr id="531" name="IM 60"/>
            <wp:cNvGraphicFramePr/>
            <a:graphic xmlns:a="http://schemas.openxmlformats.org/drawingml/2006/main">
              <a:graphicData uri="http://schemas.openxmlformats.org/drawingml/2006/picture">
                <pic:pic xmlns:pic="http://schemas.openxmlformats.org/drawingml/2006/picture">
                  <pic:nvPicPr>
                    <pic:cNvPr id="531" name="IM 60"/>
                    <pic:cNvPicPr/>
                  </pic:nvPicPr>
                  <pic:blipFill>
                    <a:blip r:embed="rId24"/>
                    <a:stretch>
                      <a:fillRect/>
                    </a:stretch>
                  </pic:blipFill>
                  <pic:spPr>
                    <a:xfrm>
                      <a:off x="0" y="0"/>
                      <a:ext cx="466725" cy="76200"/>
                    </a:xfrm>
                    <a:prstGeom prst="rect">
                      <a:avLst/>
                    </a:prstGeom>
                  </pic:spPr>
                </pic:pic>
              </a:graphicData>
            </a:graphic>
          </wp:inline>
        </w:drawing>
      </w:r>
      <w:r>
        <w:rPr>
          <w:rFonts w:ascii="宋体" w:hAnsi="宋体" w:eastAsia="宋体" w:cs="宋体"/>
          <w:snapToGrid w:val="0"/>
          <w:color w:val="000000"/>
          <w:spacing w:val="-72"/>
          <w:kern w:val="0"/>
          <w:sz w:val="28"/>
          <w:szCs w:val="28"/>
          <w:lang w:val="en-US" w:eastAsia="en-US" w:bidi="ar-SA"/>
        </w:rPr>
        <w:t xml:space="preserve"> </w:t>
      </w:r>
      <w:r>
        <w:rPr>
          <w:rFonts w:ascii="宋体" w:hAnsi="宋体" w:eastAsia="宋体" w:cs="宋体"/>
          <w:snapToGrid w:val="0"/>
          <w:color w:val="000000"/>
          <w:spacing w:val="-3"/>
          <w:kern w:val="0"/>
          <w:sz w:val="28"/>
          <w:szCs w:val="28"/>
          <w:lang w:val="en-US" w:eastAsia="en-US" w:bidi="ar-SA"/>
        </w:rPr>
        <w:t>油罐</w:t>
      </w:r>
    </w:p>
    <w:p w14:paraId="485AA100">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4" w:firstLineChars="200"/>
        <w:jc w:val="left"/>
        <w:textAlignment w:val="baseline"/>
        <w:rPr>
          <w:rFonts w:ascii="宋体" w:hAnsi="宋体" w:eastAsia="宋体" w:cs="宋体"/>
          <w:snapToGrid w:val="0"/>
          <w:color w:val="000000"/>
          <w:kern w:val="0"/>
          <w:sz w:val="28"/>
          <w:szCs w:val="28"/>
          <w:lang w:val="en-US" w:eastAsia="en-US" w:bidi="ar-SA"/>
        </w:rPr>
      </w:pPr>
      <w:r>
        <w:rPr>
          <w:rFonts w:ascii="宋体" w:hAnsi="宋体" w:eastAsia="宋体" w:cs="宋体"/>
          <w:snapToGrid w:val="0"/>
          <w:color w:val="000000"/>
          <w:spacing w:val="-4"/>
          <w:kern w:val="0"/>
          <w:sz w:val="28"/>
          <w:szCs w:val="28"/>
          <w:lang w:val="en-US" w:eastAsia="en-US" w:bidi="ar-SA"/>
        </w:rPr>
        <w:t>（</w:t>
      </w:r>
      <w:r>
        <w:rPr>
          <w:rFonts w:ascii="Times New Roman" w:hAnsi="Times New Roman" w:eastAsia="Times New Roman" w:cs="Times New Roman"/>
          <w:snapToGrid w:val="0"/>
          <w:color w:val="000000"/>
          <w:spacing w:val="-4"/>
          <w:kern w:val="0"/>
          <w:sz w:val="28"/>
          <w:szCs w:val="28"/>
          <w:lang w:val="en-US" w:eastAsia="en-US" w:bidi="ar-SA"/>
        </w:rPr>
        <w:t>4</w:t>
      </w:r>
      <w:r>
        <w:rPr>
          <w:rFonts w:ascii="宋体" w:hAnsi="宋体" w:eastAsia="宋体" w:cs="宋体"/>
          <w:snapToGrid w:val="0"/>
          <w:color w:val="000000"/>
          <w:spacing w:val="-4"/>
          <w:kern w:val="0"/>
          <w:sz w:val="28"/>
          <w:szCs w:val="28"/>
          <w:lang w:val="en-US" w:eastAsia="en-US" w:bidi="ar-SA"/>
        </w:rPr>
        <w:t>）清罐</w:t>
      </w:r>
    </w:p>
    <w:p w14:paraId="6FE6B75A">
      <w:pPr>
        <w:keepNext w:val="0"/>
        <w:keepLines w:val="0"/>
        <w:pageBreakBefore w:val="0"/>
        <w:widowControl/>
        <w:kinsoku w:val="0"/>
        <w:wordWrap/>
        <w:overflowPunct/>
        <w:topLinePunct w:val="0"/>
        <w:autoSpaceDE w:val="0"/>
        <w:autoSpaceDN w:val="0"/>
        <w:bidi w:val="0"/>
        <w:adjustRightInd w:val="0"/>
        <w:snapToGrid w:val="0"/>
        <w:spacing w:before="0" w:line="360" w:lineRule="auto"/>
        <w:ind w:left="558" w:leftChars="254" w:right="0" w:firstLine="0" w:firstLineChars="0"/>
        <w:jc w:val="left"/>
        <w:textAlignment w:val="baseline"/>
        <w:rPr>
          <w:rFonts w:ascii="宋体" w:hAnsi="宋体" w:eastAsia="宋体" w:cs="宋体"/>
          <w:snapToGrid w:val="0"/>
          <w:color w:val="000000"/>
          <w:spacing w:val="-5"/>
          <w:kern w:val="0"/>
          <w:sz w:val="28"/>
          <w:szCs w:val="28"/>
          <w:lang w:val="en-US" w:eastAsia="en-US" w:bidi="ar-SA"/>
        </w:rPr>
      </w:pPr>
      <w:r>
        <w:rPr>
          <w:rFonts w:ascii="宋体" w:hAnsi="宋体" w:eastAsia="宋体" w:cs="宋体"/>
          <w:snapToGrid w:val="0"/>
          <w:color w:val="000000"/>
          <w:spacing w:val="-1"/>
          <w:kern w:val="0"/>
          <w:sz w:val="28"/>
          <w:szCs w:val="28"/>
          <w:lang w:val="en-US" w:eastAsia="en-US" w:bidi="ar-SA"/>
        </w:rPr>
        <w:t>油罐排污口</w:t>
      </w:r>
      <w:r>
        <w:rPr>
          <w:rFonts w:ascii="宋体" w:hAnsi="宋体" w:eastAsia="宋体" w:cs="宋体"/>
          <w:snapToGrid w:val="0"/>
          <w:color w:val="000000"/>
          <w:spacing w:val="-32"/>
          <w:kern w:val="0"/>
          <w:sz w:val="28"/>
          <w:szCs w:val="28"/>
          <w:lang w:val="en-US" w:eastAsia="en-US" w:bidi="ar-SA"/>
        </w:rPr>
        <w:t xml:space="preserve"> </w:t>
      </w:r>
      <w:r>
        <w:rPr>
          <w:rFonts w:ascii="宋体" w:hAnsi="宋体" w:eastAsia="宋体" w:cs="宋体"/>
          <w:snapToGrid w:val="0"/>
          <w:color w:val="000000"/>
          <w:kern w:val="0"/>
          <w:position w:val="3"/>
          <w:sz w:val="28"/>
          <w:szCs w:val="28"/>
          <w:lang w:val="en-US" w:eastAsia="en-US" w:bidi="ar-SA"/>
        </w:rPr>
        <w:drawing>
          <wp:inline distT="0" distB="0" distL="0" distR="0">
            <wp:extent cx="457200" cy="76200"/>
            <wp:effectExtent l="0" t="0" r="0" b="0"/>
            <wp:docPr id="532" name="IM 62"/>
            <wp:cNvGraphicFramePr/>
            <a:graphic xmlns:a="http://schemas.openxmlformats.org/drawingml/2006/main">
              <a:graphicData uri="http://schemas.openxmlformats.org/drawingml/2006/picture">
                <pic:pic xmlns:pic="http://schemas.openxmlformats.org/drawingml/2006/picture">
                  <pic:nvPicPr>
                    <pic:cNvPr id="532" name="IM 62"/>
                    <pic:cNvPicPr/>
                  </pic:nvPicPr>
                  <pic:blipFill>
                    <a:blip r:embed="rId25"/>
                    <a:stretch>
                      <a:fillRect/>
                    </a:stretch>
                  </pic:blipFill>
                  <pic:spPr>
                    <a:xfrm>
                      <a:off x="0" y="0"/>
                      <a:ext cx="457200" cy="76200"/>
                    </a:xfrm>
                    <a:prstGeom prst="rect">
                      <a:avLst/>
                    </a:prstGeom>
                  </pic:spPr>
                </pic:pic>
              </a:graphicData>
            </a:graphic>
          </wp:inline>
        </w:drawing>
      </w:r>
      <w:r>
        <w:rPr>
          <w:rFonts w:ascii="宋体" w:hAnsi="宋体" w:eastAsia="宋体" w:cs="宋体"/>
          <w:snapToGrid w:val="0"/>
          <w:color w:val="000000"/>
          <w:spacing w:val="-1"/>
          <w:kern w:val="0"/>
          <w:sz w:val="28"/>
          <w:szCs w:val="28"/>
          <w:lang w:val="en-US" w:eastAsia="en-US" w:bidi="ar-SA"/>
        </w:rPr>
        <w:t>软管</w:t>
      </w:r>
      <w:r>
        <w:rPr>
          <w:rFonts w:ascii="宋体" w:hAnsi="宋体" w:eastAsia="宋体" w:cs="宋体"/>
          <w:snapToGrid w:val="0"/>
          <w:color w:val="000000"/>
          <w:kern w:val="0"/>
          <w:position w:val="3"/>
          <w:sz w:val="28"/>
          <w:szCs w:val="28"/>
          <w:lang w:val="en-US" w:eastAsia="en-US" w:bidi="ar-SA"/>
        </w:rPr>
        <w:drawing>
          <wp:inline distT="0" distB="0" distL="0" distR="0">
            <wp:extent cx="457200" cy="76200"/>
            <wp:effectExtent l="0" t="0" r="0" b="0"/>
            <wp:docPr id="540" name="IM 62"/>
            <wp:cNvGraphicFramePr/>
            <a:graphic xmlns:a="http://schemas.openxmlformats.org/drawingml/2006/main">
              <a:graphicData uri="http://schemas.openxmlformats.org/drawingml/2006/picture">
                <pic:pic xmlns:pic="http://schemas.openxmlformats.org/drawingml/2006/picture">
                  <pic:nvPicPr>
                    <pic:cNvPr id="540" name="IM 62"/>
                    <pic:cNvPicPr/>
                  </pic:nvPicPr>
                  <pic:blipFill>
                    <a:blip r:embed="rId25"/>
                    <a:stretch>
                      <a:fillRect/>
                    </a:stretch>
                  </pic:blipFill>
                  <pic:spPr>
                    <a:xfrm>
                      <a:off x="0" y="0"/>
                      <a:ext cx="457200" cy="76200"/>
                    </a:xfrm>
                    <a:prstGeom prst="rect">
                      <a:avLst/>
                    </a:prstGeom>
                  </pic:spPr>
                </pic:pic>
              </a:graphicData>
            </a:graphic>
          </wp:inline>
        </w:drawing>
      </w:r>
      <w:r>
        <w:rPr>
          <w:rFonts w:ascii="宋体" w:hAnsi="宋体" w:eastAsia="宋体" w:cs="宋体"/>
          <w:snapToGrid w:val="0"/>
          <w:color w:val="000000"/>
          <w:spacing w:val="-1"/>
          <w:kern w:val="0"/>
          <w:sz w:val="28"/>
          <w:szCs w:val="28"/>
          <w:lang w:val="en-US" w:eastAsia="en-US" w:bidi="ar-SA"/>
        </w:rPr>
        <w:t xml:space="preserve"> 管道清扫口</w:t>
      </w:r>
      <w:r>
        <w:rPr>
          <w:rFonts w:ascii="宋体" w:hAnsi="宋体" w:eastAsia="宋体" w:cs="宋体"/>
          <w:snapToGrid w:val="0"/>
          <w:color w:val="000000"/>
          <w:spacing w:val="-27"/>
          <w:kern w:val="0"/>
          <w:sz w:val="28"/>
          <w:szCs w:val="28"/>
          <w:lang w:val="en-US" w:eastAsia="en-US" w:bidi="ar-SA"/>
        </w:rPr>
        <w:t xml:space="preserve"> </w:t>
      </w:r>
      <w:r>
        <w:rPr>
          <w:rFonts w:ascii="宋体" w:hAnsi="宋体" w:eastAsia="宋体" w:cs="宋体"/>
          <w:snapToGrid w:val="0"/>
          <w:color w:val="000000"/>
          <w:kern w:val="0"/>
          <w:position w:val="5"/>
          <w:sz w:val="28"/>
          <w:szCs w:val="28"/>
          <w:lang w:val="en-US" w:eastAsia="en-US" w:bidi="ar-SA"/>
        </w:rPr>
        <w:drawing>
          <wp:inline distT="0" distB="0" distL="0" distR="0">
            <wp:extent cx="523875" cy="76200"/>
            <wp:effectExtent l="0" t="0" r="9525" b="0"/>
            <wp:docPr id="533" name="IM 64"/>
            <wp:cNvGraphicFramePr/>
            <a:graphic xmlns:a="http://schemas.openxmlformats.org/drawingml/2006/main">
              <a:graphicData uri="http://schemas.openxmlformats.org/drawingml/2006/picture">
                <pic:pic xmlns:pic="http://schemas.openxmlformats.org/drawingml/2006/picture">
                  <pic:nvPicPr>
                    <pic:cNvPr id="533" name="IM 64"/>
                    <pic:cNvPicPr/>
                  </pic:nvPicPr>
                  <pic:blipFill>
                    <a:blip r:embed="rId26"/>
                    <a:stretch>
                      <a:fillRect/>
                    </a:stretch>
                  </pic:blipFill>
                  <pic:spPr>
                    <a:xfrm>
                      <a:off x="0" y="0"/>
                      <a:ext cx="523875" cy="76200"/>
                    </a:xfrm>
                    <a:prstGeom prst="rect">
                      <a:avLst/>
                    </a:prstGeom>
                  </pic:spPr>
                </pic:pic>
              </a:graphicData>
            </a:graphic>
          </wp:inline>
        </w:drawing>
      </w:r>
      <w:r>
        <w:rPr>
          <w:rFonts w:ascii="宋体" w:hAnsi="宋体" w:eastAsia="宋体" w:cs="宋体"/>
          <w:snapToGrid w:val="0"/>
          <w:color w:val="000000"/>
          <w:spacing w:val="-81"/>
          <w:kern w:val="0"/>
          <w:sz w:val="28"/>
          <w:szCs w:val="28"/>
          <w:lang w:val="en-US" w:eastAsia="en-US" w:bidi="ar-SA"/>
        </w:rPr>
        <w:t xml:space="preserve"> </w:t>
      </w:r>
      <w:r>
        <w:rPr>
          <w:rFonts w:ascii="宋体" w:hAnsi="宋体" w:eastAsia="宋体" w:cs="宋体"/>
          <w:snapToGrid w:val="0"/>
          <w:color w:val="000000"/>
          <w:spacing w:val="-1"/>
          <w:kern w:val="0"/>
          <w:sz w:val="28"/>
          <w:szCs w:val="28"/>
          <w:lang w:val="en-US" w:eastAsia="en-US" w:bidi="ar-SA"/>
        </w:rPr>
        <w:t>管道低点</w:t>
      </w:r>
      <w:r>
        <w:rPr>
          <w:rFonts w:ascii="宋体" w:hAnsi="宋体" w:eastAsia="宋体" w:cs="宋体"/>
          <w:snapToGrid w:val="0"/>
          <w:color w:val="000000"/>
          <w:kern w:val="0"/>
          <w:position w:val="4"/>
          <w:sz w:val="28"/>
          <w:szCs w:val="28"/>
          <w:lang w:val="en-US" w:eastAsia="en-US" w:bidi="ar-SA"/>
        </w:rPr>
        <w:drawing>
          <wp:inline distT="0" distB="0" distL="0" distR="0">
            <wp:extent cx="460375" cy="76200"/>
            <wp:effectExtent l="0" t="0" r="15875" b="0"/>
            <wp:docPr id="534" name="IM 66"/>
            <wp:cNvGraphicFramePr/>
            <a:graphic xmlns:a="http://schemas.openxmlformats.org/drawingml/2006/main">
              <a:graphicData uri="http://schemas.openxmlformats.org/drawingml/2006/picture">
                <pic:pic xmlns:pic="http://schemas.openxmlformats.org/drawingml/2006/picture">
                  <pic:nvPicPr>
                    <pic:cNvPr id="534" name="IM 66"/>
                    <pic:cNvPicPr/>
                  </pic:nvPicPr>
                  <pic:blipFill>
                    <a:blip r:embed="rId27"/>
                    <a:stretch>
                      <a:fillRect/>
                    </a:stretch>
                  </pic:blipFill>
                  <pic:spPr>
                    <a:xfrm>
                      <a:off x="0" y="0"/>
                      <a:ext cx="460748" cy="76200"/>
                    </a:xfrm>
                    <a:prstGeom prst="rect">
                      <a:avLst/>
                    </a:prstGeom>
                  </pic:spPr>
                </pic:pic>
              </a:graphicData>
            </a:graphic>
          </wp:inline>
        </w:drawing>
      </w:r>
      <w:r>
        <w:rPr>
          <w:rFonts w:ascii="宋体" w:hAnsi="宋体" w:eastAsia="宋体" w:cs="宋体"/>
          <w:snapToGrid w:val="0"/>
          <w:color w:val="000000"/>
          <w:spacing w:val="-31"/>
          <w:kern w:val="0"/>
          <w:sz w:val="28"/>
          <w:szCs w:val="28"/>
          <w:lang w:val="en-US" w:eastAsia="en-US" w:bidi="ar-SA"/>
        </w:rPr>
        <w:t xml:space="preserve"> </w:t>
      </w:r>
      <w:r>
        <w:rPr>
          <w:rFonts w:ascii="宋体" w:hAnsi="宋体" w:eastAsia="宋体" w:cs="宋体"/>
          <w:snapToGrid w:val="0"/>
          <w:color w:val="000000"/>
          <w:spacing w:val="-5"/>
          <w:kern w:val="0"/>
          <w:sz w:val="28"/>
          <w:szCs w:val="28"/>
          <w:lang w:val="en-US" w:eastAsia="en-US" w:bidi="ar-SA"/>
        </w:rPr>
        <w:t>软管</w:t>
      </w:r>
      <w:r>
        <w:rPr>
          <w:rFonts w:ascii="宋体" w:hAnsi="宋体" w:eastAsia="宋体" w:cs="宋体"/>
          <w:snapToGrid w:val="0"/>
          <w:color w:val="000000"/>
          <w:kern w:val="0"/>
          <w:position w:val="2"/>
          <w:sz w:val="28"/>
          <w:szCs w:val="28"/>
          <w:lang w:val="en-US" w:eastAsia="en-US" w:bidi="ar-SA"/>
        </w:rPr>
        <w:drawing>
          <wp:inline distT="0" distB="0" distL="0" distR="0">
            <wp:extent cx="460375" cy="76200"/>
            <wp:effectExtent l="0" t="0" r="15875" b="0"/>
            <wp:docPr id="535" name="IM 68"/>
            <wp:cNvGraphicFramePr/>
            <a:graphic xmlns:a="http://schemas.openxmlformats.org/drawingml/2006/main">
              <a:graphicData uri="http://schemas.openxmlformats.org/drawingml/2006/picture">
                <pic:pic xmlns:pic="http://schemas.openxmlformats.org/drawingml/2006/picture">
                  <pic:nvPicPr>
                    <pic:cNvPr id="535" name="IM 68"/>
                    <pic:cNvPicPr/>
                  </pic:nvPicPr>
                  <pic:blipFill>
                    <a:blip r:embed="rId28"/>
                    <a:stretch>
                      <a:fillRect/>
                    </a:stretch>
                  </pic:blipFill>
                  <pic:spPr>
                    <a:xfrm>
                      <a:off x="0" y="0"/>
                      <a:ext cx="460748" cy="76200"/>
                    </a:xfrm>
                    <a:prstGeom prst="rect">
                      <a:avLst/>
                    </a:prstGeom>
                  </pic:spPr>
                </pic:pic>
              </a:graphicData>
            </a:graphic>
          </wp:inline>
        </w:drawing>
      </w:r>
      <w:r>
        <w:rPr>
          <w:rFonts w:ascii="宋体" w:hAnsi="宋体" w:eastAsia="宋体" w:cs="宋体"/>
          <w:snapToGrid w:val="0"/>
          <w:color w:val="000000"/>
          <w:spacing w:val="-5"/>
          <w:kern w:val="0"/>
          <w:sz w:val="28"/>
          <w:szCs w:val="28"/>
          <w:lang w:val="en-US" w:eastAsia="en-US" w:bidi="ar-SA"/>
        </w:rPr>
        <w:t>移动转子泵</w:t>
      </w:r>
      <w:r>
        <w:rPr>
          <w:rFonts w:ascii="宋体" w:hAnsi="宋体" w:eastAsia="宋体" w:cs="宋体"/>
          <w:snapToGrid w:val="0"/>
          <w:color w:val="000000"/>
          <w:kern w:val="0"/>
          <w:position w:val="4"/>
          <w:sz w:val="28"/>
          <w:szCs w:val="28"/>
          <w:lang w:val="en-US" w:eastAsia="en-US" w:bidi="ar-SA"/>
        </w:rPr>
        <w:drawing>
          <wp:inline distT="0" distB="0" distL="0" distR="0">
            <wp:extent cx="469900" cy="76200"/>
            <wp:effectExtent l="0" t="0" r="6350" b="0"/>
            <wp:docPr id="536" name="IM 70"/>
            <wp:cNvGraphicFramePr/>
            <a:graphic xmlns:a="http://schemas.openxmlformats.org/drawingml/2006/main">
              <a:graphicData uri="http://schemas.openxmlformats.org/drawingml/2006/picture">
                <pic:pic xmlns:pic="http://schemas.openxmlformats.org/drawingml/2006/picture">
                  <pic:nvPicPr>
                    <pic:cNvPr id="536" name="IM 70"/>
                    <pic:cNvPicPr/>
                  </pic:nvPicPr>
                  <pic:blipFill>
                    <a:blip r:embed="rId29"/>
                    <a:stretch>
                      <a:fillRect/>
                    </a:stretch>
                  </pic:blipFill>
                  <pic:spPr>
                    <a:xfrm>
                      <a:off x="0" y="0"/>
                      <a:ext cx="470347" cy="76200"/>
                    </a:xfrm>
                    <a:prstGeom prst="rect">
                      <a:avLst/>
                    </a:prstGeom>
                  </pic:spPr>
                </pic:pic>
              </a:graphicData>
            </a:graphic>
          </wp:inline>
        </w:drawing>
      </w:r>
      <w:r>
        <w:rPr>
          <w:rFonts w:ascii="宋体" w:hAnsi="宋体" w:eastAsia="宋体" w:cs="宋体"/>
          <w:snapToGrid w:val="0"/>
          <w:color w:val="000000"/>
          <w:spacing w:val="-5"/>
          <w:kern w:val="0"/>
          <w:sz w:val="28"/>
          <w:szCs w:val="28"/>
          <w:lang w:val="en-US" w:eastAsia="en-US" w:bidi="ar-SA"/>
        </w:rPr>
        <w:t>管道低点接口</w:t>
      </w:r>
      <w:r>
        <w:rPr>
          <w:rFonts w:ascii="宋体" w:hAnsi="宋体" w:eastAsia="宋体" w:cs="宋体"/>
          <w:snapToGrid w:val="0"/>
          <w:color w:val="000000"/>
          <w:spacing w:val="-80"/>
          <w:kern w:val="0"/>
          <w:sz w:val="28"/>
          <w:szCs w:val="28"/>
          <w:lang w:val="en-US" w:eastAsia="en-US" w:bidi="ar-SA"/>
        </w:rPr>
        <w:t xml:space="preserve"> </w:t>
      </w:r>
      <w:r>
        <w:rPr>
          <w:rFonts w:ascii="宋体" w:hAnsi="宋体" w:eastAsia="宋体" w:cs="宋体"/>
          <w:snapToGrid w:val="0"/>
          <w:color w:val="000000"/>
          <w:kern w:val="0"/>
          <w:position w:val="1"/>
          <w:sz w:val="28"/>
          <w:szCs w:val="28"/>
          <w:lang w:val="en-US" w:eastAsia="en-US" w:bidi="ar-SA"/>
        </w:rPr>
        <w:drawing>
          <wp:inline distT="0" distB="0" distL="0" distR="0">
            <wp:extent cx="488950" cy="76200"/>
            <wp:effectExtent l="0" t="0" r="6350" b="0"/>
            <wp:docPr id="537" name="IM 72"/>
            <wp:cNvGraphicFramePr/>
            <a:graphic xmlns:a="http://schemas.openxmlformats.org/drawingml/2006/main">
              <a:graphicData uri="http://schemas.openxmlformats.org/drawingml/2006/picture">
                <pic:pic xmlns:pic="http://schemas.openxmlformats.org/drawingml/2006/picture">
                  <pic:nvPicPr>
                    <pic:cNvPr id="537" name="IM 72"/>
                    <pic:cNvPicPr/>
                  </pic:nvPicPr>
                  <pic:blipFill>
                    <a:blip r:embed="rId30"/>
                    <a:stretch>
                      <a:fillRect/>
                    </a:stretch>
                  </pic:blipFill>
                  <pic:spPr>
                    <a:xfrm>
                      <a:off x="0" y="0"/>
                      <a:ext cx="489545" cy="76200"/>
                    </a:xfrm>
                    <a:prstGeom prst="rect">
                      <a:avLst/>
                    </a:prstGeom>
                  </pic:spPr>
                </pic:pic>
              </a:graphicData>
            </a:graphic>
          </wp:inline>
        </w:drawing>
      </w:r>
      <w:r>
        <w:rPr>
          <w:rFonts w:ascii="宋体" w:hAnsi="宋体" w:eastAsia="宋体" w:cs="宋体"/>
          <w:snapToGrid w:val="0"/>
          <w:color w:val="000000"/>
          <w:spacing w:val="-5"/>
          <w:kern w:val="0"/>
          <w:sz w:val="28"/>
          <w:szCs w:val="28"/>
          <w:lang w:val="en-US" w:eastAsia="en-US" w:bidi="ar-SA"/>
        </w:rPr>
        <w:t>油罐</w:t>
      </w:r>
    </w:p>
    <w:p w14:paraId="08496244">
      <w:pPr>
        <w:keepNext w:val="0"/>
        <w:keepLines w:val="0"/>
        <w:pageBreakBefore w:val="0"/>
        <w:wordWrap/>
        <w:overflowPunct/>
        <w:topLinePunct w:val="0"/>
        <w:bidi w:val="0"/>
        <w:adjustRightInd w:val="0"/>
        <w:snapToGrid w:val="0"/>
        <w:spacing w:after="0" w:line="360" w:lineRule="auto"/>
        <w:ind w:left="0" w:leftChars="0" w:firstLine="560" w:firstLineChars="200"/>
        <w:jc w:val="both"/>
        <w:rPr>
          <w:rFonts w:ascii="Times New Roman" w:hAnsi="Times New Roman" w:eastAsia="宋体" w:cs="Times New Roman"/>
          <w:color w:val="000000"/>
          <w:sz w:val="28"/>
          <w:szCs w:val="28"/>
          <w14:ligatures w14:val="none"/>
        </w:rPr>
      </w:pPr>
      <w:r>
        <w:rPr>
          <w:rFonts w:hint="eastAsia" w:ascii="Times New Roman" w:hAnsi="Times New Roman" w:eastAsia="宋体" w:cs="Times New Roman"/>
          <w:color w:val="000000"/>
          <w:sz w:val="28"/>
          <w:szCs w:val="28"/>
          <w:lang w:eastAsia="zh-CN"/>
          <w14:ligatures w14:val="none"/>
        </w:rPr>
        <w:t>国能安储（东港）燃料供应有限公司</w:t>
      </w:r>
      <w:r>
        <w:rPr>
          <w:rFonts w:hint="eastAsia" w:ascii="Times New Roman" w:hAnsi="Times New Roman" w:eastAsia="宋体" w:cs="Times New Roman"/>
          <w:color w:val="000000"/>
          <w:sz w:val="28"/>
          <w:szCs w:val="28"/>
          <w14:ligatures w14:val="none"/>
        </w:rPr>
        <w:t>东港前阳油库</w:t>
      </w:r>
      <w:r>
        <w:rPr>
          <w:rFonts w:hint="eastAsia" w:ascii="Times New Roman" w:hAnsi="Times New Roman" w:eastAsia="宋体" w:cs="Times New Roman"/>
          <w:color w:val="000000"/>
          <w:sz w:val="28"/>
          <w:szCs w:val="28"/>
          <w:lang w:val="en-US" w:eastAsia="zh-CN"/>
          <w14:ligatures w14:val="none"/>
        </w:rPr>
        <w:t>铁路卸车部分</w:t>
      </w:r>
      <w:r>
        <w:rPr>
          <w:rFonts w:ascii="Times New Roman" w:hAnsi="Times New Roman" w:eastAsia="宋体" w:cs="Times New Roman"/>
          <w:color w:val="000000"/>
          <w:sz w:val="28"/>
          <w:szCs w:val="28"/>
          <w14:ligatures w14:val="none"/>
        </w:rPr>
        <w:t>工艺</w:t>
      </w:r>
      <w:r>
        <w:rPr>
          <w:rFonts w:hint="eastAsia" w:ascii="Times New Roman" w:hAnsi="Times New Roman" w:eastAsia="宋体" w:cs="Times New Roman"/>
          <w:color w:val="000000"/>
          <w:sz w:val="28"/>
          <w:szCs w:val="28"/>
          <w:lang w:val="en-US" w:eastAsia="zh-CN"/>
          <w14:ligatures w14:val="none"/>
        </w:rPr>
        <w:t>流程</w:t>
      </w:r>
      <w:r>
        <w:rPr>
          <w:rFonts w:ascii="Times New Roman" w:hAnsi="Times New Roman" w:eastAsia="宋体" w:cs="Times New Roman"/>
          <w:color w:val="000000"/>
          <w:sz w:val="28"/>
          <w:szCs w:val="28"/>
          <w14:ligatures w14:val="none"/>
        </w:rPr>
        <w:t>如下：</w:t>
      </w:r>
    </w:p>
    <w:p w14:paraId="6B29A001">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（1）铁路运输员接到车站送车报告后，立即通知道口员和接卸泵房当班人员做好卸车前准备；</w:t>
      </w:r>
    </w:p>
    <w:p w14:paraId="46B4CC7D">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（2）进入作业区后，负责对位、核对车号；</w:t>
      </w:r>
    </w:p>
    <w:p w14:paraId="0FF6A3FE">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（3）计量员检查铅封确认无误后取样进行质检；</w:t>
      </w:r>
    </w:p>
    <w:p w14:paraId="1803B75E">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（4）接到质检部报告通知后卸车人员将鹤管沿罐口壁慢慢插入罐底，开启液泵阀门（先启动液泵电源，边调整压力，边开启对应的输送管道阀门）；</w:t>
      </w:r>
    </w:p>
    <w:p w14:paraId="3469CAF4">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5）卸车人员观察液泵的进、出口压力及电流表，调整出口阀门，使压力电流平稳，待罐车内面降至液泵无法正常工作的液位时，关闭液泵（先关闭对应阀门，将压力调整到合适的位置，最后将液泵电源关闭）；</w:t>
      </w:r>
    </w:p>
    <w:p w14:paraId="739CB3B6">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（6）铁路运输员检查踏梯、鹤管是否收回到位，通知车站卸车完毕。</w:t>
      </w:r>
    </w:p>
    <w:p w14:paraId="68D5DE6E">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卸车工艺流程简图见图</w:t>
      </w:r>
      <w:r>
        <w:rPr>
          <w:rFonts w:hint="eastAsia" w:ascii="Times New Roman" w:hAnsi="Times New Roman" w:eastAsia="宋体" w:cs="Times New Roman"/>
          <w:sz w:val="28"/>
          <w:szCs w:val="28"/>
          <w:lang w:val="en-US" w:eastAsia="zh-CN"/>
          <w14:ligatures w14:val="none"/>
        </w:rPr>
        <w:t>2.2-1</w:t>
      </w:r>
      <w:r>
        <w:rPr>
          <w:rFonts w:hint="eastAsia" w:ascii="Times New Roman" w:hAnsi="Times New Roman" w:eastAsia="宋体" w:cs="Times New Roman"/>
          <w:sz w:val="28"/>
          <w:szCs w:val="28"/>
          <w14:ligatures w14:val="none"/>
        </w:rPr>
        <w:t>所示：</w:t>
      </w:r>
    </w:p>
    <w:p w14:paraId="42EF8C89">
      <w:pPr>
        <w:adjustRightInd w:val="0"/>
        <w:snapToGrid w:val="0"/>
        <w:spacing w:before="312" w:beforeLines="100" w:after="312" w:afterLines="100" w:line="360" w:lineRule="auto"/>
        <w:jc w:val="center"/>
        <w:outlineLvl w:val="1"/>
        <w:rPr>
          <w:rFonts w:hint="eastAsia" w:ascii="Times New Roman" w:hAnsi="Times New Roman" w:eastAsia="楷体" w:cs="黑体"/>
          <w:b/>
          <w:sz w:val="32"/>
          <w:szCs w:val="32"/>
          <w:lang w:eastAsia="zh-CN"/>
          <w14:ligatures w14:val="none"/>
        </w:rPr>
      </w:pPr>
      <w:bookmarkStart w:id="73" w:name="_Toc22221"/>
      <w:r>
        <w:rPr>
          <w:rFonts w:hint="eastAsia" w:ascii="Times New Roman" w:hAnsi="Times New Roman" w:eastAsia="楷体" w:cs="黑体"/>
          <w:b/>
          <w:sz w:val="32"/>
          <w:szCs w:val="32"/>
          <w14:ligatures w14:val="none"/>
        </w:rPr>
        <w:t>2.</w:t>
      </w:r>
      <w:r>
        <w:rPr>
          <w:rFonts w:hint="eastAsia" w:ascii="Times New Roman" w:hAnsi="Times New Roman" w:eastAsia="楷体" w:cs="黑体"/>
          <w:b/>
          <w:sz w:val="32"/>
          <w:szCs w:val="32"/>
          <w:lang w:val="en-US" w:eastAsia="zh-CN"/>
          <w14:ligatures w14:val="none"/>
        </w:rPr>
        <w:t>4</w:t>
      </w:r>
      <w:r>
        <w:rPr>
          <w:rFonts w:hint="eastAsia" w:ascii="Times New Roman" w:hAnsi="Times New Roman" w:eastAsia="黑体" w:cs="Times New Roman"/>
          <w:b/>
          <w:sz w:val="28"/>
          <w:szCs w:val="32"/>
          <w14:ligatures w14:val="none"/>
        </w:rPr>
        <w:t>主要设备</w:t>
      </w:r>
      <w:bookmarkEnd w:id="73"/>
    </w:p>
    <w:p w14:paraId="0C784C39">
      <w:pPr>
        <w:pStyle w:val="34"/>
        <w:adjustRightInd w:val="0"/>
        <w:snapToGrid w:val="0"/>
        <w:ind w:firstLine="520"/>
        <w:rPr>
          <w:rFonts w:hint="eastAsia" w:eastAsia="宋体"/>
          <w:lang w:eastAsia="zh-CN"/>
        </w:rPr>
      </w:pPr>
      <w:r>
        <w:rPr>
          <w:rFonts w:hint="eastAsia"/>
        </w:rPr>
        <w:t>主要设备如表2.</w:t>
      </w:r>
      <w:r>
        <w:rPr>
          <w:rFonts w:hint="eastAsia"/>
          <w:lang w:val="en-US" w:eastAsia="zh-CN"/>
        </w:rPr>
        <w:t>4</w:t>
      </w:r>
      <w:r>
        <w:rPr>
          <w:rFonts w:hint="eastAsia"/>
        </w:rPr>
        <w:t>-1所示</w:t>
      </w:r>
      <w:r>
        <w:rPr>
          <w:rFonts w:hint="eastAsia"/>
          <w:lang w:eastAsia="zh-CN"/>
        </w:rPr>
        <w:t>。</w:t>
      </w:r>
    </w:p>
    <w:p w14:paraId="7A958C7D">
      <w:pPr>
        <w:keepNext/>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r>
        <w:rPr>
          <w:rFonts w:ascii="Times New Roman" w:hAnsi="Times New Roman" w:eastAsia="黑体" w:cs="Times New Roman"/>
          <w:sz w:val="24"/>
          <w14:ligatures w14:val="none"/>
        </w:rPr>
        <w:t>表</w:t>
      </w:r>
      <w:r>
        <w:rPr>
          <w:rFonts w:hint="eastAsia" w:ascii="Times New Roman" w:hAnsi="Times New Roman" w:eastAsia="黑体" w:cs="Times New Roman"/>
          <w:sz w:val="24"/>
          <w14:ligatures w14:val="none"/>
        </w:rPr>
        <w:t>2.</w:t>
      </w:r>
      <w:r>
        <w:rPr>
          <w:rFonts w:hint="eastAsia" w:ascii="Times New Roman" w:hAnsi="Times New Roman" w:eastAsia="黑体" w:cs="Times New Roman"/>
          <w:sz w:val="24"/>
          <w:lang w:val="en-US" w:eastAsia="zh-CN"/>
          <w14:ligatures w14:val="none"/>
        </w:rPr>
        <w:t>4</w:t>
      </w:r>
      <w:r>
        <w:rPr>
          <w:rFonts w:hint="eastAsia" w:ascii="Times New Roman" w:hAnsi="Times New Roman" w:eastAsia="黑体" w:cs="Times New Roman"/>
          <w:sz w:val="24"/>
          <w14:ligatures w14:val="none"/>
        </w:rPr>
        <w:t xml:space="preserve">-1 </w:t>
      </w:r>
      <w:r>
        <w:rPr>
          <w:rFonts w:ascii="Times New Roman" w:hAnsi="Times New Roman" w:eastAsia="黑体" w:cs="Times New Roman"/>
          <w:sz w:val="24"/>
          <w14:ligatures w14:val="none"/>
        </w:rPr>
        <w:t xml:space="preserve"> 主要设备</w:t>
      </w:r>
      <w:r>
        <w:rPr>
          <w:rFonts w:hint="eastAsia" w:ascii="Times New Roman" w:hAnsi="Times New Roman" w:eastAsia="黑体" w:cs="Times New Roman"/>
          <w:sz w:val="24"/>
          <w14:ligatures w14:val="none"/>
        </w:rPr>
        <w:t>、设施一览表</w:t>
      </w:r>
    </w:p>
    <w:tbl>
      <w:tblPr>
        <w:tblStyle w:val="36"/>
        <w:tblW w:w="5014" w:type="pct"/>
        <w:tblInd w:w="16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29"/>
        <w:gridCol w:w="2643"/>
        <w:gridCol w:w="3805"/>
        <w:gridCol w:w="917"/>
        <w:gridCol w:w="1042"/>
      </w:tblGrid>
      <w:tr w14:paraId="77B549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top w:val="single" w:color="000000" w:sz="10" w:space="0"/>
              <w:left w:val="single" w:color="000000" w:sz="10" w:space="0"/>
            </w:tcBorders>
            <w:vAlign w:val="center"/>
          </w:tcPr>
          <w:p w14:paraId="67F1EDE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5"/>
                <w:sz w:val="21"/>
                <w:szCs w:val="21"/>
              </w:rPr>
              <w:t>序号</w:t>
            </w:r>
          </w:p>
        </w:tc>
        <w:tc>
          <w:tcPr>
            <w:tcW w:w="2636" w:type="dxa"/>
            <w:tcBorders>
              <w:top w:val="single" w:color="000000" w:sz="10" w:space="0"/>
            </w:tcBorders>
            <w:vAlign w:val="center"/>
          </w:tcPr>
          <w:p w14:paraId="3CC31CDA">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2"/>
                <w:sz w:val="21"/>
                <w:szCs w:val="21"/>
              </w:rPr>
              <w:t>装置（设施）名称</w:t>
            </w:r>
          </w:p>
        </w:tc>
        <w:tc>
          <w:tcPr>
            <w:tcW w:w="3794" w:type="dxa"/>
            <w:tcBorders>
              <w:top w:val="single" w:color="000000" w:sz="10" w:space="0"/>
            </w:tcBorders>
            <w:vAlign w:val="center"/>
          </w:tcPr>
          <w:p w14:paraId="15A22E1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2"/>
                <w:sz w:val="21"/>
                <w:szCs w:val="21"/>
              </w:rPr>
              <w:t>规格型号</w:t>
            </w:r>
            <w:r>
              <w:rPr>
                <w:rFonts w:hint="default" w:ascii="Times New Roman" w:hAnsi="Times New Roman" w:eastAsia="Times New Roman" w:cs="Times New Roman"/>
                <w:spacing w:val="-2"/>
                <w:sz w:val="21"/>
                <w:szCs w:val="21"/>
              </w:rPr>
              <w:t>/</w:t>
            </w:r>
            <w:r>
              <w:rPr>
                <w:rFonts w:hint="default" w:ascii="Times New Roman" w:hAnsi="Times New Roman" w:eastAsia="宋体" w:cs="Times New Roman"/>
                <w:spacing w:val="-2"/>
                <w:sz w:val="21"/>
                <w:szCs w:val="21"/>
              </w:rPr>
              <w:t>设备参数</w:t>
            </w:r>
          </w:p>
        </w:tc>
        <w:tc>
          <w:tcPr>
            <w:tcW w:w="914" w:type="dxa"/>
            <w:tcBorders>
              <w:top w:val="single" w:color="000000" w:sz="10" w:space="0"/>
            </w:tcBorders>
            <w:vAlign w:val="center"/>
          </w:tcPr>
          <w:p w14:paraId="78A23BEF">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6"/>
                <w:sz w:val="21"/>
                <w:szCs w:val="21"/>
              </w:rPr>
              <w:t>数量</w:t>
            </w:r>
          </w:p>
        </w:tc>
        <w:tc>
          <w:tcPr>
            <w:tcW w:w="1039" w:type="dxa"/>
            <w:tcBorders>
              <w:top w:val="single" w:color="000000" w:sz="10" w:space="0"/>
              <w:right w:val="single" w:color="000000" w:sz="10" w:space="0"/>
            </w:tcBorders>
            <w:vAlign w:val="center"/>
          </w:tcPr>
          <w:p w14:paraId="071CCA38">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7"/>
                <w:sz w:val="21"/>
                <w:szCs w:val="21"/>
              </w:rPr>
              <w:t>备注</w:t>
            </w:r>
          </w:p>
        </w:tc>
      </w:tr>
      <w:tr w14:paraId="5FBBD0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3782D177">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z w:val="21"/>
                <w:szCs w:val="21"/>
              </w:rPr>
              <w:t>1</w:t>
            </w:r>
          </w:p>
        </w:tc>
        <w:tc>
          <w:tcPr>
            <w:tcW w:w="2636" w:type="dxa"/>
            <w:vAlign w:val="center"/>
          </w:tcPr>
          <w:p w14:paraId="7F40EA5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4"/>
                <w:sz w:val="21"/>
                <w:szCs w:val="21"/>
              </w:rPr>
              <w:t>TK101</w:t>
            </w:r>
            <w:r>
              <w:rPr>
                <w:rFonts w:hint="eastAsia" w:ascii="Times New Roman" w:hAnsi="Times New Roman" w:eastAsia="宋体" w:cs="Times New Roman"/>
                <w:spacing w:val="-4"/>
                <w:sz w:val="21"/>
                <w:szCs w:val="21"/>
                <w:lang w:val="en-US" w:eastAsia="zh-CN"/>
              </w:rPr>
              <w:t>-</w:t>
            </w:r>
            <w:r>
              <w:rPr>
                <w:rFonts w:hint="default" w:ascii="Times New Roman" w:hAnsi="Times New Roman" w:eastAsia="Times New Roman" w:cs="Times New Roman"/>
                <w:spacing w:val="-4"/>
                <w:sz w:val="21"/>
                <w:szCs w:val="21"/>
              </w:rPr>
              <w:t>1900m</w:t>
            </w:r>
            <w:r>
              <w:rPr>
                <w:rFonts w:hint="default" w:ascii="Times New Roman" w:hAnsi="Times New Roman" w:eastAsia="Times New Roman" w:cs="Times New Roman"/>
                <w:spacing w:val="-4"/>
                <w:position w:val="7"/>
                <w:sz w:val="21"/>
                <w:szCs w:val="21"/>
              </w:rPr>
              <w:t>3</w:t>
            </w:r>
            <w:r>
              <w:rPr>
                <w:rFonts w:hint="default" w:ascii="Times New Roman" w:hAnsi="Times New Roman" w:eastAsia="Times New Roman" w:cs="Times New Roman"/>
                <w:spacing w:val="14"/>
                <w:position w:val="7"/>
                <w:sz w:val="21"/>
                <w:szCs w:val="21"/>
              </w:rPr>
              <w:t xml:space="preserve"> </w:t>
            </w:r>
            <w:r>
              <w:rPr>
                <w:rFonts w:hint="default" w:ascii="Times New Roman" w:hAnsi="Times New Roman" w:eastAsia="宋体" w:cs="Times New Roman"/>
                <w:spacing w:val="-4"/>
                <w:sz w:val="21"/>
                <w:szCs w:val="21"/>
              </w:rPr>
              <w:t>立式油罐</w:t>
            </w:r>
          </w:p>
        </w:tc>
        <w:tc>
          <w:tcPr>
            <w:tcW w:w="3794" w:type="dxa"/>
            <w:vAlign w:val="center"/>
          </w:tcPr>
          <w:p w14:paraId="1EB5FA52">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4"/>
                <w:sz w:val="21"/>
                <w:szCs w:val="21"/>
              </w:rPr>
              <w:t>内浮顶，乙类，罐高</w:t>
            </w:r>
            <w:r>
              <w:rPr>
                <w:rFonts w:hint="default" w:ascii="Times New Roman" w:hAnsi="Times New Roman" w:eastAsia="宋体" w:cs="Times New Roman"/>
                <w:spacing w:val="-32"/>
                <w:sz w:val="21"/>
                <w:szCs w:val="21"/>
              </w:rPr>
              <w:t xml:space="preserve"> </w:t>
            </w:r>
            <w:r>
              <w:rPr>
                <w:rFonts w:hint="default" w:ascii="Times New Roman" w:hAnsi="Times New Roman" w:eastAsia="Times New Roman" w:cs="Times New Roman"/>
                <w:spacing w:val="-4"/>
                <w:sz w:val="21"/>
                <w:szCs w:val="21"/>
              </w:rPr>
              <w:t>12.275m</w:t>
            </w:r>
            <w:r>
              <w:rPr>
                <w:rFonts w:hint="default" w:ascii="Times New Roman" w:hAnsi="Times New Roman" w:eastAsia="宋体" w:cs="Times New Roman"/>
                <w:spacing w:val="-4"/>
                <w:sz w:val="21"/>
                <w:szCs w:val="21"/>
              </w:rPr>
              <w:t>，</w:t>
            </w:r>
          </w:p>
          <w:p w14:paraId="2038827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宋体" w:cs="Times New Roman"/>
                <w:spacing w:val="-9"/>
                <w:sz w:val="21"/>
                <w:szCs w:val="21"/>
              </w:rPr>
              <w:t>直径</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9"/>
                <w:sz w:val="21"/>
                <w:szCs w:val="21"/>
              </w:rPr>
              <w:t>15.</w:t>
            </w:r>
            <w:r>
              <w:rPr>
                <w:rFonts w:hint="default" w:ascii="Times New Roman" w:hAnsi="Times New Roman" w:eastAsia="Times New Roman" w:cs="Times New Roman"/>
                <w:spacing w:val="-32"/>
                <w:sz w:val="21"/>
                <w:szCs w:val="21"/>
              </w:rPr>
              <w:t xml:space="preserve"> </w:t>
            </w:r>
            <w:r>
              <w:rPr>
                <w:rFonts w:hint="default" w:ascii="Times New Roman" w:hAnsi="Times New Roman" w:eastAsia="Times New Roman" w:cs="Times New Roman"/>
                <w:spacing w:val="-9"/>
                <w:sz w:val="21"/>
                <w:szCs w:val="21"/>
              </w:rPr>
              <w:t>19m</w:t>
            </w:r>
          </w:p>
        </w:tc>
        <w:tc>
          <w:tcPr>
            <w:tcW w:w="914" w:type="dxa"/>
            <w:vAlign w:val="center"/>
          </w:tcPr>
          <w:p w14:paraId="3D89283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pacing w:val="-15"/>
                <w:sz w:val="21"/>
                <w:szCs w:val="21"/>
                <w:lang w:val="en-US" w:eastAsia="zh-CN"/>
              </w:rPr>
              <w:t>1</w:t>
            </w:r>
            <w:r>
              <w:rPr>
                <w:rFonts w:hint="default" w:ascii="Times New Roman" w:hAnsi="Times New Roman" w:eastAsia="宋体" w:cs="Times New Roman"/>
                <w:spacing w:val="-15"/>
                <w:sz w:val="21"/>
                <w:szCs w:val="21"/>
              </w:rPr>
              <w:t>座</w:t>
            </w:r>
          </w:p>
        </w:tc>
        <w:tc>
          <w:tcPr>
            <w:tcW w:w="1039" w:type="dxa"/>
            <w:tcBorders>
              <w:right w:val="single" w:color="000000" w:sz="10" w:space="0"/>
            </w:tcBorders>
            <w:vAlign w:val="center"/>
          </w:tcPr>
          <w:p w14:paraId="5B3D4EC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3"/>
                <w:sz w:val="21"/>
                <w:szCs w:val="21"/>
              </w:rPr>
              <w:t>-35#</w:t>
            </w:r>
            <w:r>
              <w:rPr>
                <w:rFonts w:hint="default" w:ascii="Times New Roman" w:hAnsi="Times New Roman" w:eastAsia="宋体" w:cs="Times New Roman"/>
                <w:spacing w:val="-3"/>
                <w:sz w:val="21"/>
                <w:szCs w:val="21"/>
              </w:rPr>
              <w:t>柴</w:t>
            </w:r>
            <w:r>
              <w:rPr>
                <w:rFonts w:hint="default" w:ascii="Times New Roman" w:hAnsi="Times New Roman" w:eastAsia="宋体" w:cs="Times New Roman"/>
                <w:sz w:val="21"/>
                <w:szCs w:val="21"/>
              </w:rPr>
              <w:t>油</w:t>
            </w:r>
          </w:p>
        </w:tc>
      </w:tr>
      <w:tr w14:paraId="47F2C4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1BFB1E7D">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z w:val="21"/>
                <w:szCs w:val="21"/>
              </w:rPr>
              <w:t>2</w:t>
            </w:r>
          </w:p>
        </w:tc>
        <w:tc>
          <w:tcPr>
            <w:tcW w:w="2636" w:type="dxa"/>
            <w:vAlign w:val="center"/>
          </w:tcPr>
          <w:p w14:paraId="50F167B7">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pacing w:val="5"/>
                <w:sz w:val="21"/>
                <w:szCs w:val="21"/>
                <w:lang w:val="en-US" w:eastAsia="zh-CN"/>
              </w:rPr>
              <w:t>TK102-</w:t>
            </w:r>
            <w:r>
              <w:rPr>
                <w:rFonts w:hint="default" w:ascii="Times New Roman" w:hAnsi="Times New Roman" w:eastAsia="Times New Roman" w:cs="Times New Roman"/>
                <w:spacing w:val="-1"/>
                <w:sz w:val="21"/>
                <w:szCs w:val="21"/>
              </w:rPr>
              <w:t>2000m</w:t>
            </w:r>
            <w:r>
              <w:rPr>
                <w:rFonts w:hint="default" w:ascii="Times New Roman" w:hAnsi="Times New Roman" w:eastAsia="Times New Roman" w:cs="Times New Roman"/>
                <w:spacing w:val="-1"/>
                <w:position w:val="7"/>
                <w:sz w:val="21"/>
                <w:szCs w:val="21"/>
              </w:rPr>
              <w:t xml:space="preserve">3 </w:t>
            </w:r>
            <w:r>
              <w:rPr>
                <w:rFonts w:hint="default" w:ascii="Times New Roman" w:hAnsi="Times New Roman" w:eastAsia="宋体" w:cs="Times New Roman"/>
                <w:spacing w:val="-1"/>
                <w:sz w:val="21"/>
                <w:szCs w:val="21"/>
              </w:rPr>
              <w:t>立式油罐</w:t>
            </w:r>
          </w:p>
        </w:tc>
        <w:tc>
          <w:tcPr>
            <w:tcW w:w="3794" w:type="dxa"/>
            <w:vAlign w:val="center"/>
          </w:tcPr>
          <w:p w14:paraId="20101DFA">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7"/>
                <w:sz w:val="21"/>
                <w:szCs w:val="21"/>
              </w:rPr>
            </w:pPr>
            <w:r>
              <w:rPr>
                <w:rFonts w:hint="default" w:ascii="Times New Roman" w:hAnsi="Times New Roman" w:eastAsia="宋体" w:cs="Times New Roman"/>
                <w:spacing w:val="-7"/>
                <w:sz w:val="21"/>
                <w:szCs w:val="21"/>
              </w:rPr>
              <w:t>固定顶，丙类，罐高</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7"/>
                <w:sz w:val="21"/>
                <w:szCs w:val="21"/>
              </w:rPr>
              <w:t>11.23</w:t>
            </w:r>
            <w:r>
              <w:rPr>
                <w:rFonts w:hint="eastAsia" w:ascii="Times New Roman" w:hAnsi="Times New Roman" w:eastAsia="宋体" w:cs="Times New Roman"/>
                <w:spacing w:val="-7"/>
                <w:sz w:val="21"/>
                <w:szCs w:val="21"/>
                <w:lang w:val="en-US" w:eastAsia="zh-CN"/>
              </w:rPr>
              <w:t>2</w:t>
            </w:r>
            <w:r>
              <w:rPr>
                <w:rFonts w:hint="default" w:ascii="Times New Roman" w:hAnsi="Times New Roman" w:eastAsia="Times New Roman" w:cs="Times New Roman"/>
                <w:spacing w:val="-7"/>
                <w:sz w:val="21"/>
                <w:szCs w:val="21"/>
              </w:rPr>
              <w:t>m</w:t>
            </w:r>
            <w:r>
              <w:rPr>
                <w:rFonts w:hint="default" w:ascii="Times New Roman" w:hAnsi="Times New Roman" w:eastAsia="Times New Roman" w:cs="Times New Roman"/>
                <w:spacing w:val="-30"/>
                <w:sz w:val="21"/>
                <w:szCs w:val="21"/>
              </w:rPr>
              <w:t xml:space="preserve"> </w:t>
            </w:r>
            <w:r>
              <w:rPr>
                <w:rFonts w:hint="default" w:ascii="Times New Roman" w:hAnsi="Times New Roman" w:eastAsia="宋体" w:cs="Times New Roman"/>
                <w:spacing w:val="-7"/>
                <w:sz w:val="21"/>
                <w:szCs w:val="21"/>
              </w:rPr>
              <w:t>，</w:t>
            </w:r>
          </w:p>
          <w:p w14:paraId="1D2DF178">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宋体" w:cs="Times New Roman"/>
                <w:spacing w:val="-7"/>
                <w:sz w:val="21"/>
                <w:szCs w:val="21"/>
              </w:rPr>
              <w:t>直</w:t>
            </w:r>
            <w:r>
              <w:rPr>
                <w:rFonts w:hint="default" w:ascii="Times New Roman" w:hAnsi="Times New Roman" w:eastAsia="宋体" w:cs="Times New Roman"/>
                <w:spacing w:val="-6"/>
                <w:sz w:val="21"/>
                <w:szCs w:val="21"/>
              </w:rPr>
              <w:t>径</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6"/>
                <w:sz w:val="21"/>
                <w:szCs w:val="21"/>
              </w:rPr>
              <w:t>15.41</w:t>
            </w:r>
            <w:r>
              <w:rPr>
                <w:rFonts w:hint="eastAsia" w:ascii="Times New Roman" w:hAnsi="Times New Roman" w:eastAsia="宋体" w:cs="Times New Roman"/>
                <w:spacing w:val="-6"/>
                <w:sz w:val="21"/>
                <w:szCs w:val="21"/>
                <w:lang w:val="en-US" w:eastAsia="zh-CN"/>
              </w:rPr>
              <w:t>4</w:t>
            </w:r>
            <w:r>
              <w:rPr>
                <w:rFonts w:hint="default" w:ascii="Times New Roman" w:hAnsi="Times New Roman" w:eastAsia="Times New Roman" w:cs="Times New Roman"/>
                <w:spacing w:val="-6"/>
                <w:sz w:val="21"/>
                <w:szCs w:val="21"/>
              </w:rPr>
              <w:t>m</w:t>
            </w:r>
          </w:p>
        </w:tc>
        <w:tc>
          <w:tcPr>
            <w:tcW w:w="914" w:type="dxa"/>
            <w:vAlign w:val="center"/>
          </w:tcPr>
          <w:p w14:paraId="41DA28B8">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pacing w:val="-3"/>
                <w:sz w:val="21"/>
                <w:szCs w:val="21"/>
                <w:lang w:val="en-US" w:eastAsia="zh-CN"/>
              </w:rPr>
              <w:t>1</w:t>
            </w:r>
            <w:r>
              <w:rPr>
                <w:rFonts w:hint="default" w:ascii="Times New Roman" w:hAnsi="Times New Roman" w:eastAsia="宋体" w:cs="Times New Roman"/>
                <w:spacing w:val="-3"/>
                <w:sz w:val="21"/>
                <w:szCs w:val="21"/>
              </w:rPr>
              <w:t>座</w:t>
            </w:r>
          </w:p>
        </w:tc>
        <w:tc>
          <w:tcPr>
            <w:tcW w:w="1039" w:type="dxa"/>
            <w:tcBorders>
              <w:right w:val="single" w:color="000000" w:sz="10" w:space="0"/>
            </w:tcBorders>
            <w:vAlign w:val="center"/>
          </w:tcPr>
          <w:p w14:paraId="3E076FC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3"/>
                <w:sz w:val="21"/>
                <w:szCs w:val="21"/>
              </w:rPr>
              <w:t>0#</w:t>
            </w:r>
            <w:r>
              <w:rPr>
                <w:rFonts w:hint="default" w:ascii="Times New Roman" w:hAnsi="Times New Roman" w:eastAsia="宋体" w:cs="Times New Roman"/>
                <w:spacing w:val="-3"/>
                <w:sz w:val="21"/>
                <w:szCs w:val="21"/>
              </w:rPr>
              <w:t>柴油</w:t>
            </w:r>
          </w:p>
        </w:tc>
      </w:tr>
      <w:tr w14:paraId="6C594C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5DD03CD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z w:val="21"/>
                <w:szCs w:val="21"/>
              </w:rPr>
              <w:t>3</w:t>
            </w:r>
          </w:p>
        </w:tc>
        <w:tc>
          <w:tcPr>
            <w:tcW w:w="2636" w:type="dxa"/>
            <w:vAlign w:val="center"/>
          </w:tcPr>
          <w:p w14:paraId="3AC463BA">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pacing w:val="5"/>
                <w:sz w:val="21"/>
                <w:szCs w:val="21"/>
                <w:lang w:val="en-US" w:eastAsia="zh-CN"/>
              </w:rPr>
              <w:t>TK103-2</w:t>
            </w:r>
            <w:r>
              <w:rPr>
                <w:rFonts w:hint="default" w:ascii="Times New Roman" w:hAnsi="Times New Roman" w:eastAsia="Times New Roman" w:cs="Times New Roman"/>
                <w:spacing w:val="-4"/>
                <w:sz w:val="21"/>
                <w:szCs w:val="21"/>
              </w:rPr>
              <w:t>000m</w:t>
            </w:r>
            <w:r>
              <w:rPr>
                <w:rFonts w:hint="default" w:ascii="Times New Roman" w:hAnsi="Times New Roman" w:eastAsia="Times New Roman" w:cs="Times New Roman"/>
                <w:spacing w:val="-4"/>
                <w:position w:val="7"/>
                <w:sz w:val="21"/>
                <w:szCs w:val="21"/>
              </w:rPr>
              <w:t>3</w:t>
            </w:r>
            <w:r>
              <w:rPr>
                <w:rFonts w:hint="default" w:ascii="Times New Roman" w:hAnsi="Times New Roman" w:eastAsia="Times New Roman" w:cs="Times New Roman"/>
                <w:spacing w:val="14"/>
                <w:position w:val="7"/>
                <w:sz w:val="21"/>
                <w:szCs w:val="21"/>
              </w:rPr>
              <w:t xml:space="preserve"> </w:t>
            </w:r>
            <w:r>
              <w:rPr>
                <w:rFonts w:hint="default" w:ascii="Times New Roman" w:hAnsi="Times New Roman" w:eastAsia="宋体" w:cs="Times New Roman"/>
                <w:spacing w:val="-4"/>
                <w:sz w:val="21"/>
                <w:szCs w:val="21"/>
              </w:rPr>
              <w:t>立式油罐</w:t>
            </w:r>
          </w:p>
        </w:tc>
        <w:tc>
          <w:tcPr>
            <w:tcW w:w="3794" w:type="dxa"/>
            <w:vAlign w:val="center"/>
          </w:tcPr>
          <w:p w14:paraId="05D86184">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7"/>
                <w:sz w:val="21"/>
                <w:szCs w:val="21"/>
              </w:rPr>
            </w:pPr>
            <w:r>
              <w:rPr>
                <w:rFonts w:hint="default" w:ascii="Times New Roman" w:hAnsi="Times New Roman" w:eastAsia="宋体" w:cs="Times New Roman"/>
                <w:spacing w:val="-7"/>
                <w:sz w:val="21"/>
                <w:szCs w:val="21"/>
              </w:rPr>
              <w:t>固定顶，丙类，罐高</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7"/>
                <w:sz w:val="21"/>
                <w:szCs w:val="21"/>
              </w:rPr>
              <w:t>11.</w:t>
            </w:r>
            <w:r>
              <w:rPr>
                <w:rFonts w:hint="eastAsia" w:ascii="Times New Roman" w:hAnsi="Times New Roman" w:eastAsia="宋体" w:cs="Times New Roman"/>
                <w:spacing w:val="-7"/>
                <w:sz w:val="21"/>
                <w:szCs w:val="21"/>
                <w:lang w:val="en-US" w:eastAsia="zh-CN"/>
              </w:rPr>
              <w:t>245</w:t>
            </w:r>
            <w:r>
              <w:rPr>
                <w:rFonts w:hint="default" w:ascii="Times New Roman" w:hAnsi="Times New Roman" w:eastAsia="Times New Roman" w:cs="Times New Roman"/>
                <w:spacing w:val="-7"/>
                <w:sz w:val="21"/>
                <w:szCs w:val="21"/>
              </w:rPr>
              <w:t>m</w:t>
            </w:r>
            <w:r>
              <w:rPr>
                <w:rFonts w:hint="default" w:ascii="Times New Roman" w:hAnsi="Times New Roman" w:eastAsia="Times New Roman" w:cs="Times New Roman"/>
                <w:spacing w:val="-30"/>
                <w:sz w:val="21"/>
                <w:szCs w:val="21"/>
              </w:rPr>
              <w:t xml:space="preserve"> </w:t>
            </w:r>
            <w:r>
              <w:rPr>
                <w:rFonts w:hint="default" w:ascii="Times New Roman" w:hAnsi="Times New Roman" w:eastAsia="宋体" w:cs="Times New Roman"/>
                <w:spacing w:val="-7"/>
                <w:sz w:val="21"/>
                <w:szCs w:val="21"/>
              </w:rPr>
              <w:t>，</w:t>
            </w:r>
          </w:p>
          <w:p w14:paraId="7E0F7054">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宋体" w:cs="Times New Roman"/>
                <w:spacing w:val="-7"/>
                <w:sz w:val="21"/>
                <w:szCs w:val="21"/>
              </w:rPr>
              <w:t>直</w:t>
            </w:r>
            <w:r>
              <w:rPr>
                <w:rFonts w:hint="default" w:ascii="Times New Roman" w:hAnsi="Times New Roman" w:eastAsia="宋体" w:cs="Times New Roman"/>
                <w:spacing w:val="-6"/>
                <w:sz w:val="21"/>
                <w:szCs w:val="21"/>
              </w:rPr>
              <w:t>径</w:t>
            </w:r>
            <w:r>
              <w:rPr>
                <w:rFonts w:hint="default" w:ascii="Times New Roman" w:hAnsi="Times New Roman" w:eastAsia="宋体" w:cs="Times New Roman"/>
                <w:spacing w:val="-29"/>
                <w:sz w:val="21"/>
                <w:szCs w:val="21"/>
              </w:rPr>
              <w:t xml:space="preserve"> </w:t>
            </w:r>
            <w:r>
              <w:rPr>
                <w:rFonts w:hint="eastAsia" w:ascii="Times New Roman" w:hAnsi="Times New Roman" w:eastAsia="宋体" w:cs="Times New Roman"/>
                <w:spacing w:val="-6"/>
                <w:sz w:val="21"/>
                <w:szCs w:val="21"/>
                <w:lang w:val="en-US" w:eastAsia="zh-CN"/>
              </w:rPr>
              <w:t>15.512</w:t>
            </w:r>
            <w:r>
              <w:rPr>
                <w:rFonts w:hint="default" w:ascii="Times New Roman" w:hAnsi="Times New Roman" w:eastAsia="Times New Roman" w:cs="Times New Roman"/>
                <w:spacing w:val="-6"/>
                <w:sz w:val="21"/>
                <w:szCs w:val="21"/>
              </w:rPr>
              <w:t>m</w:t>
            </w:r>
          </w:p>
        </w:tc>
        <w:tc>
          <w:tcPr>
            <w:tcW w:w="914" w:type="dxa"/>
            <w:vAlign w:val="center"/>
          </w:tcPr>
          <w:p w14:paraId="72DD5EC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pacing w:val="-2"/>
                <w:sz w:val="21"/>
                <w:szCs w:val="21"/>
                <w:lang w:val="en-US" w:eastAsia="zh-CN"/>
              </w:rPr>
              <w:t>1</w:t>
            </w:r>
            <w:r>
              <w:rPr>
                <w:rFonts w:hint="default" w:ascii="Times New Roman" w:hAnsi="Times New Roman" w:eastAsia="宋体" w:cs="Times New Roman"/>
                <w:spacing w:val="-2"/>
                <w:sz w:val="21"/>
                <w:szCs w:val="21"/>
              </w:rPr>
              <w:t>座</w:t>
            </w:r>
          </w:p>
        </w:tc>
        <w:tc>
          <w:tcPr>
            <w:tcW w:w="1039" w:type="dxa"/>
            <w:tcBorders>
              <w:right w:val="single" w:color="000000" w:sz="10" w:space="0"/>
            </w:tcBorders>
            <w:vAlign w:val="center"/>
          </w:tcPr>
          <w:p w14:paraId="351F0E4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3"/>
                <w:sz w:val="21"/>
                <w:szCs w:val="21"/>
              </w:rPr>
              <w:t>0#</w:t>
            </w:r>
            <w:r>
              <w:rPr>
                <w:rFonts w:hint="default" w:ascii="Times New Roman" w:hAnsi="Times New Roman" w:eastAsia="宋体" w:cs="Times New Roman"/>
                <w:spacing w:val="-3"/>
                <w:sz w:val="21"/>
                <w:szCs w:val="21"/>
              </w:rPr>
              <w:t>柴油</w:t>
            </w:r>
          </w:p>
        </w:tc>
      </w:tr>
      <w:tr w14:paraId="7E1181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27359D52">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4</w:t>
            </w:r>
          </w:p>
        </w:tc>
        <w:tc>
          <w:tcPr>
            <w:tcW w:w="2636" w:type="dxa"/>
            <w:vAlign w:val="center"/>
          </w:tcPr>
          <w:p w14:paraId="202E818C">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4"/>
                <w:sz w:val="21"/>
                <w:szCs w:val="21"/>
              </w:rPr>
            </w:pPr>
            <w:r>
              <w:rPr>
                <w:rFonts w:hint="eastAsia" w:ascii="Times New Roman" w:hAnsi="Times New Roman" w:eastAsia="宋体" w:cs="Times New Roman"/>
                <w:spacing w:val="5"/>
                <w:sz w:val="21"/>
                <w:szCs w:val="21"/>
                <w:lang w:val="en-US" w:eastAsia="zh-CN"/>
              </w:rPr>
              <w:t>TK104-</w:t>
            </w:r>
            <w:r>
              <w:rPr>
                <w:rFonts w:hint="default" w:ascii="Times New Roman" w:hAnsi="Times New Roman" w:eastAsia="Times New Roman" w:cs="Times New Roman"/>
                <w:spacing w:val="-4"/>
                <w:sz w:val="21"/>
                <w:szCs w:val="21"/>
              </w:rPr>
              <w:t>1000m</w:t>
            </w:r>
            <w:r>
              <w:rPr>
                <w:rFonts w:hint="default" w:ascii="Times New Roman" w:hAnsi="Times New Roman" w:eastAsia="Times New Roman" w:cs="Times New Roman"/>
                <w:spacing w:val="-4"/>
                <w:position w:val="7"/>
                <w:sz w:val="21"/>
                <w:szCs w:val="21"/>
              </w:rPr>
              <w:t>3</w:t>
            </w:r>
            <w:r>
              <w:rPr>
                <w:rFonts w:hint="default" w:ascii="Times New Roman" w:hAnsi="Times New Roman" w:eastAsia="Times New Roman" w:cs="Times New Roman"/>
                <w:spacing w:val="14"/>
                <w:position w:val="7"/>
                <w:sz w:val="21"/>
                <w:szCs w:val="21"/>
              </w:rPr>
              <w:t xml:space="preserve"> </w:t>
            </w:r>
            <w:r>
              <w:rPr>
                <w:rFonts w:hint="default" w:ascii="Times New Roman" w:hAnsi="Times New Roman" w:eastAsia="宋体" w:cs="Times New Roman"/>
                <w:spacing w:val="-4"/>
                <w:sz w:val="21"/>
                <w:szCs w:val="21"/>
              </w:rPr>
              <w:t>立式油罐</w:t>
            </w:r>
          </w:p>
        </w:tc>
        <w:tc>
          <w:tcPr>
            <w:tcW w:w="3794" w:type="dxa"/>
            <w:vAlign w:val="center"/>
          </w:tcPr>
          <w:p w14:paraId="79FB5C5E">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7"/>
                <w:sz w:val="21"/>
                <w:szCs w:val="21"/>
              </w:rPr>
            </w:pPr>
            <w:r>
              <w:rPr>
                <w:rFonts w:hint="default" w:ascii="Times New Roman" w:hAnsi="Times New Roman" w:eastAsia="宋体" w:cs="Times New Roman"/>
                <w:spacing w:val="-7"/>
                <w:sz w:val="21"/>
                <w:szCs w:val="21"/>
              </w:rPr>
              <w:t>固定顶，丙类，罐高</w:t>
            </w:r>
            <w:r>
              <w:rPr>
                <w:rFonts w:hint="eastAsia" w:ascii="Times New Roman" w:hAnsi="Times New Roman" w:eastAsia="宋体" w:cs="Times New Roman"/>
                <w:spacing w:val="-29"/>
                <w:sz w:val="21"/>
                <w:szCs w:val="21"/>
                <w:lang w:val="en-US" w:eastAsia="zh-CN"/>
              </w:rPr>
              <w:t>9.476</w:t>
            </w:r>
            <w:r>
              <w:rPr>
                <w:rFonts w:hint="default" w:ascii="Times New Roman" w:hAnsi="Times New Roman" w:eastAsia="Times New Roman" w:cs="Times New Roman"/>
                <w:spacing w:val="-7"/>
                <w:sz w:val="21"/>
                <w:szCs w:val="21"/>
              </w:rPr>
              <w:t>m</w:t>
            </w:r>
            <w:r>
              <w:rPr>
                <w:rFonts w:hint="default" w:ascii="Times New Roman" w:hAnsi="Times New Roman" w:eastAsia="Times New Roman" w:cs="Times New Roman"/>
                <w:spacing w:val="-30"/>
                <w:sz w:val="21"/>
                <w:szCs w:val="21"/>
              </w:rPr>
              <w:t xml:space="preserve"> </w:t>
            </w:r>
            <w:r>
              <w:rPr>
                <w:rFonts w:hint="default" w:ascii="Times New Roman" w:hAnsi="Times New Roman" w:eastAsia="宋体" w:cs="Times New Roman"/>
                <w:spacing w:val="-7"/>
                <w:sz w:val="21"/>
                <w:szCs w:val="21"/>
              </w:rPr>
              <w:t>，</w:t>
            </w:r>
          </w:p>
          <w:p w14:paraId="0D93685C">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rPr>
            </w:pPr>
            <w:r>
              <w:rPr>
                <w:rFonts w:hint="default" w:ascii="Times New Roman" w:hAnsi="Times New Roman" w:eastAsia="宋体" w:cs="Times New Roman"/>
                <w:spacing w:val="-7"/>
                <w:sz w:val="21"/>
                <w:szCs w:val="21"/>
              </w:rPr>
              <w:t>直</w:t>
            </w:r>
            <w:r>
              <w:rPr>
                <w:rFonts w:hint="default" w:ascii="Times New Roman" w:hAnsi="Times New Roman" w:eastAsia="宋体" w:cs="Times New Roman"/>
                <w:spacing w:val="-6"/>
                <w:sz w:val="21"/>
                <w:szCs w:val="21"/>
              </w:rPr>
              <w:t>径</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6"/>
                <w:sz w:val="21"/>
                <w:szCs w:val="21"/>
              </w:rPr>
              <w:t>11.</w:t>
            </w:r>
            <w:r>
              <w:rPr>
                <w:rFonts w:hint="eastAsia" w:ascii="Times New Roman" w:hAnsi="Times New Roman" w:eastAsia="宋体" w:cs="Times New Roman"/>
                <w:spacing w:val="-6"/>
                <w:sz w:val="21"/>
                <w:szCs w:val="21"/>
                <w:lang w:val="en-US" w:eastAsia="zh-CN"/>
              </w:rPr>
              <w:t>970</w:t>
            </w:r>
            <w:r>
              <w:rPr>
                <w:rFonts w:hint="default" w:ascii="Times New Roman" w:hAnsi="Times New Roman" w:eastAsia="Times New Roman" w:cs="Times New Roman"/>
                <w:spacing w:val="-6"/>
                <w:sz w:val="21"/>
                <w:szCs w:val="21"/>
              </w:rPr>
              <w:t>m</w:t>
            </w:r>
          </w:p>
        </w:tc>
        <w:tc>
          <w:tcPr>
            <w:tcW w:w="914" w:type="dxa"/>
            <w:vAlign w:val="center"/>
          </w:tcPr>
          <w:p w14:paraId="53E418D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2"/>
                <w:sz w:val="21"/>
                <w:szCs w:val="21"/>
              </w:rPr>
            </w:pPr>
            <w:r>
              <w:rPr>
                <w:rFonts w:hint="eastAsia" w:ascii="Times New Roman" w:hAnsi="Times New Roman" w:eastAsia="宋体" w:cs="Times New Roman"/>
                <w:spacing w:val="-2"/>
                <w:sz w:val="21"/>
                <w:szCs w:val="21"/>
                <w:lang w:val="en-US" w:eastAsia="zh-CN"/>
              </w:rPr>
              <w:t>1</w:t>
            </w:r>
            <w:r>
              <w:rPr>
                <w:rFonts w:hint="default" w:ascii="Times New Roman" w:hAnsi="Times New Roman" w:eastAsia="宋体" w:cs="Times New Roman"/>
                <w:spacing w:val="-2"/>
                <w:sz w:val="21"/>
                <w:szCs w:val="21"/>
              </w:rPr>
              <w:t>座</w:t>
            </w:r>
          </w:p>
        </w:tc>
        <w:tc>
          <w:tcPr>
            <w:tcW w:w="1039" w:type="dxa"/>
            <w:tcBorders>
              <w:right w:val="single" w:color="000000" w:sz="10" w:space="0"/>
            </w:tcBorders>
            <w:vAlign w:val="center"/>
          </w:tcPr>
          <w:p w14:paraId="09F504CA">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3"/>
                <w:sz w:val="21"/>
                <w:szCs w:val="21"/>
              </w:rPr>
            </w:pPr>
            <w:r>
              <w:rPr>
                <w:rFonts w:hint="default" w:ascii="Times New Roman" w:hAnsi="Times New Roman" w:eastAsia="Times New Roman" w:cs="Times New Roman"/>
                <w:spacing w:val="-3"/>
                <w:sz w:val="21"/>
                <w:szCs w:val="21"/>
              </w:rPr>
              <w:t>0#</w:t>
            </w:r>
            <w:r>
              <w:rPr>
                <w:rFonts w:hint="default" w:ascii="Times New Roman" w:hAnsi="Times New Roman" w:eastAsia="宋体" w:cs="Times New Roman"/>
                <w:spacing w:val="-3"/>
                <w:sz w:val="21"/>
                <w:szCs w:val="21"/>
              </w:rPr>
              <w:t>柴油</w:t>
            </w:r>
          </w:p>
        </w:tc>
      </w:tr>
      <w:tr w14:paraId="789A7D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60BC8F8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w:t>
            </w:r>
          </w:p>
        </w:tc>
        <w:tc>
          <w:tcPr>
            <w:tcW w:w="2636" w:type="dxa"/>
            <w:vAlign w:val="center"/>
          </w:tcPr>
          <w:p w14:paraId="67ECF434">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4"/>
                <w:sz w:val="21"/>
                <w:szCs w:val="21"/>
              </w:rPr>
            </w:pPr>
            <w:r>
              <w:rPr>
                <w:rFonts w:hint="eastAsia" w:ascii="Times New Roman" w:hAnsi="Times New Roman" w:eastAsia="宋体" w:cs="Times New Roman"/>
                <w:spacing w:val="5"/>
                <w:sz w:val="21"/>
                <w:szCs w:val="21"/>
                <w:lang w:val="en-US" w:eastAsia="zh-CN"/>
              </w:rPr>
              <w:t>TK105-</w:t>
            </w:r>
            <w:r>
              <w:rPr>
                <w:rFonts w:hint="default" w:ascii="Times New Roman" w:hAnsi="Times New Roman" w:eastAsia="Times New Roman" w:cs="Times New Roman"/>
                <w:spacing w:val="-4"/>
                <w:sz w:val="21"/>
                <w:szCs w:val="21"/>
              </w:rPr>
              <w:t>1000m</w:t>
            </w:r>
            <w:r>
              <w:rPr>
                <w:rFonts w:hint="default" w:ascii="Times New Roman" w:hAnsi="Times New Roman" w:eastAsia="Times New Roman" w:cs="Times New Roman"/>
                <w:spacing w:val="-4"/>
                <w:position w:val="7"/>
                <w:sz w:val="21"/>
                <w:szCs w:val="21"/>
              </w:rPr>
              <w:t>3</w:t>
            </w:r>
            <w:r>
              <w:rPr>
                <w:rFonts w:hint="default" w:ascii="Times New Roman" w:hAnsi="Times New Roman" w:eastAsia="Times New Roman" w:cs="Times New Roman"/>
                <w:spacing w:val="14"/>
                <w:position w:val="7"/>
                <w:sz w:val="21"/>
                <w:szCs w:val="21"/>
              </w:rPr>
              <w:t xml:space="preserve"> </w:t>
            </w:r>
            <w:r>
              <w:rPr>
                <w:rFonts w:hint="default" w:ascii="Times New Roman" w:hAnsi="Times New Roman" w:eastAsia="宋体" w:cs="Times New Roman"/>
                <w:spacing w:val="-4"/>
                <w:sz w:val="21"/>
                <w:szCs w:val="21"/>
              </w:rPr>
              <w:t>立式油罐</w:t>
            </w:r>
          </w:p>
        </w:tc>
        <w:tc>
          <w:tcPr>
            <w:tcW w:w="3794" w:type="dxa"/>
            <w:vAlign w:val="center"/>
          </w:tcPr>
          <w:p w14:paraId="1D6CC2C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7"/>
                <w:sz w:val="21"/>
                <w:szCs w:val="21"/>
              </w:rPr>
            </w:pPr>
            <w:r>
              <w:rPr>
                <w:rFonts w:hint="default" w:ascii="Times New Roman" w:hAnsi="Times New Roman" w:eastAsia="宋体" w:cs="Times New Roman"/>
                <w:spacing w:val="-7"/>
                <w:sz w:val="21"/>
                <w:szCs w:val="21"/>
              </w:rPr>
              <w:t>固定顶，丙类，罐高</w:t>
            </w:r>
            <w:r>
              <w:rPr>
                <w:rFonts w:hint="default" w:ascii="Times New Roman" w:hAnsi="Times New Roman" w:eastAsia="宋体" w:cs="Times New Roman"/>
                <w:spacing w:val="-29"/>
                <w:sz w:val="21"/>
                <w:szCs w:val="21"/>
              </w:rPr>
              <w:t xml:space="preserve"> </w:t>
            </w:r>
            <w:r>
              <w:rPr>
                <w:rFonts w:hint="eastAsia" w:ascii="Times New Roman" w:hAnsi="Times New Roman" w:eastAsia="宋体" w:cs="Times New Roman"/>
                <w:spacing w:val="-7"/>
                <w:sz w:val="21"/>
                <w:szCs w:val="21"/>
                <w:lang w:val="en-US" w:eastAsia="zh-CN"/>
              </w:rPr>
              <w:t>9.441m</w:t>
            </w:r>
            <w:r>
              <w:rPr>
                <w:rFonts w:hint="default" w:ascii="Times New Roman" w:hAnsi="Times New Roman" w:eastAsia="Times New Roman" w:cs="Times New Roman"/>
                <w:spacing w:val="-30"/>
                <w:sz w:val="21"/>
                <w:szCs w:val="21"/>
              </w:rPr>
              <w:t xml:space="preserve"> </w:t>
            </w:r>
            <w:r>
              <w:rPr>
                <w:rFonts w:hint="default" w:ascii="Times New Roman" w:hAnsi="Times New Roman" w:eastAsia="宋体" w:cs="Times New Roman"/>
                <w:spacing w:val="-7"/>
                <w:sz w:val="21"/>
                <w:szCs w:val="21"/>
              </w:rPr>
              <w:t>，</w:t>
            </w:r>
          </w:p>
          <w:p w14:paraId="35B3DA7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rPr>
            </w:pPr>
            <w:r>
              <w:rPr>
                <w:rFonts w:hint="default" w:ascii="Times New Roman" w:hAnsi="Times New Roman" w:eastAsia="宋体" w:cs="Times New Roman"/>
                <w:spacing w:val="-7"/>
                <w:sz w:val="21"/>
                <w:szCs w:val="21"/>
              </w:rPr>
              <w:t>直</w:t>
            </w:r>
            <w:r>
              <w:rPr>
                <w:rFonts w:hint="default" w:ascii="Times New Roman" w:hAnsi="Times New Roman" w:eastAsia="宋体" w:cs="Times New Roman"/>
                <w:spacing w:val="-6"/>
                <w:sz w:val="21"/>
                <w:szCs w:val="21"/>
              </w:rPr>
              <w:t>径</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6"/>
                <w:sz w:val="21"/>
                <w:szCs w:val="21"/>
              </w:rPr>
              <w:t>11.</w:t>
            </w:r>
            <w:r>
              <w:rPr>
                <w:rFonts w:hint="eastAsia" w:ascii="Times New Roman" w:hAnsi="Times New Roman" w:eastAsia="宋体" w:cs="Times New Roman"/>
                <w:spacing w:val="-6"/>
                <w:sz w:val="21"/>
                <w:szCs w:val="21"/>
                <w:lang w:val="en-US" w:eastAsia="zh-CN"/>
              </w:rPr>
              <w:t>886</w:t>
            </w:r>
            <w:r>
              <w:rPr>
                <w:rFonts w:hint="default" w:ascii="Times New Roman" w:hAnsi="Times New Roman" w:eastAsia="Times New Roman" w:cs="Times New Roman"/>
                <w:spacing w:val="-6"/>
                <w:sz w:val="21"/>
                <w:szCs w:val="21"/>
              </w:rPr>
              <w:t>m</w:t>
            </w:r>
          </w:p>
        </w:tc>
        <w:tc>
          <w:tcPr>
            <w:tcW w:w="914" w:type="dxa"/>
            <w:vAlign w:val="center"/>
          </w:tcPr>
          <w:p w14:paraId="2329AC95">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2"/>
                <w:sz w:val="21"/>
                <w:szCs w:val="21"/>
              </w:rPr>
            </w:pPr>
            <w:r>
              <w:rPr>
                <w:rFonts w:hint="eastAsia" w:ascii="Times New Roman" w:hAnsi="Times New Roman" w:eastAsia="宋体" w:cs="Times New Roman"/>
                <w:spacing w:val="-2"/>
                <w:sz w:val="21"/>
                <w:szCs w:val="21"/>
                <w:lang w:val="en-US" w:eastAsia="zh-CN"/>
              </w:rPr>
              <w:t>1</w:t>
            </w:r>
            <w:r>
              <w:rPr>
                <w:rFonts w:hint="default" w:ascii="Times New Roman" w:hAnsi="Times New Roman" w:eastAsia="宋体" w:cs="Times New Roman"/>
                <w:spacing w:val="-2"/>
                <w:sz w:val="21"/>
                <w:szCs w:val="21"/>
              </w:rPr>
              <w:t>座</w:t>
            </w:r>
          </w:p>
        </w:tc>
        <w:tc>
          <w:tcPr>
            <w:tcW w:w="1039" w:type="dxa"/>
            <w:tcBorders>
              <w:right w:val="single" w:color="000000" w:sz="10" w:space="0"/>
            </w:tcBorders>
            <w:vAlign w:val="center"/>
          </w:tcPr>
          <w:p w14:paraId="4A644A9A">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3"/>
                <w:sz w:val="21"/>
                <w:szCs w:val="21"/>
              </w:rPr>
            </w:pPr>
            <w:r>
              <w:rPr>
                <w:rFonts w:hint="default" w:ascii="Times New Roman" w:hAnsi="Times New Roman" w:eastAsia="Times New Roman" w:cs="Times New Roman"/>
                <w:spacing w:val="-3"/>
                <w:sz w:val="21"/>
                <w:szCs w:val="21"/>
              </w:rPr>
              <w:t>0#</w:t>
            </w:r>
            <w:r>
              <w:rPr>
                <w:rFonts w:hint="default" w:ascii="Times New Roman" w:hAnsi="Times New Roman" w:eastAsia="宋体" w:cs="Times New Roman"/>
                <w:spacing w:val="-3"/>
                <w:sz w:val="21"/>
                <w:szCs w:val="21"/>
              </w:rPr>
              <w:t>柴油</w:t>
            </w:r>
          </w:p>
        </w:tc>
      </w:tr>
      <w:tr w14:paraId="35B853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3622C0C4">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6</w:t>
            </w:r>
          </w:p>
        </w:tc>
        <w:tc>
          <w:tcPr>
            <w:tcW w:w="2636" w:type="dxa"/>
            <w:vAlign w:val="center"/>
          </w:tcPr>
          <w:p w14:paraId="0C9A710D">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4"/>
                <w:sz w:val="21"/>
                <w:szCs w:val="21"/>
              </w:rPr>
            </w:pPr>
            <w:r>
              <w:rPr>
                <w:rFonts w:hint="eastAsia" w:ascii="Times New Roman" w:hAnsi="Times New Roman" w:eastAsia="宋体" w:cs="Times New Roman"/>
                <w:spacing w:val="5"/>
                <w:sz w:val="21"/>
                <w:szCs w:val="21"/>
                <w:lang w:val="en-US" w:eastAsia="zh-CN"/>
              </w:rPr>
              <w:t>TK106-</w:t>
            </w:r>
            <w:r>
              <w:rPr>
                <w:rFonts w:hint="default" w:ascii="Times New Roman" w:hAnsi="Times New Roman" w:eastAsia="Times New Roman" w:cs="Times New Roman"/>
                <w:spacing w:val="-4"/>
                <w:sz w:val="21"/>
                <w:szCs w:val="21"/>
              </w:rPr>
              <w:t>1000m</w:t>
            </w:r>
            <w:r>
              <w:rPr>
                <w:rFonts w:hint="default" w:ascii="Times New Roman" w:hAnsi="Times New Roman" w:eastAsia="Times New Roman" w:cs="Times New Roman"/>
                <w:spacing w:val="-4"/>
                <w:position w:val="7"/>
                <w:sz w:val="21"/>
                <w:szCs w:val="21"/>
              </w:rPr>
              <w:t>3</w:t>
            </w:r>
            <w:r>
              <w:rPr>
                <w:rFonts w:hint="default" w:ascii="Times New Roman" w:hAnsi="Times New Roman" w:eastAsia="Times New Roman" w:cs="Times New Roman"/>
                <w:spacing w:val="14"/>
                <w:position w:val="7"/>
                <w:sz w:val="21"/>
                <w:szCs w:val="21"/>
              </w:rPr>
              <w:t xml:space="preserve"> </w:t>
            </w:r>
            <w:r>
              <w:rPr>
                <w:rFonts w:hint="default" w:ascii="Times New Roman" w:hAnsi="Times New Roman" w:eastAsia="宋体" w:cs="Times New Roman"/>
                <w:spacing w:val="-4"/>
                <w:sz w:val="21"/>
                <w:szCs w:val="21"/>
              </w:rPr>
              <w:t>立式油罐</w:t>
            </w:r>
          </w:p>
        </w:tc>
        <w:tc>
          <w:tcPr>
            <w:tcW w:w="3794" w:type="dxa"/>
            <w:vAlign w:val="center"/>
          </w:tcPr>
          <w:p w14:paraId="039B148E">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7"/>
                <w:sz w:val="21"/>
                <w:szCs w:val="21"/>
              </w:rPr>
            </w:pPr>
            <w:r>
              <w:rPr>
                <w:rFonts w:hint="default" w:ascii="Times New Roman" w:hAnsi="Times New Roman" w:eastAsia="宋体" w:cs="Times New Roman"/>
                <w:spacing w:val="-7"/>
                <w:sz w:val="21"/>
                <w:szCs w:val="21"/>
              </w:rPr>
              <w:t>固定顶，丙类，罐高</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7"/>
                <w:sz w:val="21"/>
                <w:szCs w:val="21"/>
              </w:rPr>
              <w:t>11.</w:t>
            </w:r>
            <w:r>
              <w:rPr>
                <w:rFonts w:hint="eastAsia" w:ascii="Times New Roman" w:hAnsi="Times New Roman" w:eastAsia="宋体" w:cs="Times New Roman"/>
                <w:spacing w:val="-7"/>
                <w:sz w:val="21"/>
                <w:szCs w:val="21"/>
                <w:lang w:val="en-US" w:eastAsia="zh-CN"/>
              </w:rPr>
              <w:t>125</w:t>
            </w:r>
            <w:r>
              <w:rPr>
                <w:rFonts w:hint="default" w:ascii="Times New Roman" w:hAnsi="Times New Roman" w:eastAsia="Times New Roman" w:cs="Times New Roman"/>
                <w:spacing w:val="-7"/>
                <w:sz w:val="21"/>
                <w:szCs w:val="21"/>
              </w:rPr>
              <w:t>m</w:t>
            </w:r>
            <w:r>
              <w:rPr>
                <w:rFonts w:hint="default" w:ascii="Times New Roman" w:hAnsi="Times New Roman" w:eastAsia="Times New Roman" w:cs="Times New Roman"/>
                <w:spacing w:val="-30"/>
                <w:sz w:val="21"/>
                <w:szCs w:val="21"/>
              </w:rPr>
              <w:t xml:space="preserve"> </w:t>
            </w:r>
            <w:r>
              <w:rPr>
                <w:rFonts w:hint="default" w:ascii="Times New Roman" w:hAnsi="Times New Roman" w:eastAsia="宋体" w:cs="Times New Roman"/>
                <w:spacing w:val="-7"/>
                <w:sz w:val="21"/>
                <w:szCs w:val="21"/>
              </w:rPr>
              <w:t>，</w:t>
            </w:r>
          </w:p>
          <w:p w14:paraId="06FA25F4">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rPr>
            </w:pPr>
            <w:r>
              <w:rPr>
                <w:rFonts w:hint="default" w:ascii="Times New Roman" w:hAnsi="Times New Roman" w:eastAsia="宋体" w:cs="Times New Roman"/>
                <w:spacing w:val="-7"/>
                <w:sz w:val="21"/>
                <w:szCs w:val="21"/>
              </w:rPr>
              <w:t>直</w:t>
            </w:r>
            <w:r>
              <w:rPr>
                <w:rFonts w:hint="default" w:ascii="Times New Roman" w:hAnsi="Times New Roman" w:eastAsia="宋体" w:cs="Times New Roman"/>
                <w:spacing w:val="-6"/>
                <w:sz w:val="21"/>
                <w:szCs w:val="21"/>
              </w:rPr>
              <w:t>径</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6"/>
                <w:sz w:val="21"/>
                <w:szCs w:val="21"/>
              </w:rPr>
              <w:t>11.</w:t>
            </w:r>
            <w:r>
              <w:rPr>
                <w:rFonts w:hint="eastAsia" w:ascii="Times New Roman" w:hAnsi="Times New Roman" w:eastAsia="宋体" w:cs="Times New Roman"/>
                <w:spacing w:val="-6"/>
                <w:sz w:val="21"/>
                <w:szCs w:val="21"/>
                <w:lang w:val="en-US" w:eastAsia="zh-CN"/>
              </w:rPr>
              <w:t>150</w:t>
            </w:r>
            <w:r>
              <w:rPr>
                <w:rFonts w:hint="default" w:ascii="Times New Roman" w:hAnsi="Times New Roman" w:eastAsia="Times New Roman" w:cs="Times New Roman"/>
                <w:spacing w:val="-6"/>
                <w:sz w:val="21"/>
                <w:szCs w:val="21"/>
              </w:rPr>
              <w:t>m</w:t>
            </w:r>
          </w:p>
        </w:tc>
        <w:tc>
          <w:tcPr>
            <w:tcW w:w="914" w:type="dxa"/>
            <w:vAlign w:val="center"/>
          </w:tcPr>
          <w:p w14:paraId="1A7606E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2"/>
                <w:sz w:val="21"/>
                <w:szCs w:val="21"/>
              </w:rPr>
            </w:pPr>
            <w:r>
              <w:rPr>
                <w:rFonts w:hint="eastAsia" w:ascii="Times New Roman" w:hAnsi="Times New Roman" w:eastAsia="宋体" w:cs="Times New Roman"/>
                <w:spacing w:val="-2"/>
                <w:sz w:val="21"/>
                <w:szCs w:val="21"/>
                <w:lang w:val="en-US" w:eastAsia="zh-CN"/>
              </w:rPr>
              <w:t>1</w:t>
            </w:r>
            <w:r>
              <w:rPr>
                <w:rFonts w:hint="default" w:ascii="Times New Roman" w:hAnsi="Times New Roman" w:eastAsia="宋体" w:cs="Times New Roman"/>
                <w:spacing w:val="-2"/>
                <w:sz w:val="21"/>
                <w:szCs w:val="21"/>
              </w:rPr>
              <w:t>座</w:t>
            </w:r>
          </w:p>
        </w:tc>
        <w:tc>
          <w:tcPr>
            <w:tcW w:w="1039" w:type="dxa"/>
            <w:tcBorders>
              <w:right w:val="single" w:color="000000" w:sz="10" w:space="0"/>
            </w:tcBorders>
            <w:vAlign w:val="center"/>
          </w:tcPr>
          <w:p w14:paraId="137458F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3"/>
                <w:sz w:val="21"/>
                <w:szCs w:val="21"/>
              </w:rPr>
            </w:pPr>
            <w:r>
              <w:rPr>
                <w:rFonts w:hint="default" w:ascii="Times New Roman" w:hAnsi="Times New Roman" w:eastAsia="Times New Roman" w:cs="Times New Roman"/>
                <w:spacing w:val="-3"/>
                <w:sz w:val="21"/>
                <w:szCs w:val="21"/>
              </w:rPr>
              <w:t>0#</w:t>
            </w:r>
            <w:r>
              <w:rPr>
                <w:rFonts w:hint="default" w:ascii="Times New Roman" w:hAnsi="Times New Roman" w:eastAsia="宋体" w:cs="Times New Roman"/>
                <w:spacing w:val="-3"/>
                <w:sz w:val="21"/>
                <w:szCs w:val="21"/>
              </w:rPr>
              <w:t>柴油</w:t>
            </w:r>
          </w:p>
        </w:tc>
      </w:tr>
      <w:tr w14:paraId="2DEBF2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30CECFD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7</w:t>
            </w:r>
          </w:p>
        </w:tc>
        <w:tc>
          <w:tcPr>
            <w:tcW w:w="2636" w:type="dxa"/>
            <w:vAlign w:val="center"/>
          </w:tcPr>
          <w:p w14:paraId="4A40CC6C">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4"/>
                <w:sz w:val="21"/>
                <w:szCs w:val="21"/>
              </w:rPr>
            </w:pPr>
            <w:r>
              <w:rPr>
                <w:rFonts w:hint="eastAsia" w:ascii="Times New Roman" w:hAnsi="Times New Roman" w:eastAsia="宋体" w:cs="Times New Roman"/>
                <w:spacing w:val="5"/>
                <w:sz w:val="21"/>
                <w:szCs w:val="21"/>
                <w:lang w:val="en-US" w:eastAsia="zh-CN"/>
              </w:rPr>
              <w:t>TK107-</w:t>
            </w:r>
            <w:r>
              <w:rPr>
                <w:rFonts w:hint="default" w:ascii="Times New Roman" w:hAnsi="Times New Roman" w:eastAsia="Times New Roman" w:cs="Times New Roman"/>
                <w:spacing w:val="-4"/>
                <w:sz w:val="21"/>
                <w:szCs w:val="21"/>
              </w:rPr>
              <w:t>1000m</w:t>
            </w:r>
            <w:r>
              <w:rPr>
                <w:rFonts w:hint="default" w:ascii="Times New Roman" w:hAnsi="Times New Roman" w:eastAsia="Times New Roman" w:cs="Times New Roman"/>
                <w:spacing w:val="-4"/>
                <w:position w:val="7"/>
                <w:sz w:val="21"/>
                <w:szCs w:val="21"/>
              </w:rPr>
              <w:t>3</w:t>
            </w:r>
            <w:r>
              <w:rPr>
                <w:rFonts w:hint="default" w:ascii="Times New Roman" w:hAnsi="Times New Roman" w:eastAsia="Times New Roman" w:cs="Times New Roman"/>
                <w:spacing w:val="14"/>
                <w:position w:val="7"/>
                <w:sz w:val="21"/>
                <w:szCs w:val="21"/>
              </w:rPr>
              <w:t xml:space="preserve"> </w:t>
            </w:r>
            <w:r>
              <w:rPr>
                <w:rFonts w:hint="default" w:ascii="Times New Roman" w:hAnsi="Times New Roman" w:eastAsia="宋体" w:cs="Times New Roman"/>
                <w:spacing w:val="-4"/>
                <w:sz w:val="21"/>
                <w:szCs w:val="21"/>
              </w:rPr>
              <w:t>立式油罐</w:t>
            </w:r>
          </w:p>
        </w:tc>
        <w:tc>
          <w:tcPr>
            <w:tcW w:w="3794" w:type="dxa"/>
            <w:vAlign w:val="center"/>
          </w:tcPr>
          <w:p w14:paraId="085AB9CF">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7"/>
                <w:sz w:val="21"/>
                <w:szCs w:val="21"/>
              </w:rPr>
            </w:pPr>
            <w:r>
              <w:rPr>
                <w:rFonts w:hint="default" w:ascii="Times New Roman" w:hAnsi="Times New Roman" w:eastAsia="宋体" w:cs="Times New Roman"/>
                <w:spacing w:val="-7"/>
                <w:sz w:val="21"/>
                <w:szCs w:val="21"/>
              </w:rPr>
              <w:t>固定顶，丙类，罐高</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7"/>
                <w:sz w:val="21"/>
                <w:szCs w:val="21"/>
              </w:rPr>
              <w:t>11.0</w:t>
            </w:r>
            <w:r>
              <w:rPr>
                <w:rFonts w:hint="eastAsia" w:ascii="Times New Roman" w:hAnsi="Times New Roman" w:eastAsia="宋体" w:cs="Times New Roman"/>
                <w:spacing w:val="-7"/>
                <w:sz w:val="21"/>
                <w:szCs w:val="21"/>
                <w:lang w:val="en-US" w:eastAsia="zh-CN"/>
              </w:rPr>
              <w:t>49</w:t>
            </w:r>
            <w:r>
              <w:rPr>
                <w:rFonts w:hint="default" w:ascii="Times New Roman" w:hAnsi="Times New Roman" w:eastAsia="Times New Roman" w:cs="Times New Roman"/>
                <w:spacing w:val="-7"/>
                <w:sz w:val="21"/>
                <w:szCs w:val="21"/>
              </w:rPr>
              <w:t>m</w:t>
            </w:r>
            <w:r>
              <w:rPr>
                <w:rFonts w:hint="default" w:ascii="Times New Roman" w:hAnsi="Times New Roman" w:eastAsia="Times New Roman" w:cs="Times New Roman"/>
                <w:spacing w:val="-30"/>
                <w:sz w:val="21"/>
                <w:szCs w:val="21"/>
              </w:rPr>
              <w:t xml:space="preserve"> </w:t>
            </w:r>
            <w:r>
              <w:rPr>
                <w:rFonts w:hint="default" w:ascii="Times New Roman" w:hAnsi="Times New Roman" w:eastAsia="宋体" w:cs="Times New Roman"/>
                <w:spacing w:val="-7"/>
                <w:sz w:val="21"/>
                <w:szCs w:val="21"/>
              </w:rPr>
              <w:t>，</w:t>
            </w:r>
          </w:p>
          <w:p w14:paraId="1C470447">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rPr>
            </w:pPr>
            <w:r>
              <w:rPr>
                <w:rFonts w:hint="default" w:ascii="Times New Roman" w:hAnsi="Times New Roman" w:eastAsia="宋体" w:cs="Times New Roman"/>
                <w:spacing w:val="-7"/>
                <w:sz w:val="21"/>
                <w:szCs w:val="21"/>
              </w:rPr>
              <w:t>直</w:t>
            </w:r>
            <w:r>
              <w:rPr>
                <w:rFonts w:hint="default" w:ascii="Times New Roman" w:hAnsi="Times New Roman" w:eastAsia="宋体" w:cs="Times New Roman"/>
                <w:spacing w:val="-6"/>
                <w:sz w:val="21"/>
                <w:szCs w:val="21"/>
              </w:rPr>
              <w:t>径</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6"/>
                <w:sz w:val="21"/>
                <w:szCs w:val="21"/>
              </w:rPr>
              <w:t>11.</w:t>
            </w:r>
            <w:r>
              <w:rPr>
                <w:rFonts w:hint="eastAsia" w:ascii="Times New Roman" w:hAnsi="Times New Roman" w:eastAsia="宋体" w:cs="Times New Roman"/>
                <w:spacing w:val="-6"/>
                <w:sz w:val="21"/>
                <w:szCs w:val="21"/>
                <w:lang w:val="en-US" w:eastAsia="zh-CN"/>
              </w:rPr>
              <w:t>032</w:t>
            </w:r>
            <w:r>
              <w:rPr>
                <w:rFonts w:hint="default" w:ascii="Times New Roman" w:hAnsi="Times New Roman" w:eastAsia="Times New Roman" w:cs="Times New Roman"/>
                <w:spacing w:val="-6"/>
                <w:sz w:val="21"/>
                <w:szCs w:val="21"/>
              </w:rPr>
              <w:t>m</w:t>
            </w:r>
          </w:p>
        </w:tc>
        <w:tc>
          <w:tcPr>
            <w:tcW w:w="914" w:type="dxa"/>
            <w:vAlign w:val="center"/>
          </w:tcPr>
          <w:p w14:paraId="54DF4482">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2"/>
                <w:sz w:val="21"/>
                <w:szCs w:val="21"/>
              </w:rPr>
            </w:pPr>
            <w:r>
              <w:rPr>
                <w:rFonts w:hint="eastAsia" w:ascii="Times New Roman" w:hAnsi="Times New Roman" w:eastAsia="宋体" w:cs="Times New Roman"/>
                <w:spacing w:val="-2"/>
                <w:sz w:val="21"/>
                <w:szCs w:val="21"/>
                <w:lang w:val="en-US" w:eastAsia="zh-CN"/>
              </w:rPr>
              <w:t>1</w:t>
            </w:r>
            <w:r>
              <w:rPr>
                <w:rFonts w:hint="default" w:ascii="Times New Roman" w:hAnsi="Times New Roman" w:eastAsia="宋体" w:cs="Times New Roman"/>
                <w:spacing w:val="-2"/>
                <w:sz w:val="21"/>
                <w:szCs w:val="21"/>
              </w:rPr>
              <w:t>座</w:t>
            </w:r>
          </w:p>
        </w:tc>
        <w:tc>
          <w:tcPr>
            <w:tcW w:w="1039" w:type="dxa"/>
            <w:tcBorders>
              <w:right w:val="single" w:color="000000" w:sz="10" w:space="0"/>
            </w:tcBorders>
            <w:vAlign w:val="center"/>
          </w:tcPr>
          <w:p w14:paraId="0557A9A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3"/>
                <w:sz w:val="21"/>
                <w:szCs w:val="21"/>
              </w:rPr>
            </w:pPr>
            <w:r>
              <w:rPr>
                <w:rFonts w:hint="default" w:ascii="Times New Roman" w:hAnsi="Times New Roman" w:eastAsia="Times New Roman" w:cs="Times New Roman"/>
                <w:spacing w:val="-3"/>
                <w:sz w:val="21"/>
                <w:szCs w:val="21"/>
              </w:rPr>
              <w:t>0#</w:t>
            </w:r>
            <w:r>
              <w:rPr>
                <w:rFonts w:hint="default" w:ascii="Times New Roman" w:hAnsi="Times New Roman" w:eastAsia="宋体" w:cs="Times New Roman"/>
                <w:spacing w:val="-3"/>
                <w:sz w:val="21"/>
                <w:szCs w:val="21"/>
              </w:rPr>
              <w:t>柴油</w:t>
            </w:r>
          </w:p>
        </w:tc>
      </w:tr>
      <w:tr w14:paraId="47B59C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0C1665BF">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8</w:t>
            </w:r>
          </w:p>
        </w:tc>
        <w:tc>
          <w:tcPr>
            <w:tcW w:w="2636" w:type="dxa"/>
            <w:vAlign w:val="center"/>
          </w:tcPr>
          <w:p w14:paraId="1BD917A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4"/>
                <w:sz w:val="21"/>
                <w:szCs w:val="21"/>
              </w:rPr>
              <w:t>CY</w:t>
            </w:r>
            <w:r>
              <w:rPr>
                <w:rFonts w:hint="default" w:ascii="Times New Roman" w:hAnsi="Times New Roman" w:eastAsia="Times New Roman" w:cs="Times New Roman"/>
                <w:spacing w:val="16"/>
                <w:sz w:val="21"/>
                <w:szCs w:val="21"/>
              </w:rPr>
              <w:t xml:space="preserve"> </w:t>
            </w:r>
            <w:r>
              <w:rPr>
                <w:rFonts w:hint="default" w:ascii="Times New Roman" w:hAnsi="Times New Roman" w:eastAsia="宋体" w:cs="Times New Roman"/>
                <w:spacing w:val="-4"/>
                <w:sz w:val="21"/>
                <w:szCs w:val="21"/>
              </w:rPr>
              <w:t>型管道油泵</w:t>
            </w:r>
          </w:p>
        </w:tc>
        <w:tc>
          <w:tcPr>
            <w:tcW w:w="3794" w:type="dxa"/>
            <w:vAlign w:val="center"/>
          </w:tcPr>
          <w:p w14:paraId="2BDF93B5">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Times New Roman" w:cs="Times New Roman"/>
                <w:spacing w:val="-5"/>
                <w:sz w:val="21"/>
                <w:szCs w:val="21"/>
              </w:rPr>
              <w:t>100GY40</w:t>
            </w:r>
            <w:r>
              <w:rPr>
                <w:rFonts w:hint="default" w:ascii="Times New Roman" w:hAnsi="Times New Roman" w:eastAsia="Times New Roman" w:cs="Times New Roman"/>
                <w:spacing w:val="-31"/>
                <w:sz w:val="21"/>
                <w:szCs w:val="21"/>
              </w:rPr>
              <w:t xml:space="preserve"> </w:t>
            </w:r>
            <w:r>
              <w:rPr>
                <w:rFonts w:hint="default" w:ascii="Times New Roman" w:hAnsi="Times New Roman" w:eastAsia="宋体" w:cs="Times New Roman"/>
                <w:spacing w:val="-5"/>
                <w:sz w:val="21"/>
                <w:szCs w:val="21"/>
              </w:rPr>
              <w:t>，流量</w:t>
            </w:r>
            <w:r>
              <w:rPr>
                <w:rFonts w:hint="default" w:ascii="Times New Roman" w:hAnsi="Times New Roman" w:eastAsia="宋体" w:cs="Times New Roman"/>
                <w:spacing w:val="-32"/>
                <w:sz w:val="21"/>
                <w:szCs w:val="21"/>
              </w:rPr>
              <w:t xml:space="preserve"> </w:t>
            </w:r>
            <w:r>
              <w:rPr>
                <w:rFonts w:hint="default" w:ascii="Times New Roman" w:hAnsi="Times New Roman" w:eastAsia="Times New Roman" w:cs="Times New Roman"/>
                <w:spacing w:val="-5"/>
                <w:sz w:val="21"/>
                <w:szCs w:val="21"/>
              </w:rPr>
              <w:t>100m</w:t>
            </w:r>
            <w:r>
              <w:rPr>
                <w:rFonts w:hint="default" w:ascii="Times New Roman" w:hAnsi="Times New Roman" w:eastAsia="Times New Roman" w:cs="Times New Roman"/>
                <w:spacing w:val="-5"/>
                <w:position w:val="7"/>
                <w:sz w:val="21"/>
                <w:szCs w:val="21"/>
              </w:rPr>
              <w:t>3</w:t>
            </w:r>
            <w:r>
              <w:rPr>
                <w:rFonts w:hint="default" w:ascii="Times New Roman" w:hAnsi="Times New Roman" w:eastAsia="Times New Roman" w:cs="Times New Roman"/>
                <w:spacing w:val="-5"/>
                <w:sz w:val="21"/>
                <w:szCs w:val="21"/>
              </w:rPr>
              <w:t>/h</w:t>
            </w:r>
            <w:r>
              <w:rPr>
                <w:rFonts w:hint="default" w:ascii="Times New Roman" w:hAnsi="Times New Roman" w:eastAsia="宋体" w:cs="Times New Roman"/>
                <w:spacing w:val="-58"/>
                <w:sz w:val="21"/>
                <w:szCs w:val="21"/>
              </w:rPr>
              <w:t>，</w:t>
            </w:r>
            <w:r>
              <w:rPr>
                <w:rFonts w:hint="default" w:ascii="Times New Roman" w:hAnsi="Times New Roman" w:eastAsia="宋体" w:cs="Times New Roman"/>
                <w:sz w:val="21"/>
                <w:szCs w:val="21"/>
              </w:rPr>
              <w:t xml:space="preserve"> </w:t>
            </w:r>
            <w:r>
              <w:rPr>
                <w:rFonts w:hint="default" w:ascii="Times New Roman" w:hAnsi="Times New Roman" w:eastAsia="Times New Roman" w:cs="Times New Roman"/>
                <w:spacing w:val="-3"/>
                <w:sz w:val="21"/>
                <w:szCs w:val="21"/>
              </w:rPr>
              <w:t>2000r/min</w:t>
            </w:r>
            <w:r>
              <w:rPr>
                <w:rFonts w:hint="default" w:ascii="Times New Roman" w:hAnsi="Times New Roman" w:eastAsia="Times New Roman" w:cs="Times New Roman"/>
                <w:spacing w:val="-27"/>
                <w:sz w:val="21"/>
                <w:szCs w:val="21"/>
              </w:rPr>
              <w:t xml:space="preserve"> </w:t>
            </w:r>
            <w:r>
              <w:rPr>
                <w:rFonts w:hint="default" w:ascii="Times New Roman" w:hAnsi="Times New Roman" w:eastAsia="宋体" w:cs="Times New Roman"/>
                <w:spacing w:val="-3"/>
                <w:sz w:val="21"/>
                <w:szCs w:val="21"/>
              </w:rPr>
              <w:t>，</w:t>
            </w:r>
          </w:p>
          <w:p w14:paraId="717EC30A">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宋体" w:cs="Times New Roman"/>
                <w:spacing w:val="-3"/>
                <w:sz w:val="21"/>
                <w:szCs w:val="21"/>
              </w:rPr>
              <w:t>扬程</w:t>
            </w:r>
            <w:r>
              <w:rPr>
                <w:rFonts w:hint="default" w:ascii="Times New Roman" w:hAnsi="Times New Roman" w:eastAsia="宋体" w:cs="Times New Roman"/>
                <w:spacing w:val="-56"/>
                <w:sz w:val="21"/>
                <w:szCs w:val="21"/>
              </w:rPr>
              <w:t xml:space="preserve"> </w:t>
            </w:r>
            <w:r>
              <w:rPr>
                <w:rFonts w:hint="default" w:ascii="Times New Roman" w:hAnsi="Times New Roman" w:eastAsia="Times New Roman" w:cs="Times New Roman"/>
                <w:spacing w:val="-3"/>
                <w:sz w:val="21"/>
                <w:szCs w:val="21"/>
              </w:rPr>
              <w:t>40m</w:t>
            </w:r>
          </w:p>
        </w:tc>
        <w:tc>
          <w:tcPr>
            <w:tcW w:w="914" w:type="dxa"/>
            <w:vAlign w:val="center"/>
          </w:tcPr>
          <w:p w14:paraId="30084045">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pacing w:val="-2"/>
                <w:sz w:val="21"/>
                <w:szCs w:val="21"/>
                <w:lang w:val="en-US" w:eastAsia="zh-CN"/>
              </w:rPr>
              <w:t>4</w:t>
            </w:r>
            <w:r>
              <w:rPr>
                <w:rFonts w:hint="default" w:ascii="Times New Roman" w:hAnsi="Times New Roman" w:eastAsia="宋体" w:cs="Times New Roman"/>
                <w:spacing w:val="-2"/>
                <w:sz w:val="21"/>
                <w:szCs w:val="21"/>
              </w:rPr>
              <w:t>台</w:t>
            </w:r>
          </w:p>
        </w:tc>
        <w:tc>
          <w:tcPr>
            <w:tcW w:w="1039" w:type="dxa"/>
            <w:tcBorders>
              <w:right w:val="single" w:color="000000" w:sz="10" w:space="0"/>
            </w:tcBorders>
            <w:vAlign w:val="center"/>
          </w:tcPr>
          <w:p w14:paraId="1DD44789">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5"/>
                <w:sz w:val="21"/>
                <w:szCs w:val="21"/>
              </w:rPr>
              <w:t>卸车用</w:t>
            </w:r>
          </w:p>
        </w:tc>
      </w:tr>
      <w:tr w14:paraId="277AA6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6DA45A1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9</w:t>
            </w:r>
          </w:p>
        </w:tc>
        <w:tc>
          <w:tcPr>
            <w:tcW w:w="2636" w:type="dxa"/>
            <w:vAlign w:val="center"/>
          </w:tcPr>
          <w:p w14:paraId="06F4152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4"/>
                <w:sz w:val="21"/>
                <w:szCs w:val="21"/>
              </w:rPr>
              <w:t>CY</w:t>
            </w:r>
            <w:r>
              <w:rPr>
                <w:rFonts w:hint="default" w:ascii="Times New Roman" w:hAnsi="Times New Roman" w:eastAsia="Times New Roman" w:cs="Times New Roman"/>
                <w:spacing w:val="16"/>
                <w:sz w:val="21"/>
                <w:szCs w:val="21"/>
              </w:rPr>
              <w:t xml:space="preserve"> </w:t>
            </w:r>
            <w:r>
              <w:rPr>
                <w:rFonts w:hint="default" w:ascii="Times New Roman" w:hAnsi="Times New Roman" w:eastAsia="宋体" w:cs="Times New Roman"/>
                <w:spacing w:val="-4"/>
                <w:sz w:val="21"/>
                <w:szCs w:val="21"/>
              </w:rPr>
              <w:t>型管道油泵</w:t>
            </w:r>
          </w:p>
        </w:tc>
        <w:tc>
          <w:tcPr>
            <w:tcW w:w="3794" w:type="dxa"/>
            <w:vAlign w:val="center"/>
          </w:tcPr>
          <w:p w14:paraId="3899D04C">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6"/>
                <w:sz w:val="21"/>
                <w:szCs w:val="21"/>
              </w:rPr>
              <w:t>DOGD100-250</w:t>
            </w:r>
            <w:r>
              <w:rPr>
                <w:rFonts w:hint="default" w:ascii="Times New Roman" w:hAnsi="Times New Roman" w:eastAsia="Times New Roman" w:cs="Times New Roman"/>
                <w:spacing w:val="-18"/>
                <w:sz w:val="21"/>
                <w:szCs w:val="21"/>
              </w:rPr>
              <w:t xml:space="preserve"> </w:t>
            </w:r>
            <w:r>
              <w:rPr>
                <w:rFonts w:hint="default" w:ascii="Times New Roman" w:hAnsi="Times New Roman" w:eastAsia="宋体" w:cs="Times New Roman"/>
                <w:spacing w:val="-6"/>
                <w:sz w:val="21"/>
                <w:szCs w:val="21"/>
              </w:rPr>
              <w:t>，流量</w:t>
            </w:r>
            <w:r>
              <w:rPr>
                <w:rFonts w:hint="default" w:ascii="Times New Roman" w:hAnsi="Times New Roman" w:eastAsia="宋体" w:cs="Times New Roman"/>
                <w:spacing w:val="-32"/>
                <w:sz w:val="21"/>
                <w:szCs w:val="21"/>
              </w:rPr>
              <w:t xml:space="preserve"> </w:t>
            </w:r>
            <w:r>
              <w:rPr>
                <w:rFonts w:hint="default" w:ascii="Times New Roman" w:hAnsi="Times New Roman" w:eastAsia="Times New Roman" w:cs="Times New Roman"/>
                <w:spacing w:val="-6"/>
                <w:sz w:val="21"/>
                <w:szCs w:val="21"/>
              </w:rPr>
              <w:t>100m</w:t>
            </w:r>
            <w:r>
              <w:rPr>
                <w:rFonts w:hint="default" w:ascii="Times New Roman" w:hAnsi="Times New Roman" w:eastAsia="Times New Roman" w:cs="Times New Roman"/>
                <w:spacing w:val="-6"/>
                <w:position w:val="7"/>
                <w:sz w:val="21"/>
                <w:szCs w:val="21"/>
              </w:rPr>
              <w:t>3</w:t>
            </w:r>
            <w:r>
              <w:rPr>
                <w:rFonts w:hint="default" w:ascii="Times New Roman" w:hAnsi="Times New Roman" w:eastAsia="Times New Roman" w:cs="Times New Roman"/>
                <w:spacing w:val="-6"/>
                <w:sz w:val="21"/>
                <w:szCs w:val="21"/>
              </w:rPr>
              <w:t>/h</w:t>
            </w:r>
            <w:r>
              <w:rPr>
                <w:rFonts w:hint="default" w:ascii="Times New Roman" w:hAnsi="Times New Roman" w:eastAsia="宋体" w:cs="Times New Roman"/>
                <w:spacing w:val="-6"/>
                <w:sz w:val="21"/>
                <w:szCs w:val="21"/>
              </w:rPr>
              <w:t>，</w:t>
            </w:r>
            <w:r>
              <w:rPr>
                <w:rFonts w:hint="default" w:ascii="Times New Roman" w:hAnsi="Times New Roman" w:eastAsia="宋体" w:cs="Times New Roman"/>
                <w:sz w:val="21"/>
                <w:szCs w:val="21"/>
              </w:rPr>
              <w:t xml:space="preserve"> </w:t>
            </w:r>
            <w:r>
              <w:rPr>
                <w:rFonts w:hint="default" w:ascii="Times New Roman" w:hAnsi="Times New Roman" w:eastAsia="Times New Roman" w:cs="Times New Roman"/>
                <w:spacing w:val="-3"/>
                <w:sz w:val="21"/>
                <w:szCs w:val="21"/>
              </w:rPr>
              <w:t>2940r/min</w:t>
            </w:r>
            <w:r>
              <w:rPr>
                <w:rFonts w:hint="default" w:ascii="Times New Roman" w:hAnsi="Times New Roman" w:eastAsia="Times New Roman" w:cs="Times New Roman"/>
                <w:spacing w:val="-34"/>
                <w:sz w:val="21"/>
                <w:szCs w:val="21"/>
              </w:rPr>
              <w:t xml:space="preserve"> </w:t>
            </w:r>
            <w:r>
              <w:rPr>
                <w:rFonts w:hint="default" w:ascii="Times New Roman" w:hAnsi="Times New Roman" w:eastAsia="宋体" w:cs="Times New Roman"/>
                <w:spacing w:val="-3"/>
                <w:sz w:val="21"/>
                <w:szCs w:val="21"/>
              </w:rPr>
              <w:t>，扬程</w:t>
            </w:r>
            <w:r>
              <w:rPr>
                <w:rFonts w:hint="default" w:ascii="Times New Roman" w:hAnsi="Times New Roman" w:eastAsia="宋体" w:cs="Times New Roman"/>
                <w:spacing w:val="-49"/>
                <w:sz w:val="21"/>
                <w:szCs w:val="21"/>
              </w:rPr>
              <w:t xml:space="preserve"> </w:t>
            </w:r>
            <w:r>
              <w:rPr>
                <w:rFonts w:hint="default" w:ascii="Times New Roman" w:hAnsi="Times New Roman" w:eastAsia="Times New Roman" w:cs="Times New Roman"/>
                <w:spacing w:val="-3"/>
                <w:sz w:val="21"/>
                <w:szCs w:val="21"/>
              </w:rPr>
              <w:t>50m</w:t>
            </w:r>
          </w:p>
        </w:tc>
        <w:tc>
          <w:tcPr>
            <w:tcW w:w="914" w:type="dxa"/>
            <w:vAlign w:val="center"/>
          </w:tcPr>
          <w:p w14:paraId="1F67291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pacing w:val="-5"/>
                <w:sz w:val="21"/>
                <w:szCs w:val="21"/>
                <w:lang w:val="en-US" w:eastAsia="zh-CN"/>
              </w:rPr>
              <w:t>3</w:t>
            </w:r>
            <w:r>
              <w:rPr>
                <w:rFonts w:hint="default" w:ascii="Times New Roman" w:hAnsi="Times New Roman" w:eastAsia="宋体" w:cs="Times New Roman"/>
                <w:spacing w:val="-5"/>
                <w:sz w:val="21"/>
                <w:szCs w:val="21"/>
              </w:rPr>
              <w:t>台</w:t>
            </w:r>
          </w:p>
        </w:tc>
        <w:tc>
          <w:tcPr>
            <w:tcW w:w="1039" w:type="dxa"/>
            <w:tcBorders>
              <w:right w:val="single" w:color="000000" w:sz="10" w:space="0"/>
            </w:tcBorders>
            <w:vAlign w:val="center"/>
          </w:tcPr>
          <w:p w14:paraId="216C52A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5"/>
                <w:sz w:val="21"/>
                <w:szCs w:val="21"/>
              </w:rPr>
              <w:t>付油</w:t>
            </w:r>
          </w:p>
        </w:tc>
      </w:tr>
      <w:tr w14:paraId="2C0061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0A7360F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10</w:t>
            </w:r>
          </w:p>
        </w:tc>
        <w:tc>
          <w:tcPr>
            <w:tcW w:w="2636" w:type="dxa"/>
            <w:vAlign w:val="center"/>
          </w:tcPr>
          <w:p w14:paraId="1896D9F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紧急切断阀</w:t>
            </w:r>
          </w:p>
        </w:tc>
        <w:tc>
          <w:tcPr>
            <w:tcW w:w="3794" w:type="dxa"/>
            <w:vAlign w:val="center"/>
          </w:tcPr>
          <w:p w14:paraId="24A0CE1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ZEF1H-1</w:t>
            </w:r>
          </w:p>
        </w:tc>
        <w:tc>
          <w:tcPr>
            <w:tcW w:w="914" w:type="dxa"/>
            <w:vAlign w:val="center"/>
          </w:tcPr>
          <w:p w14:paraId="541D072E">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14个</w:t>
            </w:r>
          </w:p>
        </w:tc>
        <w:tc>
          <w:tcPr>
            <w:tcW w:w="1039" w:type="dxa"/>
            <w:tcBorders>
              <w:right w:val="single" w:color="000000" w:sz="10" w:space="0"/>
            </w:tcBorders>
            <w:vAlign w:val="center"/>
          </w:tcPr>
          <w:p w14:paraId="7880765A">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5"/>
                <w:sz w:val="21"/>
                <w:szCs w:val="21"/>
                <w:lang w:val="en-US" w:eastAsia="zh-CN"/>
              </w:rPr>
            </w:pPr>
          </w:p>
        </w:tc>
      </w:tr>
      <w:tr w14:paraId="3F0B72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3AAB99A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11</w:t>
            </w:r>
          </w:p>
        </w:tc>
        <w:tc>
          <w:tcPr>
            <w:tcW w:w="2636" w:type="dxa"/>
            <w:vAlign w:val="center"/>
          </w:tcPr>
          <w:p w14:paraId="1C773837">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电动机消防水泵</w:t>
            </w:r>
          </w:p>
        </w:tc>
        <w:tc>
          <w:tcPr>
            <w:tcW w:w="3794" w:type="dxa"/>
            <w:vAlign w:val="center"/>
          </w:tcPr>
          <w:p w14:paraId="1C71E87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XBD9.5/25G-LDL</w:t>
            </w:r>
          </w:p>
        </w:tc>
        <w:tc>
          <w:tcPr>
            <w:tcW w:w="914" w:type="dxa"/>
            <w:vAlign w:val="center"/>
          </w:tcPr>
          <w:p w14:paraId="487F7D5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2台</w:t>
            </w:r>
          </w:p>
        </w:tc>
        <w:tc>
          <w:tcPr>
            <w:tcW w:w="1039" w:type="dxa"/>
            <w:tcBorders>
              <w:right w:val="single" w:color="000000" w:sz="10" w:space="0"/>
            </w:tcBorders>
            <w:vAlign w:val="center"/>
          </w:tcPr>
          <w:p w14:paraId="031AE2A9">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rPr>
            </w:pPr>
          </w:p>
        </w:tc>
      </w:tr>
      <w:tr w14:paraId="64F952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2F83057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12</w:t>
            </w:r>
          </w:p>
        </w:tc>
        <w:tc>
          <w:tcPr>
            <w:tcW w:w="2636" w:type="dxa"/>
            <w:vAlign w:val="center"/>
          </w:tcPr>
          <w:p w14:paraId="700C9D9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消防泡沫罐</w:t>
            </w:r>
          </w:p>
        </w:tc>
        <w:tc>
          <w:tcPr>
            <w:tcW w:w="3794" w:type="dxa"/>
            <w:vAlign w:val="center"/>
          </w:tcPr>
          <w:p w14:paraId="323AC5D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6m</w:t>
            </w:r>
            <w:r>
              <w:rPr>
                <w:rFonts w:hint="eastAsia" w:ascii="Times New Roman" w:hAnsi="Times New Roman" w:eastAsia="宋体" w:cs="Times New Roman"/>
                <w:spacing w:val="-6"/>
                <w:sz w:val="21"/>
                <w:szCs w:val="21"/>
                <w:vertAlign w:val="superscript"/>
                <w:lang w:val="en-US" w:eastAsia="zh-CN"/>
              </w:rPr>
              <w:t>3</w:t>
            </w:r>
          </w:p>
        </w:tc>
        <w:tc>
          <w:tcPr>
            <w:tcW w:w="914" w:type="dxa"/>
            <w:vAlign w:val="center"/>
          </w:tcPr>
          <w:p w14:paraId="66126D69">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1台</w:t>
            </w:r>
          </w:p>
        </w:tc>
        <w:tc>
          <w:tcPr>
            <w:tcW w:w="1039" w:type="dxa"/>
            <w:tcBorders>
              <w:right w:val="single" w:color="000000" w:sz="10" w:space="0"/>
            </w:tcBorders>
            <w:vAlign w:val="center"/>
          </w:tcPr>
          <w:p w14:paraId="13FAA26E">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rPr>
            </w:pPr>
          </w:p>
        </w:tc>
      </w:tr>
      <w:tr w14:paraId="1CB330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343C4FB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13</w:t>
            </w:r>
          </w:p>
        </w:tc>
        <w:tc>
          <w:tcPr>
            <w:tcW w:w="2636" w:type="dxa"/>
            <w:vAlign w:val="center"/>
          </w:tcPr>
          <w:p w14:paraId="448EB53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电动机消防泡沫泵</w:t>
            </w:r>
          </w:p>
        </w:tc>
        <w:tc>
          <w:tcPr>
            <w:tcW w:w="3794" w:type="dxa"/>
            <w:vAlign w:val="center"/>
          </w:tcPr>
          <w:p w14:paraId="0F9106B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YE3-25M2</w:t>
            </w:r>
          </w:p>
        </w:tc>
        <w:tc>
          <w:tcPr>
            <w:tcW w:w="914" w:type="dxa"/>
            <w:vAlign w:val="center"/>
          </w:tcPr>
          <w:p w14:paraId="066C4A1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2台</w:t>
            </w:r>
          </w:p>
        </w:tc>
        <w:tc>
          <w:tcPr>
            <w:tcW w:w="1039" w:type="dxa"/>
            <w:tcBorders>
              <w:right w:val="single" w:color="000000" w:sz="10" w:space="0"/>
            </w:tcBorders>
            <w:vAlign w:val="center"/>
          </w:tcPr>
          <w:p w14:paraId="6C00FC9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rPr>
            </w:pPr>
          </w:p>
        </w:tc>
      </w:tr>
      <w:tr w14:paraId="709BA5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7C50E32E">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14</w:t>
            </w:r>
          </w:p>
        </w:tc>
        <w:tc>
          <w:tcPr>
            <w:tcW w:w="2636" w:type="dxa"/>
            <w:vAlign w:val="center"/>
          </w:tcPr>
          <w:p w14:paraId="1177D2B4">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污水池自吸泵</w:t>
            </w:r>
          </w:p>
        </w:tc>
        <w:tc>
          <w:tcPr>
            <w:tcW w:w="3794" w:type="dxa"/>
            <w:vAlign w:val="center"/>
          </w:tcPr>
          <w:p w14:paraId="74DC8DB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w:t>
            </w:r>
          </w:p>
        </w:tc>
        <w:tc>
          <w:tcPr>
            <w:tcW w:w="914" w:type="dxa"/>
            <w:vAlign w:val="center"/>
          </w:tcPr>
          <w:p w14:paraId="0C77C4F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1台</w:t>
            </w:r>
          </w:p>
        </w:tc>
        <w:tc>
          <w:tcPr>
            <w:tcW w:w="1039" w:type="dxa"/>
            <w:tcBorders>
              <w:right w:val="single" w:color="000000" w:sz="10" w:space="0"/>
            </w:tcBorders>
            <w:vAlign w:val="center"/>
          </w:tcPr>
          <w:p w14:paraId="04E8EA78">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rPr>
            </w:pPr>
          </w:p>
        </w:tc>
      </w:tr>
      <w:tr w14:paraId="6871B3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0BA741F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15</w:t>
            </w:r>
          </w:p>
        </w:tc>
        <w:tc>
          <w:tcPr>
            <w:tcW w:w="2636" w:type="dxa"/>
            <w:vAlign w:val="center"/>
          </w:tcPr>
          <w:p w14:paraId="770C5BA4">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真空泵</w:t>
            </w:r>
          </w:p>
        </w:tc>
        <w:tc>
          <w:tcPr>
            <w:tcW w:w="3794" w:type="dxa"/>
            <w:vAlign w:val="center"/>
          </w:tcPr>
          <w:p w14:paraId="731F4579">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SZ-2</w:t>
            </w:r>
          </w:p>
        </w:tc>
        <w:tc>
          <w:tcPr>
            <w:tcW w:w="914" w:type="dxa"/>
            <w:vAlign w:val="center"/>
          </w:tcPr>
          <w:p w14:paraId="146C976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1台</w:t>
            </w:r>
          </w:p>
        </w:tc>
        <w:tc>
          <w:tcPr>
            <w:tcW w:w="1039" w:type="dxa"/>
            <w:tcBorders>
              <w:right w:val="single" w:color="000000" w:sz="10" w:space="0"/>
            </w:tcBorders>
            <w:vAlign w:val="center"/>
          </w:tcPr>
          <w:p w14:paraId="5EA07CE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用于铁路危险货物专用线</w:t>
            </w:r>
          </w:p>
        </w:tc>
      </w:tr>
      <w:tr w14:paraId="51AEA3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335AE41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16</w:t>
            </w:r>
          </w:p>
        </w:tc>
        <w:tc>
          <w:tcPr>
            <w:tcW w:w="2636" w:type="dxa"/>
            <w:vAlign w:val="center"/>
          </w:tcPr>
          <w:p w14:paraId="7503AB6E">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电锅炉</w:t>
            </w:r>
          </w:p>
        </w:tc>
        <w:tc>
          <w:tcPr>
            <w:tcW w:w="3794" w:type="dxa"/>
            <w:vAlign w:val="center"/>
          </w:tcPr>
          <w:p w14:paraId="250D2A0F">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ZY-ND25</w:t>
            </w:r>
          </w:p>
        </w:tc>
        <w:tc>
          <w:tcPr>
            <w:tcW w:w="914" w:type="dxa"/>
            <w:vAlign w:val="center"/>
          </w:tcPr>
          <w:p w14:paraId="5A6B5827">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3台</w:t>
            </w:r>
          </w:p>
        </w:tc>
        <w:tc>
          <w:tcPr>
            <w:tcW w:w="1039" w:type="dxa"/>
            <w:tcBorders>
              <w:right w:val="single" w:color="000000" w:sz="10" w:space="0"/>
            </w:tcBorders>
            <w:vAlign w:val="center"/>
          </w:tcPr>
          <w:p w14:paraId="1D83D61A">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rPr>
            </w:pPr>
          </w:p>
        </w:tc>
      </w:tr>
      <w:tr w14:paraId="324B89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09C71852">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17</w:t>
            </w:r>
          </w:p>
        </w:tc>
        <w:tc>
          <w:tcPr>
            <w:tcW w:w="2636" w:type="dxa"/>
            <w:vAlign w:val="center"/>
          </w:tcPr>
          <w:p w14:paraId="410CB347">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柴油发电机</w:t>
            </w:r>
          </w:p>
        </w:tc>
        <w:tc>
          <w:tcPr>
            <w:tcW w:w="3794" w:type="dxa"/>
            <w:vAlign w:val="center"/>
          </w:tcPr>
          <w:p w14:paraId="58C901F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200kW</w:t>
            </w:r>
          </w:p>
        </w:tc>
        <w:tc>
          <w:tcPr>
            <w:tcW w:w="914" w:type="dxa"/>
            <w:vAlign w:val="center"/>
          </w:tcPr>
          <w:p w14:paraId="7E3D1E6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1台</w:t>
            </w:r>
          </w:p>
        </w:tc>
        <w:tc>
          <w:tcPr>
            <w:tcW w:w="1039" w:type="dxa"/>
            <w:tcBorders>
              <w:right w:val="single" w:color="000000" w:sz="10" w:space="0"/>
            </w:tcBorders>
            <w:vAlign w:val="center"/>
          </w:tcPr>
          <w:p w14:paraId="67F6D85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rPr>
            </w:pPr>
          </w:p>
        </w:tc>
      </w:tr>
      <w:tr w14:paraId="51A965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tcBorders>
            <w:vAlign w:val="center"/>
          </w:tcPr>
          <w:p w14:paraId="5117BD2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18</w:t>
            </w:r>
          </w:p>
        </w:tc>
        <w:tc>
          <w:tcPr>
            <w:tcW w:w="2636" w:type="dxa"/>
            <w:vAlign w:val="center"/>
          </w:tcPr>
          <w:p w14:paraId="479D42F9">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便携式可燃气体探测器</w:t>
            </w:r>
          </w:p>
        </w:tc>
        <w:tc>
          <w:tcPr>
            <w:tcW w:w="3794" w:type="dxa"/>
            <w:vAlign w:val="center"/>
          </w:tcPr>
          <w:p w14:paraId="450F7EF2">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SQJ-A4</w:t>
            </w:r>
          </w:p>
        </w:tc>
        <w:tc>
          <w:tcPr>
            <w:tcW w:w="914" w:type="dxa"/>
            <w:vAlign w:val="center"/>
          </w:tcPr>
          <w:p w14:paraId="570910ED">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2台</w:t>
            </w:r>
          </w:p>
        </w:tc>
        <w:tc>
          <w:tcPr>
            <w:tcW w:w="1039" w:type="dxa"/>
            <w:tcBorders>
              <w:right w:val="single" w:color="000000" w:sz="10" w:space="0"/>
            </w:tcBorders>
            <w:vAlign w:val="center"/>
          </w:tcPr>
          <w:p w14:paraId="5FF0ED5F">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rPr>
            </w:pPr>
          </w:p>
        </w:tc>
      </w:tr>
      <w:tr w14:paraId="0CD15B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27" w:type="dxa"/>
            <w:tcBorders>
              <w:left w:val="single" w:color="000000" w:sz="10" w:space="0"/>
              <w:bottom w:val="single" w:color="000000" w:sz="10" w:space="0"/>
            </w:tcBorders>
            <w:vAlign w:val="center"/>
          </w:tcPr>
          <w:p w14:paraId="14F0E804">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19</w:t>
            </w:r>
          </w:p>
        </w:tc>
        <w:tc>
          <w:tcPr>
            <w:tcW w:w="2636" w:type="dxa"/>
            <w:tcBorders>
              <w:bottom w:val="single" w:color="000000" w:sz="10" w:space="0"/>
            </w:tcBorders>
            <w:vAlign w:val="center"/>
          </w:tcPr>
          <w:p w14:paraId="23676A7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可燃气体报警器</w:t>
            </w:r>
          </w:p>
        </w:tc>
        <w:tc>
          <w:tcPr>
            <w:tcW w:w="3794" w:type="dxa"/>
            <w:tcBorders>
              <w:bottom w:val="single" w:color="000000" w:sz="10" w:space="0"/>
            </w:tcBorders>
            <w:vAlign w:val="center"/>
          </w:tcPr>
          <w:p w14:paraId="67D2A889">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w:t>
            </w:r>
          </w:p>
        </w:tc>
        <w:tc>
          <w:tcPr>
            <w:tcW w:w="914" w:type="dxa"/>
            <w:tcBorders>
              <w:bottom w:val="single" w:color="000000" w:sz="10" w:space="0"/>
            </w:tcBorders>
            <w:vAlign w:val="center"/>
          </w:tcPr>
          <w:p w14:paraId="52D6DE02">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15台</w:t>
            </w:r>
          </w:p>
        </w:tc>
        <w:tc>
          <w:tcPr>
            <w:tcW w:w="1039" w:type="dxa"/>
            <w:tcBorders>
              <w:bottom w:val="single" w:color="000000" w:sz="10" w:space="0"/>
              <w:right w:val="single" w:color="000000" w:sz="10" w:space="0"/>
            </w:tcBorders>
            <w:vAlign w:val="center"/>
          </w:tcPr>
          <w:p w14:paraId="3EE930F4">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rPr>
            </w:pPr>
          </w:p>
        </w:tc>
      </w:tr>
    </w:tbl>
    <w:p w14:paraId="22D7AB40">
      <w:pPr>
        <w:adjustRightInd w:val="0"/>
        <w:snapToGrid w:val="0"/>
        <w:spacing w:before="312" w:beforeLines="100" w:after="312" w:afterLines="100" w:line="360" w:lineRule="auto"/>
        <w:jc w:val="center"/>
        <w:outlineLvl w:val="1"/>
        <w:rPr>
          <w:rFonts w:hint="eastAsia" w:ascii="Times New Roman" w:hAnsi="Times New Roman" w:eastAsia="楷体" w:cs="黑体"/>
          <w:b/>
          <w:sz w:val="32"/>
          <w:szCs w:val="32"/>
          <w:lang w:eastAsia="zh-CN"/>
          <w14:ligatures w14:val="none"/>
        </w:rPr>
      </w:pPr>
      <w:bookmarkStart w:id="74" w:name="_Toc1181"/>
      <w:r>
        <w:rPr>
          <w:rFonts w:hint="eastAsia" w:ascii="Times New Roman" w:hAnsi="Times New Roman" w:eastAsia="楷体" w:cs="黑体"/>
          <w:b/>
          <w:sz w:val="32"/>
          <w:szCs w:val="32"/>
          <w14:ligatures w14:val="none"/>
        </w:rPr>
        <w:t>2.</w:t>
      </w:r>
      <w:r>
        <w:rPr>
          <w:rFonts w:hint="eastAsia" w:ascii="Times New Roman" w:hAnsi="Times New Roman" w:eastAsia="楷体" w:cs="黑体"/>
          <w:b/>
          <w:sz w:val="32"/>
          <w:szCs w:val="32"/>
          <w:lang w:val="en-US" w:eastAsia="zh-CN"/>
          <w14:ligatures w14:val="none"/>
        </w:rPr>
        <w:t>5</w:t>
      </w:r>
      <w:r>
        <w:rPr>
          <w:rFonts w:hint="eastAsia" w:ascii="Times New Roman" w:hAnsi="Times New Roman" w:eastAsia="黑体" w:cs="Times New Roman"/>
          <w:b/>
          <w:sz w:val="28"/>
          <w:szCs w:val="32"/>
          <w14:ligatures w14:val="none"/>
        </w:rPr>
        <w:t>主要建（构）筑物</w:t>
      </w:r>
      <w:bookmarkEnd w:id="74"/>
    </w:p>
    <w:p w14:paraId="3C383CD8">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厂内主要建（构）筑物情况详见下表。</w:t>
      </w:r>
    </w:p>
    <w:p w14:paraId="100C4D14">
      <w:pPr>
        <w:keepNext/>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r>
        <w:rPr>
          <w:rFonts w:hint="eastAsia" w:ascii="Times New Roman" w:hAnsi="Times New Roman" w:eastAsia="黑体" w:cs="Times New Roman"/>
          <w:sz w:val="24"/>
          <w14:ligatures w14:val="none"/>
        </w:rPr>
        <w:t>表2.</w:t>
      </w:r>
      <w:r>
        <w:rPr>
          <w:rFonts w:hint="eastAsia" w:ascii="Times New Roman" w:hAnsi="Times New Roman" w:eastAsia="黑体" w:cs="Times New Roman"/>
          <w:sz w:val="24"/>
          <w:lang w:val="en-US" w:eastAsia="zh-CN"/>
          <w14:ligatures w14:val="none"/>
        </w:rPr>
        <w:t>5-1</w:t>
      </w:r>
      <w:r>
        <w:rPr>
          <w:rFonts w:hint="eastAsia" w:ascii="Times New Roman" w:hAnsi="Times New Roman" w:eastAsia="黑体" w:cs="Times New Roman"/>
          <w:sz w:val="24"/>
          <w14:ligatures w14:val="none"/>
        </w:rPr>
        <w:t xml:space="preserve">  建（构）筑物一览表</w:t>
      </w:r>
    </w:p>
    <w:tbl>
      <w:tblPr>
        <w:tblStyle w:val="36"/>
        <w:tblW w:w="5036" w:type="pct"/>
        <w:tblInd w:w="16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6"/>
        <w:gridCol w:w="1585"/>
        <w:gridCol w:w="1233"/>
        <w:gridCol w:w="545"/>
        <w:gridCol w:w="879"/>
        <w:gridCol w:w="1121"/>
        <w:gridCol w:w="1121"/>
        <w:gridCol w:w="1117"/>
        <w:gridCol w:w="1130"/>
      </w:tblGrid>
      <w:tr w14:paraId="4F02BF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top w:val="single" w:color="000000" w:sz="10" w:space="0"/>
              <w:left w:val="single" w:color="000000" w:sz="10" w:space="0"/>
            </w:tcBorders>
            <w:textDirection w:val="tbRlV"/>
            <w:vAlign w:val="center"/>
          </w:tcPr>
          <w:p w14:paraId="1C467D4D">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 xml:space="preserve"> </w:t>
            </w:r>
          </w:p>
          <w:p w14:paraId="68E676D2">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eastAsia" w:ascii="Times New Roman" w:hAnsi="Times New Roman" w:eastAsia="宋体" w:cs="Times New Roman"/>
                <w:spacing w:val="6"/>
                <w:kern w:val="2"/>
                <w:sz w:val="21"/>
                <w:szCs w:val="21"/>
                <w:lang w:val="en-US" w:eastAsia="en-US" w:bidi="ar-SA"/>
                <w14:ligatures w14:val="standardContextual"/>
              </w:rPr>
              <w:t>序号</w:t>
            </w:r>
          </w:p>
        </w:tc>
        <w:tc>
          <w:tcPr>
            <w:tcW w:w="1581" w:type="dxa"/>
            <w:tcBorders>
              <w:top w:val="single" w:color="000000" w:sz="10" w:space="0"/>
            </w:tcBorders>
            <w:vAlign w:val="center"/>
          </w:tcPr>
          <w:p w14:paraId="048B93CB">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建（构）筑物名称</w:t>
            </w:r>
          </w:p>
        </w:tc>
        <w:tc>
          <w:tcPr>
            <w:tcW w:w="1230" w:type="dxa"/>
            <w:tcBorders>
              <w:top w:val="single" w:color="000000" w:sz="10" w:space="0"/>
            </w:tcBorders>
            <w:vAlign w:val="center"/>
          </w:tcPr>
          <w:p w14:paraId="37EA8212">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结构形式</w:t>
            </w:r>
          </w:p>
        </w:tc>
        <w:tc>
          <w:tcPr>
            <w:tcW w:w="543" w:type="dxa"/>
            <w:tcBorders>
              <w:top w:val="single" w:color="000000" w:sz="10" w:space="0"/>
            </w:tcBorders>
            <w:textDirection w:val="tbRlV"/>
            <w:vAlign w:val="center"/>
          </w:tcPr>
          <w:p w14:paraId="6670EA29">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层 数</w:t>
            </w:r>
          </w:p>
        </w:tc>
        <w:tc>
          <w:tcPr>
            <w:tcW w:w="876" w:type="dxa"/>
            <w:tcBorders>
              <w:top w:val="single" w:color="000000" w:sz="10" w:space="0"/>
            </w:tcBorders>
            <w:vAlign w:val="center"/>
          </w:tcPr>
          <w:p w14:paraId="32A2A525">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耐火等级</w:t>
            </w:r>
          </w:p>
        </w:tc>
        <w:tc>
          <w:tcPr>
            <w:tcW w:w="1118" w:type="dxa"/>
            <w:tcBorders>
              <w:top w:val="single" w:color="000000" w:sz="10" w:space="0"/>
            </w:tcBorders>
            <w:vAlign w:val="center"/>
          </w:tcPr>
          <w:p w14:paraId="54EE22B2">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火灾危</w:t>
            </w:r>
          </w:p>
          <w:p w14:paraId="561B84AA">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险性类别</w:t>
            </w:r>
          </w:p>
        </w:tc>
        <w:tc>
          <w:tcPr>
            <w:tcW w:w="1118" w:type="dxa"/>
            <w:tcBorders>
              <w:top w:val="single" w:color="000000" w:sz="10" w:space="0"/>
            </w:tcBorders>
            <w:vAlign w:val="center"/>
          </w:tcPr>
          <w:p w14:paraId="33F44753">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eastAsia" w:ascii="Times New Roman" w:hAnsi="Times New Roman" w:eastAsia="宋体" w:cs="Times New Roman"/>
                <w:spacing w:val="6"/>
                <w:kern w:val="2"/>
                <w:sz w:val="21"/>
                <w:szCs w:val="21"/>
                <w:lang w:val="en-US" w:eastAsia="zh-CN" w:bidi="ar-SA"/>
                <w14:ligatures w14:val="standardContextual"/>
              </w:rPr>
            </w:pPr>
            <w:r>
              <w:rPr>
                <w:rFonts w:hint="eastAsia" w:ascii="Times New Roman" w:hAnsi="Times New Roman" w:eastAsia="宋体" w:cs="Times New Roman"/>
                <w:spacing w:val="6"/>
                <w:kern w:val="2"/>
                <w:sz w:val="21"/>
                <w:szCs w:val="21"/>
                <w:lang w:val="en-US" w:eastAsia="zh-CN" w:bidi="ar-SA"/>
                <w14:ligatures w14:val="standardContextual"/>
              </w:rPr>
              <w:t>占地面积</w:t>
            </w:r>
          </w:p>
          <w:p w14:paraId="49C2B9FC">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 xml:space="preserve"> (m</w:t>
            </w:r>
            <w:r>
              <w:rPr>
                <w:rFonts w:hint="eastAsia" w:ascii="Times New Roman" w:hAnsi="Times New Roman" w:eastAsia="宋体" w:cs="Times New Roman"/>
                <w:spacing w:val="6"/>
                <w:kern w:val="2"/>
                <w:sz w:val="21"/>
                <w:szCs w:val="21"/>
                <w:vertAlign w:val="superscript"/>
                <w:lang w:val="en-US" w:eastAsia="zh-CN" w:bidi="ar-SA"/>
                <w14:ligatures w14:val="standardContextual"/>
              </w:rPr>
              <w:t>2</w:t>
            </w:r>
            <w:r>
              <w:rPr>
                <w:rFonts w:hint="default" w:ascii="Times New Roman" w:hAnsi="Times New Roman" w:eastAsia="宋体" w:cs="Times New Roman"/>
                <w:spacing w:val="6"/>
                <w:kern w:val="2"/>
                <w:sz w:val="21"/>
                <w:szCs w:val="21"/>
                <w:lang w:val="en-US" w:eastAsia="en-US" w:bidi="ar-SA"/>
                <w14:ligatures w14:val="standardContextual"/>
              </w:rPr>
              <w:t>)</w:t>
            </w:r>
          </w:p>
        </w:tc>
        <w:tc>
          <w:tcPr>
            <w:tcW w:w="1114" w:type="dxa"/>
            <w:tcBorders>
              <w:top w:val="single" w:color="000000" w:sz="10" w:space="0"/>
            </w:tcBorders>
            <w:vAlign w:val="center"/>
          </w:tcPr>
          <w:p w14:paraId="5CD36E39">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建筑面积(m</w:t>
            </w:r>
            <w:r>
              <w:rPr>
                <w:rFonts w:hint="eastAsia" w:ascii="Times New Roman" w:hAnsi="Times New Roman" w:eastAsia="宋体" w:cs="Times New Roman"/>
                <w:spacing w:val="6"/>
                <w:kern w:val="2"/>
                <w:sz w:val="21"/>
                <w:szCs w:val="21"/>
                <w:vertAlign w:val="superscript"/>
                <w:lang w:val="en-US" w:eastAsia="zh-CN" w:bidi="ar-SA"/>
                <w14:ligatures w14:val="standardContextual"/>
              </w:rPr>
              <w:t>2</w:t>
            </w:r>
            <w:r>
              <w:rPr>
                <w:rFonts w:hint="default" w:ascii="Times New Roman" w:hAnsi="Times New Roman" w:eastAsia="宋体" w:cs="Times New Roman"/>
                <w:spacing w:val="6"/>
                <w:kern w:val="2"/>
                <w:sz w:val="21"/>
                <w:szCs w:val="21"/>
                <w:lang w:val="en-US" w:eastAsia="en-US" w:bidi="ar-SA"/>
                <w14:ligatures w14:val="standardContextual"/>
              </w:rPr>
              <w:t>)</w:t>
            </w:r>
          </w:p>
        </w:tc>
        <w:tc>
          <w:tcPr>
            <w:tcW w:w="1127" w:type="dxa"/>
            <w:tcBorders>
              <w:top w:val="single" w:color="000000" w:sz="10" w:space="0"/>
              <w:right w:val="single" w:color="000000" w:sz="10" w:space="0"/>
            </w:tcBorders>
            <w:vAlign w:val="center"/>
          </w:tcPr>
          <w:p w14:paraId="4BCE0E13">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备注</w:t>
            </w:r>
          </w:p>
        </w:tc>
      </w:tr>
      <w:tr w14:paraId="421E19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vAlign w:val="center"/>
          </w:tcPr>
          <w:p w14:paraId="01F7EDBD">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1</w:t>
            </w:r>
          </w:p>
        </w:tc>
        <w:tc>
          <w:tcPr>
            <w:tcW w:w="1581" w:type="dxa"/>
            <w:vAlign w:val="center"/>
          </w:tcPr>
          <w:p w14:paraId="355FDB5F">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办公楼</w:t>
            </w:r>
          </w:p>
        </w:tc>
        <w:tc>
          <w:tcPr>
            <w:tcW w:w="1230" w:type="dxa"/>
            <w:vAlign w:val="center"/>
          </w:tcPr>
          <w:p w14:paraId="34809598">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5"/>
                <w:kern w:val="0"/>
                <w:sz w:val="21"/>
                <w:szCs w:val="21"/>
                <w:lang w:eastAsia="en-US"/>
                <w14:ligatures w14:val="none"/>
              </w:rPr>
              <w:t>砖混</w:t>
            </w:r>
          </w:p>
        </w:tc>
        <w:tc>
          <w:tcPr>
            <w:tcW w:w="543" w:type="dxa"/>
            <w:vAlign w:val="center"/>
          </w:tcPr>
          <w:p w14:paraId="32FE089E">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eastAsia"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kern w:val="0"/>
                <w:sz w:val="21"/>
                <w:szCs w:val="21"/>
                <w:lang w:val="en-US" w:eastAsia="zh-CN"/>
                <w14:ligatures w14:val="none"/>
              </w:rPr>
              <w:t>-</w:t>
            </w:r>
          </w:p>
        </w:tc>
        <w:tc>
          <w:tcPr>
            <w:tcW w:w="876" w:type="dxa"/>
            <w:vAlign w:val="center"/>
          </w:tcPr>
          <w:p w14:paraId="4B674EAE">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二级</w:t>
            </w:r>
          </w:p>
        </w:tc>
        <w:tc>
          <w:tcPr>
            <w:tcW w:w="1118" w:type="dxa"/>
            <w:vAlign w:val="center"/>
          </w:tcPr>
          <w:p w14:paraId="2386F80C">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17"/>
                <w:kern w:val="0"/>
                <w:sz w:val="21"/>
                <w:szCs w:val="21"/>
                <w:lang w:eastAsia="en-US"/>
                <w14:ligatures w14:val="none"/>
              </w:rPr>
              <w:t>民建</w:t>
            </w:r>
          </w:p>
        </w:tc>
        <w:tc>
          <w:tcPr>
            <w:tcW w:w="1118" w:type="dxa"/>
            <w:vAlign w:val="center"/>
          </w:tcPr>
          <w:p w14:paraId="2730E437">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spacing w:val="-4"/>
                <w:kern w:val="0"/>
                <w:sz w:val="21"/>
                <w:szCs w:val="21"/>
                <w:lang w:val="en-US" w:eastAsia="zh-CN"/>
                <w14:ligatures w14:val="none"/>
              </w:rPr>
              <w:t>279.9</w:t>
            </w:r>
          </w:p>
        </w:tc>
        <w:tc>
          <w:tcPr>
            <w:tcW w:w="1114" w:type="dxa"/>
            <w:vAlign w:val="center"/>
          </w:tcPr>
          <w:p w14:paraId="6BF52733">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kern w:val="0"/>
                <w:sz w:val="21"/>
                <w:szCs w:val="21"/>
                <w:lang w:val="en-US" w:eastAsia="zh-CN"/>
                <w14:ligatures w14:val="none"/>
              </w:rPr>
              <w:t>642.74</w:t>
            </w:r>
          </w:p>
        </w:tc>
        <w:tc>
          <w:tcPr>
            <w:tcW w:w="1127" w:type="dxa"/>
            <w:tcBorders>
              <w:right w:val="single" w:color="000000" w:sz="10" w:space="0"/>
            </w:tcBorders>
            <w:vAlign w:val="center"/>
          </w:tcPr>
          <w:p w14:paraId="6362D4E1">
            <w:pPr>
              <w:keepNext w:val="0"/>
              <w:keepLines w:val="0"/>
              <w:pageBreakBefore w:val="0"/>
              <w:widowControl/>
              <w:kinsoku w:val="0"/>
              <w:wordWrap/>
              <w:overflowPunct/>
              <w:topLinePunct w:val="0"/>
              <w:autoSpaceDE w:val="0"/>
              <w:autoSpaceDN w:val="0"/>
              <w:bidi w:val="0"/>
              <w:adjustRightInd w:val="0"/>
              <w:snapToGrid w:val="0"/>
              <w:spacing w:before="0" w:line="240" w:lineRule="auto"/>
              <w:ind w:left="0" w:right="0" w:firstLine="0"/>
              <w:jc w:val="center"/>
              <w:textAlignment w:val="baseline"/>
              <w:rPr>
                <w:rFonts w:ascii="Arial" w:hAnsi="Arial" w:eastAsia="Arial" w:cs="Arial"/>
                <w:snapToGrid w:val="0"/>
                <w:color w:val="000000"/>
                <w:kern w:val="0"/>
                <w:sz w:val="21"/>
                <w:szCs w:val="21"/>
                <w:lang w:val="en-US" w:eastAsia="en-US" w:bidi="ar-SA"/>
              </w:rPr>
            </w:pPr>
          </w:p>
        </w:tc>
      </w:tr>
      <w:tr w14:paraId="7EA151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54" w:hRule="atLeast"/>
        </w:trPr>
        <w:tc>
          <w:tcPr>
            <w:tcW w:w="544" w:type="dxa"/>
            <w:tcBorders>
              <w:left w:val="single" w:color="000000" w:sz="10" w:space="0"/>
            </w:tcBorders>
            <w:vAlign w:val="center"/>
          </w:tcPr>
          <w:p w14:paraId="52CADE3C">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2</w:t>
            </w:r>
          </w:p>
        </w:tc>
        <w:tc>
          <w:tcPr>
            <w:tcW w:w="1581" w:type="dxa"/>
            <w:vAlign w:val="center"/>
          </w:tcPr>
          <w:p w14:paraId="05C67645">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eastAsia" w:ascii="宋体" w:hAnsi="宋体" w:eastAsia="宋体" w:cs="宋体"/>
                <w:snapToGrid w:val="0"/>
                <w:color w:val="000000"/>
                <w:kern w:val="0"/>
                <w:sz w:val="21"/>
                <w:szCs w:val="21"/>
                <w:lang w:eastAsia="zh-CN"/>
                <w14:ligatures w14:val="none"/>
              </w:rPr>
            </w:pPr>
            <w:r>
              <w:rPr>
                <w:rFonts w:hint="eastAsia" w:ascii="宋体" w:hAnsi="宋体" w:eastAsia="宋体" w:cs="宋体"/>
                <w:snapToGrid w:val="0"/>
                <w:color w:val="000000"/>
                <w:spacing w:val="-5"/>
                <w:kern w:val="0"/>
                <w:sz w:val="21"/>
                <w:szCs w:val="21"/>
                <w:lang w:eastAsia="zh-CN"/>
                <w14:ligatures w14:val="none"/>
              </w:rPr>
              <w:t>综合房</w:t>
            </w:r>
          </w:p>
        </w:tc>
        <w:tc>
          <w:tcPr>
            <w:tcW w:w="1230" w:type="dxa"/>
            <w:vAlign w:val="center"/>
          </w:tcPr>
          <w:p w14:paraId="573FE246">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5"/>
                <w:kern w:val="0"/>
                <w:sz w:val="21"/>
                <w:szCs w:val="21"/>
                <w:lang w:eastAsia="en-US"/>
                <w14:ligatures w14:val="none"/>
              </w:rPr>
              <w:t>砖混</w:t>
            </w:r>
          </w:p>
        </w:tc>
        <w:tc>
          <w:tcPr>
            <w:tcW w:w="543" w:type="dxa"/>
            <w:vAlign w:val="center"/>
          </w:tcPr>
          <w:p w14:paraId="54DDF761">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1</w:t>
            </w:r>
          </w:p>
        </w:tc>
        <w:tc>
          <w:tcPr>
            <w:tcW w:w="876" w:type="dxa"/>
            <w:vAlign w:val="center"/>
          </w:tcPr>
          <w:p w14:paraId="69ADAAC9">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二级</w:t>
            </w:r>
          </w:p>
        </w:tc>
        <w:tc>
          <w:tcPr>
            <w:tcW w:w="1118" w:type="dxa"/>
            <w:vAlign w:val="center"/>
          </w:tcPr>
          <w:p w14:paraId="1C7390FE">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17"/>
                <w:kern w:val="0"/>
                <w:sz w:val="21"/>
                <w:szCs w:val="21"/>
                <w:lang w:eastAsia="en-US"/>
                <w14:ligatures w14:val="none"/>
              </w:rPr>
              <w:t>民建</w:t>
            </w:r>
          </w:p>
        </w:tc>
        <w:tc>
          <w:tcPr>
            <w:tcW w:w="1118" w:type="dxa"/>
            <w:vAlign w:val="center"/>
          </w:tcPr>
          <w:p w14:paraId="105C8167">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ascii="Times New Roman" w:hAnsi="Times New Roman" w:eastAsia="Times New Roman" w:cs="Times New Roman"/>
                <w:snapToGrid w:val="0"/>
                <w:color w:val="000000"/>
                <w:spacing w:val="-4"/>
                <w:kern w:val="0"/>
                <w:sz w:val="21"/>
                <w:szCs w:val="21"/>
                <w:lang w:eastAsia="en-US"/>
                <w14:ligatures w14:val="none"/>
              </w:rPr>
              <w:t>39</w:t>
            </w:r>
            <w:r>
              <w:rPr>
                <w:rFonts w:hint="eastAsia" w:ascii="Times New Roman" w:hAnsi="Times New Roman" w:eastAsia="宋体" w:cs="Times New Roman"/>
                <w:snapToGrid w:val="0"/>
                <w:color w:val="000000"/>
                <w:spacing w:val="-4"/>
                <w:kern w:val="0"/>
                <w:sz w:val="21"/>
                <w:szCs w:val="21"/>
                <w:lang w:val="en-US" w:eastAsia="zh-CN"/>
                <w14:ligatures w14:val="none"/>
              </w:rPr>
              <w:t>4.98</w:t>
            </w:r>
          </w:p>
        </w:tc>
        <w:tc>
          <w:tcPr>
            <w:tcW w:w="1114" w:type="dxa"/>
            <w:vAlign w:val="center"/>
          </w:tcPr>
          <w:p w14:paraId="48DFDC58">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ascii="Times New Roman" w:hAnsi="Times New Roman" w:eastAsia="Times New Roman" w:cs="Times New Roman"/>
                <w:snapToGrid w:val="0"/>
                <w:color w:val="000000"/>
                <w:spacing w:val="-4"/>
                <w:kern w:val="0"/>
                <w:sz w:val="21"/>
                <w:szCs w:val="21"/>
                <w:lang w:eastAsia="en-US"/>
                <w14:ligatures w14:val="none"/>
              </w:rPr>
              <w:t>39</w:t>
            </w:r>
            <w:r>
              <w:rPr>
                <w:rFonts w:hint="eastAsia" w:ascii="Times New Roman" w:hAnsi="Times New Roman" w:eastAsia="宋体" w:cs="Times New Roman"/>
                <w:snapToGrid w:val="0"/>
                <w:color w:val="000000"/>
                <w:spacing w:val="-4"/>
                <w:kern w:val="0"/>
                <w:sz w:val="21"/>
                <w:szCs w:val="21"/>
                <w:lang w:val="en-US" w:eastAsia="zh-CN"/>
                <w14:ligatures w14:val="none"/>
              </w:rPr>
              <w:t>4.98</w:t>
            </w:r>
          </w:p>
        </w:tc>
        <w:tc>
          <w:tcPr>
            <w:tcW w:w="1127" w:type="dxa"/>
            <w:tcBorders>
              <w:right w:val="single" w:color="000000" w:sz="10" w:space="0"/>
            </w:tcBorders>
            <w:vAlign w:val="center"/>
          </w:tcPr>
          <w:p w14:paraId="26EEED71">
            <w:pPr>
              <w:keepNext w:val="0"/>
              <w:keepLines w:val="0"/>
              <w:pageBreakBefore w:val="0"/>
              <w:widowControl/>
              <w:kinsoku w:val="0"/>
              <w:wordWrap/>
              <w:overflowPunct/>
              <w:topLinePunct w:val="0"/>
              <w:autoSpaceDE w:val="0"/>
              <w:autoSpaceDN w:val="0"/>
              <w:bidi w:val="0"/>
              <w:adjustRightInd w:val="0"/>
              <w:snapToGrid w:val="0"/>
              <w:spacing w:before="0" w:line="240" w:lineRule="auto"/>
              <w:ind w:left="0" w:right="0" w:firstLine="0"/>
              <w:jc w:val="center"/>
              <w:textAlignment w:val="baseline"/>
              <w:rPr>
                <w:rFonts w:ascii="Arial" w:hAnsi="Arial" w:eastAsia="Arial" w:cs="Arial"/>
                <w:snapToGrid w:val="0"/>
                <w:color w:val="000000"/>
                <w:kern w:val="0"/>
                <w:sz w:val="21"/>
                <w:szCs w:val="21"/>
                <w:lang w:val="en-US" w:eastAsia="en-US" w:bidi="ar-SA"/>
              </w:rPr>
            </w:pPr>
          </w:p>
        </w:tc>
      </w:tr>
      <w:tr w14:paraId="212A34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vAlign w:val="center"/>
          </w:tcPr>
          <w:p w14:paraId="00A7F794">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3</w:t>
            </w:r>
          </w:p>
        </w:tc>
        <w:tc>
          <w:tcPr>
            <w:tcW w:w="1581" w:type="dxa"/>
            <w:vAlign w:val="center"/>
          </w:tcPr>
          <w:p w14:paraId="6D16ACA5">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19"/>
                <w:kern w:val="0"/>
                <w:sz w:val="21"/>
                <w:szCs w:val="21"/>
                <w:lang w:eastAsia="en-US"/>
                <w14:ligatures w14:val="none"/>
              </w:rPr>
              <w:t>门</w:t>
            </w:r>
            <w:r>
              <w:rPr>
                <w:rFonts w:hint="eastAsia" w:ascii="宋体" w:hAnsi="宋体" w:eastAsia="宋体" w:cs="宋体"/>
                <w:snapToGrid w:val="0"/>
                <w:color w:val="000000"/>
                <w:spacing w:val="-19"/>
                <w:kern w:val="0"/>
                <w:sz w:val="21"/>
                <w:szCs w:val="21"/>
                <w:lang w:val="en-US" w:eastAsia="zh-CN"/>
                <w14:ligatures w14:val="none"/>
              </w:rPr>
              <w:t xml:space="preserve"> </w:t>
            </w:r>
            <w:r>
              <w:rPr>
                <w:rFonts w:ascii="宋体" w:hAnsi="宋体" w:eastAsia="宋体" w:cs="宋体"/>
                <w:snapToGrid w:val="0"/>
                <w:color w:val="000000"/>
                <w:spacing w:val="-19"/>
                <w:kern w:val="0"/>
                <w:sz w:val="21"/>
                <w:szCs w:val="21"/>
                <w:lang w:eastAsia="en-US"/>
                <w14:ligatures w14:val="none"/>
              </w:rPr>
              <w:t>卫</w:t>
            </w:r>
          </w:p>
        </w:tc>
        <w:tc>
          <w:tcPr>
            <w:tcW w:w="1230" w:type="dxa"/>
            <w:vAlign w:val="center"/>
          </w:tcPr>
          <w:p w14:paraId="6893AD97">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5"/>
                <w:kern w:val="0"/>
                <w:sz w:val="21"/>
                <w:szCs w:val="21"/>
                <w:lang w:eastAsia="en-US"/>
                <w14:ligatures w14:val="none"/>
              </w:rPr>
              <w:t>砖混</w:t>
            </w:r>
          </w:p>
        </w:tc>
        <w:tc>
          <w:tcPr>
            <w:tcW w:w="543" w:type="dxa"/>
            <w:vAlign w:val="center"/>
          </w:tcPr>
          <w:p w14:paraId="1F164F16">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1</w:t>
            </w:r>
          </w:p>
        </w:tc>
        <w:tc>
          <w:tcPr>
            <w:tcW w:w="876" w:type="dxa"/>
            <w:vAlign w:val="center"/>
          </w:tcPr>
          <w:p w14:paraId="07624B8D">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二级</w:t>
            </w:r>
          </w:p>
        </w:tc>
        <w:tc>
          <w:tcPr>
            <w:tcW w:w="1118" w:type="dxa"/>
            <w:vAlign w:val="center"/>
          </w:tcPr>
          <w:p w14:paraId="729F71F9">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17"/>
                <w:kern w:val="0"/>
                <w:sz w:val="21"/>
                <w:szCs w:val="21"/>
                <w:lang w:eastAsia="en-US"/>
                <w14:ligatures w14:val="none"/>
              </w:rPr>
              <w:t>民建</w:t>
            </w:r>
          </w:p>
        </w:tc>
        <w:tc>
          <w:tcPr>
            <w:tcW w:w="1118" w:type="dxa"/>
            <w:vAlign w:val="center"/>
          </w:tcPr>
          <w:p w14:paraId="461AD31B">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spacing w:val="-1"/>
                <w:kern w:val="0"/>
                <w:sz w:val="21"/>
                <w:szCs w:val="21"/>
                <w:lang w:eastAsia="en-US"/>
                <w14:ligatures w14:val="none"/>
              </w:rPr>
              <w:t>48.4</w:t>
            </w:r>
          </w:p>
        </w:tc>
        <w:tc>
          <w:tcPr>
            <w:tcW w:w="1114" w:type="dxa"/>
            <w:vAlign w:val="center"/>
          </w:tcPr>
          <w:p w14:paraId="5723C878">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spacing w:val="-1"/>
                <w:kern w:val="0"/>
                <w:sz w:val="21"/>
                <w:szCs w:val="21"/>
                <w:lang w:eastAsia="en-US"/>
                <w14:ligatures w14:val="none"/>
              </w:rPr>
              <w:t>48.4</w:t>
            </w:r>
          </w:p>
        </w:tc>
        <w:tc>
          <w:tcPr>
            <w:tcW w:w="1127" w:type="dxa"/>
            <w:tcBorders>
              <w:right w:val="single" w:color="000000" w:sz="10" w:space="0"/>
            </w:tcBorders>
            <w:vAlign w:val="center"/>
          </w:tcPr>
          <w:p w14:paraId="01B28EC2">
            <w:pPr>
              <w:keepNext w:val="0"/>
              <w:keepLines w:val="0"/>
              <w:pageBreakBefore w:val="0"/>
              <w:widowControl/>
              <w:kinsoku w:val="0"/>
              <w:wordWrap/>
              <w:overflowPunct/>
              <w:topLinePunct w:val="0"/>
              <w:autoSpaceDE w:val="0"/>
              <w:autoSpaceDN w:val="0"/>
              <w:bidi w:val="0"/>
              <w:adjustRightInd w:val="0"/>
              <w:snapToGrid w:val="0"/>
              <w:spacing w:before="0" w:line="240" w:lineRule="auto"/>
              <w:ind w:left="0" w:right="0" w:firstLine="0"/>
              <w:jc w:val="center"/>
              <w:textAlignment w:val="baseline"/>
              <w:rPr>
                <w:rFonts w:ascii="Arial" w:hAnsi="Arial" w:eastAsia="Arial" w:cs="Arial"/>
                <w:snapToGrid w:val="0"/>
                <w:color w:val="000000"/>
                <w:kern w:val="0"/>
                <w:sz w:val="21"/>
                <w:szCs w:val="21"/>
                <w:lang w:val="en-US" w:eastAsia="en-US" w:bidi="ar-SA"/>
              </w:rPr>
            </w:pPr>
          </w:p>
        </w:tc>
      </w:tr>
      <w:tr w14:paraId="079DAF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vAlign w:val="center"/>
          </w:tcPr>
          <w:p w14:paraId="447361AF">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4</w:t>
            </w:r>
          </w:p>
        </w:tc>
        <w:tc>
          <w:tcPr>
            <w:tcW w:w="1581" w:type="dxa"/>
            <w:vAlign w:val="center"/>
          </w:tcPr>
          <w:p w14:paraId="76D11511">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4"/>
                <w:kern w:val="0"/>
                <w:sz w:val="21"/>
                <w:szCs w:val="21"/>
                <w:lang w:eastAsia="en-US"/>
                <w14:ligatures w14:val="none"/>
              </w:rPr>
              <w:t>公用工程房</w:t>
            </w:r>
          </w:p>
        </w:tc>
        <w:tc>
          <w:tcPr>
            <w:tcW w:w="1230" w:type="dxa"/>
            <w:vAlign w:val="center"/>
          </w:tcPr>
          <w:p w14:paraId="64C9D637">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5"/>
                <w:kern w:val="0"/>
                <w:sz w:val="21"/>
                <w:szCs w:val="21"/>
                <w:lang w:eastAsia="en-US"/>
                <w14:ligatures w14:val="none"/>
              </w:rPr>
              <w:t>砖混</w:t>
            </w:r>
          </w:p>
        </w:tc>
        <w:tc>
          <w:tcPr>
            <w:tcW w:w="543" w:type="dxa"/>
            <w:vAlign w:val="center"/>
          </w:tcPr>
          <w:p w14:paraId="5A22EEDD">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1</w:t>
            </w:r>
          </w:p>
        </w:tc>
        <w:tc>
          <w:tcPr>
            <w:tcW w:w="876" w:type="dxa"/>
            <w:vAlign w:val="center"/>
          </w:tcPr>
          <w:p w14:paraId="245DFC90">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二级</w:t>
            </w:r>
          </w:p>
        </w:tc>
        <w:tc>
          <w:tcPr>
            <w:tcW w:w="1118" w:type="dxa"/>
            <w:vAlign w:val="center"/>
          </w:tcPr>
          <w:p w14:paraId="07AD3A41">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丁类</w:t>
            </w:r>
          </w:p>
        </w:tc>
        <w:tc>
          <w:tcPr>
            <w:tcW w:w="1118" w:type="dxa"/>
            <w:vAlign w:val="center"/>
          </w:tcPr>
          <w:p w14:paraId="4E80B402">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ascii="Times New Roman" w:hAnsi="Times New Roman" w:eastAsia="Times New Roman" w:cs="Times New Roman"/>
                <w:snapToGrid w:val="0"/>
                <w:color w:val="000000"/>
                <w:spacing w:val="-4"/>
                <w:kern w:val="0"/>
                <w:sz w:val="21"/>
                <w:szCs w:val="21"/>
                <w:lang w:eastAsia="en-US"/>
                <w14:ligatures w14:val="none"/>
              </w:rPr>
              <w:t>305</w:t>
            </w:r>
            <w:r>
              <w:rPr>
                <w:rFonts w:hint="eastAsia" w:ascii="Times New Roman" w:hAnsi="Times New Roman" w:eastAsia="宋体" w:cs="Times New Roman"/>
                <w:snapToGrid w:val="0"/>
                <w:color w:val="000000"/>
                <w:spacing w:val="-4"/>
                <w:kern w:val="0"/>
                <w:sz w:val="21"/>
                <w:szCs w:val="21"/>
                <w:lang w:val="en-US" w:eastAsia="zh-CN"/>
                <w14:ligatures w14:val="none"/>
              </w:rPr>
              <w:t>.17</w:t>
            </w:r>
          </w:p>
        </w:tc>
        <w:tc>
          <w:tcPr>
            <w:tcW w:w="1114" w:type="dxa"/>
            <w:vAlign w:val="center"/>
          </w:tcPr>
          <w:p w14:paraId="62552766">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ascii="Times New Roman" w:hAnsi="Times New Roman" w:eastAsia="Times New Roman" w:cs="Times New Roman"/>
                <w:snapToGrid w:val="0"/>
                <w:color w:val="000000"/>
                <w:spacing w:val="-4"/>
                <w:kern w:val="0"/>
                <w:sz w:val="21"/>
                <w:szCs w:val="21"/>
                <w:lang w:eastAsia="en-US"/>
                <w14:ligatures w14:val="none"/>
              </w:rPr>
              <w:t>305</w:t>
            </w:r>
            <w:r>
              <w:rPr>
                <w:rFonts w:hint="eastAsia" w:ascii="Times New Roman" w:hAnsi="Times New Roman" w:eastAsia="宋体" w:cs="Times New Roman"/>
                <w:snapToGrid w:val="0"/>
                <w:color w:val="000000"/>
                <w:spacing w:val="-4"/>
                <w:kern w:val="0"/>
                <w:sz w:val="21"/>
                <w:szCs w:val="21"/>
                <w:lang w:val="en-US" w:eastAsia="zh-CN"/>
                <w14:ligatures w14:val="none"/>
              </w:rPr>
              <w:t>.17</w:t>
            </w:r>
          </w:p>
        </w:tc>
        <w:tc>
          <w:tcPr>
            <w:tcW w:w="1127" w:type="dxa"/>
            <w:tcBorders>
              <w:right w:val="single" w:color="000000" w:sz="10" w:space="0"/>
            </w:tcBorders>
            <w:vAlign w:val="center"/>
          </w:tcPr>
          <w:p w14:paraId="75E8710F">
            <w:pPr>
              <w:keepNext w:val="0"/>
              <w:keepLines w:val="0"/>
              <w:pageBreakBefore w:val="0"/>
              <w:widowControl/>
              <w:kinsoku w:val="0"/>
              <w:wordWrap/>
              <w:overflowPunct/>
              <w:topLinePunct w:val="0"/>
              <w:autoSpaceDE w:val="0"/>
              <w:autoSpaceDN w:val="0"/>
              <w:bidi w:val="0"/>
              <w:adjustRightInd w:val="0"/>
              <w:snapToGrid w:val="0"/>
              <w:spacing w:before="0" w:line="240" w:lineRule="auto"/>
              <w:ind w:left="0" w:right="0" w:firstLine="0"/>
              <w:jc w:val="center"/>
              <w:textAlignment w:val="baseline"/>
              <w:rPr>
                <w:rFonts w:ascii="Arial" w:hAnsi="Arial" w:eastAsia="Arial" w:cs="Arial"/>
                <w:snapToGrid w:val="0"/>
                <w:color w:val="000000"/>
                <w:kern w:val="0"/>
                <w:sz w:val="21"/>
                <w:szCs w:val="21"/>
                <w:lang w:val="en-US" w:eastAsia="en-US" w:bidi="ar-SA"/>
              </w:rPr>
            </w:pPr>
          </w:p>
        </w:tc>
      </w:tr>
      <w:tr w14:paraId="57B3B4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shd w:val="clear" w:color="auto" w:fill="auto"/>
            <w:vAlign w:val="center"/>
          </w:tcPr>
          <w:p w14:paraId="2E4D3FBC">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Times New Roman" w:hAnsi="Times New Roman" w:eastAsia="Times New Roman" w:cs="Times New Roman"/>
                <w:snapToGrid w:val="0"/>
                <w:color w:val="000000"/>
                <w:kern w:val="0"/>
                <w:sz w:val="21"/>
                <w:szCs w:val="21"/>
                <w:lang w:val="en-US" w:eastAsia="en-US" w:bidi="ar-SA"/>
                <w14:ligatures w14:val="none"/>
              </w:rPr>
            </w:pPr>
            <w:r>
              <w:rPr>
                <w:rFonts w:ascii="Times New Roman" w:hAnsi="Times New Roman" w:eastAsia="Times New Roman" w:cs="Times New Roman"/>
                <w:snapToGrid w:val="0"/>
                <w:color w:val="000000"/>
                <w:kern w:val="0"/>
                <w:sz w:val="21"/>
                <w:szCs w:val="21"/>
                <w:lang w:eastAsia="en-US"/>
                <w14:ligatures w14:val="none"/>
              </w:rPr>
              <w:t>5</w:t>
            </w:r>
          </w:p>
        </w:tc>
        <w:tc>
          <w:tcPr>
            <w:tcW w:w="1581" w:type="dxa"/>
            <w:vAlign w:val="center"/>
          </w:tcPr>
          <w:p w14:paraId="758EE780">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eastAsia" w:ascii="宋体" w:hAnsi="宋体" w:eastAsia="宋体" w:cs="宋体"/>
                <w:snapToGrid w:val="0"/>
                <w:color w:val="000000"/>
                <w:spacing w:val="-4"/>
                <w:kern w:val="0"/>
                <w:sz w:val="21"/>
                <w:szCs w:val="21"/>
                <w:lang w:val="en-US" w:eastAsia="zh-CN"/>
                <w14:ligatures w14:val="none"/>
              </w:rPr>
            </w:pPr>
            <w:r>
              <w:rPr>
                <w:rFonts w:hint="eastAsia" w:ascii="宋体" w:hAnsi="宋体" w:eastAsia="宋体" w:cs="宋体"/>
                <w:snapToGrid w:val="0"/>
                <w:color w:val="000000"/>
                <w:spacing w:val="-4"/>
                <w:kern w:val="0"/>
                <w:sz w:val="21"/>
                <w:szCs w:val="21"/>
                <w:lang w:val="en-US" w:eastAsia="zh-CN"/>
                <w14:ligatures w14:val="none"/>
              </w:rPr>
              <w:t>工具库</w:t>
            </w:r>
          </w:p>
        </w:tc>
        <w:tc>
          <w:tcPr>
            <w:tcW w:w="1230" w:type="dxa"/>
            <w:vAlign w:val="center"/>
          </w:tcPr>
          <w:p w14:paraId="357236DA">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宋体" w:hAnsi="宋体" w:eastAsia="宋体" w:cs="宋体"/>
                <w:snapToGrid w:val="0"/>
                <w:color w:val="000000"/>
                <w:spacing w:val="-5"/>
                <w:kern w:val="0"/>
                <w:sz w:val="21"/>
                <w:szCs w:val="21"/>
                <w:lang w:eastAsia="en-US"/>
                <w14:ligatures w14:val="none"/>
              </w:rPr>
            </w:pPr>
            <w:r>
              <w:rPr>
                <w:rFonts w:ascii="宋体" w:hAnsi="宋体" w:eastAsia="宋体" w:cs="宋体"/>
                <w:snapToGrid w:val="0"/>
                <w:color w:val="000000"/>
                <w:spacing w:val="-5"/>
                <w:kern w:val="0"/>
                <w:sz w:val="21"/>
                <w:szCs w:val="21"/>
                <w:lang w:eastAsia="en-US"/>
                <w14:ligatures w14:val="none"/>
              </w:rPr>
              <w:t>砖混</w:t>
            </w:r>
          </w:p>
        </w:tc>
        <w:tc>
          <w:tcPr>
            <w:tcW w:w="543" w:type="dxa"/>
            <w:vAlign w:val="center"/>
          </w:tcPr>
          <w:p w14:paraId="338EF533">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1</w:t>
            </w:r>
          </w:p>
        </w:tc>
        <w:tc>
          <w:tcPr>
            <w:tcW w:w="876" w:type="dxa"/>
            <w:vAlign w:val="center"/>
          </w:tcPr>
          <w:p w14:paraId="0E0BECE7">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宋体" w:hAnsi="宋体" w:eastAsia="宋体" w:cs="宋体"/>
                <w:snapToGrid w:val="0"/>
                <w:color w:val="000000"/>
                <w:spacing w:val="-7"/>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二级</w:t>
            </w:r>
          </w:p>
        </w:tc>
        <w:tc>
          <w:tcPr>
            <w:tcW w:w="1118" w:type="dxa"/>
            <w:vAlign w:val="center"/>
          </w:tcPr>
          <w:p w14:paraId="3BF57FC4">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宋体" w:hAnsi="宋体" w:eastAsia="宋体" w:cs="宋体"/>
                <w:snapToGrid w:val="0"/>
                <w:color w:val="000000"/>
                <w:spacing w:val="-7"/>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丁类</w:t>
            </w:r>
          </w:p>
        </w:tc>
        <w:tc>
          <w:tcPr>
            <w:tcW w:w="1118" w:type="dxa"/>
            <w:vAlign w:val="center"/>
          </w:tcPr>
          <w:p w14:paraId="678265DD">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hint="default" w:ascii="Times New Roman" w:hAnsi="Times New Roman" w:eastAsia="宋体" w:cs="Times New Roman"/>
                <w:snapToGrid w:val="0"/>
                <w:color w:val="000000"/>
                <w:spacing w:val="-4"/>
                <w:kern w:val="0"/>
                <w:sz w:val="21"/>
                <w:szCs w:val="21"/>
                <w:lang w:val="en-US" w:eastAsia="zh-CN"/>
                <w14:ligatures w14:val="none"/>
              </w:rPr>
            </w:pPr>
            <w:r>
              <w:rPr>
                <w:rFonts w:hint="eastAsia" w:ascii="Times New Roman" w:hAnsi="Times New Roman" w:eastAsia="宋体" w:cs="Times New Roman"/>
                <w:snapToGrid w:val="0"/>
                <w:color w:val="000000"/>
                <w:spacing w:val="-4"/>
                <w:kern w:val="0"/>
                <w:sz w:val="21"/>
                <w:szCs w:val="21"/>
                <w:lang w:val="en-US" w:eastAsia="zh-CN"/>
                <w14:ligatures w14:val="none"/>
              </w:rPr>
              <w:t>80</w:t>
            </w:r>
          </w:p>
        </w:tc>
        <w:tc>
          <w:tcPr>
            <w:tcW w:w="1114" w:type="dxa"/>
            <w:vAlign w:val="center"/>
          </w:tcPr>
          <w:p w14:paraId="15DF1EFE">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hint="default" w:ascii="Times New Roman" w:hAnsi="Times New Roman" w:eastAsia="宋体" w:cs="Times New Roman"/>
                <w:snapToGrid w:val="0"/>
                <w:color w:val="000000"/>
                <w:spacing w:val="-4"/>
                <w:kern w:val="0"/>
                <w:sz w:val="21"/>
                <w:szCs w:val="21"/>
                <w:lang w:val="en-US" w:eastAsia="zh-CN"/>
                <w14:ligatures w14:val="none"/>
              </w:rPr>
            </w:pPr>
            <w:r>
              <w:rPr>
                <w:rFonts w:hint="eastAsia" w:ascii="Times New Roman" w:hAnsi="Times New Roman" w:eastAsia="宋体" w:cs="Times New Roman"/>
                <w:snapToGrid w:val="0"/>
                <w:color w:val="000000"/>
                <w:spacing w:val="-4"/>
                <w:kern w:val="0"/>
                <w:sz w:val="21"/>
                <w:szCs w:val="21"/>
                <w:lang w:val="en-US" w:eastAsia="zh-CN"/>
                <w14:ligatures w14:val="none"/>
              </w:rPr>
              <w:t>80</w:t>
            </w:r>
          </w:p>
        </w:tc>
        <w:tc>
          <w:tcPr>
            <w:tcW w:w="1127" w:type="dxa"/>
            <w:tcBorders>
              <w:right w:val="single" w:color="000000" w:sz="10" w:space="0"/>
            </w:tcBorders>
            <w:vAlign w:val="center"/>
          </w:tcPr>
          <w:p w14:paraId="63A20984">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default"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内含柴油发电机间</w:t>
            </w:r>
          </w:p>
        </w:tc>
      </w:tr>
      <w:tr w14:paraId="4B54CA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shd w:val="clear" w:color="auto" w:fill="auto"/>
            <w:vAlign w:val="center"/>
          </w:tcPr>
          <w:p w14:paraId="09D57A21">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Times New Roman" w:hAnsi="Times New Roman" w:eastAsia="Times New Roman" w:cs="Times New Roman"/>
                <w:snapToGrid w:val="0"/>
                <w:color w:val="000000"/>
                <w:kern w:val="0"/>
                <w:sz w:val="21"/>
                <w:szCs w:val="21"/>
                <w:lang w:val="en-US" w:eastAsia="en-US" w:bidi="ar-SA"/>
                <w14:ligatures w14:val="none"/>
              </w:rPr>
            </w:pPr>
            <w:r>
              <w:rPr>
                <w:rFonts w:ascii="Times New Roman" w:hAnsi="Times New Roman" w:eastAsia="Times New Roman" w:cs="Times New Roman"/>
                <w:snapToGrid w:val="0"/>
                <w:color w:val="000000"/>
                <w:kern w:val="0"/>
                <w:sz w:val="21"/>
                <w:szCs w:val="21"/>
                <w:lang w:eastAsia="en-US"/>
                <w14:ligatures w14:val="none"/>
              </w:rPr>
              <w:t>6</w:t>
            </w:r>
          </w:p>
        </w:tc>
        <w:tc>
          <w:tcPr>
            <w:tcW w:w="1581" w:type="dxa"/>
            <w:vAlign w:val="center"/>
          </w:tcPr>
          <w:p w14:paraId="398CC198">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4"/>
                <w:kern w:val="0"/>
                <w:sz w:val="21"/>
                <w:szCs w:val="21"/>
                <w:lang w:eastAsia="en-US"/>
                <w14:ligatures w14:val="none"/>
              </w:rPr>
              <w:t>消防水池</w:t>
            </w:r>
          </w:p>
        </w:tc>
        <w:tc>
          <w:tcPr>
            <w:tcW w:w="1230" w:type="dxa"/>
            <w:vAlign w:val="center"/>
          </w:tcPr>
          <w:p w14:paraId="24C4B47F">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543" w:type="dxa"/>
            <w:vAlign w:val="center"/>
          </w:tcPr>
          <w:p w14:paraId="16C65479">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876" w:type="dxa"/>
            <w:vAlign w:val="center"/>
          </w:tcPr>
          <w:p w14:paraId="5F4F842F">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1118" w:type="dxa"/>
            <w:vAlign w:val="center"/>
          </w:tcPr>
          <w:p w14:paraId="7E5E0A9F">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6"/>
                <w:kern w:val="0"/>
                <w:sz w:val="21"/>
                <w:szCs w:val="21"/>
                <w:lang w:eastAsia="en-US"/>
                <w14:ligatures w14:val="none"/>
              </w:rPr>
              <w:t>戊类</w:t>
            </w:r>
          </w:p>
        </w:tc>
        <w:tc>
          <w:tcPr>
            <w:tcW w:w="1118" w:type="dxa"/>
            <w:vAlign w:val="center"/>
          </w:tcPr>
          <w:p w14:paraId="42024817">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ascii="Times New Roman" w:hAnsi="Times New Roman" w:eastAsia="Times New Roman" w:cs="Times New Roman"/>
                <w:snapToGrid w:val="0"/>
                <w:color w:val="000000"/>
                <w:spacing w:val="-2"/>
                <w:kern w:val="0"/>
                <w:sz w:val="21"/>
                <w:szCs w:val="21"/>
                <w:lang w:eastAsia="en-US"/>
                <w14:ligatures w14:val="none"/>
              </w:rPr>
              <w:t>43</w:t>
            </w:r>
            <w:r>
              <w:rPr>
                <w:rFonts w:hint="eastAsia" w:ascii="Times New Roman" w:hAnsi="Times New Roman" w:eastAsia="宋体" w:cs="Times New Roman"/>
                <w:snapToGrid w:val="0"/>
                <w:color w:val="000000"/>
                <w:spacing w:val="-2"/>
                <w:kern w:val="0"/>
                <w:sz w:val="21"/>
                <w:szCs w:val="21"/>
                <w:lang w:val="en-US" w:eastAsia="zh-CN"/>
                <w14:ligatures w14:val="none"/>
              </w:rPr>
              <w:t>8.59</w:t>
            </w:r>
          </w:p>
        </w:tc>
        <w:tc>
          <w:tcPr>
            <w:tcW w:w="1114" w:type="dxa"/>
            <w:vAlign w:val="center"/>
          </w:tcPr>
          <w:p w14:paraId="4D23FED3">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1127" w:type="dxa"/>
            <w:tcBorders>
              <w:right w:val="single" w:color="000000" w:sz="10" w:space="0"/>
            </w:tcBorders>
            <w:vAlign w:val="center"/>
          </w:tcPr>
          <w:p w14:paraId="544094C8">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default" w:ascii="Arial" w:hAnsi="Arial" w:eastAsia="宋体" w:cs="Arial"/>
                <w:snapToGrid w:val="0"/>
                <w:color w:val="000000"/>
                <w:kern w:val="0"/>
                <w:sz w:val="21"/>
                <w:szCs w:val="21"/>
                <w:lang w:val="en-US" w:eastAsia="zh-CN" w:bidi="ar-SA"/>
              </w:rPr>
            </w:pPr>
            <w:r>
              <w:rPr>
                <w:rFonts w:hint="default" w:ascii="Times New Roman" w:hAnsi="Times New Roman" w:eastAsia="宋体" w:cs="Times New Roman"/>
                <w:snapToGrid w:val="0"/>
                <w:color w:val="000000"/>
                <w:kern w:val="0"/>
                <w:sz w:val="21"/>
                <w:szCs w:val="21"/>
                <w:lang w:val="en-US" w:eastAsia="zh-CN" w:bidi="ar-SA"/>
              </w:rPr>
              <w:t>2座地下消防水池</w:t>
            </w:r>
          </w:p>
        </w:tc>
      </w:tr>
      <w:tr w14:paraId="5FA3C2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shd w:val="clear" w:color="auto" w:fill="auto"/>
            <w:vAlign w:val="center"/>
          </w:tcPr>
          <w:p w14:paraId="1366563D">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Times New Roman" w:hAnsi="Times New Roman" w:eastAsia="Times New Roman" w:cs="Times New Roman"/>
                <w:snapToGrid w:val="0"/>
                <w:color w:val="000000"/>
                <w:kern w:val="0"/>
                <w:sz w:val="21"/>
                <w:szCs w:val="21"/>
                <w:lang w:val="en-US" w:eastAsia="en-US" w:bidi="ar-SA"/>
                <w14:ligatures w14:val="none"/>
              </w:rPr>
            </w:pPr>
            <w:r>
              <w:rPr>
                <w:rFonts w:ascii="Times New Roman" w:hAnsi="Times New Roman" w:eastAsia="Times New Roman" w:cs="Times New Roman"/>
                <w:snapToGrid w:val="0"/>
                <w:color w:val="000000"/>
                <w:kern w:val="0"/>
                <w:sz w:val="21"/>
                <w:szCs w:val="21"/>
                <w:lang w:eastAsia="en-US"/>
                <w14:ligatures w14:val="none"/>
              </w:rPr>
              <w:t>7</w:t>
            </w:r>
          </w:p>
        </w:tc>
        <w:tc>
          <w:tcPr>
            <w:tcW w:w="1581" w:type="dxa"/>
            <w:vAlign w:val="center"/>
          </w:tcPr>
          <w:p w14:paraId="561BF4F8">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6"/>
                <w:kern w:val="0"/>
                <w:sz w:val="21"/>
                <w:szCs w:val="21"/>
                <w:lang w:eastAsia="en-US"/>
                <w14:ligatures w14:val="none"/>
              </w:rPr>
              <w:t>泵房</w:t>
            </w:r>
          </w:p>
        </w:tc>
        <w:tc>
          <w:tcPr>
            <w:tcW w:w="1230" w:type="dxa"/>
            <w:vAlign w:val="center"/>
          </w:tcPr>
          <w:p w14:paraId="3F88A0B6">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5"/>
                <w:kern w:val="0"/>
                <w:sz w:val="21"/>
                <w:szCs w:val="21"/>
                <w:lang w:eastAsia="en-US"/>
                <w14:ligatures w14:val="none"/>
              </w:rPr>
              <w:t>砖混</w:t>
            </w:r>
          </w:p>
        </w:tc>
        <w:tc>
          <w:tcPr>
            <w:tcW w:w="543" w:type="dxa"/>
            <w:vAlign w:val="center"/>
          </w:tcPr>
          <w:p w14:paraId="1C12F973">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1</w:t>
            </w:r>
          </w:p>
        </w:tc>
        <w:tc>
          <w:tcPr>
            <w:tcW w:w="876" w:type="dxa"/>
            <w:vAlign w:val="center"/>
          </w:tcPr>
          <w:p w14:paraId="2F77BA91">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二级</w:t>
            </w:r>
          </w:p>
        </w:tc>
        <w:tc>
          <w:tcPr>
            <w:tcW w:w="1118" w:type="dxa"/>
            <w:vAlign w:val="center"/>
          </w:tcPr>
          <w:p w14:paraId="3E9247D7">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17"/>
                <w:kern w:val="0"/>
                <w:sz w:val="21"/>
                <w:szCs w:val="21"/>
                <w:lang w:eastAsia="en-US"/>
                <w14:ligatures w14:val="none"/>
              </w:rPr>
              <w:t>乙类</w:t>
            </w:r>
          </w:p>
        </w:tc>
        <w:tc>
          <w:tcPr>
            <w:tcW w:w="1118" w:type="dxa"/>
            <w:vAlign w:val="center"/>
          </w:tcPr>
          <w:p w14:paraId="00E345B5">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spacing w:val="-10"/>
                <w:kern w:val="0"/>
                <w:sz w:val="21"/>
                <w:szCs w:val="21"/>
                <w:lang w:val="en-US" w:eastAsia="zh-CN"/>
                <w14:ligatures w14:val="none"/>
              </w:rPr>
              <w:t>169.57</w:t>
            </w:r>
          </w:p>
        </w:tc>
        <w:tc>
          <w:tcPr>
            <w:tcW w:w="1114" w:type="dxa"/>
            <w:vAlign w:val="center"/>
          </w:tcPr>
          <w:p w14:paraId="6BB65815">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spacing w:val="-10"/>
                <w:kern w:val="0"/>
                <w:sz w:val="21"/>
                <w:szCs w:val="21"/>
                <w:lang w:val="en-US" w:eastAsia="zh-CN"/>
                <w14:ligatures w14:val="none"/>
              </w:rPr>
              <w:t>169.57</w:t>
            </w:r>
          </w:p>
        </w:tc>
        <w:tc>
          <w:tcPr>
            <w:tcW w:w="1127" w:type="dxa"/>
            <w:tcBorders>
              <w:right w:val="single" w:color="000000" w:sz="10" w:space="0"/>
            </w:tcBorders>
            <w:vAlign w:val="center"/>
          </w:tcPr>
          <w:p w14:paraId="7F65E259">
            <w:pPr>
              <w:keepNext w:val="0"/>
              <w:keepLines w:val="0"/>
              <w:pageBreakBefore w:val="0"/>
              <w:widowControl/>
              <w:kinsoku w:val="0"/>
              <w:wordWrap/>
              <w:overflowPunct/>
              <w:topLinePunct w:val="0"/>
              <w:autoSpaceDE w:val="0"/>
              <w:autoSpaceDN w:val="0"/>
              <w:bidi w:val="0"/>
              <w:adjustRightInd w:val="0"/>
              <w:snapToGrid w:val="0"/>
              <w:spacing w:before="0" w:line="240" w:lineRule="auto"/>
              <w:ind w:left="0" w:right="0" w:firstLine="0"/>
              <w:jc w:val="center"/>
              <w:textAlignment w:val="baseline"/>
              <w:rPr>
                <w:rFonts w:ascii="Arial" w:hAnsi="Arial" w:eastAsia="Arial" w:cs="Arial"/>
                <w:snapToGrid w:val="0"/>
                <w:color w:val="000000"/>
                <w:kern w:val="0"/>
                <w:sz w:val="21"/>
                <w:szCs w:val="21"/>
                <w:lang w:val="en-US" w:eastAsia="en-US" w:bidi="ar-SA"/>
              </w:rPr>
            </w:pPr>
          </w:p>
        </w:tc>
      </w:tr>
      <w:tr w14:paraId="490AC6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shd w:val="clear" w:color="auto" w:fill="auto"/>
            <w:vAlign w:val="center"/>
          </w:tcPr>
          <w:p w14:paraId="5755E4ED">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Times New Roman" w:hAnsi="Times New Roman" w:eastAsia="Times New Roman" w:cs="Times New Roman"/>
                <w:snapToGrid w:val="0"/>
                <w:color w:val="000000"/>
                <w:kern w:val="0"/>
                <w:sz w:val="21"/>
                <w:szCs w:val="21"/>
                <w:lang w:val="en-US" w:eastAsia="en-US" w:bidi="ar-SA"/>
                <w14:ligatures w14:val="none"/>
              </w:rPr>
            </w:pPr>
            <w:r>
              <w:rPr>
                <w:rFonts w:ascii="Times New Roman" w:hAnsi="Times New Roman" w:eastAsia="Times New Roman" w:cs="Times New Roman"/>
                <w:snapToGrid w:val="0"/>
                <w:color w:val="000000"/>
                <w:kern w:val="0"/>
                <w:sz w:val="21"/>
                <w:szCs w:val="21"/>
                <w:lang w:eastAsia="en-US"/>
                <w14:ligatures w14:val="none"/>
              </w:rPr>
              <w:t>8</w:t>
            </w:r>
          </w:p>
        </w:tc>
        <w:tc>
          <w:tcPr>
            <w:tcW w:w="1581" w:type="dxa"/>
            <w:vAlign w:val="center"/>
          </w:tcPr>
          <w:p w14:paraId="62B4BB60">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3"/>
                <w:kern w:val="0"/>
                <w:sz w:val="21"/>
                <w:szCs w:val="21"/>
                <w:lang w:eastAsia="en-US"/>
                <w14:ligatures w14:val="none"/>
              </w:rPr>
              <w:t>装卸车棚</w:t>
            </w:r>
          </w:p>
        </w:tc>
        <w:tc>
          <w:tcPr>
            <w:tcW w:w="1230" w:type="dxa"/>
            <w:vAlign w:val="center"/>
          </w:tcPr>
          <w:p w14:paraId="60216C46">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3"/>
                <w:kern w:val="0"/>
                <w:sz w:val="21"/>
                <w:szCs w:val="21"/>
                <w:lang w:eastAsia="en-US"/>
                <w14:ligatures w14:val="none"/>
              </w:rPr>
              <w:t>钢结构</w:t>
            </w:r>
          </w:p>
        </w:tc>
        <w:tc>
          <w:tcPr>
            <w:tcW w:w="543" w:type="dxa"/>
            <w:vAlign w:val="center"/>
          </w:tcPr>
          <w:p w14:paraId="5C6D19C1">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1</w:t>
            </w:r>
          </w:p>
        </w:tc>
        <w:tc>
          <w:tcPr>
            <w:tcW w:w="876" w:type="dxa"/>
            <w:vAlign w:val="center"/>
          </w:tcPr>
          <w:p w14:paraId="2D55AC55">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二级</w:t>
            </w:r>
          </w:p>
        </w:tc>
        <w:tc>
          <w:tcPr>
            <w:tcW w:w="1118" w:type="dxa"/>
            <w:vAlign w:val="center"/>
          </w:tcPr>
          <w:p w14:paraId="15CF1EDC">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17"/>
                <w:kern w:val="0"/>
                <w:sz w:val="21"/>
                <w:szCs w:val="21"/>
                <w:lang w:eastAsia="en-US"/>
                <w14:ligatures w14:val="none"/>
              </w:rPr>
              <w:t>乙类</w:t>
            </w:r>
          </w:p>
        </w:tc>
        <w:tc>
          <w:tcPr>
            <w:tcW w:w="1118" w:type="dxa"/>
            <w:vAlign w:val="center"/>
          </w:tcPr>
          <w:p w14:paraId="20454EDE">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ascii="Times New Roman" w:hAnsi="Times New Roman" w:eastAsia="Times New Roman" w:cs="Times New Roman"/>
                <w:snapToGrid w:val="0"/>
                <w:color w:val="000000"/>
                <w:spacing w:val="-2"/>
                <w:kern w:val="0"/>
                <w:sz w:val="21"/>
                <w:szCs w:val="21"/>
                <w:lang w:eastAsia="en-US"/>
                <w14:ligatures w14:val="none"/>
              </w:rPr>
              <w:t>47</w:t>
            </w:r>
            <w:r>
              <w:rPr>
                <w:rFonts w:hint="eastAsia" w:ascii="Times New Roman" w:hAnsi="Times New Roman" w:eastAsia="宋体" w:cs="Times New Roman"/>
                <w:snapToGrid w:val="0"/>
                <w:color w:val="000000"/>
                <w:spacing w:val="-2"/>
                <w:kern w:val="0"/>
                <w:sz w:val="21"/>
                <w:szCs w:val="21"/>
                <w:lang w:val="en-US" w:eastAsia="zh-CN"/>
                <w14:ligatures w14:val="none"/>
              </w:rPr>
              <w:t>1.84</w:t>
            </w:r>
          </w:p>
        </w:tc>
        <w:tc>
          <w:tcPr>
            <w:tcW w:w="1114" w:type="dxa"/>
            <w:vAlign w:val="center"/>
          </w:tcPr>
          <w:p w14:paraId="696A5679">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ascii="Times New Roman" w:hAnsi="Times New Roman" w:eastAsia="Times New Roman" w:cs="Times New Roman"/>
                <w:snapToGrid w:val="0"/>
                <w:color w:val="000000"/>
                <w:spacing w:val="-2"/>
                <w:kern w:val="0"/>
                <w:sz w:val="21"/>
                <w:szCs w:val="21"/>
                <w:lang w:eastAsia="en-US"/>
                <w14:ligatures w14:val="none"/>
              </w:rPr>
              <w:t>23</w:t>
            </w:r>
            <w:r>
              <w:rPr>
                <w:rFonts w:hint="eastAsia" w:ascii="Times New Roman" w:hAnsi="Times New Roman" w:eastAsia="宋体" w:cs="Times New Roman"/>
                <w:snapToGrid w:val="0"/>
                <w:color w:val="000000"/>
                <w:spacing w:val="-2"/>
                <w:kern w:val="0"/>
                <w:sz w:val="21"/>
                <w:szCs w:val="21"/>
                <w:lang w:val="en-US" w:eastAsia="zh-CN"/>
                <w14:ligatures w14:val="none"/>
              </w:rPr>
              <w:t>5.92</w:t>
            </w:r>
          </w:p>
        </w:tc>
        <w:tc>
          <w:tcPr>
            <w:tcW w:w="1127" w:type="dxa"/>
            <w:tcBorders>
              <w:right w:val="single" w:color="000000" w:sz="10" w:space="0"/>
            </w:tcBorders>
            <w:vAlign w:val="center"/>
          </w:tcPr>
          <w:p w14:paraId="6A4E3EDA">
            <w:pPr>
              <w:keepNext w:val="0"/>
              <w:keepLines w:val="0"/>
              <w:pageBreakBefore w:val="0"/>
              <w:widowControl/>
              <w:kinsoku w:val="0"/>
              <w:wordWrap/>
              <w:overflowPunct/>
              <w:topLinePunct w:val="0"/>
              <w:autoSpaceDE w:val="0"/>
              <w:autoSpaceDN w:val="0"/>
              <w:bidi w:val="0"/>
              <w:adjustRightInd w:val="0"/>
              <w:snapToGrid w:val="0"/>
              <w:spacing w:before="0" w:line="240" w:lineRule="auto"/>
              <w:ind w:left="0" w:right="0" w:firstLine="0"/>
              <w:jc w:val="center"/>
              <w:textAlignment w:val="baseline"/>
              <w:rPr>
                <w:rFonts w:ascii="Arial" w:hAnsi="Arial" w:eastAsia="Arial" w:cs="Arial"/>
                <w:snapToGrid w:val="0"/>
                <w:color w:val="000000"/>
                <w:kern w:val="0"/>
                <w:sz w:val="21"/>
                <w:szCs w:val="21"/>
                <w:lang w:val="en-US" w:eastAsia="en-US" w:bidi="ar-SA"/>
              </w:rPr>
            </w:pPr>
          </w:p>
        </w:tc>
      </w:tr>
      <w:tr w14:paraId="4DCD9A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shd w:val="clear" w:color="auto" w:fill="auto"/>
            <w:vAlign w:val="center"/>
          </w:tcPr>
          <w:p w14:paraId="01C1224D">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Times New Roman" w:hAnsi="Times New Roman" w:eastAsia="Times New Roman" w:cs="Times New Roman"/>
                <w:snapToGrid w:val="0"/>
                <w:color w:val="000000"/>
                <w:kern w:val="0"/>
                <w:sz w:val="21"/>
                <w:szCs w:val="21"/>
                <w:lang w:val="en-US" w:eastAsia="en-US" w:bidi="ar-SA"/>
                <w14:ligatures w14:val="none"/>
              </w:rPr>
            </w:pPr>
            <w:r>
              <w:rPr>
                <w:rFonts w:ascii="Times New Roman" w:hAnsi="Times New Roman" w:eastAsia="Times New Roman" w:cs="Times New Roman"/>
                <w:snapToGrid w:val="0"/>
                <w:color w:val="000000"/>
                <w:kern w:val="0"/>
                <w:sz w:val="21"/>
                <w:szCs w:val="21"/>
                <w:lang w:eastAsia="en-US"/>
                <w14:ligatures w14:val="none"/>
              </w:rPr>
              <w:t>9</w:t>
            </w:r>
          </w:p>
        </w:tc>
        <w:tc>
          <w:tcPr>
            <w:tcW w:w="1581" w:type="dxa"/>
            <w:vAlign w:val="center"/>
          </w:tcPr>
          <w:p w14:paraId="28DBB775">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8"/>
                <w:kern w:val="0"/>
                <w:sz w:val="21"/>
                <w:szCs w:val="21"/>
                <w:lang w:eastAsia="en-US"/>
                <w14:ligatures w14:val="none"/>
              </w:rPr>
              <w:t>隔油池</w:t>
            </w:r>
          </w:p>
        </w:tc>
        <w:tc>
          <w:tcPr>
            <w:tcW w:w="1230" w:type="dxa"/>
            <w:vAlign w:val="center"/>
          </w:tcPr>
          <w:p w14:paraId="334247F9">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543" w:type="dxa"/>
            <w:vAlign w:val="center"/>
          </w:tcPr>
          <w:p w14:paraId="79D2F882">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876" w:type="dxa"/>
            <w:vAlign w:val="center"/>
          </w:tcPr>
          <w:p w14:paraId="5C37F4A5">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1118" w:type="dxa"/>
            <w:vAlign w:val="center"/>
          </w:tcPr>
          <w:p w14:paraId="266CFEEC">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8"/>
                <w:kern w:val="0"/>
                <w:sz w:val="21"/>
                <w:szCs w:val="21"/>
                <w:lang w:eastAsia="en-US"/>
                <w14:ligatures w14:val="none"/>
              </w:rPr>
              <w:t>丙类</w:t>
            </w:r>
          </w:p>
        </w:tc>
        <w:tc>
          <w:tcPr>
            <w:tcW w:w="1118" w:type="dxa"/>
            <w:vAlign w:val="center"/>
          </w:tcPr>
          <w:p w14:paraId="2F8CFF5D">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spacing w:val="-2"/>
                <w:kern w:val="0"/>
                <w:sz w:val="21"/>
                <w:szCs w:val="21"/>
                <w:lang w:val="en-US" w:eastAsia="zh-CN"/>
                <w14:ligatures w14:val="none"/>
              </w:rPr>
              <w:t>42.84</w:t>
            </w:r>
          </w:p>
        </w:tc>
        <w:tc>
          <w:tcPr>
            <w:tcW w:w="1114" w:type="dxa"/>
            <w:vAlign w:val="center"/>
          </w:tcPr>
          <w:p w14:paraId="5DA52B15">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1127" w:type="dxa"/>
            <w:tcBorders>
              <w:right w:val="single" w:color="000000" w:sz="10" w:space="0"/>
            </w:tcBorders>
            <w:vAlign w:val="center"/>
          </w:tcPr>
          <w:p w14:paraId="6BCEE861">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地下</w:t>
            </w:r>
          </w:p>
        </w:tc>
      </w:tr>
      <w:tr w14:paraId="7A3AED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shd w:val="clear" w:color="auto" w:fill="auto"/>
            <w:vAlign w:val="center"/>
          </w:tcPr>
          <w:p w14:paraId="494A6AC8">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Times New Roman" w:hAnsi="Times New Roman" w:eastAsia="Times New Roman" w:cs="Times New Roman"/>
                <w:snapToGrid w:val="0"/>
                <w:color w:val="000000"/>
                <w:kern w:val="0"/>
                <w:sz w:val="21"/>
                <w:szCs w:val="21"/>
                <w:lang w:val="en-US" w:eastAsia="en-US" w:bidi="ar-SA"/>
                <w14:ligatures w14:val="none"/>
              </w:rPr>
            </w:pPr>
            <w:r>
              <w:rPr>
                <w:rFonts w:ascii="Times New Roman" w:hAnsi="Times New Roman" w:eastAsia="Times New Roman" w:cs="Times New Roman"/>
                <w:snapToGrid w:val="0"/>
                <w:color w:val="000000"/>
                <w:spacing w:val="-15"/>
                <w:kern w:val="0"/>
                <w:sz w:val="21"/>
                <w:szCs w:val="21"/>
                <w:lang w:eastAsia="en-US"/>
                <w14:ligatures w14:val="none"/>
              </w:rPr>
              <w:t>10</w:t>
            </w:r>
          </w:p>
        </w:tc>
        <w:tc>
          <w:tcPr>
            <w:tcW w:w="1581" w:type="dxa"/>
            <w:vAlign w:val="center"/>
          </w:tcPr>
          <w:p w14:paraId="18F540CD">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4"/>
                <w:kern w:val="0"/>
                <w:sz w:val="21"/>
                <w:szCs w:val="21"/>
                <w:lang w:eastAsia="en-US"/>
                <w14:ligatures w14:val="none"/>
              </w:rPr>
              <w:t>事故池</w:t>
            </w:r>
          </w:p>
        </w:tc>
        <w:tc>
          <w:tcPr>
            <w:tcW w:w="1230" w:type="dxa"/>
            <w:vAlign w:val="center"/>
          </w:tcPr>
          <w:p w14:paraId="44F962E0">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543" w:type="dxa"/>
            <w:vAlign w:val="center"/>
          </w:tcPr>
          <w:p w14:paraId="480ECC3D">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876" w:type="dxa"/>
            <w:vAlign w:val="center"/>
          </w:tcPr>
          <w:p w14:paraId="39624433">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1118" w:type="dxa"/>
            <w:vAlign w:val="center"/>
          </w:tcPr>
          <w:p w14:paraId="6AE15DDA">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8"/>
                <w:kern w:val="0"/>
                <w:sz w:val="21"/>
                <w:szCs w:val="21"/>
                <w:lang w:eastAsia="en-US"/>
                <w14:ligatures w14:val="none"/>
              </w:rPr>
              <w:t>丙类</w:t>
            </w:r>
          </w:p>
        </w:tc>
        <w:tc>
          <w:tcPr>
            <w:tcW w:w="1118" w:type="dxa"/>
            <w:vAlign w:val="center"/>
          </w:tcPr>
          <w:p w14:paraId="08D82A0D">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spacing w:val="-2"/>
                <w:kern w:val="0"/>
                <w:sz w:val="21"/>
                <w:szCs w:val="21"/>
                <w:lang w:val="en-US" w:eastAsia="zh-CN"/>
                <w14:ligatures w14:val="none"/>
              </w:rPr>
              <w:t>492.52</w:t>
            </w:r>
          </w:p>
        </w:tc>
        <w:tc>
          <w:tcPr>
            <w:tcW w:w="1114" w:type="dxa"/>
            <w:vAlign w:val="center"/>
          </w:tcPr>
          <w:p w14:paraId="1C62BD84">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1127" w:type="dxa"/>
            <w:tcBorders>
              <w:right w:val="single" w:color="000000" w:sz="10" w:space="0"/>
            </w:tcBorders>
            <w:vAlign w:val="center"/>
          </w:tcPr>
          <w:p w14:paraId="2C8FDC21">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地下</w:t>
            </w:r>
          </w:p>
        </w:tc>
      </w:tr>
      <w:tr w14:paraId="391701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vAlign w:val="center"/>
          </w:tcPr>
          <w:p w14:paraId="4F6088B4">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kern w:val="0"/>
                <w:sz w:val="21"/>
                <w:szCs w:val="21"/>
                <w:lang w:val="en-US" w:eastAsia="zh-CN"/>
                <w14:ligatures w14:val="none"/>
              </w:rPr>
              <w:t>11</w:t>
            </w:r>
          </w:p>
        </w:tc>
        <w:tc>
          <w:tcPr>
            <w:tcW w:w="1581" w:type="dxa"/>
            <w:vAlign w:val="center"/>
          </w:tcPr>
          <w:p w14:paraId="384B0C9C">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6"/>
                <w:kern w:val="0"/>
                <w:sz w:val="21"/>
                <w:szCs w:val="21"/>
                <w:lang w:eastAsia="en-US"/>
                <w14:ligatures w14:val="none"/>
              </w:rPr>
              <w:t>罐区</w:t>
            </w:r>
          </w:p>
        </w:tc>
        <w:tc>
          <w:tcPr>
            <w:tcW w:w="1230" w:type="dxa"/>
            <w:vAlign w:val="center"/>
          </w:tcPr>
          <w:p w14:paraId="683B69D2">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543" w:type="dxa"/>
            <w:vAlign w:val="center"/>
          </w:tcPr>
          <w:p w14:paraId="1640C9B2">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876" w:type="dxa"/>
            <w:vAlign w:val="center"/>
          </w:tcPr>
          <w:p w14:paraId="1C19F2AC">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1118" w:type="dxa"/>
            <w:vAlign w:val="center"/>
          </w:tcPr>
          <w:p w14:paraId="484CBBAE">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17"/>
                <w:kern w:val="0"/>
                <w:sz w:val="21"/>
                <w:szCs w:val="21"/>
                <w:lang w:eastAsia="en-US"/>
                <w14:ligatures w14:val="none"/>
              </w:rPr>
              <w:t>乙类</w:t>
            </w:r>
          </w:p>
        </w:tc>
        <w:tc>
          <w:tcPr>
            <w:tcW w:w="1118" w:type="dxa"/>
            <w:vAlign w:val="center"/>
          </w:tcPr>
          <w:p w14:paraId="192B0CD8">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spacing w:val="-3"/>
                <w:kern w:val="0"/>
                <w:sz w:val="21"/>
                <w:szCs w:val="21"/>
                <w:lang w:val="en-US" w:eastAsia="zh-CN"/>
                <w14:ligatures w14:val="none"/>
              </w:rPr>
              <w:t>3955.53</w:t>
            </w:r>
          </w:p>
        </w:tc>
        <w:tc>
          <w:tcPr>
            <w:tcW w:w="1114" w:type="dxa"/>
            <w:vAlign w:val="center"/>
          </w:tcPr>
          <w:p w14:paraId="32AB4C18">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1127" w:type="dxa"/>
            <w:tcBorders>
              <w:right w:val="single" w:color="000000" w:sz="10" w:space="0"/>
            </w:tcBorders>
            <w:vAlign w:val="center"/>
          </w:tcPr>
          <w:p w14:paraId="30AC096E">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ascii="Arial" w:hAnsi="Arial" w:eastAsia="Arial" w:cs="Arial"/>
                <w:snapToGrid w:val="0"/>
                <w:color w:val="000000"/>
                <w:kern w:val="0"/>
                <w:sz w:val="21"/>
                <w:szCs w:val="21"/>
                <w:lang w:val="en-US" w:eastAsia="en-US" w:bidi="ar-SA"/>
              </w:rPr>
            </w:pPr>
          </w:p>
        </w:tc>
      </w:tr>
      <w:tr w14:paraId="054565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9251" w:type="dxa"/>
            <w:gridSpan w:val="9"/>
            <w:tcBorders>
              <w:left w:val="single" w:color="000000" w:sz="10" w:space="0"/>
              <w:bottom w:val="single" w:color="000000" w:sz="10" w:space="0"/>
              <w:right w:val="single" w:color="000000" w:sz="10" w:space="0"/>
            </w:tcBorders>
            <w:vAlign w:val="center"/>
          </w:tcPr>
          <w:p w14:paraId="3521DDBE">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sz w:val="21"/>
                <w:szCs w:val="21"/>
                <w:highlight w:val="none"/>
                <w:lang w:eastAsia="zh-CN"/>
                <w14:ligatures w14:val="none"/>
              </w:rPr>
            </w:pPr>
            <w:r>
              <w:rPr>
                <w:rFonts w:ascii="Times New Roman" w:hAnsi="Times New Roman" w:eastAsia="宋体" w:cs="Times New Roman"/>
                <w:sz w:val="21"/>
                <w:szCs w:val="21"/>
                <w14:ligatures w14:val="none"/>
              </w:rPr>
              <w:t>注：</w:t>
            </w:r>
            <w:r>
              <w:rPr>
                <w:rFonts w:hint="eastAsia" w:ascii="Times New Roman" w:hAnsi="Times New Roman" w:eastAsia="宋体" w:cs="Times New Roman"/>
                <w:sz w:val="21"/>
                <w:szCs w:val="21"/>
                <w:highlight w:val="none"/>
                <w14:ligatures w14:val="none"/>
              </w:rPr>
              <w:t>①</w:t>
            </w:r>
            <w:r>
              <w:rPr>
                <w:rFonts w:ascii="Times New Roman" w:hAnsi="Times New Roman" w:eastAsia="宋体" w:cs="Times New Roman"/>
                <w:sz w:val="21"/>
                <w:szCs w:val="21"/>
                <w:highlight w:val="none"/>
                <w14:ligatures w14:val="none"/>
              </w:rPr>
              <w:t>消防水</w:t>
            </w:r>
            <w:r>
              <w:rPr>
                <w:rFonts w:hint="eastAsia" w:ascii="Times New Roman" w:hAnsi="Times New Roman" w:eastAsia="宋体" w:cs="Times New Roman"/>
                <w:sz w:val="21"/>
                <w:szCs w:val="21"/>
                <w:highlight w:val="none"/>
                <w:lang w:val="en-US" w:eastAsia="zh-CN"/>
                <w14:ligatures w14:val="none"/>
              </w:rPr>
              <w:t>池总</w:t>
            </w:r>
            <w:r>
              <w:rPr>
                <w:rFonts w:ascii="Times New Roman" w:hAnsi="Times New Roman" w:eastAsia="宋体" w:cs="Times New Roman"/>
                <w:sz w:val="21"/>
                <w:szCs w:val="21"/>
                <w:highlight w:val="none"/>
                <w14:ligatures w14:val="none"/>
              </w:rPr>
              <w:t>容积为</w:t>
            </w:r>
            <w:r>
              <w:rPr>
                <w:rFonts w:hint="eastAsia" w:ascii="Times New Roman" w:hAnsi="Times New Roman" w:eastAsia="宋体" w:cs="Times New Roman"/>
                <w:sz w:val="21"/>
                <w:szCs w:val="21"/>
                <w:highlight w:val="none"/>
                <w:lang w:val="en-US" w:eastAsia="zh-CN"/>
                <w14:ligatures w14:val="none"/>
              </w:rPr>
              <w:t>1200</w:t>
            </w:r>
            <w:r>
              <w:rPr>
                <w:rFonts w:ascii="Times New Roman" w:hAnsi="Times New Roman" w:eastAsia="宋体" w:cs="Times New Roman"/>
                <w:sz w:val="21"/>
                <w:szCs w:val="21"/>
                <w:highlight w:val="none"/>
                <w14:ligatures w14:val="none"/>
              </w:rPr>
              <w:t>m</w:t>
            </w:r>
            <w:r>
              <w:rPr>
                <w:rFonts w:ascii="Times New Roman" w:hAnsi="Times New Roman" w:eastAsia="宋体" w:cs="Times New Roman"/>
                <w:sz w:val="21"/>
                <w:szCs w:val="21"/>
                <w:highlight w:val="none"/>
                <w:vertAlign w:val="superscript"/>
                <w14:ligatures w14:val="none"/>
              </w:rPr>
              <w:t>3</w:t>
            </w:r>
            <w:r>
              <w:rPr>
                <w:rFonts w:hint="eastAsia" w:ascii="Times New Roman" w:hAnsi="Times New Roman" w:eastAsia="宋体" w:cs="Times New Roman"/>
                <w:sz w:val="21"/>
                <w:szCs w:val="21"/>
                <w:highlight w:val="none"/>
                <w:lang w:eastAsia="zh-CN"/>
                <w14:ligatures w14:val="none"/>
              </w:rPr>
              <w:t>；</w:t>
            </w:r>
          </w:p>
          <w:p w14:paraId="6C15D0DF">
            <w:pPr>
              <w:keepNext w:val="0"/>
              <w:keepLines w:val="0"/>
              <w:pageBreakBefore w:val="0"/>
              <w:widowControl w:val="0"/>
              <w:kinsoku/>
              <w:wordWrap/>
              <w:overflowPunct/>
              <w:topLinePunct w:val="0"/>
              <w:autoSpaceDE/>
              <w:autoSpaceDN/>
              <w:bidi w:val="0"/>
              <w:adjustRightInd w:val="0"/>
              <w:snapToGrid w:val="0"/>
              <w:spacing w:after="0" w:line="240" w:lineRule="auto"/>
              <w:ind w:firstLine="420" w:firstLineChars="200"/>
              <w:jc w:val="both"/>
              <w:textAlignment w:val="auto"/>
              <w:rPr>
                <w:rFonts w:hint="eastAsia" w:ascii="Times New Roman" w:hAnsi="Times New Roman" w:eastAsia="宋体" w:cs="Times New Roman"/>
                <w:sz w:val="21"/>
                <w:szCs w:val="21"/>
                <w:highlight w:val="none"/>
                <w:lang w:val="en-US" w:eastAsia="zh-CN"/>
                <w14:ligatures w14:val="none"/>
              </w:rPr>
            </w:pPr>
            <w:r>
              <w:rPr>
                <w:rFonts w:hint="default" w:ascii="Times New Roman" w:hAnsi="Times New Roman" w:eastAsia="宋体" w:cs="Times New Roman"/>
                <w:sz w:val="21"/>
                <w:szCs w:val="21"/>
                <w:highlight w:val="none"/>
                <w14:ligatures w14:val="none"/>
              </w:rPr>
              <w:t>②</w:t>
            </w:r>
            <w:r>
              <w:rPr>
                <w:rFonts w:hint="eastAsia" w:ascii="Times New Roman" w:hAnsi="Times New Roman" w:eastAsia="宋体" w:cs="Times New Roman"/>
                <w:sz w:val="21"/>
                <w:szCs w:val="21"/>
                <w:highlight w:val="none"/>
                <w:lang w:val="en-US" w:eastAsia="zh-CN"/>
                <w14:ligatures w14:val="none"/>
              </w:rPr>
              <w:t>事故水池容积1000m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lang w:val="en-US" w:eastAsia="zh-CN"/>
                <w14:ligatures w14:val="none"/>
              </w:rPr>
              <w:t>；</w:t>
            </w:r>
          </w:p>
          <w:p w14:paraId="15194E2C">
            <w:pPr>
              <w:keepNext w:val="0"/>
              <w:keepLines w:val="0"/>
              <w:pageBreakBefore w:val="0"/>
              <w:widowControl w:val="0"/>
              <w:kinsoku/>
              <w:wordWrap/>
              <w:overflowPunct/>
              <w:topLinePunct w:val="0"/>
              <w:autoSpaceDE/>
              <w:autoSpaceDN/>
              <w:bidi w:val="0"/>
              <w:adjustRightInd w:val="0"/>
              <w:snapToGrid w:val="0"/>
              <w:spacing w:after="0" w:line="240" w:lineRule="auto"/>
              <w:ind w:firstLine="420" w:firstLineChars="200"/>
              <w:jc w:val="both"/>
              <w:textAlignment w:val="auto"/>
              <w:rPr>
                <w:rFonts w:hint="eastAsia" w:ascii="Times New Roman" w:hAnsi="Times New Roman" w:eastAsia="宋体" w:cs="Times New Roman"/>
                <w:sz w:val="21"/>
                <w:szCs w:val="21"/>
                <w:vertAlign w:val="baseline"/>
                <w:lang w:val="en-US" w:eastAsia="en-US"/>
                <w14:ligatures w14:val="none"/>
              </w:rPr>
            </w:pPr>
            <w:r>
              <w:rPr>
                <w:rFonts w:hint="eastAsia" w:ascii="Times New Roman" w:hAnsi="Times New Roman" w:eastAsia="宋体" w:cs="Times New Roman"/>
                <w:sz w:val="21"/>
                <w:szCs w:val="21"/>
                <w:highlight w:val="none"/>
                <w:lang w:val="en-US" w:eastAsia="zh-CN"/>
                <w14:ligatures w14:val="none"/>
              </w:rPr>
              <w:t>③隔油池容积为200m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lang w:val="en-US" w:eastAsia="zh-CN"/>
                <w14:ligatures w14:val="none"/>
              </w:rPr>
              <w:t>。</w:t>
            </w:r>
          </w:p>
        </w:tc>
      </w:tr>
    </w:tbl>
    <w:p w14:paraId="11455C1C">
      <w:pPr>
        <w:adjustRightInd w:val="0"/>
        <w:snapToGrid w:val="0"/>
        <w:spacing w:before="312" w:beforeLines="100" w:after="312" w:afterLines="100" w:line="360" w:lineRule="auto"/>
        <w:jc w:val="center"/>
        <w:outlineLvl w:val="1"/>
        <w:rPr>
          <w:rFonts w:hint="eastAsia" w:ascii="Times New Roman" w:hAnsi="Times New Roman" w:eastAsia="楷体" w:cs="黑体"/>
          <w:b/>
          <w:sz w:val="32"/>
          <w:szCs w:val="32"/>
          <w:lang w:val="en-US" w:eastAsia="zh-CN"/>
          <w14:ligatures w14:val="none"/>
        </w:rPr>
      </w:pPr>
      <w:bookmarkStart w:id="75" w:name="_Toc25554"/>
      <w:r>
        <w:rPr>
          <w:rFonts w:hint="eastAsia" w:ascii="Times New Roman" w:hAnsi="Times New Roman" w:eastAsia="楷体" w:cs="黑体"/>
          <w:b/>
          <w:sz w:val="32"/>
          <w:szCs w:val="32"/>
          <w14:ligatures w14:val="none"/>
        </w:rPr>
        <w:t>2.</w:t>
      </w:r>
      <w:r>
        <w:rPr>
          <w:rFonts w:hint="eastAsia" w:ascii="Times New Roman" w:hAnsi="Times New Roman" w:eastAsia="楷体" w:cs="黑体"/>
          <w:b/>
          <w:sz w:val="32"/>
          <w:szCs w:val="32"/>
          <w:lang w:val="en-US" w:eastAsia="zh-CN"/>
          <w14:ligatures w14:val="none"/>
        </w:rPr>
        <w:t>6储存规模</w:t>
      </w:r>
      <w:bookmarkEnd w:id="75"/>
    </w:p>
    <w:p w14:paraId="753CD891">
      <w:pPr>
        <w:pStyle w:val="34"/>
        <w:adjustRightInd w:val="0"/>
        <w:snapToGrid w:val="0"/>
        <w:ind w:firstLine="560"/>
        <w:rPr>
          <w:rFonts w:hint="eastAsia"/>
        </w:rPr>
      </w:pPr>
      <w:r>
        <w:rPr>
          <w:rFonts w:hint="eastAsia"/>
          <w:lang w:eastAsia="zh-CN"/>
        </w:rPr>
        <w:t>国能安储（东港）燃料供应有限公司储存的物料为柴油，危险化学品的储存情况见表</w:t>
      </w:r>
      <w:r>
        <w:rPr>
          <w:rFonts w:hint="eastAsia"/>
          <w:lang w:val="en-US" w:eastAsia="zh-CN"/>
        </w:rPr>
        <w:t>2.2-5。</w:t>
      </w:r>
    </w:p>
    <w:p w14:paraId="6CA3AC44">
      <w:pPr>
        <w:pStyle w:val="34"/>
        <w:keepNext/>
        <w:keepLines/>
        <w:adjustRightInd w:val="0"/>
        <w:snapToGrid w:val="0"/>
        <w:spacing w:before="156" w:beforeLines="50" w:after="156" w:afterLines="50" w:line="240" w:lineRule="auto"/>
        <w:ind w:firstLine="0" w:firstLineChars="0"/>
        <w:jc w:val="center"/>
        <w:rPr>
          <w:rFonts w:hint="default" w:ascii="Times New Roman" w:hAnsi="Times New Roman" w:eastAsia="黑体" w:cs="Times New Roman"/>
          <w:sz w:val="24"/>
        </w:rPr>
      </w:pPr>
      <w:r>
        <w:rPr>
          <w:rFonts w:hint="default" w:ascii="Times New Roman" w:hAnsi="Times New Roman" w:eastAsia="黑体" w:cs="Times New Roman"/>
          <w:sz w:val="24"/>
        </w:rPr>
        <w:t>表</w:t>
      </w:r>
      <w:r>
        <w:rPr>
          <w:rFonts w:hint="default" w:ascii="Times New Roman" w:hAnsi="Times New Roman" w:eastAsia="黑体" w:cs="Times New Roman"/>
          <w:sz w:val="24"/>
          <w:lang w:val="en-US" w:eastAsia="zh-CN"/>
        </w:rPr>
        <w:t xml:space="preserve">2.2-5  </w:t>
      </w:r>
      <w:r>
        <w:rPr>
          <w:rFonts w:hint="default" w:ascii="Times New Roman" w:hAnsi="Times New Roman" w:eastAsia="黑体" w:cs="Times New Roman"/>
          <w:sz w:val="24"/>
        </w:rPr>
        <w:t xml:space="preserve"> 危险化学品的储存情况表</w:t>
      </w:r>
    </w:p>
    <w:tbl>
      <w:tblPr>
        <w:tblStyle w:val="14"/>
        <w:tblW w:w="4998"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726"/>
        <w:gridCol w:w="1401"/>
        <w:gridCol w:w="1401"/>
        <w:gridCol w:w="2466"/>
        <w:gridCol w:w="1367"/>
        <w:gridCol w:w="726"/>
        <w:gridCol w:w="1309"/>
      </w:tblGrid>
      <w:tr w14:paraId="5E5F26E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86" w:type="pct"/>
            <w:tcBorders>
              <w:tl2br w:val="nil"/>
              <w:tr2bl w:val="nil"/>
            </w:tcBorders>
            <w:vAlign w:val="center"/>
          </w:tcPr>
          <w:p w14:paraId="29A69163">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default" w:ascii="Times New Roman" w:hAnsi="Times New Roman" w:eastAsia="宋体" w:cs="Times New Roman"/>
                <w:spacing w:val="5"/>
                <w:sz w:val="21"/>
                <w:szCs w:val="21"/>
              </w:rPr>
              <w:t>序号</w:t>
            </w:r>
          </w:p>
        </w:tc>
        <w:tc>
          <w:tcPr>
            <w:tcW w:w="745" w:type="pct"/>
            <w:tcBorders>
              <w:tl2br w:val="nil"/>
              <w:tr2bl w:val="nil"/>
            </w:tcBorders>
            <w:vAlign w:val="center"/>
          </w:tcPr>
          <w:p w14:paraId="3BDDED05">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eastAsia="zh-CN"/>
              </w:rPr>
            </w:pPr>
            <w:r>
              <w:rPr>
                <w:rFonts w:hint="eastAsia" w:ascii="Times New Roman" w:hAnsi="Times New Roman" w:eastAsia="宋体" w:cs="Times New Roman"/>
                <w:spacing w:val="5"/>
                <w:sz w:val="21"/>
                <w:szCs w:val="21"/>
                <w:lang w:eastAsia="zh-CN"/>
              </w:rPr>
              <w:t>设备位号</w:t>
            </w:r>
          </w:p>
        </w:tc>
        <w:tc>
          <w:tcPr>
            <w:tcW w:w="745" w:type="pct"/>
            <w:tcBorders>
              <w:tl2br w:val="nil"/>
              <w:tr2bl w:val="nil"/>
            </w:tcBorders>
            <w:vAlign w:val="center"/>
          </w:tcPr>
          <w:p w14:paraId="440ED200">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default" w:ascii="Times New Roman" w:hAnsi="Times New Roman" w:eastAsia="宋体" w:cs="Times New Roman"/>
                <w:spacing w:val="5"/>
                <w:sz w:val="21"/>
                <w:szCs w:val="21"/>
              </w:rPr>
              <w:t>单罐容积m</w:t>
            </w:r>
            <w:r>
              <w:rPr>
                <w:rFonts w:hint="default" w:ascii="Times New Roman" w:hAnsi="Times New Roman" w:eastAsia="宋体" w:cs="Times New Roman"/>
                <w:spacing w:val="5"/>
                <w:sz w:val="21"/>
                <w:szCs w:val="21"/>
                <w:vertAlign w:val="superscript"/>
              </w:rPr>
              <w:t>3</w:t>
            </w:r>
          </w:p>
        </w:tc>
        <w:tc>
          <w:tcPr>
            <w:tcW w:w="1311" w:type="pct"/>
            <w:tcBorders>
              <w:tl2br w:val="nil"/>
              <w:tr2bl w:val="nil"/>
            </w:tcBorders>
            <w:vAlign w:val="center"/>
          </w:tcPr>
          <w:p w14:paraId="502723B7">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default" w:ascii="Times New Roman" w:hAnsi="Times New Roman" w:eastAsia="宋体" w:cs="Times New Roman"/>
                <w:spacing w:val="5"/>
                <w:sz w:val="21"/>
                <w:szCs w:val="21"/>
              </w:rPr>
              <w:t>储存油品</w:t>
            </w:r>
          </w:p>
        </w:tc>
        <w:tc>
          <w:tcPr>
            <w:tcW w:w="727" w:type="pct"/>
            <w:tcBorders>
              <w:tl2br w:val="nil"/>
              <w:tr2bl w:val="nil"/>
            </w:tcBorders>
            <w:vAlign w:val="center"/>
          </w:tcPr>
          <w:p w14:paraId="72CBCC98">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default" w:ascii="Times New Roman" w:hAnsi="Times New Roman" w:eastAsia="宋体" w:cs="Times New Roman"/>
                <w:spacing w:val="5"/>
                <w:sz w:val="21"/>
                <w:szCs w:val="21"/>
              </w:rPr>
              <w:t>储罐形式</w:t>
            </w:r>
          </w:p>
        </w:tc>
        <w:tc>
          <w:tcPr>
            <w:tcW w:w="386" w:type="pct"/>
            <w:tcBorders>
              <w:tl2br w:val="nil"/>
              <w:tr2bl w:val="nil"/>
            </w:tcBorders>
            <w:vAlign w:val="center"/>
          </w:tcPr>
          <w:p w14:paraId="1EE640D5">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default" w:ascii="Times New Roman" w:hAnsi="Times New Roman" w:eastAsia="宋体" w:cs="Times New Roman"/>
                <w:spacing w:val="5"/>
                <w:sz w:val="21"/>
                <w:szCs w:val="21"/>
              </w:rPr>
              <w:t>数量</w:t>
            </w:r>
          </w:p>
        </w:tc>
        <w:tc>
          <w:tcPr>
            <w:tcW w:w="696" w:type="pct"/>
            <w:tcBorders>
              <w:tl2br w:val="nil"/>
              <w:tr2bl w:val="nil"/>
            </w:tcBorders>
            <w:vAlign w:val="center"/>
          </w:tcPr>
          <w:p w14:paraId="190326DB">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eastAsia="zh-CN"/>
              </w:rPr>
            </w:pPr>
            <w:r>
              <w:rPr>
                <w:rFonts w:hint="eastAsia" w:ascii="Times New Roman" w:hAnsi="Times New Roman" w:eastAsia="宋体" w:cs="Times New Roman"/>
                <w:spacing w:val="5"/>
                <w:sz w:val="21"/>
                <w:szCs w:val="21"/>
                <w:lang w:eastAsia="zh-CN"/>
              </w:rPr>
              <w:t>备注</w:t>
            </w:r>
          </w:p>
        </w:tc>
      </w:tr>
      <w:tr w14:paraId="7615989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86" w:type="pct"/>
            <w:tcBorders>
              <w:tl2br w:val="nil"/>
              <w:tr2bl w:val="nil"/>
            </w:tcBorders>
            <w:vAlign w:val="center"/>
          </w:tcPr>
          <w:p w14:paraId="31340E86">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default" w:ascii="Times New Roman" w:hAnsi="Times New Roman" w:eastAsia="宋体" w:cs="Times New Roman"/>
                <w:spacing w:val="5"/>
                <w:sz w:val="21"/>
                <w:szCs w:val="21"/>
              </w:rPr>
              <w:t>1</w:t>
            </w:r>
          </w:p>
        </w:tc>
        <w:tc>
          <w:tcPr>
            <w:tcW w:w="745" w:type="pct"/>
            <w:tcBorders>
              <w:tl2br w:val="nil"/>
              <w:tr2bl w:val="nil"/>
            </w:tcBorders>
            <w:vAlign w:val="center"/>
          </w:tcPr>
          <w:p w14:paraId="41489906">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TK101</w:t>
            </w:r>
          </w:p>
        </w:tc>
        <w:tc>
          <w:tcPr>
            <w:tcW w:w="745" w:type="pct"/>
            <w:tcBorders>
              <w:tl2br w:val="nil"/>
              <w:tr2bl w:val="nil"/>
            </w:tcBorders>
            <w:vAlign w:val="center"/>
          </w:tcPr>
          <w:p w14:paraId="3CDB9BF5">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1900</w:t>
            </w:r>
          </w:p>
        </w:tc>
        <w:tc>
          <w:tcPr>
            <w:tcW w:w="1311" w:type="pct"/>
            <w:tcBorders>
              <w:tl2br w:val="nil"/>
              <w:tr2bl w:val="nil"/>
            </w:tcBorders>
            <w:vAlign w:val="center"/>
          </w:tcPr>
          <w:p w14:paraId="331579C6">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lang w:val="en-US" w:eastAsia="zh-CN"/>
              </w:rPr>
              <w:t>-35#</w:t>
            </w:r>
            <w:r>
              <w:rPr>
                <w:rFonts w:hint="default" w:ascii="Times New Roman" w:hAnsi="Times New Roman" w:eastAsia="宋体" w:cs="Times New Roman"/>
                <w:spacing w:val="5"/>
                <w:sz w:val="21"/>
                <w:szCs w:val="21"/>
              </w:rPr>
              <w:t>柴油</w:t>
            </w:r>
          </w:p>
        </w:tc>
        <w:tc>
          <w:tcPr>
            <w:tcW w:w="727" w:type="pct"/>
            <w:tcBorders>
              <w:tl2br w:val="nil"/>
              <w:tr2bl w:val="nil"/>
            </w:tcBorders>
            <w:vAlign w:val="center"/>
          </w:tcPr>
          <w:p w14:paraId="1967431E">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default" w:ascii="Times New Roman" w:hAnsi="Times New Roman" w:eastAsia="宋体" w:cs="Times New Roman"/>
                <w:spacing w:val="5"/>
                <w:sz w:val="21"/>
                <w:szCs w:val="21"/>
              </w:rPr>
              <w:t>内浮顶</w:t>
            </w:r>
          </w:p>
        </w:tc>
        <w:tc>
          <w:tcPr>
            <w:tcW w:w="386" w:type="pct"/>
            <w:tcBorders>
              <w:tl2br w:val="nil"/>
              <w:tr2bl w:val="nil"/>
            </w:tcBorders>
            <w:vAlign w:val="center"/>
          </w:tcPr>
          <w:p w14:paraId="792CCFC6">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default" w:ascii="Times New Roman" w:hAnsi="Times New Roman" w:eastAsia="宋体" w:cs="Times New Roman"/>
                <w:spacing w:val="5"/>
                <w:sz w:val="21"/>
                <w:szCs w:val="21"/>
              </w:rPr>
              <w:t>1</w:t>
            </w:r>
          </w:p>
        </w:tc>
        <w:tc>
          <w:tcPr>
            <w:tcW w:w="696" w:type="pct"/>
            <w:tcBorders>
              <w:tl2br w:val="nil"/>
              <w:tr2bl w:val="nil"/>
            </w:tcBorders>
            <w:vAlign w:val="center"/>
          </w:tcPr>
          <w:p w14:paraId="16DC4B8F">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p>
        </w:tc>
      </w:tr>
      <w:tr w14:paraId="1017BAF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86" w:type="pct"/>
            <w:tcBorders>
              <w:tl2br w:val="nil"/>
              <w:tr2bl w:val="nil"/>
            </w:tcBorders>
            <w:vAlign w:val="center"/>
          </w:tcPr>
          <w:p w14:paraId="2ADAD8C4">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2</w:t>
            </w:r>
          </w:p>
        </w:tc>
        <w:tc>
          <w:tcPr>
            <w:tcW w:w="745" w:type="pct"/>
            <w:tcBorders>
              <w:tl2br w:val="nil"/>
              <w:tr2bl w:val="nil"/>
            </w:tcBorders>
            <w:vAlign w:val="center"/>
          </w:tcPr>
          <w:p w14:paraId="5AED42C0">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TK102</w:t>
            </w:r>
          </w:p>
        </w:tc>
        <w:tc>
          <w:tcPr>
            <w:tcW w:w="745" w:type="pct"/>
            <w:tcBorders>
              <w:tl2br w:val="nil"/>
              <w:tr2bl w:val="nil"/>
            </w:tcBorders>
            <w:vAlign w:val="center"/>
          </w:tcPr>
          <w:p w14:paraId="04748047">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rPr>
              <w:t>2000</w:t>
            </w:r>
          </w:p>
        </w:tc>
        <w:tc>
          <w:tcPr>
            <w:tcW w:w="1311" w:type="pct"/>
            <w:tcBorders>
              <w:tl2br w:val="nil"/>
              <w:tr2bl w:val="nil"/>
            </w:tcBorders>
            <w:vAlign w:val="center"/>
          </w:tcPr>
          <w:p w14:paraId="7451FBE1">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0#</w:t>
            </w:r>
            <w:r>
              <w:rPr>
                <w:rFonts w:hint="default" w:ascii="Times New Roman" w:hAnsi="Times New Roman" w:eastAsia="宋体" w:cs="Times New Roman"/>
                <w:spacing w:val="5"/>
                <w:sz w:val="21"/>
                <w:szCs w:val="21"/>
              </w:rPr>
              <w:t>柴油</w:t>
            </w:r>
          </w:p>
        </w:tc>
        <w:tc>
          <w:tcPr>
            <w:tcW w:w="727" w:type="pct"/>
            <w:tcBorders>
              <w:tl2br w:val="nil"/>
              <w:tr2bl w:val="nil"/>
            </w:tcBorders>
            <w:vAlign w:val="center"/>
          </w:tcPr>
          <w:p w14:paraId="66699EA9">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固定顶</w:t>
            </w:r>
          </w:p>
        </w:tc>
        <w:tc>
          <w:tcPr>
            <w:tcW w:w="386" w:type="pct"/>
            <w:tcBorders>
              <w:tl2br w:val="nil"/>
              <w:tr2bl w:val="nil"/>
            </w:tcBorders>
            <w:vAlign w:val="center"/>
          </w:tcPr>
          <w:p w14:paraId="0B473A51">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w:t>
            </w:r>
          </w:p>
        </w:tc>
        <w:tc>
          <w:tcPr>
            <w:tcW w:w="696" w:type="pct"/>
            <w:tcBorders>
              <w:tl2br w:val="nil"/>
              <w:tr2bl w:val="nil"/>
            </w:tcBorders>
            <w:vAlign w:val="center"/>
          </w:tcPr>
          <w:p w14:paraId="444EB78A">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p>
        </w:tc>
      </w:tr>
      <w:tr w14:paraId="1FC7FED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86" w:type="pct"/>
            <w:tcBorders>
              <w:tl2br w:val="nil"/>
              <w:tr2bl w:val="nil"/>
            </w:tcBorders>
            <w:vAlign w:val="center"/>
          </w:tcPr>
          <w:p w14:paraId="374C10DA">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eastAsia="zh-CN"/>
              </w:rPr>
            </w:pPr>
            <w:r>
              <w:rPr>
                <w:rFonts w:hint="eastAsia" w:ascii="Times New Roman" w:hAnsi="Times New Roman" w:eastAsia="宋体" w:cs="Times New Roman"/>
                <w:spacing w:val="5"/>
                <w:sz w:val="21"/>
                <w:szCs w:val="21"/>
                <w:lang w:val="en-US" w:eastAsia="zh-CN"/>
              </w:rPr>
              <w:t>3</w:t>
            </w:r>
          </w:p>
        </w:tc>
        <w:tc>
          <w:tcPr>
            <w:tcW w:w="745" w:type="pct"/>
            <w:tcBorders>
              <w:tl2br w:val="nil"/>
              <w:tr2bl w:val="nil"/>
            </w:tcBorders>
            <w:vAlign w:val="center"/>
          </w:tcPr>
          <w:p w14:paraId="0C713791">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lang w:val="en-US" w:eastAsia="zh-CN"/>
              </w:rPr>
              <w:t>TK103</w:t>
            </w:r>
          </w:p>
        </w:tc>
        <w:tc>
          <w:tcPr>
            <w:tcW w:w="745" w:type="pct"/>
            <w:tcBorders>
              <w:tl2br w:val="nil"/>
              <w:tr2bl w:val="nil"/>
            </w:tcBorders>
            <w:vAlign w:val="center"/>
          </w:tcPr>
          <w:p w14:paraId="523983DD">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2000</w:t>
            </w:r>
          </w:p>
        </w:tc>
        <w:tc>
          <w:tcPr>
            <w:tcW w:w="1311" w:type="pct"/>
            <w:tcBorders>
              <w:tl2br w:val="nil"/>
              <w:tr2bl w:val="nil"/>
            </w:tcBorders>
            <w:vAlign w:val="center"/>
          </w:tcPr>
          <w:p w14:paraId="2806A458">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0#</w:t>
            </w:r>
            <w:r>
              <w:rPr>
                <w:rFonts w:hint="default" w:ascii="Times New Roman" w:hAnsi="Times New Roman" w:eastAsia="宋体" w:cs="Times New Roman"/>
                <w:spacing w:val="5"/>
                <w:sz w:val="21"/>
                <w:szCs w:val="21"/>
              </w:rPr>
              <w:t>柴油</w:t>
            </w:r>
          </w:p>
        </w:tc>
        <w:tc>
          <w:tcPr>
            <w:tcW w:w="727" w:type="pct"/>
            <w:tcBorders>
              <w:tl2br w:val="nil"/>
              <w:tr2bl w:val="nil"/>
            </w:tcBorders>
            <w:vAlign w:val="center"/>
          </w:tcPr>
          <w:p w14:paraId="11CDCAFD">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固定顶</w:t>
            </w:r>
          </w:p>
        </w:tc>
        <w:tc>
          <w:tcPr>
            <w:tcW w:w="386" w:type="pct"/>
            <w:tcBorders>
              <w:tl2br w:val="nil"/>
              <w:tr2bl w:val="nil"/>
            </w:tcBorders>
            <w:vAlign w:val="center"/>
          </w:tcPr>
          <w:p w14:paraId="681BCC26">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eastAsia="zh-CN"/>
              </w:rPr>
            </w:pPr>
            <w:r>
              <w:rPr>
                <w:rFonts w:hint="eastAsia" w:ascii="Times New Roman" w:hAnsi="Times New Roman" w:eastAsia="宋体" w:cs="Times New Roman"/>
                <w:spacing w:val="5"/>
                <w:sz w:val="21"/>
                <w:szCs w:val="21"/>
                <w:lang w:val="en-US" w:eastAsia="zh-CN"/>
              </w:rPr>
              <w:t>1</w:t>
            </w:r>
          </w:p>
        </w:tc>
        <w:tc>
          <w:tcPr>
            <w:tcW w:w="696" w:type="pct"/>
            <w:tcBorders>
              <w:tl2br w:val="nil"/>
              <w:tr2bl w:val="nil"/>
            </w:tcBorders>
            <w:vAlign w:val="center"/>
          </w:tcPr>
          <w:p w14:paraId="3882DEE4">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p>
        </w:tc>
      </w:tr>
      <w:tr w14:paraId="0B0B486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86" w:type="pct"/>
            <w:tcBorders>
              <w:tl2br w:val="nil"/>
              <w:tr2bl w:val="nil"/>
            </w:tcBorders>
            <w:vAlign w:val="center"/>
          </w:tcPr>
          <w:p w14:paraId="25168708">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4</w:t>
            </w:r>
          </w:p>
        </w:tc>
        <w:tc>
          <w:tcPr>
            <w:tcW w:w="745" w:type="pct"/>
            <w:tcBorders>
              <w:tl2br w:val="nil"/>
              <w:tr2bl w:val="nil"/>
            </w:tcBorders>
            <w:vAlign w:val="center"/>
          </w:tcPr>
          <w:p w14:paraId="69D15DCE">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lang w:val="en-US" w:eastAsia="zh-CN"/>
              </w:rPr>
              <w:t>TK104</w:t>
            </w:r>
          </w:p>
        </w:tc>
        <w:tc>
          <w:tcPr>
            <w:tcW w:w="1300" w:type="dxa"/>
            <w:tcBorders>
              <w:tl2br w:val="nil"/>
              <w:tr2bl w:val="nil"/>
            </w:tcBorders>
            <w:vAlign w:val="center"/>
          </w:tcPr>
          <w:p w14:paraId="11672361">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lang w:val="en-US" w:eastAsia="zh-CN"/>
              </w:rPr>
              <w:t>1000</w:t>
            </w:r>
          </w:p>
        </w:tc>
        <w:tc>
          <w:tcPr>
            <w:tcW w:w="2287" w:type="dxa"/>
            <w:tcBorders>
              <w:tl2br w:val="nil"/>
              <w:tr2bl w:val="nil"/>
            </w:tcBorders>
            <w:vAlign w:val="center"/>
          </w:tcPr>
          <w:p w14:paraId="30192369">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0#</w:t>
            </w:r>
            <w:r>
              <w:rPr>
                <w:rFonts w:hint="default" w:ascii="Times New Roman" w:hAnsi="Times New Roman" w:eastAsia="宋体" w:cs="Times New Roman"/>
                <w:spacing w:val="5"/>
                <w:sz w:val="21"/>
                <w:szCs w:val="21"/>
              </w:rPr>
              <w:t>柴油</w:t>
            </w:r>
          </w:p>
        </w:tc>
        <w:tc>
          <w:tcPr>
            <w:tcW w:w="1268" w:type="dxa"/>
            <w:tcBorders>
              <w:tl2br w:val="nil"/>
              <w:tr2bl w:val="nil"/>
            </w:tcBorders>
            <w:vAlign w:val="center"/>
          </w:tcPr>
          <w:p w14:paraId="31763A47">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固定顶</w:t>
            </w:r>
          </w:p>
        </w:tc>
        <w:tc>
          <w:tcPr>
            <w:tcW w:w="386" w:type="pct"/>
            <w:tcBorders>
              <w:tl2br w:val="nil"/>
              <w:tr2bl w:val="nil"/>
            </w:tcBorders>
            <w:vAlign w:val="center"/>
          </w:tcPr>
          <w:p w14:paraId="67E4A2B6">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w:t>
            </w:r>
          </w:p>
        </w:tc>
        <w:tc>
          <w:tcPr>
            <w:tcW w:w="696" w:type="pct"/>
            <w:tcBorders>
              <w:tl2br w:val="nil"/>
              <w:tr2bl w:val="nil"/>
            </w:tcBorders>
            <w:vAlign w:val="center"/>
          </w:tcPr>
          <w:p w14:paraId="3562E560">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p>
        </w:tc>
      </w:tr>
      <w:tr w14:paraId="74679D7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86" w:type="pct"/>
            <w:tcBorders>
              <w:tl2br w:val="nil"/>
              <w:tr2bl w:val="nil"/>
            </w:tcBorders>
            <w:vAlign w:val="center"/>
          </w:tcPr>
          <w:p w14:paraId="7C30A144">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5</w:t>
            </w:r>
          </w:p>
        </w:tc>
        <w:tc>
          <w:tcPr>
            <w:tcW w:w="745" w:type="pct"/>
            <w:tcBorders>
              <w:tl2br w:val="nil"/>
              <w:tr2bl w:val="nil"/>
            </w:tcBorders>
            <w:vAlign w:val="center"/>
          </w:tcPr>
          <w:p w14:paraId="6BB580ED">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lang w:val="en-US" w:eastAsia="zh-CN"/>
              </w:rPr>
              <w:t>TK105</w:t>
            </w:r>
          </w:p>
        </w:tc>
        <w:tc>
          <w:tcPr>
            <w:tcW w:w="1300" w:type="dxa"/>
            <w:tcBorders>
              <w:tl2br w:val="nil"/>
              <w:tr2bl w:val="nil"/>
            </w:tcBorders>
            <w:vAlign w:val="center"/>
          </w:tcPr>
          <w:p w14:paraId="0E539593">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lang w:val="en-US" w:eastAsia="zh-CN"/>
              </w:rPr>
              <w:t>1000</w:t>
            </w:r>
          </w:p>
        </w:tc>
        <w:tc>
          <w:tcPr>
            <w:tcW w:w="2287" w:type="dxa"/>
            <w:tcBorders>
              <w:tl2br w:val="nil"/>
              <w:tr2bl w:val="nil"/>
            </w:tcBorders>
            <w:vAlign w:val="center"/>
          </w:tcPr>
          <w:p w14:paraId="1D4E61FD">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0#</w:t>
            </w:r>
            <w:r>
              <w:rPr>
                <w:rFonts w:hint="default" w:ascii="Times New Roman" w:hAnsi="Times New Roman" w:eastAsia="宋体" w:cs="Times New Roman"/>
                <w:spacing w:val="5"/>
                <w:sz w:val="21"/>
                <w:szCs w:val="21"/>
              </w:rPr>
              <w:t>柴油</w:t>
            </w:r>
          </w:p>
        </w:tc>
        <w:tc>
          <w:tcPr>
            <w:tcW w:w="1268" w:type="dxa"/>
            <w:tcBorders>
              <w:tl2br w:val="nil"/>
              <w:tr2bl w:val="nil"/>
            </w:tcBorders>
            <w:vAlign w:val="center"/>
          </w:tcPr>
          <w:p w14:paraId="4D931174">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固定顶</w:t>
            </w:r>
          </w:p>
        </w:tc>
        <w:tc>
          <w:tcPr>
            <w:tcW w:w="386" w:type="pct"/>
            <w:tcBorders>
              <w:tl2br w:val="nil"/>
              <w:tr2bl w:val="nil"/>
            </w:tcBorders>
            <w:vAlign w:val="center"/>
          </w:tcPr>
          <w:p w14:paraId="153C612F">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w:t>
            </w:r>
          </w:p>
        </w:tc>
        <w:tc>
          <w:tcPr>
            <w:tcW w:w="696" w:type="pct"/>
            <w:tcBorders>
              <w:tl2br w:val="nil"/>
              <w:tr2bl w:val="nil"/>
            </w:tcBorders>
            <w:vAlign w:val="center"/>
          </w:tcPr>
          <w:p w14:paraId="549631F5">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p>
        </w:tc>
      </w:tr>
      <w:tr w14:paraId="6B3A08A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86" w:type="pct"/>
            <w:tcBorders>
              <w:tl2br w:val="nil"/>
              <w:tr2bl w:val="nil"/>
            </w:tcBorders>
            <w:vAlign w:val="center"/>
          </w:tcPr>
          <w:p w14:paraId="73052FF9">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6</w:t>
            </w:r>
          </w:p>
        </w:tc>
        <w:tc>
          <w:tcPr>
            <w:tcW w:w="745" w:type="pct"/>
            <w:tcBorders>
              <w:tl2br w:val="nil"/>
              <w:tr2bl w:val="nil"/>
            </w:tcBorders>
            <w:vAlign w:val="center"/>
          </w:tcPr>
          <w:p w14:paraId="11320E53">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lang w:val="en-US" w:eastAsia="zh-CN"/>
              </w:rPr>
              <w:t>TK106</w:t>
            </w:r>
          </w:p>
        </w:tc>
        <w:tc>
          <w:tcPr>
            <w:tcW w:w="1300" w:type="dxa"/>
            <w:tcBorders>
              <w:tl2br w:val="nil"/>
              <w:tr2bl w:val="nil"/>
            </w:tcBorders>
            <w:vAlign w:val="center"/>
          </w:tcPr>
          <w:p w14:paraId="20CFD8FD">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lang w:val="en-US" w:eastAsia="zh-CN"/>
              </w:rPr>
              <w:t>1000</w:t>
            </w:r>
          </w:p>
        </w:tc>
        <w:tc>
          <w:tcPr>
            <w:tcW w:w="2287" w:type="dxa"/>
            <w:tcBorders>
              <w:tl2br w:val="nil"/>
              <w:tr2bl w:val="nil"/>
            </w:tcBorders>
            <w:vAlign w:val="center"/>
          </w:tcPr>
          <w:p w14:paraId="4B0E1369">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0#</w:t>
            </w:r>
            <w:r>
              <w:rPr>
                <w:rFonts w:hint="default" w:ascii="Times New Roman" w:hAnsi="Times New Roman" w:eastAsia="宋体" w:cs="Times New Roman"/>
                <w:spacing w:val="5"/>
                <w:sz w:val="21"/>
                <w:szCs w:val="21"/>
              </w:rPr>
              <w:t>柴油</w:t>
            </w:r>
          </w:p>
        </w:tc>
        <w:tc>
          <w:tcPr>
            <w:tcW w:w="1268" w:type="dxa"/>
            <w:tcBorders>
              <w:tl2br w:val="nil"/>
              <w:tr2bl w:val="nil"/>
            </w:tcBorders>
            <w:vAlign w:val="center"/>
          </w:tcPr>
          <w:p w14:paraId="11E04D6D">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固定顶</w:t>
            </w:r>
          </w:p>
        </w:tc>
        <w:tc>
          <w:tcPr>
            <w:tcW w:w="386" w:type="pct"/>
            <w:tcBorders>
              <w:tl2br w:val="nil"/>
              <w:tr2bl w:val="nil"/>
            </w:tcBorders>
            <w:vAlign w:val="center"/>
          </w:tcPr>
          <w:p w14:paraId="286115AC">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w:t>
            </w:r>
          </w:p>
        </w:tc>
        <w:tc>
          <w:tcPr>
            <w:tcW w:w="696" w:type="pct"/>
            <w:tcBorders>
              <w:tl2br w:val="nil"/>
              <w:tr2bl w:val="nil"/>
            </w:tcBorders>
            <w:vAlign w:val="center"/>
          </w:tcPr>
          <w:p w14:paraId="5D1007E1">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p>
        </w:tc>
      </w:tr>
      <w:tr w14:paraId="55D548C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86" w:type="pct"/>
            <w:tcBorders>
              <w:tl2br w:val="nil"/>
              <w:tr2bl w:val="nil"/>
            </w:tcBorders>
            <w:vAlign w:val="center"/>
          </w:tcPr>
          <w:p w14:paraId="79B95B9D">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eastAsia="zh-CN"/>
              </w:rPr>
            </w:pPr>
            <w:r>
              <w:rPr>
                <w:rFonts w:hint="eastAsia" w:ascii="Times New Roman" w:hAnsi="Times New Roman" w:eastAsia="宋体" w:cs="Times New Roman"/>
                <w:spacing w:val="5"/>
                <w:sz w:val="21"/>
                <w:szCs w:val="21"/>
                <w:lang w:val="en-US" w:eastAsia="zh-CN"/>
              </w:rPr>
              <w:t>7</w:t>
            </w:r>
          </w:p>
        </w:tc>
        <w:tc>
          <w:tcPr>
            <w:tcW w:w="745" w:type="pct"/>
            <w:tcBorders>
              <w:tl2br w:val="nil"/>
              <w:tr2bl w:val="nil"/>
            </w:tcBorders>
            <w:vAlign w:val="center"/>
          </w:tcPr>
          <w:p w14:paraId="058B36CE">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TK107</w:t>
            </w:r>
          </w:p>
        </w:tc>
        <w:tc>
          <w:tcPr>
            <w:tcW w:w="745" w:type="pct"/>
            <w:tcBorders>
              <w:tl2br w:val="nil"/>
              <w:tr2bl w:val="nil"/>
            </w:tcBorders>
            <w:vAlign w:val="center"/>
          </w:tcPr>
          <w:p w14:paraId="624140E3">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1000</w:t>
            </w:r>
          </w:p>
        </w:tc>
        <w:tc>
          <w:tcPr>
            <w:tcW w:w="1311" w:type="pct"/>
            <w:tcBorders>
              <w:tl2br w:val="nil"/>
              <w:tr2bl w:val="nil"/>
            </w:tcBorders>
            <w:vAlign w:val="center"/>
          </w:tcPr>
          <w:p w14:paraId="73813D6B">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0#</w:t>
            </w:r>
            <w:r>
              <w:rPr>
                <w:rFonts w:hint="default" w:ascii="Times New Roman" w:hAnsi="Times New Roman" w:eastAsia="宋体" w:cs="Times New Roman"/>
                <w:spacing w:val="5"/>
                <w:sz w:val="21"/>
                <w:szCs w:val="21"/>
              </w:rPr>
              <w:t>柴油</w:t>
            </w:r>
          </w:p>
        </w:tc>
        <w:tc>
          <w:tcPr>
            <w:tcW w:w="727" w:type="pct"/>
            <w:tcBorders>
              <w:tl2br w:val="nil"/>
              <w:tr2bl w:val="nil"/>
            </w:tcBorders>
            <w:vAlign w:val="center"/>
          </w:tcPr>
          <w:p w14:paraId="7FD63B31">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固定顶</w:t>
            </w:r>
          </w:p>
        </w:tc>
        <w:tc>
          <w:tcPr>
            <w:tcW w:w="386" w:type="pct"/>
            <w:tcBorders>
              <w:tl2br w:val="nil"/>
              <w:tr2bl w:val="nil"/>
            </w:tcBorders>
            <w:vAlign w:val="center"/>
          </w:tcPr>
          <w:p w14:paraId="6F7B4E53">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eastAsia="zh-CN"/>
              </w:rPr>
            </w:pPr>
            <w:r>
              <w:rPr>
                <w:rFonts w:hint="eastAsia" w:ascii="Times New Roman" w:hAnsi="Times New Roman" w:eastAsia="宋体" w:cs="Times New Roman"/>
                <w:spacing w:val="5"/>
                <w:sz w:val="21"/>
                <w:szCs w:val="21"/>
                <w:lang w:val="en-US" w:eastAsia="zh-CN"/>
              </w:rPr>
              <w:t>1</w:t>
            </w:r>
          </w:p>
        </w:tc>
        <w:tc>
          <w:tcPr>
            <w:tcW w:w="696" w:type="pct"/>
            <w:tcBorders>
              <w:tl2br w:val="nil"/>
              <w:tr2bl w:val="nil"/>
            </w:tcBorders>
            <w:vAlign w:val="center"/>
          </w:tcPr>
          <w:p w14:paraId="2B92FED9">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p>
        </w:tc>
      </w:tr>
    </w:tbl>
    <w:p w14:paraId="5A0FD309">
      <w:pPr>
        <w:adjustRightInd w:val="0"/>
        <w:snapToGrid w:val="0"/>
        <w:spacing w:before="312" w:beforeLines="100" w:after="312" w:afterLines="100" w:line="360" w:lineRule="auto"/>
        <w:jc w:val="center"/>
        <w:outlineLvl w:val="1"/>
        <w:rPr>
          <w:rFonts w:hint="eastAsia" w:ascii="Times New Roman" w:hAnsi="Times New Roman" w:eastAsia="楷体" w:cs="黑体"/>
          <w:b/>
          <w:sz w:val="32"/>
          <w:szCs w:val="32"/>
          <w:lang w:val="en-US" w:eastAsia="zh-CN"/>
          <w14:ligatures w14:val="none"/>
        </w:rPr>
      </w:pPr>
      <w:bookmarkStart w:id="76" w:name="_Toc32689"/>
      <w:r>
        <w:rPr>
          <w:rFonts w:hint="eastAsia" w:ascii="Times New Roman" w:hAnsi="Times New Roman" w:eastAsia="楷体" w:cs="黑体"/>
          <w:b/>
          <w:sz w:val="32"/>
          <w:szCs w:val="32"/>
          <w14:ligatures w14:val="none"/>
        </w:rPr>
        <w:t>2.</w:t>
      </w:r>
      <w:r>
        <w:rPr>
          <w:rFonts w:hint="eastAsia" w:ascii="Times New Roman" w:hAnsi="Times New Roman" w:eastAsia="楷体" w:cs="黑体"/>
          <w:b/>
          <w:sz w:val="32"/>
          <w:szCs w:val="32"/>
          <w:lang w:val="en-US" w:eastAsia="zh-CN"/>
          <w14:ligatures w14:val="none"/>
        </w:rPr>
        <w:t>7公用工程</w:t>
      </w:r>
      <w:bookmarkEnd w:id="76"/>
    </w:p>
    <w:p w14:paraId="36816602">
      <w:pPr>
        <w:pStyle w:val="34"/>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lang w:val="en-US" w:eastAsia="zh-CN"/>
        </w:rPr>
        <w:t>7</w:t>
      </w:r>
      <w:r>
        <w:rPr>
          <w:rFonts w:eastAsia="黑体" w:cs="Times New Roman"/>
          <w:b/>
          <w:bCs/>
        </w:rPr>
        <w:t>.1</w:t>
      </w:r>
      <w:r>
        <w:rPr>
          <w:rFonts w:hint="eastAsia" w:ascii="黑体" w:hAnsi="黑体" w:eastAsia="黑体"/>
          <w:b/>
          <w:bCs/>
        </w:rPr>
        <w:t>给排水</w:t>
      </w:r>
    </w:p>
    <w:p w14:paraId="7B8ED0F8">
      <w:pPr>
        <w:pStyle w:val="34"/>
        <w:adjustRightInd w:val="0"/>
        <w:snapToGrid w:val="0"/>
        <w:ind w:firstLine="560"/>
        <w:rPr>
          <w:rFonts w:hint="eastAsia" w:eastAsia="宋体"/>
          <w:lang w:eastAsia="zh-CN"/>
        </w:rPr>
      </w:pPr>
      <w:r>
        <w:rPr>
          <w:rFonts w:hint="eastAsia"/>
        </w:rPr>
        <w:t>（1）</w:t>
      </w:r>
      <w:r>
        <w:rPr>
          <w:rFonts w:hint="eastAsia"/>
          <w:lang w:val="en-US" w:eastAsia="zh-CN"/>
        </w:rPr>
        <w:t>给水</w:t>
      </w:r>
    </w:p>
    <w:p w14:paraId="26C9923B">
      <w:pPr>
        <w:pStyle w:val="34"/>
        <w:adjustRightInd w:val="0"/>
        <w:snapToGrid w:val="0"/>
        <w:ind w:firstLine="560"/>
        <w:rPr>
          <w:rFonts w:hint="eastAsia"/>
          <w:lang w:eastAsia="zh-CN"/>
        </w:rPr>
      </w:pPr>
      <w:r>
        <w:rPr>
          <w:rFonts w:hint="eastAsia"/>
          <w:lang w:eastAsia="zh-CN"/>
        </w:rPr>
        <w:t>该油库生活、生产用水由市政给水管网供给。项目库区给水系统分为生活给水系统、消防给水系统。</w:t>
      </w:r>
    </w:p>
    <w:p w14:paraId="1AD83B2E">
      <w:pPr>
        <w:pStyle w:val="34"/>
        <w:adjustRightInd w:val="0"/>
        <w:snapToGrid w:val="0"/>
        <w:ind w:firstLine="560"/>
        <w:rPr>
          <w:rFonts w:hint="eastAsia"/>
          <w:lang w:eastAsia="zh-CN"/>
        </w:rPr>
      </w:pPr>
      <w:r>
        <w:rPr>
          <w:rFonts w:hint="eastAsia"/>
          <w:lang w:eastAsia="zh-CN"/>
        </w:rPr>
        <w:t>生活用水系统主要为饮用水及生活冲洗水，生活用水正常用量为3m</w:t>
      </w:r>
      <w:r>
        <w:rPr>
          <w:rFonts w:hint="eastAsia"/>
          <w:vertAlign w:val="superscript"/>
          <w:lang w:eastAsia="zh-CN"/>
        </w:rPr>
        <w:t>3</w:t>
      </w:r>
      <w:r>
        <w:rPr>
          <w:rFonts w:hint="eastAsia"/>
          <w:lang w:eastAsia="zh-CN"/>
        </w:rPr>
        <w:t>/h，最大用水量约为5m</w:t>
      </w:r>
      <w:r>
        <w:rPr>
          <w:rFonts w:hint="eastAsia"/>
          <w:vertAlign w:val="superscript"/>
          <w:lang w:eastAsia="zh-CN"/>
        </w:rPr>
        <w:t>3</w:t>
      </w:r>
      <w:r>
        <w:rPr>
          <w:rFonts w:hint="eastAsia"/>
          <w:lang w:eastAsia="zh-CN"/>
        </w:rPr>
        <w:t>/h。</w:t>
      </w:r>
    </w:p>
    <w:p w14:paraId="2B5E73AA">
      <w:pPr>
        <w:pStyle w:val="34"/>
        <w:adjustRightInd w:val="0"/>
        <w:snapToGrid w:val="0"/>
        <w:ind w:firstLine="560"/>
        <w:rPr>
          <w:rFonts w:hint="eastAsia"/>
          <w:lang w:eastAsia="zh-CN"/>
        </w:rPr>
      </w:pPr>
      <w:r>
        <w:rPr>
          <w:rFonts w:hint="eastAsia"/>
          <w:lang w:eastAsia="zh-CN"/>
        </w:rPr>
        <w:t>生产用水主要为储罐冲洗用水、地面冲洗用水等。</w:t>
      </w:r>
    </w:p>
    <w:p w14:paraId="671E4892">
      <w:pPr>
        <w:pStyle w:val="34"/>
        <w:adjustRightInd w:val="0"/>
        <w:snapToGrid w:val="0"/>
        <w:ind w:firstLine="560"/>
        <w:rPr>
          <w:rFonts w:hint="eastAsia"/>
          <w:lang w:eastAsia="zh-CN"/>
        </w:rPr>
      </w:pPr>
      <w:r>
        <w:rPr>
          <w:rFonts w:hint="eastAsia"/>
          <w:lang w:eastAsia="zh-CN"/>
        </w:rPr>
        <w:t>（2）排水</w:t>
      </w:r>
    </w:p>
    <w:p w14:paraId="5AFD6D09">
      <w:pPr>
        <w:pStyle w:val="34"/>
        <w:adjustRightInd w:val="0"/>
        <w:snapToGrid w:val="0"/>
        <w:ind w:firstLine="560"/>
        <w:rPr>
          <w:rFonts w:hint="eastAsia"/>
          <w:lang w:eastAsia="zh-CN"/>
        </w:rPr>
      </w:pPr>
      <w:r>
        <w:rPr>
          <w:rFonts w:hint="eastAsia"/>
          <w:lang w:eastAsia="zh-CN"/>
        </w:rPr>
        <w:t>该油库排水分为含油污水、生活污水、雨水和事故污水。采用分流制排放。</w:t>
      </w:r>
    </w:p>
    <w:p w14:paraId="264E4A8E">
      <w:pPr>
        <w:pStyle w:val="34"/>
        <w:adjustRightInd w:val="0"/>
        <w:snapToGrid w:val="0"/>
        <w:ind w:firstLine="560"/>
        <w:rPr>
          <w:rFonts w:hint="eastAsia"/>
          <w:lang w:eastAsia="zh-CN"/>
        </w:rPr>
      </w:pPr>
      <w:r>
        <w:rPr>
          <w:rFonts w:hint="eastAsia"/>
          <w:lang w:eastAsia="zh-CN"/>
        </w:rPr>
        <w:t>1）生活污水</w:t>
      </w:r>
    </w:p>
    <w:p w14:paraId="2FB2B3D1">
      <w:pPr>
        <w:pStyle w:val="34"/>
        <w:adjustRightInd w:val="0"/>
        <w:snapToGrid w:val="0"/>
        <w:ind w:firstLine="560"/>
        <w:rPr>
          <w:rFonts w:hint="eastAsia"/>
          <w:lang w:eastAsia="zh-CN"/>
        </w:rPr>
      </w:pPr>
      <w:r>
        <w:rPr>
          <w:rFonts w:hint="eastAsia"/>
          <w:lang w:eastAsia="zh-CN"/>
        </w:rPr>
        <w:t>该油库生活污水经化粪池后排至库外排水干管。</w:t>
      </w:r>
    </w:p>
    <w:p w14:paraId="32E03C3F">
      <w:pPr>
        <w:pStyle w:val="34"/>
        <w:adjustRightInd w:val="0"/>
        <w:snapToGrid w:val="0"/>
        <w:ind w:firstLine="560"/>
        <w:rPr>
          <w:rFonts w:hint="eastAsia"/>
          <w:lang w:eastAsia="zh-CN"/>
        </w:rPr>
      </w:pPr>
      <w:r>
        <w:rPr>
          <w:rFonts w:hint="eastAsia"/>
          <w:lang w:eastAsia="zh-CN"/>
        </w:rPr>
        <w:t>2）雨水</w:t>
      </w:r>
    </w:p>
    <w:p w14:paraId="5BA99661">
      <w:pPr>
        <w:pStyle w:val="34"/>
        <w:adjustRightInd w:val="0"/>
        <w:snapToGrid w:val="0"/>
        <w:ind w:firstLine="560"/>
        <w:rPr>
          <w:rFonts w:hint="eastAsia"/>
          <w:lang w:eastAsia="zh-CN"/>
        </w:rPr>
      </w:pPr>
      <w:r>
        <w:rPr>
          <w:rFonts w:hint="eastAsia"/>
          <w:lang w:eastAsia="zh-CN"/>
        </w:rPr>
        <w:t>该油库储罐区防火堤内的前期雨水排入含油污水处理系统处理。而防火堤内的后期雨水及库内其它不含油雨水经雨水沟汇至水封井后排出库外。</w:t>
      </w:r>
    </w:p>
    <w:p w14:paraId="3D24930E">
      <w:pPr>
        <w:pStyle w:val="34"/>
        <w:adjustRightInd w:val="0"/>
        <w:snapToGrid w:val="0"/>
        <w:ind w:firstLine="560"/>
        <w:rPr>
          <w:rFonts w:hint="eastAsia"/>
          <w:lang w:eastAsia="zh-CN"/>
        </w:rPr>
      </w:pPr>
      <w:r>
        <w:rPr>
          <w:rFonts w:hint="eastAsia"/>
          <w:lang w:eastAsia="zh-CN"/>
        </w:rPr>
        <w:t>3）含油污水</w:t>
      </w:r>
    </w:p>
    <w:p w14:paraId="4CD8A240">
      <w:pPr>
        <w:pStyle w:val="34"/>
        <w:adjustRightInd w:val="0"/>
        <w:snapToGrid w:val="0"/>
        <w:ind w:firstLine="560"/>
        <w:rPr>
          <w:rFonts w:hint="eastAsia"/>
          <w:lang w:eastAsia="zh-CN"/>
        </w:rPr>
      </w:pPr>
      <w:r>
        <w:rPr>
          <w:rFonts w:hint="eastAsia"/>
          <w:lang w:eastAsia="zh-CN"/>
        </w:rPr>
        <w:t>该油库库区内含油污水经密闭管道统一收集至地下隔油池处理，达到国家排放标准后排放，并在污水排放处，设置取样点和计量设施。</w:t>
      </w:r>
    </w:p>
    <w:p w14:paraId="7DC8B723">
      <w:pPr>
        <w:pStyle w:val="34"/>
        <w:adjustRightInd w:val="0"/>
        <w:snapToGrid w:val="0"/>
        <w:ind w:firstLine="560"/>
        <w:rPr>
          <w:rFonts w:hint="eastAsia"/>
          <w:highlight w:val="none"/>
          <w:lang w:eastAsia="zh-CN"/>
        </w:rPr>
      </w:pPr>
      <w:r>
        <w:rPr>
          <w:rFonts w:hint="eastAsia"/>
          <w:highlight w:val="none"/>
          <w:lang w:eastAsia="zh-CN"/>
        </w:rPr>
        <w:t>4）事故水</w:t>
      </w:r>
    </w:p>
    <w:p w14:paraId="76BA9DA8">
      <w:pPr>
        <w:pStyle w:val="34"/>
        <w:adjustRightInd w:val="0"/>
        <w:snapToGrid w:val="0"/>
        <w:ind w:firstLine="560"/>
        <w:rPr>
          <w:rFonts w:hint="eastAsia"/>
          <w:lang w:eastAsia="zh-CN"/>
        </w:rPr>
      </w:pPr>
      <w:r>
        <w:rPr>
          <w:rFonts w:hint="eastAsia"/>
          <w:lang w:eastAsia="zh-CN"/>
        </w:rPr>
        <w:t>该油库将事故状态下受污染的消防水先收集在防火堤内，当防火堤内收集满后，排入事故水池，避免其无序排放对环境造成污染。防火堤为现浇钢筋混凝土结构，事故池容积</w:t>
      </w:r>
      <w:r>
        <w:rPr>
          <w:rFonts w:hint="eastAsia"/>
          <w:lang w:val="en-US" w:eastAsia="zh-CN"/>
        </w:rPr>
        <w:t>1</w:t>
      </w:r>
      <w:r>
        <w:rPr>
          <w:rFonts w:hint="eastAsia"/>
          <w:lang w:eastAsia="zh-CN"/>
        </w:rPr>
        <w:t>000m</w:t>
      </w:r>
      <w:r>
        <w:rPr>
          <w:rFonts w:hint="eastAsia"/>
          <w:vertAlign w:val="superscript"/>
          <w:lang w:eastAsia="zh-CN"/>
        </w:rPr>
        <w:t>3</w:t>
      </w:r>
      <w:r>
        <w:rPr>
          <w:rFonts w:hint="eastAsia"/>
          <w:lang w:eastAsia="zh-CN"/>
        </w:rPr>
        <w:t>。</w:t>
      </w:r>
    </w:p>
    <w:p w14:paraId="1811207D">
      <w:pPr>
        <w:keepNext w:val="0"/>
        <w:keepLines w:val="0"/>
        <w:pageBreakBefore w:val="0"/>
        <w:widowControl/>
        <w:suppressLineNumbers w:val="0"/>
        <w:kinsoku/>
        <w:wordWrap/>
        <w:overflowPunct/>
        <w:topLinePunct w:val="0"/>
        <w:autoSpaceDE/>
        <w:autoSpaceDN/>
        <w:bidi w:val="0"/>
        <w:adjustRightInd w:val="0"/>
        <w:snapToGrid w:val="0"/>
        <w:spacing w:after="0" w:line="360" w:lineRule="auto"/>
        <w:ind w:firstLine="560" w:firstLineChars="200"/>
        <w:jc w:val="left"/>
        <w:textAlignment w:val="auto"/>
        <w:rPr>
          <w:rFonts w:hint="default" w:ascii="Times New Roman" w:hAnsi="Times New Roman" w:eastAsia="宋体" w:cs="Times New Roman"/>
          <w:sz w:val="28"/>
          <w:szCs w:val="20"/>
          <w14:ligatures w14:val="none"/>
        </w:rPr>
      </w:pPr>
      <w:r>
        <w:rPr>
          <w:rFonts w:hint="default" w:ascii="Times New Roman" w:hAnsi="Times New Roman" w:eastAsia="TT20262o00" w:cs="Times New Roman"/>
          <w:color w:val="000000"/>
          <w:kern w:val="0"/>
          <w:sz w:val="28"/>
          <w:szCs w:val="28"/>
          <w:lang w:val="en-US" w:eastAsia="zh-CN" w:bidi="ar"/>
          <w14:ligatures w14:val="none"/>
        </w:rPr>
        <w:t>事故水</w:t>
      </w:r>
      <w:r>
        <w:rPr>
          <w:rFonts w:hint="default" w:ascii="Times New Roman" w:hAnsi="Times New Roman" w:eastAsia="TT20262o01" w:cs="Times New Roman"/>
          <w:color w:val="000000"/>
          <w:kern w:val="0"/>
          <w:sz w:val="28"/>
          <w:szCs w:val="28"/>
          <w:lang w:val="en-US" w:eastAsia="zh-CN" w:bidi="ar"/>
          <w14:ligatures w14:val="none"/>
        </w:rPr>
        <w:t>排</w:t>
      </w:r>
      <w:r>
        <w:rPr>
          <w:rFonts w:hint="default" w:ascii="Times New Roman" w:hAnsi="Times New Roman" w:eastAsia="TT20262o00" w:cs="Times New Roman"/>
          <w:color w:val="000000"/>
          <w:kern w:val="0"/>
          <w:sz w:val="28"/>
          <w:szCs w:val="28"/>
          <w:lang w:val="en-US" w:eastAsia="zh-CN" w:bidi="ar"/>
          <w14:ligatures w14:val="none"/>
        </w:rPr>
        <w:t>水：事故排水经雨水管网重力流排至事故水池</w:t>
      </w:r>
      <w:r>
        <w:rPr>
          <w:rFonts w:hint="eastAsia" w:ascii="Times New Roman" w:hAnsi="Times New Roman" w:eastAsia="TT20262o00" w:cs="Times New Roman"/>
          <w:color w:val="000000"/>
          <w:kern w:val="0"/>
          <w:sz w:val="28"/>
          <w:szCs w:val="28"/>
          <w:lang w:val="en-US" w:eastAsia="zh-CN" w:bidi="ar"/>
          <w14:ligatures w14:val="none"/>
        </w:rPr>
        <w:t>。</w:t>
      </w:r>
    </w:p>
    <w:p w14:paraId="48996D16">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事故水计算</w:t>
      </w:r>
    </w:p>
    <w:p w14:paraId="023C5CDF">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依据《化工建设项目环境保护工程设计标准》（GB/T50483-2019）事故储存设施总有效容积的计算如下：</w:t>
      </w:r>
    </w:p>
    <w:p w14:paraId="6A99E9A0">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V总=（V</w:t>
      </w:r>
      <w:r>
        <w:rPr>
          <w:rFonts w:hint="default" w:ascii="Times New Roman" w:hAnsi="Times New Roman" w:eastAsia="宋体" w:cs="Times New Roman"/>
          <w:sz w:val="28"/>
          <w:szCs w:val="28"/>
          <w:vertAlign w:val="subscript"/>
          <w:lang w:val="en-US" w:eastAsia="zh-CN"/>
          <w14:ligatures w14:val="none"/>
        </w:rPr>
        <w:t>1</w:t>
      </w: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2</w:t>
      </w:r>
      <w:r>
        <w:rPr>
          <w:rFonts w:hint="default" w:ascii="Times New Roman" w:hAnsi="Times New Roman" w:eastAsia="宋体" w:cs="Times New Roman"/>
          <w:sz w:val="28"/>
          <w:szCs w:val="28"/>
          <w:lang w:val="en-US" w:eastAsia="zh-CN"/>
          <w14:ligatures w14:val="none"/>
        </w:rPr>
        <w:t>-V3）max+V</w:t>
      </w:r>
      <w:r>
        <w:rPr>
          <w:rFonts w:hint="default" w:ascii="Times New Roman" w:hAnsi="Times New Roman" w:eastAsia="宋体" w:cs="Times New Roman"/>
          <w:sz w:val="28"/>
          <w:szCs w:val="28"/>
          <w:vertAlign w:val="subscript"/>
          <w:lang w:val="en-US" w:eastAsia="zh-CN"/>
          <w14:ligatures w14:val="none"/>
        </w:rPr>
        <w:t>4</w:t>
      </w: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5</w:t>
      </w:r>
    </w:p>
    <w:p w14:paraId="682AED51">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注：（V</w:t>
      </w:r>
      <w:r>
        <w:rPr>
          <w:rFonts w:hint="default" w:ascii="Times New Roman" w:hAnsi="Times New Roman" w:eastAsia="宋体" w:cs="Times New Roman"/>
          <w:sz w:val="28"/>
          <w:szCs w:val="28"/>
          <w:vertAlign w:val="subscript"/>
          <w:lang w:val="en-US" w:eastAsia="zh-CN"/>
          <w14:ligatures w14:val="none"/>
        </w:rPr>
        <w:t>1</w:t>
      </w: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2</w:t>
      </w: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3</w:t>
      </w:r>
      <w:r>
        <w:rPr>
          <w:rFonts w:hint="default" w:ascii="Times New Roman" w:hAnsi="Times New Roman" w:eastAsia="宋体" w:cs="Times New Roman"/>
          <w:sz w:val="28"/>
          <w:szCs w:val="28"/>
          <w:lang w:val="en-US" w:eastAsia="zh-CN"/>
          <w14:ligatures w14:val="none"/>
        </w:rPr>
        <w:t>）max是指对收集系统范围内不同罐组或装置分别计算V</w:t>
      </w:r>
      <w:r>
        <w:rPr>
          <w:rFonts w:hint="default" w:ascii="Times New Roman" w:hAnsi="Times New Roman" w:eastAsia="宋体" w:cs="Times New Roman"/>
          <w:sz w:val="28"/>
          <w:szCs w:val="28"/>
          <w:vertAlign w:val="subscript"/>
          <w:lang w:val="en-US" w:eastAsia="zh-CN"/>
          <w14:ligatures w14:val="none"/>
        </w:rPr>
        <w:t>1</w:t>
      </w: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2</w:t>
      </w: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3</w:t>
      </w:r>
      <w:r>
        <w:rPr>
          <w:rFonts w:hint="default" w:ascii="Times New Roman" w:hAnsi="Times New Roman" w:eastAsia="宋体" w:cs="Times New Roman"/>
          <w:sz w:val="28"/>
          <w:szCs w:val="28"/>
          <w:lang w:val="en-US" w:eastAsia="zh-CN"/>
          <w14:ligatures w14:val="none"/>
        </w:rPr>
        <w:t>，取其中最大值。</w:t>
      </w:r>
    </w:p>
    <w:p w14:paraId="00A6221D">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1</w:t>
      </w:r>
      <w:r>
        <w:rPr>
          <w:rFonts w:hint="default" w:ascii="Times New Roman" w:hAnsi="Times New Roman" w:eastAsia="宋体" w:cs="Times New Roman"/>
          <w:sz w:val="28"/>
          <w:szCs w:val="28"/>
          <w:lang w:val="en-US" w:eastAsia="zh-CN"/>
          <w14:ligatures w14:val="none"/>
        </w:rPr>
        <w:t>—收集系统范围内发生事故的一个罐组或一套装置的物料量。</w:t>
      </w:r>
    </w:p>
    <w:p w14:paraId="3346B0D7">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注：储存相同物料的罐组按一个最大储罐计，装置物料量按存留最大物料量的一台反应器或中间储罐计；</w:t>
      </w:r>
    </w:p>
    <w:p w14:paraId="2725CF81">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2</w:t>
      </w:r>
      <w:r>
        <w:rPr>
          <w:rFonts w:hint="default" w:ascii="Times New Roman" w:hAnsi="Times New Roman" w:eastAsia="宋体" w:cs="Times New Roman"/>
          <w:sz w:val="28"/>
          <w:szCs w:val="28"/>
          <w:lang w:val="en-US" w:eastAsia="zh-CN"/>
          <w14:ligatures w14:val="none"/>
        </w:rPr>
        <w:t>—发生事故的储罐或装置的消防水量，m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1925B22C">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2</w:t>
      </w:r>
      <w:r>
        <w:rPr>
          <w:rFonts w:hint="default" w:ascii="Times New Roman" w:hAnsi="Times New Roman" w:eastAsia="宋体" w:cs="Times New Roman"/>
          <w:sz w:val="28"/>
          <w:szCs w:val="28"/>
          <w:lang w:val="en-US" w:eastAsia="zh-CN"/>
          <w14:ligatures w14:val="none"/>
        </w:rPr>
        <w:t>=∑Q</w:t>
      </w:r>
      <w:r>
        <w:rPr>
          <w:rFonts w:hint="default" w:ascii="Times New Roman" w:hAnsi="Times New Roman" w:eastAsia="宋体" w:cs="Times New Roman"/>
          <w:sz w:val="28"/>
          <w:szCs w:val="28"/>
          <w:vertAlign w:val="subscript"/>
          <w:lang w:val="en-US" w:eastAsia="zh-CN"/>
          <w14:ligatures w14:val="none"/>
        </w:rPr>
        <w:t>消</w:t>
      </w:r>
      <w:r>
        <w:rPr>
          <w:rFonts w:hint="default" w:ascii="Times New Roman" w:hAnsi="Times New Roman" w:eastAsia="宋体" w:cs="Times New Roman"/>
          <w:sz w:val="28"/>
          <w:szCs w:val="28"/>
          <w:lang w:val="en-US" w:eastAsia="zh-CN"/>
          <w14:ligatures w14:val="none"/>
        </w:rPr>
        <w:t>t</w:t>
      </w:r>
      <w:r>
        <w:rPr>
          <w:rFonts w:hint="default" w:ascii="Times New Roman" w:hAnsi="Times New Roman" w:eastAsia="宋体" w:cs="Times New Roman"/>
          <w:sz w:val="28"/>
          <w:szCs w:val="28"/>
          <w:vertAlign w:val="subscript"/>
          <w:lang w:val="en-US" w:eastAsia="zh-CN"/>
          <w14:ligatures w14:val="none"/>
        </w:rPr>
        <w:t>消</w:t>
      </w:r>
    </w:p>
    <w:p w14:paraId="4C531A11">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Q</w:t>
      </w:r>
      <w:r>
        <w:rPr>
          <w:rFonts w:hint="default" w:ascii="Times New Roman" w:hAnsi="Times New Roman" w:eastAsia="宋体" w:cs="Times New Roman"/>
          <w:sz w:val="28"/>
          <w:szCs w:val="28"/>
          <w:vertAlign w:val="subscript"/>
          <w:lang w:val="en-US" w:eastAsia="zh-CN"/>
          <w14:ligatures w14:val="none"/>
        </w:rPr>
        <w:t>消</w:t>
      </w:r>
      <w:r>
        <w:rPr>
          <w:rFonts w:hint="default" w:ascii="Times New Roman" w:hAnsi="Times New Roman" w:eastAsia="宋体" w:cs="Times New Roman"/>
          <w:sz w:val="28"/>
          <w:szCs w:val="28"/>
          <w:lang w:val="en-US" w:eastAsia="zh-CN"/>
          <w14:ligatures w14:val="none"/>
        </w:rPr>
        <w:t>—发生事故的储罐或装置的同时使用的消防设施给水流量，m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/h；</w:t>
      </w:r>
    </w:p>
    <w:p w14:paraId="123CC1B4">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t</w:t>
      </w:r>
      <w:r>
        <w:rPr>
          <w:rFonts w:hint="default" w:ascii="Times New Roman" w:hAnsi="Times New Roman" w:eastAsia="宋体" w:cs="Times New Roman"/>
          <w:sz w:val="28"/>
          <w:szCs w:val="28"/>
          <w:vertAlign w:val="subscript"/>
          <w:lang w:val="en-US" w:eastAsia="zh-CN"/>
          <w14:ligatures w14:val="none"/>
        </w:rPr>
        <w:t>消</w:t>
      </w:r>
      <w:r>
        <w:rPr>
          <w:rFonts w:hint="default" w:ascii="Times New Roman" w:hAnsi="Times New Roman" w:eastAsia="宋体" w:cs="Times New Roman"/>
          <w:sz w:val="28"/>
          <w:szCs w:val="28"/>
          <w:lang w:val="en-US" w:eastAsia="zh-CN"/>
          <w14:ligatures w14:val="none"/>
        </w:rPr>
        <w:t>—消防设施对应的设计消防历时，h；</w:t>
      </w:r>
    </w:p>
    <w:p w14:paraId="65AF353F">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3</w:t>
      </w:r>
      <w:r>
        <w:rPr>
          <w:rFonts w:hint="default" w:ascii="Times New Roman" w:hAnsi="Times New Roman" w:eastAsia="宋体" w:cs="Times New Roman"/>
          <w:sz w:val="28"/>
          <w:szCs w:val="28"/>
          <w:lang w:val="en-US" w:eastAsia="zh-CN"/>
          <w14:ligatures w14:val="none"/>
        </w:rPr>
        <w:t>—发生事故时可以转输到其他储存或处理设施的物料量，m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7532F8D0">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4</w:t>
      </w:r>
      <w:r>
        <w:rPr>
          <w:rFonts w:hint="default" w:ascii="Times New Roman" w:hAnsi="Times New Roman" w:eastAsia="宋体" w:cs="Times New Roman"/>
          <w:sz w:val="28"/>
          <w:szCs w:val="28"/>
          <w:lang w:val="en-US" w:eastAsia="zh-CN"/>
          <w14:ligatures w14:val="none"/>
        </w:rPr>
        <w:t>—发生事故时仍必须进入该收集系统的生产废水量，m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6FAE529F">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5</w:t>
      </w:r>
      <w:r>
        <w:rPr>
          <w:rFonts w:hint="default" w:ascii="Times New Roman" w:hAnsi="Times New Roman" w:eastAsia="宋体" w:cs="Times New Roman"/>
          <w:sz w:val="28"/>
          <w:szCs w:val="28"/>
          <w:lang w:val="en-US" w:eastAsia="zh-CN"/>
          <w14:ligatures w14:val="none"/>
        </w:rPr>
        <w:t>—发生事故时可能进入该收集系统的降雨量，m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36C710F4">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5</w:t>
      </w:r>
      <w:r>
        <w:rPr>
          <w:rFonts w:hint="default" w:ascii="Times New Roman" w:hAnsi="Times New Roman" w:eastAsia="宋体" w:cs="Times New Roman"/>
          <w:sz w:val="28"/>
          <w:szCs w:val="28"/>
          <w:lang w:val="en-US" w:eastAsia="zh-CN"/>
          <w14:ligatures w14:val="none"/>
        </w:rPr>
        <w:t>=10qF</w:t>
      </w:r>
    </w:p>
    <w:p w14:paraId="233A2435">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q—降雨强度，mm；按平均日降雨量；</w:t>
      </w:r>
    </w:p>
    <w:p w14:paraId="07C29783">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q=qa/n</w:t>
      </w:r>
    </w:p>
    <w:p w14:paraId="69293A55">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qa—年平均降雨量，mm；</w:t>
      </w:r>
    </w:p>
    <w:p w14:paraId="14514710">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n—年平均降雨日数。</w:t>
      </w:r>
    </w:p>
    <w:p w14:paraId="6EB2A71E">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F—必须进入事故废水收集系统的雨水汇水面积，ha；</w:t>
      </w:r>
    </w:p>
    <w:p w14:paraId="6C5062DC">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本项目发生一次火灾，（V</w:t>
      </w:r>
      <w:r>
        <w:rPr>
          <w:rFonts w:hint="default" w:ascii="Times New Roman" w:hAnsi="Times New Roman" w:eastAsia="宋体" w:cs="Times New Roman"/>
          <w:sz w:val="28"/>
          <w:szCs w:val="28"/>
          <w:vertAlign w:val="subscript"/>
          <w:lang w:val="en-US" w:eastAsia="zh-CN"/>
          <w14:ligatures w14:val="none"/>
        </w:rPr>
        <w:t>1</w:t>
      </w: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2</w:t>
      </w: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3</w:t>
      </w:r>
      <w:r>
        <w:rPr>
          <w:rFonts w:hint="default" w:ascii="Times New Roman" w:hAnsi="Times New Roman" w:eastAsia="宋体" w:cs="Times New Roman"/>
          <w:sz w:val="28"/>
          <w:szCs w:val="28"/>
          <w:lang w:val="en-US" w:eastAsia="zh-CN"/>
          <w14:ligatures w14:val="none"/>
        </w:rPr>
        <w:t>）数值最大的情况是</w:t>
      </w:r>
      <w:r>
        <w:rPr>
          <w:rFonts w:hint="eastAsia" w:ascii="Times New Roman" w:hAnsi="Times New Roman" w:eastAsia="宋体" w:cs="Times New Roman"/>
          <w:sz w:val="28"/>
          <w:szCs w:val="28"/>
          <w:lang w:val="en-US" w:eastAsia="zh-CN"/>
          <w14:ligatures w14:val="none"/>
        </w:rPr>
        <w:t>柴油罐区</w:t>
      </w:r>
      <w:r>
        <w:rPr>
          <w:rFonts w:hint="default" w:ascii="Times New Roman" w:hAnsi="Times New Roman" w:eastAsia="宋体" w:cs="Times New Roman"/>
          <w:sz w:val="28"/>
          <w:szCs w:val="28"/>
          <w:lang w:val="en-US" w:eastAsia="zh-CN"/>
          <w14:ligatures w14:val="none"/>
        </w:rPr>
        <w:t>：</w:t>
      </w:r>
    </w:p>
    <w:p w14:paraId="6C6DD750">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存留最大物料量的一套装置的物料量：V</w:t>
      </w:r>
      <w:r>
        <w:rPr>
          <w:rFonts w:hint="default" w:ascii="Times New Roman" w:hAnsi="Times New Roman" w:eastAsia="宋体" w:cs="Times New Roman"/>
          <w:sz w:val="28"/>
          <w:szCs w:val="28"/>
          <w:vertAlign w:val="subscript"/>
          <w:lang w:val="en-US" w:eastAsia="zh-CN"/>
          <w14:ligatures w14:val="none"/>
        </w:rPr>
        <w:t>1</w:t>
      </w:r>
      <w:r>
        <w:rPr>
          <w:rFonts w:hint="default" w:ascii="Times New Roman" w:hAnsi="Times New Roman" w:eastAsia="宋体" w:cs="Times New Roman"/>
          <w:sz w:val="28"/>
          <w:szCs w:val="28"/>
          <w:lang w:val="en-US" w:eastAsia="zh-CN"/>
          <w14:ligatures w14:val="none"/>
        </w:rPr>
        <w:t>=</w:t>
      </w:r>
      <w:r>
        <w:rPr>
          <w:rFonts w:hint="eastAsia" w:ascii="Times New Roman" w:hAnsi="Times New Roman" w:eastAsia="宋体" w:cs="Times New Roman"/>
          <w:sz w:val="28"/>
          <w:szCs w:val="28"/>
          <w:lang w:val="en-US" w:eastAsia="zh-CN"/>
          <w14:ligatures w14:val="none"/>
        </w:rPr>
        <w:t>2000</w:t>
      </w:r>
      <w:r>
        <w:rPr>
          <w:rFonts w:hint="default" w:ascii="Times New Roman" w:hAnsi="Times New Roman" w:eastAsia="宋体" w:cs="Times New Roman"/>
          <w:sz w:val="28"/>
          <w:szCs w:val="28"/>
          <w:lang w:val="en-US" w:eastAsia="zh-CN"/>
          <w14:ligatures w14:val="none"/>
        </w:rPr>
        <w:t>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53328120">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最大消防用水量：V</w:t>
      </w:r>
      <w:r>
        <w:rPr>
          <w:rFonts w:hint="default" w:ascii="Times New Roman" w:hAnsi="Times New Roman" w:eastAsia="宋体" w:cs="Times New Roman"/>
          <w:sz w:val="28"/>
          <w:szCs w:val="28"/>
          <w:vertAlign w:val="subscript"/>
          <w:lang w:val="en-US" w:eastAsia="zh-CN"/>
          <w14:ligatures w14:val="none"/>
        </w:rPr>
        <w:t>2</w:t>
      </w:r>
      <w:r>
        <w:rPr>
          <w:rFonts w:hint="default" w:ascii="Times New Roman" w:hAnsi="Times New Roman" w:eastAsia="宋体" w:cs="Times New Roman"/>
          <w:sz w:val="28"/>
          <w:szCs w:val="28"/>
          <w:lang w:val="en-US" w:eastAsia="zh-CN"/>
          <w14:ligatures w14:val="none"/>
        </w:rPr>
        <w:t>=</w:t>
      </w:r>
      <w:r>
        <w:rPr>
          <w:rFonts w:hint="eastAsia" w:ascii="Times New Roman" w:hAnsi="Times New Roman" w:eastAsia="宋体" w:cs="Times New Roman"/>
          <w:sz w:val="28"/>
          <w:szCs w:val="28"/>
          <w:lang w:val="en-US" w:eastAsia="zh-CN"/>
          <w14:ligatures w14:val="none"/>
        </w:rPr>
        <w:t>1059.4</w:t>
      </w:r>
      <w:r>
        <w:rPr>
          <w:rFonts w:hint="default" w:ascii="Times New Roman" w:hAnsi="Times New Roman" w:eastAsia="宋体" w:cs="Times New Roman"/>
          <w:sz w:val="28"/>
          <w:szCs w:val="28"/>
          <w:lang w:val="en-US" w:eastAsia="zh-CN"/>
          <w14:ligatures w14:val="none"/>
        </w:rPr>
        <w:t>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77365C99">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可以转输到其他储存或处理设施的物料量：V</w:t>
      </w:r>
      <w:r>
        <w:rPr>
          <w:rFonts w:hint="default" w:ascii="Times New Roman" w:hAnsi="Times New Roman" w:eastAsia="宋体" w:cs="Times New Roman"/>
          <w:sz w:val="28"/>
          <w:szCs w:val="28"/>
          <w:vertAlign w:val="subscript"/>
          <w:lang w:val="en-US" w:eastAsia="zh-CN"/>
          <w14:ligatures w14:val="none"/>
        </w:rPr>
        <w:t>3</w:t>
      </w:r>
      <w:r>
        <w:rPr>
          <w:rFonts w:hint="default" w:ascii="Times New Roman" w:hAnsi="Times New Roman" w:eastAsia="宋体" w:cs="Times New Roman"/>
          <w:sz w:val="28"/>
          <w:szCs w:val="28"/>
          <w:lang w:val="en-US" w:eastAsia="zh-CN"/>
          <w14:ligatures w14:val="none"/>
        </w:rPr>
        <w:t>=</w:t>
      </w:r>
      <w:r>
        <w:rPr>
          <w:rFonts w:hint="eastAsia" w:ascii="Times New Roman" w:hAnsi="Times New Roman" w:eastAsia="宋体" w:cs="Times New Roman"/>
          <w:sz w:val="28"/>
          <w:szCs w:val="28"/>
          <w:lang w:val="en-US" w:eastAsia="zh-CN"/>
          <w14:ligatures w14:val="none"/>
        </w:rPr>
        <w:t>2495.25</w:t>
      </w:r>
      <w:r>
        <w:rPr>
          <w:rFonts w:hint="default" w:ascii="Times New Roman" w:hAnsi="Times New Roman" w:eastAsia="宋体" w:cs="Times New Roman"/>
          <w:sz w:val="28"/>
          <w:szCs w:val="28"/>
          <w:lang w:val="en-US" w:eastAsia="zh-CN"/>
          <w14:ligatures w14:val="none"/>
        </w:rPr>
        <w:t>m</w:t>
      </w:r>
      <w:r>
        <w:rPr>
          <w:rFonts w:hint="default" w:ascii="Times New Roman" w:hAnsi="Times New Roman" w:eastAsia="宋体" w:cs="Times New Roman"/>
          <w:sz w:val="28"/>
          <w:szCs w:val="28"/>
          <w:vertAlign w:val="superscript"/>
          <w:lang w:val="en-US" w:eastAsia="zh-CN"/>
          <w14:ligatures w14:val="none"/>
        </w:rPr>
        <w:t>3</w:t>
      </w:r>
      <w:r>
        <w:rPr>
          <w:rFonts w:hint="eastAsia" w:ascii="Times New Roman" w:hAnsi="Times New Roman" w:eastAsia="宋体" w:cs="Times New Roman"/>
          <w:sz w:val="28"/>
          <w:szCs w:val="28"/>
          <w:vertAlign w:val="baseline"/>
          <w:lang w:val="en-US" w:eastAsia="zh-CN"/>
          <w14:ligatures w14:val="none"/>
        </w:rPr>
        <w:t>（46×60×1.2－7.7</w:t>
      </w:r>
      <w:r>
        <w:rPr>
          <w:rFonts w:hint="eastAsia" w:ascii="Times New Roman" w:hAnsi="Times New Roman" w:eastAsia="宋体" w:cs="Times New Roman"/>
          <w:sz w:val="28"/>
          <w:szCs w:val="28"/>
          <w:vertAlign w:val="superscript"/>
          <w:lang w:val="en-US" w:eastAsia="zh-CN"/>
          <w14:ligatures w14:val="none"/>
        </w:rPr>
        <w:t>2</w:t>
      </w:r>
      <w:r>
        <w:rPr>
          <w:rFonts w:hint="eastAsia" w:ascii="Times New Roman" w:hAnsi="Times New Roman" w:eastAsia="宋体" w:cs="Times New Roman"/>
          <w:sz w:val="28"/>
          <w:szCs w:val="28"/>
          <w:vertAlign w:val="baseline"/>
          <w:lang w:val="en-US" w:eastAsia="zh-CN"/>
          <w14:ligatures w14:val="none"/>
        </w:rPr>
        <w:t>π×1.2－7.8</w:t>
      </w:r>
      <w:r>
        <w:rPr>
          <w:rFonts w:hint="eastAsia" w:ascii="Times New Roman" w:hAnsi="Times New Roman" w:eastAsia="宋体" w:cs="Times New Roman"/>
          <w:sz w:val="28"/>
          <w:szCs w:val="28"/>
          <w:vertAlign w:val="superscript"/>
          <w:lang w:val="en-US" w:eastAsia="zh-CN"/>
          <w14:ligatures w14:val="none"/>
        </w:rPr>
        <w:t>2</w:t>
      </w:r>
      <w:r>
        <w:rPr>
          <w:rFonts w:hint="eastAsia" w:ascii="Times New Roman" w:hAnsi="Times New Roman" w:eastAsia="宋体" w:cs="Times New Roman"/>
          <w:sz w:val="28"/>
          <w:szCs w:val="28"/>
          <w:vertAlign w:val="baseline"/>
          <w:lang w:val="en-US" w:eastAsia="zh-CN"/>
          <w14:ligatures w14:val="none"/>
        </w:rPr>
        <w:t>π×1.2－5.9</w:t>
      </w:r>
      <w:r>
        <w:rPr>
          <w:rFonts w:hint="eastAsia" w:ascii="Times New Roman" w:hAnsi="Times New Roman" w:eastAsia="宋体" w:cs="Times New Roman"/>
          <w:sz w:val="28"/>
          <w:szCs w:val="28"/>
          <w:vertAlign w:val="superscript"/>
          <w:lang w:val="en-US" w:eastAsia="zh-CN"/>
          <w14:ligatures w14:val="none"/>
        </w:rPr>
        <w:t>2</w:t>
      </w:r>
      <w:r>
        <w:rPr>
          <w:rFonts w:hint="eastAsia" w:ascii="Times New Roman" w:hAnsi="Times New Roman" w:eastAsia="宋体" w:cs="Times New Roman"/>
          <w:sz w:val="28"/>
          <w:szCs w:val="28"/>
          <w:vertAlign w:val="baseline"/>
          <w:lang w:val="en-US" w:eastAsia="zh-CN"/>
          <w14:ligatures w14:val="none"/>
        </w:rPr>
        <w:t>π×1.2－5.6</w:t>
      </w:r>
      <w:r>
        <w:rPr>
          <w:rFonts w:hint="eastAsia" w:ascii="Times New Roman" w:hAnsi="Times New Roman" w:eastAsia="宋体" w:cs="Times New Roman"/>
          <w:sz w:val="28"/>
          <w:szCs w:val="28"/>
          <w:vertAlign w:val="superscript"/>
          <w:lang w:val="en-US" w:eastAsia="zh-CN"/>
          <w14:ligatures w14:val="none"/>
        </w:rPr>
        <w:t>2</w:t>
      </w:r>
      <w:r>
        <w:rPr>
          <w:rFonts w:hint="eastAsia" w:ascii="Times New Roman" w:hAnsi="Times New Roman" w:eastAsia="宋体" w:cs="Times New Roman"/>
          <w:sz w:val="28"/>
          <w:szCs w:val="28"/>
          <w:vertAlign w:val="baseline"/>
          <w:lang w:val="en-US" w:eastAsia="zh-CN"/>
          <w14:ligatures w14:val="none"/>
        </w:rPr>
        <w:t>π×1.2－5.5</w:t>
      </w:r>
      <w:r>
        <w:rPr>
          <w:rFonts w:hint="eastAsia" w:ascii="Times New Roman" w:hAnsi="Times New Roman" w:eastAsia="宋体" w:cs="Times New Roman"/>
          <w:sz w:val="28"/>
          <w:szCs w:val="28"/>
          <w:vertAlign w:val="superscript"/>
          <w:lang w:val="en-US" w:eastAsia="zh-CN"/>
          <w14:ligatures w14:val="none"/>
        </w:rPr>
        <w:t>2</w:t>
      </w:r>
      <w:r>
        <w:rPr>
          <w:rFonts w:hint="eastAsia" w:ascii="Times New Roman" w:hAnsi="Times New Roman" w:eastAsia="宋体" w:cs="Times New Roman"/>
          <w:sz w:val="28"/>
          <w:szCs w:val="28"/>
          <w:vertAlign w:val="baseline"/>
          <w:lang w:val="en-US" w:eastAsia="zh-CN"/>
          <w14:ligatures w14:val="none"/>
        </w:rPr>
        <w:t>π×1.2=3312－816.75=2495.25m</w:t>
      </w:r>
      <w:r>
        <w:rPr>
          <w:rFonts w:hint="eastAsia" w:ascii="Times New Roman" w:hAnsi="Times New Roman" w:eastAsia="宋体" w:cs="Times New Roman"/>
          <w:sz w:val="28"/>
          <w:szCs w:val="28"/>
          <w:vertAlign w:val="superscript"/>
          <w:lang w:val="en-US" w:eastAsia="zh-CN"/>
          <w14:ligatures w14:val="none"/>
        </w:rPr>
        <w:t>3</w:t>
      </w:r>
      <w:r>
        <w:rPr>
          <w:rFonts w:hint="eastAsia" w:ascii="Times New Roman" w:hAnsi="Times New Roman" w:eastAsia="宋体" w:cs="Times New Roman"/>
          <w:sz w:val="28"/>
          <w:szCs w:val="28"/>
          <w:vertAlign w:val="baseline"/>
          <w:lang w:val="en-US" w:eastAsia="zh-CN"/>
          <w14:ligatures w14:val="none"/>
        </w:rPr>
        <w:t>）即转移到防火堤内的物料量</w:t>
      </w:r>
      <w:r>
        <w:rPr>
          <w:rFonts w:hint="default" w:ascii="Times New Roman" w:hAnsi="Times New Roman" w:eastAsia="宋体" w:cs="Times New Roman"/>
          <w:sz w:val="28"/>
          <w:szCs w:val="28"/>
          <w:lang w:val="en-US" w:eastAsia="zh-CN"/>
          <w14:ligatures w14:val="none"/>
        </w:rPr>
        <w:t>；</w:t>
      </w:r>
    </w:p>
    <w:p w14:paraId="50C3512E">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进入收集系统的生产废水量：V</w:t>
      </w:r>
      <w:r>
        <w:rPr>
          <w:rFonts w:hint="default" w:ascii="Times New Roman" w:hAnsi="Times New Roman" w:eastAsia="宋体" w:cs="Times New Roman"/>
          <w:sz w:val="28"/>
          <w:szCs w:val="28"/>
          <w:vertAlign w:val="subscript"/>
          <w:lang w:val="en-US" w:eastAsia="zh-CN"/>
          <w14:ligatures w14:val="none"/>
        </w:rPr>
        <w:t>4</w:t>
      </w:r>
      <w:r>
        <w:rPr>
          <w:rFonts w:hint="default" w:ascii="Times New Roman" w:hAnsi="Times New Roman" w:eastAsia="宋体" w:cs="Times New Roman"/>
          <w:sz w:val="28"/>
          <w:szCs w:val="28"/>
          <w:lang w:val="en-US" w:eastAsia="zh-CN"/>
          <w14:ligatures w14:val="none"/>
        </w:rPr>
        <w:t>=0m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61F35C88">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进入收集系统的降雨量：qa=6</w:t>
      </w:r>
      <w:r>
        <w:rPr>
          <w:rFonts w:hint="eastAsia" w:ascii="Times New Roman" w:hAnsi="Times New Roman" w:eastAsia="宋体" w:cs="Times New Roman"/>
          <w:sz w:val="28"/>
          <w:szCs w:val="28"/>
          <w:lang w:val="en-US" w:eastAsia="zh-CN"/>
          <w14:ligatures w14:val="none"/>
        </w:rPr>
        <w:t>14.7</w:t>
      </w:r>
      <w:r>
        <w:rPr>
          <w:rFonts w:hint="default" w:ascii="Times New Roman" w:hAnsi="Times New Roman" w:eastAsia="宋体" w:cs="Times New Roman"/>
          <w:sz w:val="28"/>
          <w:szCs w:val="28"/>
          <w:lang w:val="en-US" w:eastAsia="zh-CN"/>
          <w14:ligatures w14:val="none"/>
        </w:rPr>
        <w:t>mm；n=</w:t>
      </w:r>
      <w:r>
        <w:rPr>
          <w:rFonts w:hint="eastAsia" w:ascii="Times New Roman" w:hAnsi="Times New Roman" w:eastAsia="宋体" w:cs="Times New Roman"/>
          <w:sz w:val="28"/>
          <w:szCs w:val="28"/>
          <w:lang w:val="en-US" w:eastAsia="zh-CN"/>
          <w14:ligatures w14:val="none"/>
        </w:rPr>
        <w:t>37</w:t>
      </w:r>
      <w:r>
        <w:rPr>
          <w:rFonts w:hint="default" w:ascii="Times New Roman" w:hAnsi="Times New Roman" w:eastAsia="宋体" w:cs="Times New Roman"/>
          <w:sz w:val="28"/>
          <w:szCs w:val="28"/>
          <w:lang w:val="en-US" w:eastAsia="zh-CN"/>
          <w14:ligatures w14:val="none"/>
        </w:rPr>
        <w:t>d；q=qa/n=</w:t>
      </w:r>
      <w:r>
        <w:rPr>
          <w:rFonts w:hint="eastAsia" w:ascii="Times New Roman" w:hAnsi="Times New Roman" w:eastAsia="宋体" w:cs="Times New Roman"/>
          <w:sz w:val="28"/>
          <w:szCs w:val="28"/>
          <w:lang w:val="en-US" w:eastAsia="zh-CN"/>
          <w14:ligatures w14:val="none"/>
        </w:rPr>
        <w:t>16.61</w:t>
      </w:r>
      <w:r>
        <w:rPr>
          <w:rFonts w:hint="default" w:ascii="Times New Roman" w:hAnsi="Times New Roman" w:eastAsia="宋体" w:cs="Times New Roman"/>
          <w:sz w:val="28"/>
          <w:szCs w:val="28"/>
          <w:lang w:val="en-US" w:eastAsia="zh-CN"/>
          <w14:ligatures w14:val="none"/>
        </w:rPr>
        <w:t>mm；</w:t>
      </w:r>
      <w:r>
        <w:rPr>
          <w:rFonts w:hint="eastAsia" w:ascii="Times New Roman" w:hAnsi="Times New Roman" w:eastAsia="宋体" w:cs="Times New Roman"/>
          <w:sz w:val="28"/>
          <w:szCs w:val="28"/>
          <w:lang w:val="en-US" w:eastAsia="zh-CN"/>
          <w14:ligatures w14:val="none"/>
        </w:rPr>
        <w:t xml:space="preserve">       </w:t>
      </w:r>
    </w:p>
    <w:p w14:paraId="4D30D829">
      <w:pPr>
        <w:adjustRightInd w:val="0"/>
        <w:snapToGrid w:val="0"/>
        <w:spacing w:after="0" w:line="360" w:lineRule="auto"/>
        <w:ind w:firstLine="560" w:firstLineChars="200"/>
        <w:jc w:val="both"/>
        <w:rPr>
          <w:rFonts w:hint="default" w:ascii="Times New Roman" w:hAnsi="Times New Roman" w:eastAsia="宋体" w:cs="Times New Roman"/>
          <w:sz w:val="28"/>
          <w:szCs w:val="28"/>
          <w:highlight w:val="none"/>
          <w:lang w:val="en-US" w:eastAsia="zh-CN"/>
          <w14:ligatures w14:val="none"/>
        </w:rPr>
      </w:pPr>
      <w:r>
        <w:rPr>
          <w:rFonts w:hint="default" w:ascii="Times New Roman" w:hAnsi="Times New Roman" w:eastAsia="宋体" w:cs="Times New Roman"/>
          <w:sz w:val="28"/>
          <w:szCs w:val="28"/>
          <w:highlight w:val="none"/>
          <w:lang w:val="en-US" w:eastAsia="zh-CN"/>
          <w14:ligatures w14:val="none"/>
        </w:rPr>
        <w:t>F=</w:t>
      </w:r>
      <w:r>
        <w:rPr>
          <w:rFonts w:hint="eastAsia" w:ascii="Times New Roman" w:hAnsi="Times New Roman" w:eastAsia="宋体" w:cs="Times New Roman"/>
          <w:sz w:val="28"/>
          <w:szCs w:val="28"/>
          <w:highlight w:val="none"/>
          <w:lang w:val="en-US" w:eastAsia="zh-CN"/>
          <w14:ligatures w14:val="none"/>
        </w:rPr>
        <w:t>2.24</w:t>
      </w:r>
      <w:r>
        <w:rPr>
          <w:rFonts w:hint="default" w:ascii="Times New Roman" w:hAnsi="Times New Roman" w:eastAsia="宋体" w:cs="Times New Roman"/>
          <w:sz w:val="28"/>
          <w:szCs w:val="28"/>
          <w:highlight w:val="none"/>
          <w:lang w:val="en-US" w:eastAsia="zh-CN"/>
          <w14:ligatures w14:val="none"/>
        </w:rPr>
        <w:t>ha；</w:t>
      </w:r>
    </w:p>
    <w:p w14:paraId="2EC72D3C">
      <w:pPr>
        <w:adjustRightInd w:val="0"/>
        <w:snapToGrid w:val="0"/>
        <w:spacing w:after="0" w:line="360" w:lineRule="auto"/>
        <w:ind w:firstLine="560" w:firstLineChars="200"/>
        <w:jc w:val="both"/>
        <w:rPr>
          <w:rFonts w:hint="default" w:ascii="Times New Roman" w:hAnsi="Times New Roman" w:eastAsia="宋体" w:cs="Times New Roman"/>
          <w:sz w:val="28"/>
          <w:szCs w:val="28"/>
          <w:highlight w:val="none"/>
          <w:vertAlign w:val="superscript"/>
          <w:lang w:val="en-US" w:eastAsia="zh-CN"/>
          <w14:ligatures w14:val="none"/>
        </w:rPr>
      </w:pPr>
      <w:r>
        <w:rPr>
          <w:rFonts w:hint="default" w:ascii="Times New Roman" w:hAnsi="Times New Roman" w:eastAsia="宋体" w:cs="Times New Roman"/>
          <w:sz w:val="28"/>
          <w:szCs w:val="28"/>
          <w:highlight w:val="none"/>
          <w:lang w:val="en-US" w:eastAsia="zh-CN"/>
          <w14:ligatures w14:val="none"/>
        </w:rPr>
        <w:t>则V</w:t>
      </w:r>
      <w:r>
        <w:rPr>
          <w:rFonts w:hint="default" w:ascii="Times New Roman" w:hAnsi="Times New Roman" w:eastAsia="宋体" w:cs="Times New Roman"/>
          <w:sz w:val="28"/>
          <w:szCs w:val="28"/>
          <w:highlight w:val="none"/>
          <w:vertAlign w:val="subscript"/>
          <w:lang w:val="en-US" w:eastAsia="zh-CN"/>
          <w14:ligatures w14:val="none"/>
        </w:rPr>
        <w:t>5</w:t>
      </w:r>
      <w:r>
        <w:rPr>
          <w:rFonts w:hint="default" w:ascii="Times New Roman" w:hAnsi="Times New Roman" w:eastAsia="宋体" w:cs="Times New Roman"/>
          <w:sz w:val="28"/>
          <w:szCs w:val="28"/>
          <w:highlight w:val="none"/>
          <w:lang w:val="en-US" w:eastAsia="zh-CN"/>
          <w14:ligatures w14:val="none"/>
        </w:rPr>
        <w:t>=10qF=10×</w:t>
      </w:r>
      <w:r>
        <w:rPr>
          <w:rFonts w:hint="eastAsia" w:ascii="Times New Roman" w:hAnsi="Times New Roman" w:eastAsia="宋体" w:cs="Times New Roman"/>
          <w:sz w:val="28"/>
          <w:szCs w:val="28"/>
          <w:highlight w:val="none"/>
          <w:lang w:val="en-US" w:eastAsia="zh-CN"/>
          <w14:ligatures w14:val="none"/>
        </w:rPr>
        <w:t>16.61</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0.252</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372.06</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p>
    <w:p w14:paraId="3FAE94E6">
      <w:pPr>
        <w:adjustRightInd w:val="0"/>
        <w:snapToGrid w:val="0"/>
        <w:spacing w:after="0" w:line="360" w:lineRule="auto"/>
        <w:ind w:firstLine="560" w:firstLineChars="200"/>
        <w:jc w:val="both"/>
        <w:rPr>
          <w:rFonts w:hint="default" w:ascii="Times New Roman" w:hAnsi="Times New Roman" w:eastAsia="宋体" w:cs="Times New Roman"/>
          <w:sz w:val="28"/>
          <w:szCs w:val="28"/>
          <w:highlight w:val="none"/>
          <w:lang w:val="en-US" w:eastAsia="zh-CN"/>
          <w14:ligatures w14:val="none"/>
        </w:rPr>
      </w:pP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2000</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1059.4</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2495.25</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）+0m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372.06</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936.21</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w:t>
      </w:r>
    </w:p>
    <w:p w14:paraId="62B66F27">
      <w:pPr>
        <w:adjustRightInd w:val="0"/>
        <w:snapToGrid w:val="0"/>
        <w:spacing w:after="0" w:line="360" w:lineRule="auto"/>
        <w:ind w:firstLine="560" w:firstLineChars="200"/>
        <w:jc w:val="both"/>
        <w:rPr>
          <w:rFonts w:hint="default"/>
          <w:lang w:val="en-US" w:eastAsia="zh-CN"/>
        </w:rPr>
      </w:pPr>
      <w:r>
        <w:rPr>
          <w:rFonts w:hint="default" w:ascii="Times New Roman" w:hAnsi="Times New Roman" w:eastAsia="宋体" w:cs="Times New Roman"/>
          <w:sz w:val="28"/>
          <w:szCs w:val="28"/>
          <w:lang w:val="en-US" w:eastAsia="zh-CN"/>
          <w14:ligatures w14:val="none"/>
        </w:rPr>
        <w:t>综上所述，厂区设有1座</w:t>
      </w:r>
      <w:r>
        <w:rPr>
          <w:rFonts w:hint="eastAsia" w:ascii="Times New Roman" w:hAnsi="Times New Roman" w:eastAsia="宋体" w:cs="Times New Roman"/>
          <w:sz w:val="28"/>
          <w:szCs w:val="28"/>
          <w:lang w:val="en-US" w:eastAsia="zh-CN"/>
          <w14:ligatures w14:val="none"/>
        </w:rPr>
        <w:t>1000m</w:t>
      </w:r>
      <w:r>
        <w:rPr>
          <w:rFonts w:hint="eastAsia" w:ascii="Times New Roman" w:hAnsi="Times New Roman" w:eastAsia="宋体" w:cs="Times New Roman"/>
          <w:sz w:val="28"/>
          <w:szCs w:val="28"/>
          <w:vertAlign w:val="superscript"/>
          <w:lang w:val="en-US" w:eastAsia="zh-CN"/>
          <w14:ligatures w14:val="none"/>
        </w:rPr>
        <w:t>3</w:t>
      </w:r>
      <w:r>
        <w:rPr>
          <w:rFonts w:hint="eastAsia" w:ascii="Times New Roman" w:hAnsi="Times New Roman" w:eastAsia="宋体" w:cs="Times New Roman"/>
          <w:sz w:val="28"/>
          <w:szCs w:val="28"/>
          <w:vertAlign w:val="baseline"/>
          <w:lang w:val="en-US" w:eastAsia="zh-CN"/>
          <w14:ligatures w14:val="none"/>
        </w:rPr>
        <w:t>的</w:t>
      </w:r>
      <w:r>
        <w:rPr>
          <w:rFonts w:hint="default" w:ascii="Times New Roman" w:hAnsi="Times New Roman" w:eastAsia="宋体" w:cs="Times New Roman"/>
          <w:sz w:val="28"/>
          <w:szCs w:val="28"/>
          <w:lang w:val="en-US" w:eastAsia="zh-CN"/>
          <w14:ligatures w14:val="none"/>
        </w:rPr>
        <w:t>事故水池，</w:t>
      </w:r>
      <w:r>
        <w:rPr>
          <w:rFonts w:hint="eastAsia" w:ascii="Times New Roman" w:hAnsi="Times New Roman" w:eastAsia="宋体" w:cs="Times New Roman"/>
          <w:sz w:val="28"/>
          <w:szCs w:val="28"/>
          <w:lang w:val="en-US" w:eastAsia="zh-CN"/>
          <w14:ligatures w14:val="none"/>
        </w:rPr>
        <w:t>满足要求。</w:t>
      </w:r>
    </w:p>
    <w:p w14:paraId="38559B4D">
      <w:pPr>
        <w:pStyle w:val="34"/>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lang w:val="en-US" w:eastAsia="zh-CN"/>
        </w:rPr>
        <w:t>7</w:t>
      </w:r>
      <w:r>
        <w:rPr>
          <w:rFonts w:eastAsia="黑体" w:cs="Times New Roman"/>
          <w:b/>
          <w:bCs/>
        </w:rPr>
        <w:t>.2</w:t>
      </w:r>
      <w:r>
        <w:rPr>
          <w:rFonts w:hint="eastAsia" w:ascii="黑体" w:hAnsi="黑体" w:eastAsia="黑体"/>
          <w:b/>
          <w:bCs/>
        </w:rPr>
        <w:t>供配电</w:t>
      </w:r>
    </w:p>
    <w:p w14:paraId="4A97B45D">
      <w:pPr>
        <w:pStyle w:val="34"/>
        <w:adjustRightInd w:val="0"/>
        <w:snapToGrid w:val="0"/>
        <w:ind w:firstLine="560"/>
      </w:pPr>
      <w:r>
        <w:rPr>
          <w:rFonts w:hint="eastAsia"/>
        </w:rPr>
        <w:t>（1）供配电</w:t>
      </w:r>
    </w:p>
    <w:p w14:paraId="357B7880">
      <w:pPr>
        <w:pStyle w:val="34"/>
        <w:adjustRightInd w:val="0"/>
        <w:snapToGrid w:val="0"/>
        <w:ind w:firstLine="560"/>
        <w:rPr>
          <w:rFonts w:hint="eastAsia"/>
        </w:rPr>
      </w:pPr>
      <w:r>
        <w:rPr>
          <w:rFonts w:hint="eastAsia"/>
        </w:rPr>
        <w:t>该单位用电由市政供给，供电电压10kV，厂区公用工程房配电室设有变压器一台</w:t>
      </w:r>
      <w:r>
        <w:rPr>
          <w:rFonts w:hint="eastAsia"/>
          <w:lang w:eastAsia="zh-CN"/>
        </w:rPr>
        <w:t>（</w:t>
      </w:r>
      <w:r>
        <w:rPr>
          <w:rFonts w:hint="eastAsia"/>
        </w:rPr>
        <w:t>型号</w:t>
      </w:r>
      <w:r>
        <w:rPr>
          <w:rFonts w:hint="eastAsia"/>
          <w:lang w:eastAsia="zh-CN"/>
        </w:rPr>
        <w:t>：</w:t>
      </w:r>
      <w:r>
        <w:rPr>
          <w:rFonts w:hint="eastAsia"/>
        </w:rPr>
        <w:t>SCB10-160/10</w:t>
      </w:r>
      <w:r>
        <w:rPr>
          <w:rFonts w:hint="eastAsia"/>
          <w:lang w:eastAsia="zh-CN"/>
        </w:rPr>
        <w:t>）</w:t>
      </w:r>
      <w:r>
        <w:rPr>
          <w:rFonts w:hint="eastAsia"/>
        </w:rPr>
        <w:t>，容量为160kVA，厂区还设置一台200kW的柴油发电机作为备用电源。</w:t>
      </w:r>
    </w:p>
    <w:p w14:paraId="1DD7E6FB">
      <w:pPr>
        <w:pStyle w:val="34"/>
        <w:adjustRightInd w:val="0"/>
        <w:snapToGrid w:val="0"/>
        <w:ind w:firstLine="560"/>
        <w:rPr>
          <w:rFonts w:hint="eastAsia"/>
        </w:rPr>
      </w:pPr>
      <w:r>
        <w:rPr>
          <w:rFonts w:hint="eastAsia"/>
        </w:rPr>
        <w:t>仪表系统、火灾报警系统属于一级负荷中的特别重要负荷，采用UPS不间断电源进行供电，消防水泵为二级用电负荷，其余为三级用电负荷。</w:t>
      </w:r>
    </w:p>
    <w:p w14:paraId="7B5A8161">
      <w:pPr>
        <w:pStyle w:val="34"/>
        <w:adjustRightInd w:val="0"/>
        <w:snapToGrid w:val="0"/>
        <w:ind w:firstLine="560"/>
      </w:pPr>
      <w:r>
        <w:rPr>
          <w:rFonts w:hint="eastAsia"/>
        </w:rPr>
        <w:t>（2）爆炸危险区域划分</w:t>
      </w:r>
    </w:p>
    <w:p w14:paraId="59D46BAF">
      <w:pPr>
        <w:pStyle w:val="34"/>
        <w:adjustRightInd w:val="0"/>
        <w:snapToGrid w:val="0"/>
        <w:ind w:firstLine="560"/>
        <w:rPr>
          <w:rFonts w:hint="eastAsia"/>
          <w:highlight w:val="none"/>
          <w:lang w:val="en-US" w:eastAsia="zh-CN"/>
        </w:rPr>
      </w:pPr>
      <w:r>
        <w:rPr>
          <w:rFonts w:hint="eastAsia"/>
          <w:highlight w:val="none"/>
          <w:lang w:val="en-US" w:eastAsia="zh-CN"/>
        </w:rPr>
        <w:t>该单位装卸泵棚、储罐区的-35</w:t>
      </w:r>
      <w:r>
        <w:rPr>
          <w:rFonts w:hint="eastAsia"/>
          <w:highlight w:val="none"/>
          <w:vertAlign w:val="superscript"/>
          <w:lang w:val="en-US" w:eastAsia="zh-CN"/>
        </w:rPr>
        <w:t>#</w:t>
      </w:r>
      <w:r>
        <w:rPr>
          <w:rFonts w:hint="eastAsia"/>
          <w:highlight w:val="none"/>
          <w:lang w:val="en-US" w:eastAsia="zh-CN"/>
        </w:rPr>
        <w:t>柴油储罐、泵房、隔油池划分为爆炸危险区域，爆炸危险区域内的电气设备的防爆等级均不低于dIIBT4。</w:t>
      </w:r>
    </w:p>
    <w:p w14:paraId="003BF451">
      <w:pPr>
        <w:pStyle w:val="34"/>
        <w:adjustRightInd w:val="0"/>
        <w:snapToGrid w:val="0"/>
        <w:ind w:firstLine="560"/>
      </w:pPr>
      <w:r>
        <w:rPr>
          <w:rFonts w:hint="eastAsia"/>
        </w:rPr>
        <w:t>（3）防雷、防静电</w:t>
      </w:r>
    </w:p>
    <w:p w14:paraId="285B4C64">
      <w:pPr>
        <w:pStyle w:val="34"/>
        <w:adjustRightInd w:val="0"/>
        <w:snapToGrid w:val="0"/>
        <w:ind w:firstLine="560"/>
        <w:rPr>
          <w:highlight w:val="none"/>
        </w:rPr>
      </w:pPr>
      <w:r>
        <w:rPr>
          <w:rFonts w:hint="eastAsia"/>
          <w:highlight w:val="none"/>
        </w:rPr>
        <w:t>储罐区</w:t>
      </w:r>
      <w:r>
        <w:rPr>
          <w:rFonts w:hint="eastAsia"/>
          <w:highlight w:val="none"/>
          <w:lang w:eastAsia="zh-CN"/>
        </w:rPr>
        <w:t>、</w:t>
      </w:r>
      <w:r>
        <w:rPr>
          <w:rFonts w:hint="eastAsia"/>
          <w:highlight w:val="none"/>
          <w:lang w:val="en-US" w:eastAsia="zh-CN"/>
        </w:rPr>
        <w:t>泵房、公用工程房、办公楼</w:t>
      </w:r>
      <w:r>
        <w:rPr>
          <w:rFonts w:hint="eastAsia"/>
          <w:highlight w:val="none"/>
        </w:rPr>
        <w:t>按照二类建筑设防，各类防雷建筑物设置接闪网，各装置利用柱内主钢筋作为引下线，并将引下线连接到主接地网。</w:t>
      </w:r>
    </w:p>
    <w:p w14:paraId="0D3C2936">
      <w:pPr>
        <w:pStyle w:val="34"/>
        <w:adjustRightInd w:val="0"/>
        <w:snapToGrid w:val="0"/>
        <w:ind w:firstLine="560"/>
        <w:rPr>
          <w:rFonts w:hint="eastAsia"/>
          <w:highlight w:val="none"/>
        </w:rPr>
      </w:pPr>
      <w:r>
        <w:rPr>
          <w:rFonts w:hint="eastAsia"/>
          <w:highlight w:val="none"/>
        </w:rPr>
        <w:t>由于油罐的顶板厚度均≥4mm ，且固定顶罐呼吸阀均装有阻火器，故罐区未设独立的接闪器，但油罐体做接地。</w:t>
      </w:r>
    </w:p>
    <w:p w14:paraId="55077E51">
      <w:pPr>
        <w:pStyle w:val="34"/>
        <w:adjustRightInd w:val="0"/>
        <w:snapToGrid w:val="0"/>
        <w:ind w:firstLine="560"/>
        <w:rPr>
          <w:rFonts w:hint="eastAsia"/>
          <w:highlight w:val="none"/>
        </w:rPr>
      </w:pPr>
      <w:r>
        <w:rPr>
          <w:rFonts w:hint="eastAsia"/>
          <w:highlight w:val="none"/>
        </w:rPr>
        <w:t>地上或管沟敷设的输油管线做防雷防静电接地，接地电阻≤30Ω ,平行敷设的油管线，其净距小于 100mm 时，采用金属线跨接。管道交叉点净距小于 100mm 时，其交叉点采用金属线跨接。内浮顶罐的浮盘与罐体采用2 根截面积不小于 50mm</w:t>
      </w:r>
      <w:r>
        <w:rPr>
          <w:rFonts w:hint="eastAsia"/>
          <w:highlight w:val="none"/>
          <w:vertAlign w:val="superscript"/>
        </w:rPr>
        <w:t>2</w:t>
      </w:r>
      <w:r>
        <w:rPr>
          <w:rFonts w:hint="eastAsia"/>
          <w:highlight w:val="none"/>
        </w:rPr>
        <w:t>的不锈钢丝绳做防雷防静电软连接。</w:t>
      </w:r>
    </w:p>
    <w:p w14:paraId="3D381671">
      <w:pPr>
        <w:pStyle w:val="34"/>
        <w:adjustRightInd w:val="0"/>
        <w:snapToGrid w:val="0"/>
        <w:ind w:firstLine="560"/>
        <w:rPr>
          <w:rFonts w:hint="default" w:ascii="Times New Roman" w:hAnsi="Times New Roman" w:cs="Times New Roman"/>
          <w:highlight w:val="none"/>
        </w:rPr>
      </w:pPr>
      <w:r>
        <w:rPr>
          <w:rFonts w:hint="eastAsia"/>
          <w:highlight w:val="none"/>
        </w:rPr>
        <w:t>爆炸火灾危险场所内所有金属构件、电气装置外露可导电部分和装置外导电部分以及可能产生静电的设备、管道、容器等均按规定可靠接地。所有正常不带电的用电设备金属外壳、电缆桥架及爆炸危险区域内的工艺金属设备（容器、塔等）均作可靠接地，并作</w:t>
      </w:r>
      <w:r>
        <w:rPr>
          <w:rFonts w:hint="default" w:ascii="Times New Roman" w:hAnsi="Times New Roman" w:cs="Times New Roman"/>
          <w:highlight w:val="none"/>
        </w:rPr>
        <w:t>等电位联接。</w:t>
      </w:r>
    </w:p>
    <w:p w14:paraId="2BC1B2A9">
      <w:pPr>
        <w:pStyle w:val="34"/>
        <w:adjustRightInd w:val="0"/>
        <w:snapToGrid w:val="0"/>
        <w:ind w:firstLine="560"/>
        <w:rPr>
          <w:highlight w:val="none"/>
        </w:rPr>
      </w:pPr>
      <w:r>
        <w:rPr>
          <w:rFonts w:hint="default" w:ascii="Times New Roman" w:hAnsi="Times New Roman" w:cs="Times New Roman"/>
          <w:highlight w:val="none"/>
        </w:rPr>
        <w:t>各设备、建构筑接地电阻不大于4Ω，</w:t>
      </w:r>
      <w:r>
        <w:rPr>
          <w:rFonts w:hint="eastAsia"/>
          <w:highlight w:val="none"/>
        </w:rPr>
        <w:t>罐区等电位联接过渡电阻不大于</w:t>
      </w:r>
      <w:r>
        <w:rPr>
          <w:rFonts w:hint="default" w:ascii="Times New Roman" w:hAnsi="Times New Roman" w:cs="Times New Roman"/>
          <w:highlight w:val="none"/>
        </w:rPr>
        <w:t>0.03Ω。</w:t>
      </w:r>
    </w:p>
    <w:p w14:paraId="6D83AFED">
      <w:pPr>
        <w:pStyle w:val="34"/>
        <w:adjustRightInd w:val="0"/>
        <w:snapToGrid w:val="0"/>
        <w:ind w:firstLine="560"/>
      </w:pPr>
      <w:r>
        <w:rPr>
          <w:rFonts w:hint="eastAsia"/>
        </w:rPr>
        <w:t>该公司防雷装置经</w:t>
      </w:r>
      <w:r>
        <w:rPr>
          <w:rFonts w:hint="eastAsia"/>
          <w:lang w:val="en-US" w:eastAsia="zh-CN"/>
        </w:rPr>
        <w:t>辽宁雷电防护工程有限责任公司</w:t>
      </w:r>
      <w:r>
        <w:rPr>
          <w:rFonts w:hint="eastAsia"/>
        </w:rPr>
        <w:t>进行检测并出具《雷电防护装置检测报告》（10620170</w:t>
      </w:r>
      <w:r>
        <w:rPr>
          <w:rFonts w:hint="eastAsia"/>
          <w:lang w:val="en-US" w:eastAsia="zh-CN"/>
        </w:rPr>
        <w:t>07</w:t>
      </w:r>
      <w:r>
        <w:rPr>
          <w:rFonts w:hint="eastAsia"/>
        </w:rPr>
        <w:t>[202</w:t>
      </w:r>
      <w:r>
        <w:rPr>
          <w:rFonts w:hint="eastAsia"/>
          <w:lang w:val="en-US" w:eastAsia="zh-CN"/>
        </w:rPr>
        <w:t>5</w:t>
      </w:r>
      <w:r>
        <w:rPr>
          <w:rFonts w:hint="eastAsia"/>
        </w:rPr>
        <w:t>]</w:t>
      </w:r>
      <w:r>
        <w:rPr>
          <w:rFonts w:hint="eastAsia"/>
          <w:lang w:val="en-US" w:eastAsia="zh-CN"/>
        </w:rPr>
        <w:t>1600563</w:t>
      </w:r>
      <w:r>
        <w:rPr>
          <w:rFonts w:hint="eastAsia"/>
        </w:rPr>
        <w:t>），结论为：该项目整体雷电防护装置综合评定为符合标准。</w:t>
      </w:r>
    </w:p>
    <w:p w14:paraId="76278FCE">
      <w:pPr>
        <w:pStyle w:val="34"/>
        <w:adjustRightInd w:val="0"/>
        <w:snapToGrid w:val="0"/>
        <w:spacing w:before="156" w:beforeLines="50" w:after="156" w:afterLines="50"/>
        <w:ind w:firstLine="562"/>
        <w:outlineLvl w:val="2"/>
        <w:rPr>
          <w:rFonts w:eastAsia="黑体" w:cs="Times New Roman"/>
          <w:b/>
          <w:bCs/>
        </w:rPr>
      </w:pPr>
      <w:r>
        <w:rPr>
          <w:rFonts w:hint="eastAsia" w:eastAsia="黑体" w:cs="Times New Roman"/>
          <w:b/>
          <w:bCs/>
        </w:rPr>
        <w:t>2.</w:t>
      </w:r>
      <w:r>
        <w:rPr>
          <w:rFonts w:hint="eastAsia" w:eastAsia="黑体" w:cs="Times New Roman"/>
          <w:b/>
          <w:bCs/>
          <w:lang w:val="en-US" w:eastAsia="zh-CN"/>
        </w:rPr>
        <w:t>7</w:t>
      </w:r>
      <w:r>
        <w:rPr>
          <w:rFonts w:hint="eastAsia" w:eastAsia="黑体" w:cs="Times New Roman"/>
          <w:b/>
          <w:bCs/>
        </w:rPr>
        <w:t>.3</w:t>
      </w:r>
      <w:r>
        <w:rPr>
          <w:rFonts w:hint="eastAsia" w:eastAsia="黑体" w:cs="Times New Roman"/>
          <w:b/>
          <w:bCs/>
          <w:lang w:val="en-US" w:eastAsia="zh-CN"/>
        </w:rPr>
        <w:t>采暖和</w:t>
      </w:r>
      <w:r>
        <w:rPr>
          <w:rFonts w:hint="eastAsia" w:eastAsia="黑体" w:cs="Times New Roman"/>
          <w:b/>
          <w:bCs/>
        </w:rPr>
        <w:t>通风</w:t>
      </w:r>
    </w:p>
    <w:p w14:paraId="64594846">
      <w:pPr>
        <w:pStyle w:val="34"/>
        <w:keepNext w:val="0"/>
        <w:keepLines w:val="0"/>
        <w:pageBreakBefore w:val="0"/>
        <w:widowControl w:val="0"/>
        <w:kinsoku/>
        <w:wordWrap/>
        <w:overflowPunct/>
        <w:topLinePunct w:val="0"/>
        <w:autoSpaceDE/>
        <w:autoSpaceDN/>
        <w:bidi w:val="0"/>
        <w:adjustRightInd w:val="0"/>
        <w:snapToGrid w:val="0"/>
        <w:ind w:firstLine="560"/>
        <w:textAlignment w:val="auto"/>
        <w:rPr>
          <w:rFonts w:hint="eastAsia"/>
          <w:lang w:val="en-US" w:eastAsia="zh-CN"/>
        </w:rPr>
      </w:pPr>
      <w:r>
        <w:rPr>
          <w:rFonts w:hint="eastAsia"/>
          <w:lang w:val="en-US" w:eastAsia="zh-CN"/>
        </w:rPr>
        <w:t>（1）采暖</w:t>
      </w:r>
    </w:p>
    <w:p w14:paraId="5B2954EC">
      <w:pPr>
        <w:pStyle w:val="34"/>
        <w:keepNext w:val="0"/>
        <w:keepLines w:val="0"/>
        <w:pageBreakBefore w:val="0"/>
        <w:widowControl w:val="0"/>
        <w:kinsoku/>
        <w:wordWrap/>
        <w:overflowPunct/>
        <w:topLinePunct w:val="0"/>
        <w:autoSpaceDE/>
        <w:autoSpaceDN/>
        <w:bidi w:val="0"/>
        <w:adjustRightInd w:val="0"/>
        <w:snapToGrid w:val="0"/>
        <w:ind w:firstLine="560"/>
        <w:textAlignment w:val="auto"/>
        <w:rPr>
          <w:rFonts w:hint="eastAsia"/>
          <w:lang w:val="en-US" w:eastAsia="zh-CN"/>
        </w:rPr>
      </w:pPr>
      <w:r>
        <w:rPr>
          <w:rFonts w:hint="eastAsia"/>
          <w:lang w:val="en-US" w:eastAsia="zh-CN"/>
        </w:rPr>
        <w:t>该油库利用电锅炉供暖，采暖管道采用上供下回同程式布置形式。</w:t>
      </w:r>
    </w:p>
    <w:p w14:paraId="39006E9B">
      <w:pPr>
        <w:pStyle w:val="34"/>
        <w:keepNext w:val="0"/>
        <w:keepLines w:val="0"/>
        <w:pageBreakBefore w:val="0"/>
        <w:widowControl w:val="0"/>
        <w:kinsoku/>
        <w:wordWrap/>
        <w:overflowPunct/>
        <w:topLinePunct w:val="0"/>
        <w:autoSpaceDE/>
        <w:autoSpaceDN/>
        <w:bidi w:val="0"/>
        <w:adjustRightInd w:val="0"/>
        <w:snapToGrid w:val="0"/>
        <w:ind w:firstLine="560"/>
        <w:textAlignment w:val="auto"/>
        <w:rPr>
          <w:rFonts w:hint="eastAsia"/>
          <w:lang w:val="en-US" w:eastAsia="zh-CN"/>
        </w:rPr>
      </w:pPr>
      <w:r>
        <w:rPr>
          <w:rFonts w:hint="eastAsia"/>
          <w:lang w:val="en-US" w:eastAsia="zh-CN"/>
        </w:rPr>
        <w:t>（2）通风</w:t>
      </w:r>
    </w:p>
    <w:p w14:paraId="64C4CE7E">
      <w:pPr>
        <w:pStyle w:val="34"/>
        <w:keepNext w:val="0"/>
        <w:keepLines w:val="0"/>
        <w:pageBreakBefore w:val="0"/>
        <w:widowControl w:val="0"/>
        <w:kinsoku/>
        <w:wordWrap/>
        <w:overflowPunct/>
        <w:topLinePunct w:val="0"/>
        <w:autoSpaceDE/>
        <w:autoSpaceDN/>
        <w:bidi w:val="0"/>
        <w:adjustRightInd w:val="0"/>
        <w:snapToGrid w:val="0"/>
        <w:ind w:firstLine="560"/>
        <w:textAlignment w:val="auto"/>
        <w:rPr>
          <w:rFonts w:hint="default"/>
          <w:lang w:val="en-US"/>
        </w:rPr>
      </w:pPr>
      <w:r>
        <w:rPr>
          <w:rFonts w:hint="eastAsia"/>
          <w:lang w:val="en-US" w:eastAsia="zh-CN"/>
        </w:rPr>
        <w:t>该企业储罐均采用露天布置，自然通风；泵房设置机械通风及事故通风，事故排风换气次数为12次/h，且事故风机与可燃气体报警器连锁，事故通风的风机开关分别设置在室内和室外便于操作的地点。</w:t>
      </w:r>
    </w:p>
    <w:p w14:paraId="009D83E1">
      <w:pPr>
        <w:pStyle w:val="34"/>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lang w:val="en-US" w:eastAsia="zh-CN"/>
        </w:rPr>
        <w:t>7</w:t>
      </w:r>
      <w:r>
        <w:rPr>
          <w:rFonts w:eastAsia="黑体" w:cs="Times New Roman"/>
          <w:b/>
          <w:bCs/>
        </w:rPr>
        <w:t>.</w:t>
      </w:r>
      <w:r>
        <w:rPr>
          <w:rFonts w:hint="eastAsia" w:eastAsia="黑体" w:cs="Times New Roman"/>
          <w:b/>
          <w:bCs/>
          <w:lang w:val="en-US" w:eastAsia="zh-CN"/>
        </w:rPr>
        <w:t>4</w:t>
      </w:r>
      <w:r>
        <w:rPr>
          <w:rFonts w:hint="eastAsia" w:ascii="黑体" w:hAnsi="黑体" w:eastAsia="黑体"/>
          <w:b/>
          <w:bCs/>
        </w:rPr>
        <w:t>自动控制系统</w:t>
      </w:r>
    </w:p>
    <w:p w14:paraId="1DC6B9DD">
      <w:pPr>
        <w:pStyle w:val="34"/>
        <w:adjustRightInd w:val="0"/>
        <w:snapToGrid w:val="0"/>
        <w:ind w:firstLine="560"/>
        <w:rPr>
          <w:rFonts w:hint="eastAsia"/>
        </w:rPr>
      </w:pPr>
      <w:r>
        <w:rPr>
          <w:rFonts w:hint="eastAsia"/>
        </w:rPr>
        <w:t>该油库自动控制系统主要包括：计算机管理系统、油罐液位监测系统、高低液位紧急切断联锁系统、火灾报警系统、可燃气体检测报警系统等。</w:t>
      </w:r>
    </w:p>
    <w:p w14:paraId="2EEA4F3F">
      <w:pPr>
        <w:pStyle w:val="34"/>
        <w:adjustRightInd w:val="0"/>
        <w:snapToGrid w:val="0"/>
        <w:ind w:firstLine="560"/>
        <w:rPr>
          <w:rFonts w:hint="eastAsia"/>
        </w:rPr>
      </w:pPr>
      <w:r>
        <w:rPr>
          <w:rFonts w:hint="eastAsia"/>
        </w:rPr>
        <w:t>企业已</w:t>
      </w:r>
      <w:r>
        <w:rPr>
          <w:rFonts w:hint="eastAsia"/>
          <w:lang w:val="en-US" w:eastAsia="zh-CN"/>
        </w:rPr>
        <w:t>委托</w:t>
      </w:r>
      <w:r>
        <w:rPr>
          <w:rFonts w:hint="eastAsia"/>
        </w:rPr>
        <w:t>沈阳奥思特安全技术服务集团有限公司对国能安储</w:t>
      </w:r>
      <w:r>
        <w:rPr>
          <w:rFonts w:hint="eastAsia"/>
          <w:lang w:eastAsia="zh-CN"/>
        </w:rPr>
        <w:t>（</w:t>
      </w:r>
      <w:r>
        <w:rPr>
          <w:rFonts w:hint="eastAsia"/>
        </w:rPr>
        <w:t>东港</w:t>
      </w:r>
      <w:r>
        <w:rPr>
          <w:rFonts w:hint="eastAsia"/>
          <w:lang w:eastAsia="zh-CN"/>
        </w:rPr>
        <w:t>）</w:t>
      </w:r>
      <w:r>
        <w:rPr>
          <w:rFonts w:hint="eastAsia"/>
        </w:rPr>
        <w:t>燃料供应有限公司</w:t>
      </w:r>
      <w:r>
        <w:rPr>
          <w:rFonts w:hint="eastAsia"/>
          <w:lang w:eastAsia="zh-CN"/>
        </w:rPr>
        <w:t>东港前阳油库工艺</w:t>
      </w:r>
      <w:r>
        <w:rPr>
          <w:rFonts w:hint="eastAsia"/>
        </w:rPr>
        <w:t>进行SIL定级</w:t>
      </w:r>
      <w:r>
        <w:rPr>
          <w:rFonts w:hint="eastAsia"/>
          <w:lang w:eastAsia="zh-CN"/>
        </w:rPr>
        <w:t>，共完成5个情景的LOPA分析，共提出4个SIF回路，SIS系统SIF回路要求的SIL等级SIL-的为2个；SIL等级SILa的为2个；SIL等级SIL1的为0个；SIF等级SIL2的为0个；SIF等级SIL3的为0个</w:t>
      </w:r>
      <w:r>
        <w:rPr>
          <w:rFonts w:hint="eastAsia"/>
        </w:rPr>
        <w:t>。</w:t>
      </w:r>
    </w:p>
    <w:p w14:paraId="4C3C5DF2">
      <w:pPr>
        <w:pStyle w:val="34"/>
        <w:adjustRightInd w:val="0"/>
        <w:snapToGrid w:val="0"/>
        <w:ind w:firstLine="560"/>
        <w:rPr>
          <w:rFonts w:hint="eastAsia"/>
        </w:rPr>
      </w:pPr>
      <w:r>
        <w:rPr>
          <w:rFonts w:hint="eastAsia"/>
        </w:rPr>
        <w:t>（1）计算机管理系统</w:t>
      </w:r>
    </w:p>
    <w:p w14:paraId="2B043015">
      <w:pPr>
        <w:pStyle w:val="34"/>
        <w:adjustRightInd w:val="0"/>
        <w:snapToGrid w:val="0"/>
        <w:ind w:firstLine="560"/>
        <w:rPr>
          <w:rFonts w:hint="eastAsia"/>
        </w:rPr>
      </w:pPr>
      <w:r>
        <w:rPr>
          <w:rFonts w:hint="eastAsia"/>
        </w:rPr>
        <w:t>该油库计算机监控管理系统主要是负责把罐区油罐液位检测系统传来的各种数据通过计算机管理软件进行整合，以实现油品采购、入库、销售及统计的标准化管理、财务凭证和报表管理、油库运营情况分析统计管理，以及财务、人事、客户等信息的管理。</w:t>
      </w:r>
    </w:p>
    <w:p w14:paraId="2E3BFA39">
      <w:pPr>
        <w:pStyle w:val="34"/>
        <w:adjustRightInd w:val="0"/>
        <w:snapToGrid w:val="0"/>
        <w:ind w:firstLine="560"/>
        <w:rPr>
          <w:rFonts w:hint="eastAsia"/>
        </w:rPr>
      </w:pPr>
      <w:r>
        <w:rPr>
          <w:rFonts w:hint="eastAsia"/>
        </w:rPr>
        <w:t>（2）油罐液位监测系统</w:t>
      </w:r>
    </w:p>
    <w:p w14:paraId="58163030">
      <w:pPr>
        <w:pStyle w:val="34"/>
        <w:adjustRightInd w:val="0"/>
        <w:snapToGrid w:val="0"/>
        <w:ind w:firstLine="560"/>
        <w:rPr>
          <w:rFonts w:hint="eastAsia"/>
        </w:rPr>
      </w:pPr>
      <w:r>
        <w:rPr>
          <w:rFonts w:hint="eastAsia"/>
        </w:rPr>
        <w:t>该油库储罐均安装液位计、温度检测及高、低液位报警装置，油罐液位监控计算机系统安装在控制室，在该系统计算机上可实时显示各油罐内油品的液位、油温、油水界面、压力等数据，能及时反映出各油罐的工作状态，且每个可通过软件设置高液位时自动报警。</w:t>
      </w:r>
      <w:r>
        <w:rPr>
          <w:rFonts w:hint="eastAsia"/>
          <w:lang w:val="en-US" w:eastAsia="zh-CN"/>
        </w:rPr>
        <w:t>低</w:t>
      </w:r>
      <w:r>
        <w:rPr>
          <w:rFonts w:hint="eastAsia"/>
        </w:rPr>
        <w:t xml:space="preserve">液位报警的设定高度高于浮顶落底高度0. </w:t>
      </w:r>
      <w:r>
        <w:rPr>
          <w:rFonts w:hint="eastAsia"/>
          <w:lang w:val="en-US" w:eastAsia="zh-CN"/>
        </w:rPr>
        <w:t>2</w:t>
      </w:r>
      <w:r>
        <w:rPr>
          <w:rFonts w:hint="eastAsia"/>
        </w:rPr>
        <w:t>m</w:t>
      </w:r>
      <w:r>
        <w:rPr>
          <w:rFonts w:hint="eastAsia"/>
          <w:lang w:val="en-US" w:eastAsia="zh-CN"/>
        </w:rPr>
        <w:t>以上</w:t>
      </w:r>
      <w:r>
        <w:rPr>
          <w:rFonts w:hint="eastAsia"/>
        </w:rPr>
        <w:t>，满足泵不发生汽蚀的要求。</w:t>
      </w:r>
    </w:p>
    <w:p w14:paraId="5CEE6B13">
      <w:pPr>
        <w:pStyle w:val="34"/>
        <w:adjustRightInd w:val="0"/>
        <w:snapToGrid w:val="0"/>
        <w:ind w:firstLine="560"/>
        <w:rPr>
          <w:rFonts w:hint="eastAsia"/>
        </w:rPr>
      </w:pPr>
      <w:r>
        <w:rPr>
          <w:rFonts w:hint="eastAsia"/>
        </w:rPr>
        <w:t>（3）汽车定量控制发油系统</w:t>
      </w:r>
    </w:p>
    <w:p w14:paraId="3A632DDB">
      <w:pPr>
        <w:pStyle w:val="34"/>
        <w:adjustRightInd w:val="0"/>
        <w:snapToGrid w:val="0"/>
        <w:ind w:firstLine="560"/>
        <w:rPr>
          <w:rFonts w:hint="eastAsia"/>
        </w:rPr>
      </w:pPr>
      <w:r>
        <w:rPr>
          <w:rFonts w:hint="eastAsia"/>
        </w:rPr>
        <w:t>该油库汽车油罐车装油采用PLC定量控制发油系统，其计算机系统位于营业控制室内。该系统设有防静电、防溢油联锁功能，当防静电接地夹子未接好时将有声光报警，当达到标定值出现溢油风险时自动关阀阀门停止发油。发油系统采用多段控制阀门。</w:t>
      </w:r>
    </w:p>
    <w:p w14:paraId="164FEE9B">
      <w:pPr>
        <w:pStyle w:val="34"/>
        <w:adjustRightInd w:val="0"/>
        <w:snapToGrid w:val="0"/>
        <w:ind w:firstLine="560"/>
        <w:rPr>
          <w:rFonts w:hint="eastAsia"/>
        </w:rPr>
      </w:pPr>
      <w:r>
        <w:rPr>
          <w:rFonts w:hint="eastAsia"/>
        </w:rPr>
        <w:t>（</w:t>
      </w:r>
      <w:r>
        <w:rPr>
          <w:rFonts w:hint="eastAsia"/>
          <w:lang w:val="en-US" w:eastAsia="zh-CN"/>
        </w:rPr>
        <w:t>4</w:t>
      </w:r>
      <w:r>
        <w:rPr>
          <w:rFonts w:hint="eastAsia"/>
        </w:rPr>
        <w:t>）火灾报警系统</w:t>
      </w:r>
    </w:p>
    <w:p w14:paraId="116304EE">
      <w:pPr>
        <w:pStyle w:val="34"/>
        <w:adjustRightInd w:val="0"/>
        <w:snapToGrid w:val="0"/>
        <w:ind w:firstLine="560"/>
        <w:rPr>
          <w:rFonts w:hint="eastAsia"/>
        </w:rPr>
      </w:pPr>
      <w:r>
        <w:rPr>
          <w:rFonts w:hint="eastAsia"/>
        </w:rPr>
        <w:t>储罐区、汽车油罐车装车设施区均设有户外</w:t>
      </w:r>
      <w:r>
        <w:rPr>
          <w:rFonts w:hint="eastAsia"/>
          <w:highlight w:val="none"/>
        </w:rPr>
        <w:t>手动火灾报警设施</w:t>
      </w:r>
      <w:r>
        <w:rPr>
          <w:rFonts w:hint="eastAsia"/>
          <w:highlight w:val="none"/>
          <w:lang w:val="en-US" w:eastAsia="zh-CN"/>
        </w:rPr>
        <w:t>共12处</w:t>
      </w:r>
      <w:r>
        <w:rPr>
          <w:rFonts w:hint="eastAsia"/>
          <w:highlight w:val="none"/>
        </w:rPr>
        <w:t>，</w:t>
      </w:r>
      <w:r>
        <w:rPr>
          <w:rFonts w:hint="eastAsia"/>
        </w:rPr>
        <w:t>当有意外情况发生时，附近人员可就近按动报警按钮，向消防值班室报警，消防值班室的火灾报警器上会发出声光报警信号并显示其报警位置信息，提醒值班人员对情况进行处理。</w:t>
      </w:r>
    </w:p>
    <w:p w14:paraId="0908F8EF">
      <w:pPr>
        <w:pStyle w:val="34"/>
        <w:adjustRightInd w:val="0"/>
        <w:snapToGrid w:val="0"/>
        <w:ind w:firstLine="560"/>
        <w:rPr>
          <w:rFonts w:hint="eastAsia"/>
        </w:rPr>
      </w:pPr>
      <w:r>
        <w:rPr>
          <w:rFonts w:hint="eastAsia"/>
        </w:rPr>
        <w:t>（</w:t>
      </w:r>
      <w:r>
        <w:rPr>
          <w:rFonts w:hint="eastAsia"/>
          <w:lang w:val="en-US" w:eastAsia="zh-CN"/>
        </w:rPr>
        <w:t>5</w:t>
      </w:r>
      <w:r>
        <w:rPr>
          <w:rFonts w:hint="eastAsia"/>
        </w:rPr>
        <w:t>）可燃气体检测报警系统</w:t>
      </w:r>
    </w:p>
    <w:p w14:paraId="6047A97D">
      <w:pPr>
        <w:pStyle w:val="34"/>
        <w:adjustRightInd w:val="0"/>
        <w:snapToGrid w:val="0"/>
        <w:ind w:firstLine="560"/>
        <w:rPr>
          <w:rFonts w:hint="eastAsia"/>
        </w:rPr>
      </w:pPr>
      <w:r>
        <w:rPr>
          <w:rFonts w:hint="eastAsia"/>
        </w:rPr>
        <w:t>油</w:t>
      </w:r>
      <w:r>
        <w:rPr>
          <w:rFonts w:hint="eastAsia"/>
          <w:lang w:val="en-US" w:eastAsia="zh-CN"/>
        </w:rPr>
        <w:t>罐区、汽车装卸车棚</w:t>
      </w:r>
      <w:r>
        <w:rPr>
          <w:rFonts w:hint="eastAsia"/>
        </w:rPr>
        <w:t>处、泵房</w:t>
      </w:r>
      <w:r>
        <w:rPr>
          <w:rFonts w:hint="eastAsia"/>
          <w:lang w:eastAsia="zh-CN"/>
        </w:rPr>
        <w:t>、</w:t>
      </w:r>
      <w:r>
        <w:rPr>
          <w:rFonts w:hint="eastAsia"/>
          <w:lang w:val="en-US" w:eastAsia="zh-CN"/>
        </w:rPr>
        <w:t>铁路栈桥</w:t>
      </w:r>
      <w:r>
        <w:rPr>
          <w:rFonts w:hint="eastAsia"/>
        </w:rPr>
        <w:t>处</w:t>
      </w:r>
      <w:r>
        <w:rPr>
          <w:rFonts w:hint="eastAsia"/>
          <w:lang w:val="en-US" w:eastAsia="zh-CN"/>
        </w:rPr>
        <w:t>共设置15台</w:t>
      </w:r>
      <w:r>
        <w:rPr>
          <w:rFonts w:hint="eastAsia"/>
        </w:rPr>
        <w:t>可燃气体报警器</w:t>
      </w:r>
      <w:r>
        <w:rPr>
          <w:rFonts w:hint="eastAsia"/>
          <w:lang w:eastAsia="zh-CN"/>
        </w:rPr>
        <w:t>，</w:t>
      </w:r>
      <w:r>
        <w:rPr>
          <w:rFonts w:hint="eastAsia"/>
        </w:rPr>
        <w:t>可燃气体报警器信号传至值班室，具有声光报警功能。</w:t>
      </w:r>
    </w:p>
    <w:p w14:paraId="3E23BBD4">
      <w:pPr>
        <w:pStyle w:val="34"/>
        <w:adjustRightInd w:val="0"/>
        <w:snapToGrid w:val="0"/>
        <w:ind w:firstLine="560"/>
        <w:rPr>
          <w:rFonts w:hint="eastAsia"/>
        </w:rPr>
      </w:pPr>
      <w:r>
        <w:rPr>
          <w:rFonts w:hint="eastAsia"/>
        </w:rPr>
        <w:t>（</w:t>
      </w:r>
      <w:r>
        <w:rPr>
          <w:rFonts w:hint="eastAsia"/>
          <w:lang w:val="en-US" w:eastAsia="zh-CN"/>
        </w:rPr>
        <w:t>6</w:t>
      </w:r>
      <w:r>
        <w:rPr>
          <w:rFonts w:hint="eastAsia"/>
        </w:rPr>
        <w:t>）高低液位紧急切断联锁系统</w:t>
      </w:r>
    </w:p>
    <w:p w14:paraId="0F500E8B">
      <w:pPr>
        <w:pStyle w:val="34"/>
        <w:numPr>
          <w:ilvl w:val="0"/>
          <w:numId w:val="0"/>
        </w:numPr>
        <w:adjustRightInd w:val="0"/>
        <w:snapToGrid w:val="0"/>
        <w:ind w:firstLine="560" w:firstLineChars="200"/>
        <w:rPr>
          <w:rFonts w:hint="eastAsia"/>
        </w:rPr>
      </w:pPr>
      <w:r>
        <w:rPr>
          <w:rFonts w:hint="eastAsia"/>
        </w:rPr>
        <w:t>控制室设1套油库PLC联锁系统，罐区液位报警信号送至PLC联锁系统，由其进行监控。高高/低低液位报警在控制室上进行声光报警。高高液位控制器与相应的进罐管线电动阀门连锁，低低液位控制器与出罐管线电动阀门连锁。系统具备连锁、系统故障报警等功能。</w:t>
      </w:r>
    </w:p>
    <w:p w14:paraId="32DDAD3F">
      <w:pPr>
        <w:pStyle w:val="34"/>
        <w:numPr>
          <w:ilvl w:val="0"/>
          <w:numId w:val="0"/>
        </w:numPr>
        <w:adjustRightInd w:val="0"/>
        <w:snapToGrid w:val="0"/>
        <w:ind w:firstLine="560" w:firstLineChars="200"/>
        <w:rPr>
          <w:rFonts w:hint="eastAsia"/>
          <w:lang w:val="en-US" w:eastAsia="zh-CN"/>
        </w:rPr>
      </w:pPr>
      <w:r>
        <w:rPr>
          <w:rFonts w:hint="eastAsia"/>
        </w:rPr>
        <w:t>油库</w:t>
      </w:r>
      <w:r>
        <w:rPr>
          <w:rFonts w:hint="eastAsia"/>
          <w:lang w:val="en-US" w:eastAsia="zh-CN"/>
        </w:rPr>
        <w:t>1</w:t>
      </w:r>
      <w:r>
        <w:rPr>
          <w:rFonts w:hint="eastAsia"/>
          <w:vertAlign w:val="superscript"/>
          <w:lang w:val="en-US" w:eastAsia="zh-CN"/>
        </w:rPr>
        <w:t>#</w:t>
      </w:r>
      <w:r>
        <w:rPr>
          <w:rFonts w:hint="eastAsia"/>
          <w:vertAlign w:val="baseline"/>
          <w:lang w:val="en-US" w:eastAsia="zh-CN"/>
        </w:rPr>
        <w:t>~7</w:t>
      </w:r>
      <w:r>
        <w:rPr>
          <w:rFonts w:hint="eastAsia"/>
          <w:vertAlign w:val="superscript"/>
          <w:lang w:val="en-US" w:eastAsia="zh-CN"/>
        </w:rPr>
        <w:t>#</w:t>
      </w:r>
      <w:r>
        <w:rPr>
          <w:rFonts w:hint="eastAsia"/>
          <w:lang w:val="en-US" w:eastAsia="zh-CN"/>
        </w:rPr>
        <w:t>储罐高高液位报警设定值依次为11.2m、10.8m、10.8m、9m、9m、10.4m、10.4m。</w:t>
      </w:r>
    </w:p>
    <w:p w14:paraId="779E1B9C">
      <w:pPr>
        <w:pStyle w:val="34"/>
        <w:numPr>
          <w:ilvl w:val="0"/>
          <w:numId w:val="0"/>
        </w:numPr>
        <w:adjustRightInd w:val="0"/>
        <w:snapToGrid w:val="0"/>
        <w:ind w:firstLine="560" w:firstLineChars="200"/>
        <w:rPr>
          <w:rFonts w:hint="eastAsia"/>
          <w:lang w:val="en-US" w:eastAsia="zh-CN"/>
        </w:rPr>
      </w:pPr>
      <w:r>
        <w:rPr>
          <w:rFonts w:hint="eastAsia"/>
        </w:rPr>
        <w:t>油库</w:t>
      </w:r>
      <w:r>
        <w:rPr>
          <w:rFonts w:hint="eastAsia"/>
          <w:lang w:val="en-US" w:eastAsia="zh-CN"/>
        </w:rPr>
        <w:t>1</w:t>
      </w:r>
      <w:r>
        <w:rPr>
          <w:rFonts w:hint="eastAsia"/>
          <w:vertAlign w:val="superscript"/>
          <w:lang w:val="en-US" w:eastAsia="zh-CN"/>
        </w:rPr>
        <w:t>#</w:t>
      </w:r>
      <w:r>
        <w:rPr>
          <w:rFonts w:hint="eastAsia"/>
          <w:vertAlign w:val="baseline"/>
          <w:lang w:val="en-US" w:eastAsia="zh-CN"/>
        </w:rPr>
        <w:t>~7</w:t>
      </w:r>
      <w:r>
        <w:rPr>
          <w:rFonts w:hint="eastAsia"/>
          <w:vertAlign w:val="superscript"/>
          <w:lang w:val="en-US" w:eastAsia="zh-CN"/>
        </w:rPr>
        <w:t>#</w:t>
      </w:r>
      <w:r>
        <w:rPr>
          <w:rFonts w:hint="eastAsia"/>
          <w:lang w:val="en-US" w:eastAsia="zh-CN"/>
        </w:rPr>
        <w:t>储罐低低液位报警设定值依次为1.6m、0.8m、0.8m、0.6m、0.6m、0.6m、0.6m。</w:t>
      </w:r>
    </w:p>
    <w:p w14:paraId="66C19035">
      <w:pPr>
        <w:pStyle w:val="34"/>
        <w:numPr>
          <w:ilvl w:val="0"/>
          <w:numId w:val="0"/>
        </w:numPr>
        <w:adjustRightInd w:val="0"/>
        <w:snapToGrid w:val="0"/>
        <w:ind w:firstLine="560" w:firstLineChars="200"/>
        <w:rPr>
          <w:rFonts w:hint="eastAsia"/>
          <w:lang w:val="en-US" w:eastAsia="zh-CN"/>
        </w:rPr>
      </w:pPr>
      <w:r>
        <w:rPr>
          <w:rFonts w:hint="eastAsia"/>
          <w:lang w:val="en-US" w:eastAsia="zh-CN"/>
        </w:rPr>
        <w:t>其中1</w:t>
      </w:r>
      <w:r>
        <w:rPr>
          <w:rFonts w:hint="eastAsia"/>
          <w:vertAlign w:val="superscript"/>
          <w:lang w:val="en-US" w:eastAsia="zh-CN"/>
        </w:rPr>
        <w:t>#</w:t>
      </w:r>
      <w:r>
        <w:rPr>
          <w:rFonts w:hint="eastAsia"/>
          <w:vertAlign w:val="baseline"/>
          <w:lang w:val="en-US" w:eastAsia="zh-CN"/>
        </w:rPr>
        <w:t>储</w:t>
      </w:r>
      <w:r>
        <w:rPr>
          <w:rFonts w:hint="eastAsia"/>
          <w:lang w:val="en-US" w:eastAsia="zh-CN"/>
        </w:rPr>
        <w:t>罐为内浮顶储罐，浮盘最低落底的高度为1.2m，低低液位报警数值高于浮盘高度。</w:t>
      </w:r>
    </w:p>
    <w:p w14:paraId="1ACC2170">
      <w:pPr>
        <w:pStyle w:val="34"/>
        <w:numPr>
          <w:ilvl w:val="0"/>
          <w:numId w:val="0"/>
        </w:numPr>
        <w:adjustRightInd w:val="0"/>
        <w:snapToGrid w:val="0"/>
        <w:ind w:firstLine="560" w:firstLineChars="200"/>
        <w:rPr>
          <w:rFonts w:hint="default"/>
          <w:lang w:val="en-US" w:eastAsia="zh-CN"/>
        </w:rPr>
      </w:pPr>
      <w:r>
        <w:rPr>
          <w:rFonts w:hint="default"/>
          <w:lang w:val="en-US" w:eastAsia="zh-CN"/>
        </w:rPr>
        <w:t>（</w:t>
      </w:r>
      <w:r>
        <w:rPr>
          <w:rFonts w:hint="eastAsia"/>
          <w:lang w:val="en-US" w:eastAsia="zh-CN"/>
        </w:rPr>
        <w:t>7</w:t>
      </w:r>
      <w:r>
        <w:rPr>
          <w:rFonts w:hint="default"/>
          <w:lang w:val="en-US" w:eastAsia="zh-CN"/>
        </w:rPr>
        <w:t>）工业视频监控系统</w:t>
      </w:r>
    </w:p>
    <w:p w14:paraId="50569F2D">
      <w:pPr>
        <w:pStyle w:val="34"/>
        <w:numPr>
          <w:ilvl w:val="0"/>
          <w:numId w:val="0"/>
        </w:numPr>
        <w:adjustRightInd w:val="0"/>
        <w:snapToGrid w:val="0"/>
        <w:ind w:firstLine="560" w:firstLineChars="200"/>
        <w:rPr>
          <w:rFonts w:hint="default"/>
          <w:lang w:val="en-US" w:eastAsia="zh-CN"/>
        </w:rPr>
      </w:pPr>
      <w:r>
        <w:rPr>
          <w:rFonts w:hint="default"/>
          <w:lang w:val="en-US" w:eastAsia="zh-CN"/>
        </w:rPr>
        <w:t>在罐区、</w:t>
      </w:r>
      <w:r>
        <w:rPr>
          <w:rFonts w:hint="eastAsia"/>
          <w:lang w:val="en-US" w:eastAsia="zh-CN"/>
        </w:rPr>
        <w:t>装卸车棚</w:t>
      </w:r>
      <w:r>
        <w:rPr>
          <w:rFonts w:hint="default"/>
          <w:lang w:val="en-US" w:eastAsia="zh-CN"/>
        </w:rPr>
        <w:t>、</w:t>
      </w:r>
      <w:r>
        <w:rPr>
          <w:rFonts w:hint="eastAsia"/>
          <w:lang w:val="en-US" w:eastAsia="zh-CN"/>
        </w:rPr>
        <w:t>泵房</w:t>
      </w:r>
      <w:r>
        <w:rPr>
          <w:rFonts w:hint="default"/>
          <w:lang w:val="en-US" w:eastAsia="zh-CN"/>
        </w:rPr>
        <w:t>、消防泵房、</w:t>
      </w:r>
      <w:r>
        <w:rPr>
          <w:rFonts w:hint="eastAsia"/>
          <w:lang w:val="en-US" w:eastAsia="zh-CN"/>
        </w:rPr>
        <w:t>综合房</w:t>
      </w:r>
      <w:r>
        <w:rPr>
          <w:rFonts w:hint="default"/>
          <w:lang w:val="en-US" w:eastAsia="zh-CN"/>
        </w:rPr>
        <w:t>、油库出入口等处安装网络摄像机。信号通过浪涌保护器送入通讯机房油库视频监控系统中。油库视频监控系统设置 1 套网络硬盘录像机（NVR），并在油库消防值班室、警卫室设置视频监控副控站。</w:t>
      </w:r>
    </w:p>
    <w:p w14:paraId="51F7359C">
      <w:pPr>
        <w:pStyle w:val="34"/>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lang w:val="en-US" w:eastAsia="zh-CN"/>
        </w:rPr>
        <w:t>7</w:t>
      </w:r>
      <w:r>
        <w:rPr>
          <w:rFonts w:eastAsia="黑体" w:cs="Times New Roman"/>
          <w:b/>
          <w:bCs/>
        </w:rPr>
        <w:t>.</w:t>
      </w:r>
      <w:r>
        <w:rPr>
          <w:rFonts w:hint="eastAsia" w:eastAsia="黑体" w:cs="Times New Roman"/>
          <w:b/>
          <w:bCs/>
          <w:lang w:val="en-US" w:eastAsia="zh-CN"/>
        </w:rPr>
        <w:t>5</w:t>
      </w:r>
      <w:r>
        <w:rPr>
          <w:rFonts w:hint="eastAsia" w:ascii="黑体" w:hAnsi="黑体" w:eastAsia="黑体"/>
          <w:b/>
          <w:bCs/>
        </w:rPr>
        <w:t>通讯及火灾报警</w:t>
      </w:r>
    </w:p>
    <w:p w14:paraId="3EBB30F7">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该油库在油罐区设有手摇报警器，可及时进行火灾报警，消防泵房值班室设有专用报警及接警录音电话。</w:t>
      </w:r>
    </w:p>
    <w:p w14:paraId="70B39DF3">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各区域的值班室均设有直线电话。建筑物均设有通讯插座。该油库配备有防爆无线对讲机，供生产及消防指挥使用。</w:t>
      </w:r>
    </w:p>
    <w:p w14:paraId="30190F58">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在各岗位设视频监控探头，设专人管理，能够及时发现火灾等险情。</w:t>
      </w:r>
    </w:p>
    <w:p w14:paraId="30E04E00">
      <w:pPr>
        <w:pStyle w:val="34"/>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lang w:val="en-US" w:eastAsia="zh-CN"/>
        </w:rPr>
        <w:t>7</w:t>
      </w:r>
      <w:r>
        <w:rPr>
          <w:rFonts w:eastAsia="黑体" w:cs="Times New Roman"/>
          <w:b/>
          <w:bCs/>
        </w:rPr>
        <w:t>.</w:t>
      </w:r>
      <w:r>
        <w:rPr>
          <w:rFonts w:hint="eastAsia" w:eastAsia="黑体" w:cs="Times New Roman"/>
          <w:b/>
          <w:bCs/>
          <w:lang w:val="en-US" w:eastAsia="zh-CN"/>
        </w:rPr>
        <w:t>6</w:t>
      </w:r>
      <w:r>
        <w:rPr>
          <w:rFonts w:hint="eastAsia" w:ascii="黑体" w:hAnsi="黑体" w:eastAsia="黑体"/>
          <w:b/>
          <w:bCs/>
        </w:rPr>
        <w:t>消防</w:t>
      </w:r>
    </w:p>
    <w:p w14:paraId="47EBF4C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该油库设有固定式泡沫灭火系统和消防冷却水系统；消防泵房内设有</w:t>
      </w:r>
      <w:r>
        <w:rPr>
          <w:rFonts w:hint="eastAsia" w:ascii="Times New Roman" w:hAnsi="Times New Roman" w:eastAsia="宋体" w:cs="Times New Roman"/>
          <w:caps w:val="0"/>
          <w:color w:val="auto"/>
          <w:spacing w:val="0"/>
          <w:sz w:val="28"/>
          <w:szCs w:val="28"/>
          <w:lang w:val="en-US" w:eastAsia="zh-CN"/>
          <w14:ligatures w14:val="none"/>
        </w:rPr>
        <w:t>XBD9.5/25G-LDL</w:t>
      </w:r>
      <w:r>
        <w:rPr>
          <w:rFonts w:hint="default" w:ascii="Times New Roman" w:hAnsi="Times New Roman" w:eastAsia="宋体" w:cs="Times New Roman"/>
          <w:caps w:val="0"/>
          <w:color w:val="auto"/>
          <w:spacing w:val="0"/>
          <w:sz w:val="28"/>
          <w:szCs w:val="28"/>
          <w:lang w:val="en-US" w:eastAsia="zh-CN"/>
          <w14:ligatures w14:val="none"/>
        </w:rPr>
        <w:t>消防水泵2台，设有</w:t>
      </w:r>
      <w:r>
        <w:rPr>
          <w:rFonts w:hint="eastAsia" w:ascii="Times New Roman" w:hAnsi="Times New Roman" w:eastAsia="宋体" w:cs="Times New Roman"/>
          <w:caps w:val="0"/>
          <w:color w:val="auto"/>
          <w:spacing w:val="0"/>
          <w:sz w:val="28"/>
          <w:szCs w:val="28"/>
          <w:lang w:val="en-US" w:eastAsia="zh-CN"/>
          <w14:ligatures w14:val="none"/>
        </w:rPr>
        <w:t>YE3-225M-2</w:t>
      </w:r>
      <w:r>
        <w:rPr>
          <w:rFonts w:hint="default" w:ascii="Times New Roman" w:hAnsi="Times New Roman" w:eastAsia="宋体" w:cs="Times New Roman"/>
          <w:caps w:val="0"/>
          <w:color w:val="auto"/>
          <w:spacing w:val="0"/>
          <w:sz w:val="28"/>
          <w:szCs w:val="28"/>
          <w:lang w:val="en-US" w:eastAsia="zh-CN"/>
          <w14:ligatures w14:val="none"/>
        </w:rPr>
        <w:t>型泡沫泵</w:t>
      </w:r>
      <w:r>
        <w:rPr>
          <w:rFonts w:hint="eastAsia" w:ascii="Times New Roman" w:hAnsi="Times New Roman" w:eastAsia="宋体" w:cs="Times New Roman"/>
          <w:caps w:val="0"/>
          <w:color w:val="auto"/>
          <w:spacing w:val="0"/>
          <w:sz w:val="28"/>
          <w:szCs w:val="28"/>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台；设有</w:t>
      </w:r>
      <w:r>
        <w:rPr>
          <w:rFonts w:hint="eastAsia" w:ascii="Times New Roman" w:hAnsi="Times New Roman" w:eastAsia="宋体" w:cs="Times New Roman"/>
          <w:caps w:val="0"/>
          <w:color w:val="auto"/>
          <w:spacing w:val="0"/>
          <w:sz w:val="28"/>
          <w:szCs w:val="28"/>
          <w:lang w:val="en-US" w:eastAsia="zh-CN"/>
          <w14:ligatures w14:val="none"/>
        </w:rPr>
        <w:t>6</w:t>
      </w:r>
      <w:r>
        <w:rPr>
          <w:rFonts w:hint="default" w:ascii="Times New Roman" w:hAnsi="Times New Roman" w:eastAsia="宋体" w:cs="Times New Roman"/>
          <w:caps w:val="0"/>
          <w:color w:val="auto"/>
          <w:spacing w:val="0"/>
          <w:sz w:val="28"/>
          <w:szCs w:val="28"/>
          <w:lang w:val="en-US" w:eastAsia="zh-CN"/>
          <w14:ligatures w14:val="none"/>
        </w:rPr>
        <w:t>m³</w:t>
      </w:r>
      <w:r>
        <w:rPr>
          <w:rFonts w:hint="eastAsia" w:ascii="Times New Roman" w:hAnsi="Times New Roman" w:eastAsia="宋体" w:cs="Times New Roman"/>
          <w:caps w:val="0"/>
          <w:color w:val="auto"/>
          <w:spacing w:val="0"/>
          <w:sz w:val="28"/>
          <w:szCs w:val="28"/>
          <w:lang w:val="en-US" w:eastAsia="zh-CN"/>
          <w14:ligatures w14:val="none"/>
        </w:rPr>
        <w:t>消防</w:t>
      </w:r>
      <w:r>
        <w:rPr>
          <w:rFonts w:hint="default" w:ascii="Times New Roman" w:hAnsi="Times New Roman" w:eastAsia="宋体" w:cs="Times New Roman"/>
          <w:caps w:val="0"/>
          <w:color w:val="auto"/>
          <w:spacing w:val="0"/>
          <w:sz w:val="28"/>
          <w:szCs w:val="28"/>
          <w:lang w:val="en-US" w:eastAsia="zh-CN"/>
          <w14:ligatures w14:val="none"/>
        </w:rPr>
        <w:t>泡沫罐</w:t>
      </w:r>
      <w:r>
        <w:rPr>
          <w:rFonts w:hint="eastAsia" w:ascii="Times New Roman" w:hAnsi="Times New Roman" w:eastAsia="宋体" w:cs="Times New Roman"/>
          <w:caps w:val="0"/>
          <w:color w:val="auto"/>
          <w:spacing w:val="0"/>
          <w:sz w:val="28"/>
          <w:szCs w:val="28"/>
          <w:lang w:val="en-US" w:eastAsia="zh-CN"/>
          <w14:ligatures w14:val="none"/>
        </w:rPr>
        <w:t>1台</w:t>
      </w:r>
      <w:r>
        <w:rPr>
          <w:rFonts w:hint="default" w:ascii="Times New Roman" w:hAnsi="Times New Roman" w:eastAsia="宋体" w:cs="Times New Roman"/>
          <w:caps w:val="0"/>
          <w:color w:val="auto"/>
          <w:spacing w:val="0"/>
          <w:sz w:val="28"/>
          <w:szCs w:val="28"/>
          <w:lang w:val="en-US" w:eastAsia="zh-CN"/>
          <w14:ligatures w14:val="none"/>
        </w:rPr>
        <w:t>；消防泵房配有应急照明灯。同时设有消防水池</w:t>
      </w:r>
      <w:r>
        <w:rPr>
          <w:rFonts w:hint="eastAsia" w:ascii="Times New Roman" w:hAnsi="Times New Roman" w:eastAsia="宋体" w:cs="Times New Roman"/>
          <w:caps w:val="0"/>
          <w:color w:val="auto"/>
          <w:spacing w:val="0"/>
          <w:sz w:val="28"/>
          <w:szCs w:val="28"/>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座，</w:t>
      </w:r>
      <w:r>
        <w:rPr>
          <w:rFonts w:hint="eastAsia" w:ascii="Times New Roman" w:hAnsi="Times New Roman" w:eastAsia="宋体" w:cs="Times New Roman"/>
          <w:caps w:val="0"/>
          <w:color w:val="auto"/>
          <w:spacing w:val="0"/>
          <w:sz w:val="28"/>
          <w:szCs w:val="28"/>
          <w:lang w:val="en-US" w:eastAsia="zh-CN"/>
          <w14:ligatures w14:val="none"/>
        </w:rPr>
        <w:t>总</w:t>
      </w:r>
      <w:r>
        <w:rPr>
          <w:rFonts w:hint="default" w:ascii="Times New Roman" w:hAnsi="Times New Roman" w:eastAsia="宋体" w:cs="Times New Roman"/>
          <w:caps w:val="0"/>
          <w:color w:val="auto"/>
          <w:spacing w:val="0"/>
          <w:sz w:val="28"/>
          <w:szCs w:val="28"/>
          <w:lang w:val="en-US" w:eastAsia="zh-CN"/>
          <w14:ligatures w14:val="none"/>
        </w:rPr>
        <w:t>容量为</w:t>
      </w:r>
      <w:r>
        <w:rPr>
          <w:rFonts w:hint="eastAsia" w:ascii="Times New Roman" w:hAnsi="Times New Roman" w:eastAsia="宋体" w:cs="Times New Roman"/>
          <w:caps w:val="0"/>
          <w:color w:val="auto"/>
          <w:spacing w:val="0"/>
          <w:sz w:val="28"/>
          <w:szCs w:val="28"/>
          <w:highlight w:val="none"/>
          <w:lang w:val="en-US" w:eastAsia="zh-CN"/>
          <w14:ligatures w14:val="none"/>
        </w:rPr>
        <w:t>12</w:t>
      </w:r>
      <w:r>
        <w:rPr>
          <w:rFonts w:hint="default" w:ascii="Times New Roman" w:hAnsi="Times New Roman" w:eastAsia="宋体" w:cs="Times New Roman"/>
          <w:caps w:val="0"/>
          <w:color w:val="auto"/>
          <w:spacing w:val="0"/>
          <w:sz w:val="28"/>
          <w:szCs w:val="28"/>
          <w:highlight w:val="none"/>
          <w:lang w:val="en-US" w:eastAsia="zh-CN"/>
          <w14:ligatures w14:val="none"/>
        </w:rPr>
        <w:t>00m³。</w:t>
      </w:r>
    </w:p>
    <w:p w14:paraId="01F5D1F8">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（1）冷却水系统</w:t>
      </w:r>
    </w:p>
    <w:p w14:paraId="0429D053">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highlight w:val="none"/>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罐</w:t>
      </w:r>
      <w:r>
        <w:rPr>
          <w:rFonts w:hint="default" w:ascii="Times New Roman" w:hAnsi="Times New Roman" w:eastAsia="宋体" w:cs="Times New Roman"/>
          <w:caps w:val="0"/>
          <w:color w:val="auto"/>
          <w:spacing w:val="0"/>
          <w:sz w:val="28"/>
          <w:szCs w:val="28"/>
          <w:highlight w:val="none"/>
          <w:lang w:val="en-US" w:eastAsia="zh-CN"/>
          <w14:ligatures w14:val="none"/>
        </w:rPr>
        <w:t>区内有</w:t>
      </w:r>
      <w:r>
        <w:rPr>
          <w:rFonts w:hint="eastAsia" w:ascii="Times New Roman" w:hAnsi="Times New Roman" w:eastAsia="宋体" w:cs="Times New Roman"/>
          <w:caps w:val="0"/>
          <w:color w:val="auto"/>
          <w:spacing w:val="0"/>
          <w:sz w:val="28"/>
          <w:szCs w:val="28"/>
          <w:highlight w:val="none"/>
          <w:lang w:val="en-US" w:eastAsia="zh-CN"/>
          <w14:ligatures w14:val="none"/>
        </w:rPr>
        <w:t>6</w:t>
      </w:r>
      <w:r>
        <w:rPr>
          <w:rFonts w:hint="default" w:ascii="Times New Roman" w:hAnsi="Times New Roman" w:eastAsia="宋体" w:cs="Times New Roman"/>
          <w:caps w:val="0"/>
          <w:color w:val="auto"/>
          <w:spacing w:val="0"/>
          <w:sz w:val="28"/>
          <w:szCs w:val="28"/>
          <w:highlight w:val="none"/>
          <w:lang w:val="en-US" w:eastAsia="zh-CN"/>
          <w14:ligatures w14:val="none"/>
        </w:rPr>
        <w:t>座固定顶储罐，</w:t>
      </w:r>
      <w:r>
        <w:rPr>
          <w:rFonts w:hint="eastAsia" w:ascii="Times New Roman" w:hAnsi="Times New Roman" w:eastAsia="宋体" w:cs="Times New Roman"/>
          <w:caps w:val="0"/>
          <w:color w:val="auto"/>
          <w:spacing w:val="0"/>
          <w:sz w:val="28"/>
          <w:szCs w:val="28"/>
          <w:highlight w:val="none"/>
          <w:lang w:val="en-US" w:eastAsia="zh-CN"/>
          <w14:ligatures w14:val="none"/>
        </w:rPr>
        <w:t>1</w:t>
      </w:r>
      <w:r>
        <w:rPr>
          <w:rFonts w:hint="default" w:ascii="Times New Roman" w:hAnsi="Times New Roman" w:eastAsia="宋体" w:cs="Times New Roman"/>
          <w:caps w:val="0"/>
          <w:color w:val="auto"/>
          <w:spacing w:val="0"/>
          <w:sz w:val="28"/>
          <w:szCs w:val="28"/>
          <w:highlight w:val="none"/>
          <w:lang w:val="en-US" w:eastAsia="zh-CN"/>
          <w14:ligatures w14:val="none"/>
        </w:rPr>
        <w:t>座内浮顶储罐，以固定顶储罐着火时用水量作为最大一处消防用水量</w:t>
      </w:r>
      <w:r>
        <w:rPr>
          <w:rFonts w:hint="eastAsia" w:ascii="Times New Roman" w:hAnsi="Times New Roman" w:eastAsia="宋体" w:cs="Times New Roman"/>
          <w:caps w:val="0"/>
          <w:color w:val="auto"/>
          <w:spacing w:val="0"/>
          <w:sz w:val="28"/>
          <w:szCs w:val="28"/>
          <w:highlight w:val="none"/>
          <w:lang w:val="en-US" w:eastAsia="zh-CN"/>
          <w14:ligatures w14:val="none"/>
        </w:rPr>
        <w:t>，以下为着火罐及相邻罐外形尺寸。</w:t>
      </w:r>
    </w:p>
    <w:p w14:paraId="5000F61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eastAsia" w:ascii="Times New Roman" w:hAnsi="Times New Roman" w:eastAsia="宋体" w:cs="Times New Roman"/>
          <w:caps w:val="0"/>
          <w:color w:val="auto"/>
          <w:spacing w:val="0"/>
          <w:sz w:val="28"/>
          <w:szCs w:val="28"/>
          <w:lang w:val="en-US" w:eastAsia="zh-CN"/>
          <w14:ligatures w14:val="none"/>
        </w:rPr>
        <w:t>着火罐：2</w:t>
      </w:r>
      <w:r>
        <w:rPr>
          <w:rFonts w:hint="eastAsia" w:ascii="Times New Roman" w:hAnsi="Times New Roman" w:eastAsia="宋体" w:cs="Times New Roman"/>
          <w:caps w:val="0"/>
          <w:color w:val="auto"/>
          <w:spacing w:val="0"/>
          <w:sz w:val="28"/>
          <w:szCs w:val="28"/>
          <w:vertAlign w:val="superscript"/>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柴</w:t>
      </w:r>
      <w:r>
        <w:rPr>
          <w:rFonts w:hint="default" w:ascii="Times New Roman" w:hAnsi="Times New Roman" w:eastAsia="宋体" w:cs="Times New Roman"/>
          <w:caps w:val="0"/>
          <w:color w:val="auto"/>
          <w:spacing w:val="0"/>
          <w:sz w:val="28"/>
          <w:szCs w:val="28"/>
          <w:lang w:val="en-US" w:eastAsia="zh-CN"/>
          <w14:ligatures w14:val="none"/>
        </w:rPr>
        <w:t>油储罐V=2000m</w:t>
      </w:r>
      <w:r>
        <w:rPr>
          <w:rFonts w:hint="eastAsia"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 xml:space="preserve">     D=15</w:t>
      </w:r>
      <w:r>
        <w:rPr>
          <w:rFonts w:hint="eastAsia" w:ascii="Times New Roman" w:hAnsi="Times New Roman" w:eastAsia="宋体" w:cs="Times New Roman"/>
          <w:caps w:val="0"/>
          <w:color w:val="auto"/>
          <w:spacing w:val="0"/>
          <w:sz w:val="28"/>
          <w:szCs w:val="28"/>
          <w:lang w:val="en-US" w:eastAsia="zh-CN"/>
          <w14:ligatures w14:val="none"/>
        </w:rPr>
        <w:t>414</w:t>
      </w:r>
      <w:r>
        <w:rPr>
          <w:rFonts w:hint="default" w:ascii="Times New Roman" w:hAnsi="Times New Roman" w:eastAsia="宋体" w:cs="Times New Roman"/>
          <w:caps w:val="0"/>
          <w:color w:val="auto"/>
          <w:spacing w:val="0"/>
          <w:sz w:val="28"/>
          <w:szCs w:val="28"/>
          <w:lang w:val="en-US" w:eastAsia="zh-CN"/>
          <w14:ligatures w14:val="none"/>
        </w:rPr>
        <w:t>mm      H=1</w:t>
      </w:r>
      <w:r>
        <w:rPr>
          <w:rFonts w:hint="eastAsia" w:ascii="Times New Roman" w:hAnsi="Times New Roman" w:eastAsia="宋体" w:cs="Times New Roman"/>
          <w:caps w:val="0"/>
          <w:color w:val="auto"/>
          <w:spacing w:val="0"/>
          <w:sz w:val="28"/>
          <w:szCs w:val="28"/>
          <w:lang w:val="en-US" w:eastAsia="zh-CN"/>
          <w14:ligatures w14:val="none"/>
        </w:rPr>
        <w:t>1232</w:t>
      </w:r>
      <w:r>
        <w:rPr>
          <w:rFonts w:hint="default" w:ascii="Times New Roman" w:hAnsi="Times New Roman" w:eastAsia="宋体" w:cs="Times New Roman"/>
          <w:caps w:val="0"/>
          <w:color w:val="auto"/>
          <w:spacing w:val="0"/>
          <w:sz w:val="28"/>
          <w:szCs w:val="28"/>
          <w:lang w:val="en-US" w:eastAsia="zh-CN"/>
          <w14:ligatures w14:val="none"/>
        </w:rPr>
        <w:t>mm</w:t>
      </w:r>
    </w:p>
    <w:p w14:paraId="45F18C9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eastAsia" w:ascii="Times New Roman" w:hAnsi="Times New Roman" w:eastAsia="宋体" w:cs="Times New Roman"/>
          <w:caps w:val="0"/>
          <w:color w:val="auto"/>
          <w:spacing w:val="0"/>
          <w:sz w:val="28"/>
          <w:szCs w:val="28"/>
          <w:lang w:val="en-US" w:eastAsia="zh-CN"/>
          <w14:ligatures w14:val="none"/>
        </w:rPr>
        <w:t>相邻罐：1</w:t>
      </w:r>
      <w:r>
        <w:rPr>
          <w:rFonts w:hint="eastAsia" w:ascii="Times New Roman" w:hAnsi="Times New Roman" w:eastAsia="宋体" w:cs="Times New Roman"/>
          <w:caps w:val="0"/>
          <w:color w:val="auto"/>
          <w:spacing w:val="0"/>
          <w:sz w:val="28"/>
          <w:szCs w:val="28"/>
          <w:vertAlign w:val="superscript"/>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柴油储罐</w:t>
      </w:r>
      <w:r>
        <w:rPr>
          <w:rFonts w:hint="default" w:ascii="Times New Roman" w:hAnsi="Times New Roman" w:eastAsia="宋体" w:cs="Times New Roman"/>
          <w:caps w:val="0"/>
          <w:color w:val="auto"/>
          <w:spacing w:val="0"/>
          <w:sz w:val="28"/>
          <w:szCs w:val="28"/>
          <w:lang w:val="en-US" w:eastAsia="zh-CN"/>
          <w14:ligatures w14:val="none"/>
        </w:rPr>
        <w:t>V=</w:t>
      </w:r>
      <w:r>
        <w:rPr>
          <w:rFonts w:hint="eastAsia" w:ascii="Times New Roman" w:hAnsi="Times New Roman" w:eastAsia="宋体" w:cs="Times New Roman"/>
          <w:caps w:val="0"/>
          <w:color w:val="auto"/>
          <w:spacing w:val="0"/>
          <w:sz w:val="28"/>
          <w:szCs w:val="28"/>
          <w:lang w:val="en-US" w:eastAsia="zh-CN"/>
          <w14:ligatures w14:val="none"/>
        </w:rPr>
        <w:t>19</w:t>
      </w:r>
      <w:r>
        <w:rPr>
          <w:rFonts w:hint="default" w:ascii="Times New Roman" w:hAnsi="Times New Roman" w:eastAsia="宋体" w:cs="Times New Roman"/>
          <w:caps w:val="0"/>
          <w:color w:val="auto"/>
          <w:spacing w:val="0"/>
          <w:sz w:val="28"/>
          <w:szCs w:val="28"/>
          <w:lang w:val="en-US" w:eastAsia="zh-CN"/>
          <w14:ligatures w14:val="none"/>
        </w:rPr>
        <w:t>00m</w:t>
      </w:r>
      <w:r>
        <w:rPr>
          <w:rFonts w:hint="eastAsia"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 xml:space="preserve">     D=15</w:t>
      </w:r>
      <w:r>
        <w:rPr>
          <w:rFonts w:hint="eastAsia" w:ascii="Times New Roman" w:hAnsi="Times New Roman" w:eastAsia="宋体" w:cs="Times New Roman"/>
          <w:caps w:val="0"/>
          <w:color w:val="auto"/>
          <w:spacing w:val="0"/>
          <w:sz w:val="28"/>
          <w:szCs w:val="28"/>
          <w:lang w:val="en-US" w:eastAsia="zh-CN"/>
          <w14:ligatures w14:val="none"/>
        </w:rPr>
        <w:t>190</w:t>
      </w:r>
      <w:r>
        <w:rPr>
          <w:rFonts w:hint="default" w:ascii="Times New Roman" w:hAnsi="Times New Roman" w:eastAsia="宋体" w:cs="Times New Roman"/>
          <w:caps w:val="0"/>
          <w:color w:val="auto"/>
          <w:spacing w:val="0"/>
          <w:sz w:val="28"/>
          <w:szCs w:val="28"/>
          <w:lang w:val="en-US" w:eastAsia="zh-CN"/>
          <w14:ligatures w14:val="none"/>
        </w:rPr>
        <w:t>mm      H=1</w:t>
      </w:r>
      <w:r>
        <w:rPr>
          <w:rFonts w:hint="eastAsia" w:ascii="Times New Roman" w:hAnsi="Times New Roman" w:eastAsia="宋体" w:cs="Times New Roman"/>
          <w:caps w:val="0"/>
          <w:color w:val="auto"/>
          <w:spacing w:val="0"/>
          <w:sz w:val="28"/>
          <w:szCs w:val="28"/>
          <w:lang w:val="en-US" w:eastAsia="zh-CN"/>
          <w14:ligatures w14:val="none"/>
        </w:rPr>
        <w:t>2275</w:t>
      </w:r>
      <w:r>
        <w:rPr>
          <w:rFonts w:hint="default" w:ascii="Times New Roman" w:hAnsi="Times New Roman" w:eastAsia="宋体" w:cs="Times New Roman"/>
          <w:caps w:val="0"/>
          <w:color w:val="auto"/>
          <w:spacing w:val="0"/>
          <w:sz w:val="28"/>
          <w:szCs w:val="28"/>
          <w:lang w:val="en-US" w:eastAsia="zh-CN"/>
          <w14:ligatures w14:val="none"/>
        </w:rPr>
        <w:t>mm</w:t>
      </w:r>
    </w:p>
    <w:p w14:paraId="523DF7B8">
      <w:pPr>
        <w:keepNext w:val="0"/>
        <w:keepLines w:val="0"/>
        <w:pageBreakBefore w:val="0"/>
        <w:widowControl w:val="0"/>
        <w:kinsoku/>
        <w:wordWrap/>
        <w:overflowPunct/>
        <w:topLinePunct w:val="0"/>
        <w:autoSpaceDE/>
        <w:autoSpaceDN/>
        <w:bidi w:val="0"/>
        <w:adjustRightInd w:val="0"/>
        <w:snapToGrid w:val="0"/>
        <w:spacing w:after="0" w:line="360" w:lineRule="auto"/>
        <w:ind w:firstLine="1680" w:firstLineChars="6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eastAsia" w:ascii="Times New Roman" w:hAnsi="Times New Roman" w:eastAsia="宋体" w:cs="Times New Roman"/>
          <w:caps w:val="0"/>
          <w:color w:val="auto"/>
          <w:spacing w:val="0"/>
          <w:sz w:val="28"/>
          <w:szCs w:val="28"/>
          <w:lang w:val="en-US" w:eastAsia="zh-CN"/>
          <w14:ligatures w14:val="none"/>
        </w:rPr>
        <w:t>3</w:t>
      </w:r>
      <w:r>
        <w:rPr>
          <w:rFonts w:hint="eastAsia" w:ascii="Times New Roman" w:hAnsi="Times New Roman" w:eastAsia="宋体" w:cs="Times New Roman"/>
          <w:caps w:val="0"/>
          <w:color w:val="auto"/>
          <w:spacing w:val="0"/>
          <w:sz w:val="28"/>
          <w:szCs w:val="28"/>
          <w:vertAlign w:val="superscript"/>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柴油储罐</w:t>
      </w:r>
      <w:r>
        <w:rPr>
          <w:rFonts w:hint="default" w:ascii="Times New Roman" w:hAnsi="Times New Roman" w:eastAsia="宋体" w:cs="Times New Roman"/>
          <w:caps w:val="0"/>
          <w:color w:val="auto"/>
          <w:spacing w:val="0"/>
          <w:sz w:val="28"/>
          <w:szCs w:val="28"/>
          <w:lang w:val="en-US" w:eastAsia="zh-CN"/>
          <w14:ligatures w14:val="none"/>
        </w:rPr>
        <w:t>V=</w:t>
      </w:r>
      <w:r>
        <w:rPr>
          <w:rFonts w:hint="eastAsia" w:ascii="Times New Roman" w:hAnsi="Times New Roman" w:eastAsia="宋体" w:cs="Times New Roman"/>
          <w:caps w:val="0"/>
          <w:color w:val="auto"/>
          <w:spacing w:val="0"/>
          <w:sz w:val="28"/>
          <w:szCs w:val="28"/>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000m</w:t>
      </w:r>
      <w:r>
        <w:rPr>
          <w:rFonts w:hint="eastAsia"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 xml:space="preserve">     D=15</w:t>
      </w:r>
      <w:r>
        <w:rPr>
          <w:rFonts w:hint="eastAsia" w:ascii="Times New Roman" w:hAnsi="Times New Roman" w:eastAsia="宋体" w:cs="Times New Roman"/>
          <w:caps w:val="0"/>
          <w:color w:val="auto"/>
          <w:spacing w:val="0"/>
          <w:sz w:val="28"/>
          <w:szCs w:val="28"/>
          <w:lang w:val="en-US" w:eastAsia="zh-CN"/>
          <w14:ligatures w14:val="none"/>
        </w:rPr>
        <w:t>512</w:t>
      </w:r>
      <w:r>
        <w:rPr>
          <w:rFonts w:hint="default" w:ascii="Times New Roman" w:hAnsi="Times New Roman" w:eastAsia="宋体" w:cs="Times New Roman"/>
          <w:caps w:val="0"/>
          <w:color w:val="auto"/>
          <w:spacing w:val="0"/>
          <w:sz w:val="28"/>
          <w:szCs w:val="28"/>
          <w:lang w:val="en-US" w:eastAsia="zh-CN"/>
          <w14:ligatures w14:val="none"/>
        </w:rPr>
        <w:t>mm      H=1</w:t>
      </w:r>
      <w:r>
        <w:rPr>
          <w:rFonts w:hint="eastAsia" w:ascii="Times New Roman" w:hAnsi="Times New Roman" w:eastAsia="宋体" w:cs="Times New Roman"/>
          <w:caps w:val="0"/>
          <w:color w:val="auto"/>
          <w:spacing w:val="0"/>
          <w:sz w:val="28"/>
          <w:szCs w:val="28"/>
          <w:lang w:val="en-US" w:eastAsia="zh-CN"/>
          <w14:ligatures w14:val="none"/>
        </w:rPr>
        <w:t>1245</w:t>
      </w:r>
      <w:r>
        <w:rPr>
          <w:rFonts w:hint="default" w:ascii="Times New Roman" w:hAnsi="Times New Roman" w:eastAsia="宋体" w:cs="Times New Roman"/>
          <w:caps w:val="0"/>
          <w:color w:val="auto"/>
          <w:spacing w:val="0"/>
          <w:sz w:val="28"/>
          <w:szCs w:val="28"/>
          <w:lang w:val="en-US" w:eastAsia="zh-CN"/>
          <w14:ligatures w14:val="none"/>
        </w:rPr>
        <w:t>mm</w:t>
      </w:r>
    </w:p>
    <w:p w14:paraId="1570AD5D">
      <w:pPr>
        <w:keepNext w:val="0"/>
        <w:keepLines w:val="0"/>
        <w:pageBreakBefore w:val="0"/>
        <w:widowControl w:val="0"/>
        <w:kinsoku/>
        <w:wordWrap/>
        <w:overflowPunct/>
        <w:topLinePunct w:val="0"/>
        <w:autoSpaceDE/>
        <w:autoSpaceDN/>
        <w:bidi w:val="0"/>
        <w:adjustRightInd w:val="0"/>
        <w:snapToGrid w:val="0"/>
        <w:spacing w:after="0" w:line="360" w:lineRule="auto"/>
        <w:ind w:firstLine="1680" w:firstLineChars="6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eastAsia" w:ascii="Times New Roman" w:hAnsi="Times New Roman" w:eastAsia="宋体" w:cs="Times New Roman"/>
          <w:caps w:val="0"/>
          <w:color w:val="auto"/>
          <w:spacing w:val="0"/>
          <w:sz w:val="28"/>
          <w:szCs w:val="28"/>
          <w:lang w:val="en-US" w:eastAsia="zh-CN"/>
          <w14:ligatures w14:val="none"/>
        </w:rPr>
        <w:t>5</w:t>
      </w:r>
      <w:r>
        <w:rPr>
          <w:rFonts w:hint="eastAsia" w:ascii="Times New Roman" w:hAnsi="Times New Roman" w:eastAsia="宋体" w:cs="Times New Roman"/>
          <w:caps w:val="0"/>
          <w:color w:val="auto"/>
          <w:spacing w:val="0"/>
          <w:sz w:val="28"/>
          <w:szCs w:val="28"/>
          <w:vertAlign w:val="superscript"/>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柴油储罐</w:t>
      </w:r>
      <w:r>
        <w:rPr>
          <w:rFonts w:hint="default" w:ascii="Times New Roman" w:hAnsi="Times New Roman" w:eastAsia="宋体" w:cs="Times New Roman"/>
          <w:caps w:val="0"/>
          <w:color w:val="auto"/>
          <w:spacing w:val="0"/>
          <w:sz w:val="28"/>
          <w:szCs w:val="28"/>
          <w:lang w:val="en-US" w:eastAsia="zh-CN"/>
          <w14:ligatures w14:val="none"/>
        </w:rPr>
        <w:t>V=</w:t>
      </w:r>
      <w:r>
        <w:rPr>
          <w:rFonts w:hint="eastAsia" w:ascii="Times New Roman" w:hAnsi="Times New Roman" w:eastAsia="宋体" w:cs="Times New Roman"/>
          <w:caps w:val="0"/>
          <w:color w:val="auto"/>
          <w:spacing w:val="0"/>
          <w:sz w:val="28"/>
          <w:szCs w:val="28"/>
          <w:lang w:val="en-US" w:eastAsia="zh-CN"/>
          <w14:ligatures w14:val="none"/>
        </w:rPr>
        <w:t>1</w:t>
      </w:r>
      <w:r>
        <w:rPr>
          <w:rFonts w:hint="default" w:ascii="Times New Roman" w:hAnsi="Times New Roman" w:eastAsia="宋体" w:cs="Times New Roman"/>
          <w:caps w:val="0"/>
          <w:color w:val="auto"/>
          <w:spacing w:val="0"/>
          <w:sz w:val="28"/>
          <w:szCs w:val="28"/>
          <w:lang w:val="en-US" w:eastAsia="zh-CN"/>
          <w14:ligatures w14:val="none"/>
        </w:rPr>
        <w:t>000m</w:t>
      </w:r>
      <w:r>
        <w:rPr>
          <w:rFonts w:hint="eastAsia"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 xml:space="preserve">     D=1</w:t>
      </w:r>
      <w:r>
        <w:rPr>
          <w:rFonts w:hint="eastAsia" w:ascii="Times New Roman" w:hAnsi="Times New Roman" w:eastAsia="宋体" w:cs="Times New Roman"/>
          <w:caps w:val="0"/>
          <w:color w:val="auto"/>
          <w:spacing w:val="0"/>
          <w:sz w:val="28"/>
          <w:szCs w:val="28"/>
          <w:lang w:val="en-US" w:eastAsia="zh-CN"/>
          <w14:ligatures w14:val="none"/>
        </w:rPr>
        <w:t>1886</w:t>
      </w:r>
      <w:r>
        <w:rPr>
          <w:rFonts w:hint="default" w:ascii="Times New Roman" w:hAnsi="Times New Roman" w:eastAsia="宋体" w:cs="Times New Roman"/>
          <w:caps w:val="0"/>
          <w:color w:val="auto"/>
          <w:spacing w:val="0"/>
          <w:sz w:val="28"/>
          <w:szCs w:val="28"/>
          <w:lang w:val="en-US" w:eastAsia="zh-CN"/>
          <w14:ligatures w14:val="none"/>
        </w:rPr>
        <w:t>mm      H=</w:t>
      </w:r>
      <w:r>
        <w:rPr>
          <w:rFonts w:hint="eastAsia" w:ascii="Times New Roman" w:hAnsi="Times New Roman" w:eastAsia="宋体" w:cs="Times New Roman"/>
          <w:caps w:val="0"/>
          <w:color w:val="auto"/>
          <w:spacing w:val="0"/>
          <w:sz w:val="28"/>
          <w:szCs w:val="28"/>
          <w:lang w:val="en-US" w:eastAsia="zh-CN"/>
          <w14:ligatures w14:val="none"/>
        </w:rPr>
        <w:t>9441</w:t>
      </w:r>
      <w:r>
        <w:rPr>
          <w:rFonts w:hint="default" w:ascii="Times New Roman" w:hAnsi="Times New Roman" w:eastAsia="宋体" w:cs="Times New Roman"/>
          <w:caps w:val="0"/>
          <w:color w:val="auto"/>
          <w:spacing w:val="0"/>
          <w:sz w:val="28"/>
          <w:szCs w:val="28"/>
          <w:lang w:val="en-US" w:eastAsia="zh-CN"/>
          <w14:ligatures w14:val="none"/>
        </w:rPr>
        <w:t>mm</w:t>
      </w:r>
    </w:p>
    <w:p w14:paraId="0C3BDF8F">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现场</w:t>
      </w:r>
      <w:r>
        <w:rPr>
          <w:rFonts w:hint="eastAsia" w:ascii="Times New Roman" w:hAnsi="Times New Roman" w:eastAsia="宋体" w:cs="Times New Roman"/>
          <w:caps w:val="0"/>
          <w:color w:val="auto"/>
          <w:spacing w:val="0"/>
          <w:sz w:val="28"/>
          <w:szCs w:val="28"/>
          <w:lang w:val="en-US" w:eastAsia="zh-CN"/>
          <w14:ligatures w14:val="none"/>
        </w:rPr>
        <w:t>罐区</w:t>
      </w:r>
      <w:r>
        <w:rPr>
          <w:rFonts w:hint="default" w:ascii="Times New Roman" w:hAnsi="Times New Roman" w:eastAsia="宋体" w:cs="Times New Roman"/>
          <w:caps w:val="0"/>
          <w:color w:val="auto"/>
          <w:spacing w:val="0"/>
          <w:sz w:val="28"/>
          <w:szCs w:val="28"/>
          <w:lang w:val="en-US" w:eastAsia="zh-CN"/>
          <w14:ligatures w14:val="none"/>
        </w:rPr>
        <w:t>设置固定式消防冷却水系统，根据《</w:t>
      </w:r>
      <w:r>
        <w:rPr>
          <w:rFonts w:hint="eastAsia" w:ascii="Times New Roman" w:hAnsi="Times New Roman" w:eastAsia="宋体" w:cs="Times New Roman"/>
          <w:caps w:val="0"/>
          <w:color w:val="auto"/>
          <w:spacing w:val="0"/>
          <w:sz w:val="28"/>
          <w:szCs w:val="28"/>
          <w:lang w:val="en-US" w:eastAsia="zh-CN"/>
          <w14:ligatures w14:val="none"/>
        </w:rPr>
        <w:t>石油库设计规范</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 xml:space="preserve">GB </w:t>
      </w:r>
      <w:r>
        <w:rPr>
          <w:rFonts w:hint="default" w:ascii="Times New Roman" w:hAnsi="Times New Roman" w:eastAsia="宋体" w:cs="Times New Roman"/>
          <w:caps w:val="0"/>
          <w:color w:val="auto"/>
          <w:spacing w:val="0"/>
          <w:sz w:val="28"/>
          <w:szCs w:val="28"/>
          <w:lang w:val="en-US" w:eastAsia="zh-CN"/>
          <w14:ligatures w14:val="none"/>
        </w:rPr>
        <w:t>5</w:t>
      </w:r>
      <w:r>
        <w:rPr>
          <w:rFonts w:hint="eastAsia" w:ascii="Times New Roman" w:hAnsi="Times New Roman" w:eastAsia="宋体" w:cs="Times New Roman"/>
          <w:caps w:val="0"/>
          <w:color w:val="auto"/>
          <w:spacing w:val="0"/>
          <w:sz w:val="28"/>
          <w:szCs w:val="28"/>
          <w:lang w:val="en-US" w:eastAsia="zh-CN"/>
          <w14:ligatures w14:val="none"/>
        </w:rPr>
        <w:t>0074</w:t>
      </w:r>
      <w:r>
        <w:rPr>
          <w:rFonts w:hint="default" w:ascii="Times New Roman" w:hAnsi="Times New Roman" w:eastAsia="宋体" w:cs="Times New Roman"/>
          <w:caps w:val="0"/>
          <w:color w:val="auto"/>
          <w:spacing w:val="0"/>
          <w:sz w:val="28"/>
          <w:szCs w:val="28"/>
          <w:lang w:val="en-US" w:eastAsia="zh-CN"/>
          <w14:ligatures w14:val="none"/>
        </w:rPr>
        <w:t>-2014第</w:t>
      </w:r>
      <w:r>
        <w:rPr>
          <w:rFonts w:hint="eastAsia" w:ascii="Times New Roman" w:hAnsi="Times New Roman" w:eastAsia="宋体" w:cs="Times New Roman"/>
          <w:caps w:val="0"/>
          <w:color w:val="auto"/>
          <w:spacing w:val="0"/>
          <w:sz w:val="28"/>
          <w:szCs w:val="28"/>
          <w:lang w:val="en-US" w:eastAsia="zh-CN"/>
          <w14:ligatures w14:val="none"/>
        </w:rPr>
        <w:t>12.2.8</w:t>
      </w:r>
      <w:r>
        <w:rPr>
          <w:rFonts w:hint="default" w:ascii="Times New Roman" w:hAnsi="Times New Roman" w:eastAsia="宋体" w:cs="Times New Roman"/>
          <w:caps w:val="0"/>
          <w:color w:val="auto"/>
          <w:spacing w:val="0"/>
          <w:sz w:val="28"/>
          <w:szCs w:val="28"/>
          <w:lang w:val="en-US" w:eastAsia="zh-CN"/>
          <w14:ligatures w14:val="none"/>
        </w:rPr>
        <w:t>条的规定</w:t>
      </w:r>
      <w:r>
        <w:rPr>
          <w:rFonts w:hint="eastAsia" w:ascii="Times New Roman" w:hAnsi="Times New Roman" w:eastAsia="宋体" w:cs="Times New Roman"/>
          <w:caps w:val="0"/>
          <w:color w:val="auto"/>
          <w:spacing w:val="0"/>
          <w:sz w:val="28"/>
          <w:szCs w:val="28"/>
          <w:lang w:val="en-US" w:eastAsia="zh-CN"/>
          <w14:ligatures w14:val="none"/>
        </w:rPr>
        <w:t>，计算如下：</w:t>
      </w:r>
    </w:p>
    <w:p w14:paraId="78EAAF07">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着火罐供水强度：2.5L/min</w:t>
      </w:r>
      <w:r>
        <w:rPr>
          <w:rFonts w:hint="eastAsia" w:ascii="Times New Roman" w:hAnsi="Times New Roman" w:eastAsia="宋体" w:cs="Times New Roman"/>
          <w:caps w:val="0"/>
          <w:color w:val="auto"/>
          <w:spacing w:val="0"/>
          <w:sz w:val="28"/>
          <w:szCs w:val="28"/>
          <w:lang w:val="en-US" w:eastAsia="zh-CN"/>
          <w14:ligatures w14:val="none"/>
        </w:rPr>
        <w:t>·m</w:t>
      </w:r>
      <w:r>
        <w:rPr>
          <w:rFonts w:hint="eastAsia" w:ascii="Times New Roman" w:hAnsi="Times New Roman" w:eastAsia="宋体" w:cs="Times New Roman"/>
          <w:caps w:val="0"/>
          <w:color w:val="auto"/>
          <w:spacing w:val="0"/>
          <w:sz w:val="28"/>
          <w:szCs w:val="28"/>
          <w:vertAlign w:val="superscript"/>
          <w:lang w:val="en-US" w:eastAsia="zh-CN"/>
          <w14:ligatures w14:val="none"/>
        </w:rPr>
        <w:t>2</w:t>
      </w:r>
    </w:p>
    <w:p w14:paraId="626DB400">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sz w:val="21"/>
          <w:szCs w:val="20"/>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供水范围：罐壁外表面积=πDH=</w:t>
      </w:r>
      <w:r>
        <w:rPr>
          <w:rFonts w:hint="eastAsia" w:ascii="Times New Roman" w:hAnsi="Times New Roman" w:eastAsia="宋体" w:cs="Times New Roman"/>
          <w:caps w:val="0"/>
          <w:color w:val="auto"/>
          <w:spacing w:val="0"/>
          <w:sz w:val="28"/>
          <w:szCs w:val="28"/>
          <w:lang w:val="en-US" w:eastAsia="zh-CN"/>
          <w14:ligatures w14:val="none"/>
        </w:rPr>
        <w:t>543.89m</w:t>
      </w:r>
      <w:r>
        <w:rPr>
          <w:rFonts w:hint="eastAsia" w:ascii="Times New Roman" w:hAnsi="Times New Roman" w:eastAsia="宋体" w:cs="Times New Roman"/>
          <w:caps w:val="0"/>
          <w:color w:val="auto"/>
          <w:spacing w:val="0"/>
          <w:sz w:val="28"/>
          <w:szCs w:val="28"/>
          <w:vertAlign w:val="superscript"/>
          <w:lang w:val="en-US" w:eastAsia="zh-CN"/>
          <w14:ligatures w14:val="none"/>
        </w:rPr>
        <w:t>2</w:t>
      </w:r>
    </w:p>
    <w:p w14:paraId="243749A8">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消防水量2.5L/min</w:t>
      </w:r>
      <w:r>
        <w:rPr>
          <w:rFonts w:hint="eastAsia" w:ascii="Times New Roman" w:hAnsi="Times New Roman" w:eastAsia="宋体" w:cs="Times New Roman"/>
          <w:caps w:val="0"/>
          <w:color w:val="auto"/>
          <w:spacing w:val="0"/>
          <w:sz w:val="28"/>
          <w:szCs w:val="28"/>
          <w:lang w:val="en-US" w:eastAsia="zh-CN"/>
          <w14:ligatures w14:val="none"/>
        </w:rPr>
        <w:t>·m</w:t>
      </w:r>
      <w:r>
        <w:rPr>
          <w:rFonts w:hint="eastAsia"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543.89m</w:t>
      </w:r>
      <w:r>
        <w:rPr>
          <w:rFonts w:hint="eastAsia"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22.66</w:t>
      </w:r>
      <w:r>
        <w:rPr>
          <w:rFonts w:hint="default" w:ascii="Times New Roman" w:hAnsi="Times New Roman" w:eastAsia="宋体" w:cs="Times New Roman"/>
          <w:caps w:val="0"/>
          <w:color w:val="auto"/>
          <w:spacing w:val="0"/>
          <w:sz w:val="28"/>
          <w:szCs w:val="28"/>
          <w:lang w:val="en-US" w:eastAsia="zh-CN"/>
          <w14:ligatures w14:val="none"/>
        </w:rPr>
        <w:t>L/s</w:t>
      </w:r>
    </w:p>
    <w:p w14:paraId="6F38DB5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邻近罐供水强度：2.</w:t>
      </w:r>
      <w:r>
        <w:rPr>
          <w:rFonts w:hint="eastAsia" w:ascii="Times New Roman" w:hAnsi="Times New Roman" w:eastAsia="宋体" w:cs="Times New Roman"/>
          <w:caps w:val="0"/>
          <w:color w:val="auto"/>
          <w:spacing w:val="0"/>
          <w:sz w:val="28"/>
          <w:szCs w:val="28"/>
          <w:lang w:val="en-US" w:eastAsia="zh-CN"/>
          <w14:ligatures w14:val="none"/>
        </w:rPr>
        <w:t>0</w:t>
      </w:r>
      <w:r>
        <w:rPr>
          <w:rFonts w:hint="default" w:ascii="Times New Roman" w:hAnsi="Times New Roman" w:eastAsia="宋体" w:cs="Times New Roman"/>
          <w:caps w:val="0"/>
          <w:color w:val="auto"/>
          <w:spacing w:val="0"/>
          <w:sz w:val="28"/>
          <w:szCs w:val="28"/>
          <w:lang w:val="en-US" w:eastAsia="zh-CN"/>
          <w14:ligatures w14:val="none"/>
        </w:rPr>
        <w:t>L/min</w:t>
      </w:r>
      <w:r>
        <w:rPr>
          <w:rFonts w:hint="eastAsia" w:ascii="Times New Roman" w:hAnsi="Times New Roman" w:eastAsia="宋体" w:cs="Times New Roman"/>
          <w:caps w:val="0"/>
          <w:color w:val="auto"/>
          <w:spacing w:val="0"/>
          <w:sz w:val="28"/>
          <w:szCs w:val="28"/>
          <w:lang w:val="en-US" w:eastAsia="zh-CN"/>
          <w14:ligatures w14:val="none"/>
        </w:rPr>
        <w:t>·m</w:t>
      </w:r>
      <w:r>
        <w:rPr>
          <w:rFonts w:hint="eastAsia" w:ascii="Times New Roman" w:hAnsi="Times New Roman" w:eastAsia="宋体" w:cs="Times New Roman"/>
          <w:caps w:val="0"/>
          <w:color w:val="auto"/>
          <w:spacing w:val="0"/>
          <w:sz w:val="28"/>
          <w:szCs w:val="28"/>
          <w:vertAlign w:val="superscript"/>
          <w:lang w:val="en-US" w:eastAsia="zh-CN"/>
          <w14:ligatures w14:val="none"/>
        </w:rPr>
        <w:t>2</w:t>
      </w:r>
    </w:p>
    <w:p w14:paraId="2552D58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caps w:val="0"/>
          <w:color w:val="auto"/>
          <w:spacing w:val="0"/>
          <w:sz w:val="28"/>
          <w:szCs w:val="28"/>
          <w:vertAlign w:val="superscript"/>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供水范围</w:t>
      </w:r>
      <w:r>
        <w:rPr>
          <w:rFonts w:hint="eastAsia" w:ascii="Times New Roman" w:hAnsi="Times New Roman" w:eastAsia="宋体" w:cs="Times New Roman"/>
          <w:caps w:val="0"/>
          <w:color w:val="auto"/>
          <w:spacing w:val="0"/>
          <w:sz w:val="28"/>
          <w:szCs w:val="28"/>
          <w:lang w:val="en-US" w:eastAsia="zh-CN"/>
          <w14:ligatures w14:val="none"/>
        </w:rPr>
        <w:t>1</w:t>
      </w:r>
      <w:r>
        <w:rPr>
          <w:rFonts w:hint="eastAsia" w:ascii="Times New Roman" w:hAnsi="Times New Roman" w:eastAsia="宋体" w:cs="Times New Roman"/>
          <w:caps w:val="0"/>
          <w:color w:val="auto"/>
          <w:spacing w:val="0"/>
          <w:sz w:val="28"/>
          <w:szCs w:val="28"/>
          <w:vertAlign w:val="superscript"/>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罐</w:t>
      </w:r>
      <w:r>
        <w:rPr>
          <w:rFonts w:hint="default" w:ascii="Times New Roman" w:hAnsi="Times New Roman" w:eastAsia="宋体" w:cs="Times New Roman"/>
          <w:caps w:val="0"/>
          <w:color w:val="auto"/>
          <w:spacing w:val="0"/>
          <w:sz w:val="28"/>
          <w:szCs w:val="28"/>
          <w:lang w:val="en-US" w:eastAsia="zh-CN"/>
          <w14:ligatures w14:val="none"/>
        </w:rPr>
        <w:t>：罐壁外表面积</w:t>
      </w:r>
      <w:r>
        <w:rPr>
          <w:rFonts w:hint="eastAsia" w:ascii="Times New Roman" w:hAnsi="Times New Roman" w:eastAsia="宋体" w:cs="Times New Roman"/>
          <w:caps w:val="0"/>
          <w:color w:val="auto"/>
          <w:spacing w:val="0"/>
          <w:sz w:val="28"/>
          <w:szCs w:val="28"/>
          <w:lang w:val="en-US" w:eastAsia="zh-CN"/>
          <w14:ligatures w14:val="none"/>
        </w:rPr>
        <w:t>的1/2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1/2</w:t>
      </w:r>
      <w:r>
        <w:rPr>
          <w:rFonts w:hint="default" w:ascii="Times New Roman" w:hAnsi="Times New Roman" w:eastAsia="宋体" w:cs="Times New Roman"/>
          <w:caps w:val="0"/>
          <w:color w:val="auto"/>
          <w:spacing w:val="0"/>
          <w:sz w:val="28"/>
          <w:szCs w:val="28"/>
          <w:lang w:val="en-US" w:eastAsia="zh-CN"/>
          <w14:ligatures w14:val="none"/>
        </w:rPr>
        <w:t>πDH=</w:t>
      </w:r>
      <w:r>
        <w:rPr>
          <w:rFonts w:hint="eastAsia" w:ascii="Times New Roman" w:hAnsi="Times New Roman" w:eastAsia="宋体" w:cs="Times New Roman"/>
          <w:caps w:val="0"/>
          <w:color w:val="auto"/>
          <w:spacing w:val="0"/>
          <w:sz w:val="28"/>
          <w:szCs w:val="28"/>
          <w:lang w:val="en-US" w:eastAsia="zh-CN"/>
          <w14:ligatures w14:val="none"/>
        </w:rPr>
        <w:t>292.88m</w:t>
      </w:r>
      <w:r>
        <w:rPr>
          <w:rFonts w:hint="eastAsia" w:ascii="Times New Roman" w:hAnsi="Times New Roman" w:eastAsia="宋体" w:cs="Times New Roman"/>
          <w:caps w:val="0"/>
          <w:color w:val="auto"/>
          <w:spacing w:val="0"/>
          <w:sz w:val="28"/>
          <w:szCs w:val="28"/>
          <w:vertAlign w:val="superscript"/>
          <w:lang w:val="en-US" w:eastAsia="zh-CN"/>
          <w14:ligatures w14:val="none"/>
        </w:rPr>
        <w:t>2</w:t>
      </w:r>
    </w:p>
    <w:p w14:paraId="4F4D79C0">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caps w:val="0"/>
          <w:color w:val="auto"/>
          <w:spacing w:val="0"/>
          <w:sz w:val="28"/>
          <w:szCs w:val="28"/>
          <w:vertAlign w:val="superscript"/>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供水范围</w:t>
      </w:r>
      <w:r>
        <w:rPr>
          <w:rFonts w:hint="eastAsia" w:ascii="Times New Roman" w:hAnsi="Times New Roman" w:eastAsia="宋体" w:cs="Times New Roman"/>
          <w:caps w:val="0"/>
          <w:color w:val="auto"/>
          <w:spacing w:val="0"/>
          <w:sz w:val="28"/>
          <w:szCs w:val="28"/>
          <w:lang w:val="en-US" w:eastAsia="zh-CN"/>
          <w14:ligatures w14:val="none"/>
        </w:rPr>
        <w:t>3</w:t>
      </w:r>
      <w:r>
        <w:rPr>
          <w:rFonts w:hint="eastAsia" w:ascii="Times New Roman" w:hAnsi="Times New Roman" w:eastAsia="宋体" w:cs="Times New Roman"/>
          <w:caps w:val="0"/>
          <w:color w:val="auto"/>
          <w:spacing w:val="0"/>
          <w:sz w:val="28"/>
          <w:szCs w:val="28"/>
          <w:vertAlign w:val="superscript"/>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罐</w:t>
      </w:r>
      <w:r>
        <w:rPr>
          <w:rFonts w:hint="default" w:ascii="Times New Roman" w:hAnsi="Times New Roman" w:eastAsia="宋体" w:cs="Times New Roman"/>
          <w:caps w:val="0"/>
          <w:color w:val="auto"/>
          <w:spacing w:val="0"/>
          <w:sz w:val="28"/>
          <w:szCs w:val="28"/>
          <w:lang w:val="en-US" w:eastAsia="zh-CN"/>
          <w14:ligatures w14:val="none"/>
        </w:rPr>
        <w:t>：罐壁外表面积</w:t>
      </w:r>
      <w:r>
        <w:rPr>
          <w:rFonts w:hint="eastAsia" w:ascii="Times New Roman" w:hAnsi="Times New Roman" w:eastAsia="宋体" w:cs="Times New Roman"/>
          <w:caps w:val="0"/>
          <w:color w:val="auto"/>
          <w:spacing w:val="0"/>
          <w:sz w:val="28"/>
          <w:szCs w:val="28"/>
          <w:lang w:val="en-US" w:eastAsia="zh-CN"/>
          <w14:ligatures w14:val="none"/>
        </w:rPr>
        <w:t>的1/2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1/2</w:t>
      </w:r>
      <w:r>
        <w:rPr>
          <w:rFonts w:hint="default" w:ascii="Times New Roman" w:hAnsi="Times New Roman" w:eastAsia="宋体" w:cs="Times New Roman"/>
          <w:caps w:val="0"/>
          <w:color w:val="auto"/>
          <w:spacing w:val="0"/>
          <w:sz w:val="28"/>
          <w:szCs w:val="28"/>
          <w:lang w:val="en-US" w:eastAsia="zh-CN"/>
          <w14:ligatures w14:val="none"/>
        </w:rPr>
        <w:t>πDH=</w:t>
      </w:r>
      <w:r>
        <w:rPr>
          <w:rFonts w:hint="eastAsia" w:ascii="Times New Roman" w:hAnsi="Times New Roman" w:eastAsia="宋体" w:cs="Times New Roman"/>
          <w:caps w:val="0"/>
          <w:color w:val="auto"/>
          <w:spacing w:val="0"/>
          <w:sz w:val="28"/>
          <w:szCs w:val="28"/>
          <w:lang w:val="en-US" w:eastAsia="zh-CN"/>
          <w14:ligatures w14:val="none"/>
        </w:rPr>
        <w:t>273.99m</w:t>
      </w:r>
      <w:r>
        <w:rPr>
          <w:rFonts w:hint="eastAsia" w:ascii="Times New Roman" w:hAnsi="Times New Roman" w:eastAsia="宋体" w:cs="Times New Roman"/>
          <w:caps w:val="0"/>
          <w:color w:val="auto"/>
          <w:spacing w:val="0"/>
          <w:sz w:val="28"/>
          <w:szCs w:val="28"/>
          <w:vertAlign w:val="superscript"/>
          <w:lang w:val="en-US" w:eastAsia="zh-CN"/>
          <w14:ligatures w14:val="none"/>
        </w:rPr>
        <w:t>2</w:t>
      </w:r>
    </w:p>
    <w:p w14:paraId="6DEBD27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vertAlign w:val="superscript"/>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供水范围</w:t>
      </w:r>
      <w:r>
        <w:rPr>
          <w:rFonts w:hint="eastAsia" w:ascii="Times New Roman" w:hAnsi="Times New Roman" w:eastAsia="宋体" w:cs="Times New Roman"/>
          <w:caps w:val="0"/>
          <w:color w:val="auto"/>
          <w:spacing w:val="0"/>
          <w:sz w:val="28"/>
          <w:szCs w:val="28"/>
          <w:lang w:val="en-US" w:eastAsia="zh-CN"/>
          <w14:ligatures w14:val="none"/>
        </w:rPr>
        <w:t>5</w:t>
      </w:r>
      <w:r>
        <w:rPr>
          <w:rFonts w:hint="eastAsia" w:ascii="Times New Roman" w:hAnsi="Times New Roman" w:eastAsia="宋体" w:cs="Times New Roman"/>
          <w:caps w:val="0"/>
          <w:color w:val="auto"/>
          <w:spacing w:val="0"/>
          <w:sz w:val="28"/>
          <w:szCs w:val="28"/>
          <w:vertAlign w:val="superscript"/>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罐</w:t>
      </w:r>
      <w:r>
        <w:rPr>
          <w:rFonts w:hint="default" w:ascii="Times New Roman" w:hAnsi="Times New Roman" w:eastAsia="宋体" w:cs="Times New Roman"/>
          <w:caps w:val="0"/>
          <w:color w:val="auto"/>
          <w:spacing w:val="0"/>
          <w:sz w:val="28"/>
          <w:szCs w:val="28"/>
          <w:lang w:val="en-US" w:eastAsia="zh-CN"/>
          <w14:ligatures w14:val="none"/>
        </w:rPr>
        <w:t>：罐壁外表面积</w:t>
      </w:r>
      <w:r>
        <w:rPr>
          <w:rFonts w:hint="eastAsia" w:ascii="Times New Roman" w:hAnsi="Times New Roman" w:eastAsia="宋体" w:cs="Times New Roman"/>
          <w:caps w:val="0"/>
          <w:color w:val="auto"/>
          <w:spacing w:val="0"/>
          <w:sz w:val="28"/>
          <w:szCs w:val="28"/>
          <w:lang w:val="en-US" w:eastAsia="zh-CN"/>
          <w14:ligatures w14:val="none"/>
        </w:rPr>
        <w:t>的1/2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1/2</w:t>
      </w:r>
      <w:r>
        <w:rPr>
          <w:rFonts w:hint="default" w:ascii="Times New Roman" w:hAnsi="Times New Roman" w:eastAsia="宋体" w:cs="Times New Roman"/>
          <w:caps w:val="0"/>
          <w:color w:val="auto"/>
          <w:spacing w:val="0"/>
          <w:sz w:val="28"/>
          <w:szCs w:val="28"/>
          <w:lang w:val="en-US" w:eastAsia="zh-CN"/>
          <w14:ligatures w14:val="none"/>
        </w:rPr>
        <w:t>πDH=</w:t>
      </w:r>
      <w:r>
        <w:rPr>
          <w:rFonts w:hint="eastAsia" w:ascii="Times New Roman" w:hAnsi="Times New Roman" w:eastAsia="宋体" w:cs="Times New Roman"/>
          <w:caps w:val="0"/>
          <w:color w:val="auto"/>
          <w:spacing w:val="0"/>
          <w:sz w:val="28"/>
          <w:szCs w:val="28"/>
          <w:lang w:val="en-US" w:eastAsia="zh-CN"/>
          <w14:ligatures w14:val="none"/>
        </w:rPr>
        <w:t>176.26m</w:t>
      </w:r>
      <w:r>
        <w:rPr>
          <w:rFonts w:hint="eastAsia" w:ascii="Times New Roman" w:hAnsi="Times New Roman" w:eastAsia="宋体" w:cs="Times New Roman"/>
          <w:caps w:val="0"/>
          <w:color w:val="auto"/>
          <w:spacing w:val="0"/>
          <w:sz w:val="28"/>
          <w:szCs w:val="28"/>
          <w:vertAlign w:val="superscript"/>
          <w:lang w:val="en-US" w:eastAsia="zh-CN"/>
          <w14:ligatures w14:val="none"/>
        </w:rPr>
        <w:t xml:space="preserve">2   </w:t>
      </w:r>
    </w:p>
    <w:p w14:paraId="3057312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消防水量：2.</w:t>
      </w:r>
      <w:r>
        <w:rPr>
          <w:rFonts w:hint="eastAsia" w:ascii="Times New Roman" w:hAnsi="Times New Roman" w:eastAsia="宋体" w:cs="Times New Roman"/>
          <w:caps w:val="0"/>
          <w:color w:val="auto"/>
          <w:spacing w:val="0"/>
          <w:sz w:val="28"/>
          <w:szCs w:val="28"/>
          <w:lang w:val="en-US" w:eastAsia="zh-CN"/>
          <w14:ligatures w14:val="none"/>
        </w:rPr>
        <w:t>0</w:t>
      </w:r>
      <w:r>
        <w:rPr>
          <w:rFonts w:hint="default" w:ascii="Times New Roman" w:hAnsi="Times New Roman" w:eastAsia="宋体" w:cs="Times New Roman"/>
          <w:caps w:val="0"/>
          <w:color w:val="auto"/>
          <w:spacing w:val="0"/>
          <w:sz w:val="28"/>
          <w:szCs w:val="28"/>
          <w:lang w:val="en-US" w:eastAsia="zh-CN"/>
          <w14:ligatures w14:val="none"/>
        </w:rPr>
        <w:t>L/min</w:t>
      </w:r>
      <w:r>
        <w:rPr>
          <w:rFonts w:hint="eastAsia" w:ascii="Times New Roman" w:hAnsi="Times New Roman" w:eastAsia="宋体" w:cs="Times New Roman"/>
          <w:caps w:val="0"/>
          <w:color w:val="auto"/>
          <w:spacing w:val="0"/>
          <w:sz w:val="28"/>
          <w:szCs w:val="28"/>
          <w:lang w:val="en-US" w:eastAsia="zh-CN"/>
          <w14:ligatures w14:val="none"/>
        </w:rPr>
        <w:t>·m</w:t>
      </w:r>
      <w:r>
        <w:rPr>
          <w:rFonts w:hint="eastAsia"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292.88m</w:t>
      </w:r>
      <w:r>
        <w:rPr>
          <w:rFonts w:hint="eastAsia" w:ascii="Times New Roman" w:hAnsi="Times New Roman" w:eastAsia="宋体" w:cs="Times New Roman"/>
          <w:caps w:val="0"/>
          <w:color w:val="auto"/>
          <w:spacing w:val="0"/>
          <w:sz w:val="28"/>
          <w:szCs w:val="28"/>
          <w:vertAlign w:val="superscript"/>
          <w:lang w:val="en-US" w:eastAsia="zh-CN"/>
          <w14:ligatures w14:val="none"/>
        </w:rPr>
        <w:t>2</w:t>
      </w:r>
      <w:r>
        <w:rPr>
          <w:rFonts w:hint="eastAsia" w:ascii="Times New Roman" w:hAnsi="Times New Roman" w:eastAsia="宋体" w:cs="Times New Roman"/>
          <w:caps w:val="0"/>
          <w:color w:val="auto"/>
          <w:spacing w:val="0"/>
          <w:sz w:val="28"/>
          <w:szCs w:val="28"/>
          <w:vertAlign w:val="baseline"/>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2.</w:t>
      </w:r>
      <w:r>
        <w:rPr>
          <w:rFonts w:hint="eastAsia" w:ascii="Times New Roman" w:hAnsi="Times New Roman" w:eastAsia="宋体" w:cs="Times New Roman"/>
          <w:caps w:val="0"/>
          <w:color w:val="auto"/>
          <w:spacing w:val="0"/>
          <w:sz w:val="28"/>
          <w:szCs w:val="28"/>
          <w:lang w:val="en-US" w:eastAsia="zh-CN"/>
          <w14:ligatures w14:val="none"/>
        </w:rPr>
        <w:t>0</w:t>
      </w:r>
      <w:r>
        <w:rPr>
          <w:rFonts w:hint="default" w:ascii="Times New Roman" w:hAnsi="Times New Roman" w:eastAsia="宋体" w:cs="Times New Roman"/>
          <w:caps w:val="0"/>
          <w:color w:val="auto"/>
          <w:spacing w:val="0"/>
          <w:sz w:val="28"/>
          <w:szCs w:val="28"/>
          <w:lang w:val="en-US" w:eastAsia="zh-CN"/>
          <w14:ligatures w14:val="none"/>
        </w:rPr>
        <w:t>L/min</w:t>
      </w:r>
      <w:r>
        <w:rPr>
          <w:rFonts w:hint="eastAsia" w:ascii="Times New Roman" w:hAnsi="Times New Roman" w:eastAsia="宋体" w:cs="Times New Roman"/>
          <w:caps w:val="0"/>
          <w:color w:val="auto"/>
          <w:spacing w:val="0"/>
          <w:sz w:val="28"/>
          <w:szCs w:val="28"/>
          <w:lang w:val="en-US" w:eastAsia="zh-CN"/>
          <w14:ligatures w14:val="none"/>
        </w:rPr>
        <w:t>·m</w:t>
      </w:r>
      <w:r>
        <w:rPr>
          <w:rFonts w:hint="eastAsia"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273.99m</w:t>
      </w:r>
      <w:r>
        <w:rPr>
          <w:rFonts w:hint="eastAsia" w:ascii="Times New Roman" w:hAnsi="Times New Roman" w:eastAsia="宋体" w:cs="Times New Roman"/>
          <w:caps w:val="0"/>
          <w:color w:val="auto"/>
          <w:spacing w:val="0"/>
          <w:sz w:val="28"/>
          <w:szCs w:val="28"/>
          <w:vertAlign w:val="baseline"/>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2.</w:t>
      </w:r>
      <w:r>
        <w:rPr>
          <w:rFonts w:hint="eastAsia" w:ascii="Times New Roman" w:hAnsi="Times New Roman" w:eastAsia="宋体" w:cs="Times New Roman"/>
          <w:caps w:val="0"/>
          <w:color w:val="auto"/>
          <w:spacing w:val="0"/>
          <w:sz w:val="28"/>
          <w:szCs w:val="28"/>
          <w:lang w:val="en-US" w:eastAsia="zh-CN"/>
          <w14:ligatures w14:val="none"/>
        </w:rPr>
        <w:t>0</w:t>
      </w:r>
      <w:r>
        <w:rPr>
          <w:rFonts w:hint="default" w:ascii="Times New Roman" w:hAnsi="Times New Roman" w:eastAsia="宋体" w:cs="Times New Roman"/>
          <w:caps w:val="0"/>
          <w:color w:val="auto"/>
          <w:spacing w:val="0"/>
          <w:sz w:val="28"/>
          <w:szCs w:val="28"/>
          <w:lang w:val="en-US" w:eastAsia="zh-CN"/>
          <w14:ligatures w14:val="none"/>
        </w:rPr>
        <w:t>L/min</w:t>
      </w:r>
      <w:r>
        <w:rPr>
          <w:rFonts w:hint="eastAsia" w:ascii="Times New Roman" w:hAnsi="Times New Roman" w:eastAsia="宋体" w:cs="Times New Roman"/>
          <w:caps w:val="0"/>
          <w:color w:val="auto"/>
          <w:spacing w:val="0"/>
          <w:sz w:val="28"/>
          <w:szCs w:val="28"/>
          <w:lang w:val="en-US" w:eastAsia="zh-CN"/>
          <w14:ligatures w14:val="none"/>
        </w:rPr>
        <w:t>·m</w:t>
      </w:r>
      <w:r>
        <w:rPr>
          <w:rFonts w:hint="eastAsia"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176.26m</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24.77</w:t>
      </w:r>
      <w:r>
        <w:rPr>
          <w:rFonts w:hint="default" w:ascii="Times New Roman" w:hAnsi="Times New Roman" w:eastAsia="宋体" w:cs="Times New Roman"/>
          <w:caps w:val="0"/>
          <w:color w:val="auto"/>
          <w:spacing w:val="0"/>
          <w:sz w:val="28"/>
          <w:szCs w:val="28"/>
          <w:lang w:val="en-US" w:eastAsia="zh-CN"/>
          <w14:ligatures w14:val="none"/>
        </w:rPr>
        <w:t>L/s</w:t>
      </w:r>
    </w:p>
    <w:p w14:paraId="6BFC2958">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消防总水量：</w:t>
      </w:r>
    </w:p>
    <w:p w14:paraId="5EBB824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eastAsia" w:ascii="Times New Roman" w:hAnsi="Times New Roman" w:eastAsia="宋体" w:cs="Times New Roman"/>
          <w:caps w:val="0"/>
          <w:color w:val="auto"/>
          <w:spacing w:val="0"/>
          <w:sz w:val="28"/>
          <w:szCs w:val="28"/>
          <w:lang w:val="en-US" w:eastAsia="zh-CN"/>
          <w14:ligatures w14:val="none"/>
        </w:rPr>
        <w:t>22.66</w:t>
      </w:r>
      <w:r>
        <w:rPr>
          <w:rFonts w:hint="default" w:ascii="Times New Roman" w:hAnsi="Times New Roman" w:eastAsia="宋体" w:cs="Times New Roman"/>
          <w:caps w:val="0"/>
          <w:color w:val="auto"/>
          <w:spacing w:val="0"/>
          <w:sz w:val="28"/>
          <w:szCs w:val="28"/>
          <w:lang w:val="en-US" w:eastAsia="zh-CN"/>
          <w14:ligatures w14:val="none"/>
        </w:rPr>
        <w:t>L/s+</w:t>
      </w:r>
      <w:r>
        <w:rPr>
          <w:rFonts w:hint="eastAsia" w:ascii="Times New Roman" w:hAnsi="Times New Roman" w:eastAsia="宋体" w:cs="Times New Roman"/>
          <w:caps w:val="0"/>
          <w:color w:val="auto"/>
          <w:spacing w:val="0"/>
          <w:sz w:val="28"/>
          <w:szCs w:val="28"/>
          <w:lang w:val="en-US" w:eastAsia="zh-CN"/>
          <w14:ligatures w14:val="none"/>
        </w:rPr>
        <w:t>24.77</w:t>
      </w:r>
      <w:r>
        <w:rPr>
          <w:rFonts w:hint="default" w:ascii="Times New Roman" w:hAnsi="Times New Roman" w:eastAsia="宋体" w:cs="Times New Roman"/>
          <w:caps w:val="0"/>
          <w:color w:val="auto"/>
          <w:spacing w:val="0"/>
          <w:sz w:val="28"/>
          <w:szCs w:val="28"/>
          <w:lang w:val="en-US" w:eastAsia="zh-CN"/>
          <w14:ligatures w14:val="none"/>
        </w:rPr>
        <w:t>L/s=</w:t>
      </w:r>
      <w:r>
        <w:rPr>
          <w:rFonts w:hint="eastAsia" w:ascii="Times New Roman" w:hAnsi="Times New Roman" w:eastAsia="宋体" w:cs="Times New Roman"/>
          <w:caps w:val="0"/>
          <w:color w:val="auto"/>
          <w:spacing w:val="0"/>
          <w:sz w:val="28"/>
          <w:szCs w:val="28"/>
          <w:lang w:val="en-US" w:eastAsia="zh-CN"/>
          <w14:ligatures w14:val="none"/>
        </w:rPr>
        <w:t>47.43</w:t>
      </w:r>
      <w:r>
        <w:rPr>
          <w:rFonts w:hint="default" w:ascii="Times New Roman" w:hAnsi="Times New Roman" w:eastAsia="宋体" w:cs="Times New Roman"/>
          <w:caps w:val="0"/>
          <w:color w:val="auto"/>
          <w:spacing w:val="0"/>
          <w:sz w:val="28"/>
          <w:szCs w:val="28"/>
          <w:lang w:val="en-US" w:eastAsia="zh-CN"/>
          <w14:ligatures w14:val="none"/>
        </w:rPr>
        <w:t>L/s</w:t>
      </w:r>
    </w:p>
    <w:p w14:paraId="7669718D">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eastAsia" w:ascii="Times New Roman" w:hAnsi="Times New Roman" w:eastAsia="宋体" w:cs="Times New Roman"/>
          <w:caps w:val="0"/>
          <w:color w:val="auto"/>
          <w:spacing w:val="0"/>
          <w:sz w:val="28"/>
          <w:szCs w:val="28"/>
          <w:lang w:val="en-US" w:eastAsia="zh-CN"/>
          <w14:ligatures w14:val="none"/>
        </w:rPr>
        <w:t>故</w:t>
      </w:r>
      <w:r>
        <w:rPr>
          <w:rFonts w:hint="default" w:ascii="Times New Roman" w:hAnsi="Times New Roman" w:eastAsia="宋体" w:cs="Times New Roman"/>
          <w:caps w:val="0"/>
          <w:color w:val="auto"/>
          <w:spacing w:val="0"/>
          <w:sz w:val="28"/>
          <w:szCs w:val="28"/>
          <w:lang w:val="en-US" w:eastAsia="zh-CN"/>
          <w14:ligatures w14:val="none"/>
        </w:rPr>
        <w:t>冷却水消防水量为</w:t>
      </w:r>
      <w:r>
        <w:rPr>
          <w:rFonts w:hint="eastAsia" w:ascii="Times New Roman" w:hAnsi="Times New Roman" w:eastAsia="宋体" w:cs="Times New Roman"/>
          <w:caps w:val="0"/>
          <w:color w:val="auto"/>
          <w:spacing w:val="0"/>
          <w:sz w:val="28"/>
          <w:szCs w:val="28"/>
          <w:lang w:val="en-US" w:eastAsia="zh-CN"/>
          <w14:ligatures w14:val="none"/>
        </w:rPr>
        <w:t>47.43</w:t>
      </w:r>
      <w:r>
        <w:rPr>
          <w:rFonts w:hint="default" w:ascii="Times New Roman" w:hAnsi="Times New Roman" w:eastAsia="宋体" w:cs="Times New Roman"/>
          <w:caps w:val="0"/>
          <w:color w:val="auto"/>
          <w:spacing w:val="0"/>
          <w:sz w:val="28"/>
          <w:szCs w:val="28"/>
          <w:lang w:val="en-US" w:eastAsia="zh-CN"/>
          <w14:ligatures w14:val="none"/>
        </w:rPr>
        <w:t>L/s</w:t>
      </w:r>
    </w:p>
    <w:p w14:paraId="1472A16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根据《石油库设计规范》GB50974-2014中12.2.11规定，消防冷却水最小供给时间应符合下列规定：直径大于20m的地上固定顶储罐和直径大于20m的浮盘用易熔材料制作的内浮顶储罐不小于9h，其他地上式立式储罐不小于6h。</w:t>
      </w:r>
    </w:p>
    <w:p w14:paraId="50AEFF1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（2）固定式低倍数泡沫灭火系统</w:t>
      </w:r>
    </w:p>
    <w:p w14:paraId="66093848">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按最大罐 2000m</w:t>
      </w:r>
      <w:r>
        <w:rPr>
          <w:rFonts w:hint="default"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固定顶罐计算。油罐直径为15.51</w:t>
      </w:r>
      <w:r>
        <w:rPr>
          <w:rFonts w:hint="eastAsia" w:ascii="Times New Roman" w:hAnsi="Times New Roman" w:eastAsia="宋体" w:cs="Times New Roman"/>
          <w:caps w:val="0"/>
          <w:color w:val="auto"/>
          <w:spacing w:val="0"/>
          <w:sz w:val="28"/>
          <w:szCs w:val="28"/>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m</w:t>
      </w:r>
      <w:r>
        <w:rPr>
          <w:rFonts w:hint="eastAsia" w:ascii="Times New Roman" w:hAnsi="Times New Roman" w:eastAsia="宋体" w:cs="Times New Roman"/>
          <w:caps w:val="0"/>
          <w:color w:val="auto"/>
          <w:spacing w:val="0"/>
          <w:sz w:val="28"/>
          <w:szCs w:val="28"/>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高11.2</w:t>
      </w:r>
      <w:r>
        <w:rPr>
          <w:rFonts w:hint="eastAsia" w:ascii="Times New Roman" w:hAnsi="Times New Roman" w:eastAsia="宋体" w:cs="Times New Roman"/>
          <w:caps w:val="0"/>
          <w:color w:val="auto"/>
          <w:spacing w:val="0"/>
          <w:sz w:val="28"/>
          <w:szCs w:val="28"/>
          <w:lang w:val="en-US" w:eastAsia="zh-CN"/>
          <w14:ligatures w14:val="none"/>
        </w:rPr>
        <w:t>45</w:t>
      </w:r>
      <w:r>
        <w:rPr>
          <w:rFonts w:hint="default" w:ascii="Times New Roman" w:hAnsi="Times New Roman" w:eastAsia="宋体" w:cs="Times New Roman"/>
          <w:caps w:val="0"/>
          <w:color w:val="auto"/>
          <w:spacing w:val="0"/>
          <w:sz w:val="28"/>
          <w:szCs w:val="28"/>
          <w:lang w:val="en-US" w:eastAsia="zh-CN"/>
          <w14:ligatures w14:val="none"/>
        </w:rPr>
        <w:t>m。设计泡沫混合液供给强度为6L/min</w:t>
      </w:r>
      <w:r>
        <w:rPr>
          <w:rFonts w:hint="eastAsia" w:ascii="Times New Roman" w:hAnsi="Times New Roman" w:eastAsia="宋体" w:cs="Times New Roman"/>
          <w:caps w:val="0"/>
          <w:color w:val="auto"/>
          <w:spacing w:val="0"/>
          <w:sz w:val="28"/>
          <w:szCs w:val="28"/>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m</w:t>
      </w:r>
      <w:r>
        <w:rPr>
          <w:rFonts w:hint="default"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，连续供给时间为30min。</w:t>
      </w:r>
    </w:p>
    <w:p w14:paraId="7910225B">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1）着火罐灭火用泡沫混合液计算流量Q＝R</w:t>
      </w:r>
      <w:r>
        <w:rPr>
          <w:rFonts w:hint="default" w:ascii="Times New Roman" w:hAnsi="Times New Roman" w:eastAsia="宋体" w:cs="Times New Roman"/>
          <w:caps w:val="0"/>
          <w:color w:val="auto"/>
          <w:spacing w:val="0"/>
          <w:sz w:val="28"/>
          <w:szCs w:val="28"/>
          <w:vertAlign w:val="subscript"/>
          <w:lang w:val="en-US" w:eastAsia="zh-CN"/>
          <w14:ligatures w14:val="none"/>
        </w:rPr>
        <w:t>Z</w:t>
      </w:r>
      <w:r>
        <w:rPr>
          <w:rFonts w:hint="default" w:ascii="Times New Roman" w:hAnsi="Times New Roman" w:eastAsia="宋体" w:cs="Times New Roman"/>
          <w:caps w:val="0"/>
          <w:color w:val="auto"/>
          <w:spacing w:val="0"/>
          <w:sz w:val="28"/>
          <w:szCs w:val="28"/>
          <w:lang w:val="en-US" w:eastAsia="zh-CN"/>
          <w14:ligatures w14:val="none"/>
        </w:rPr>
        <w:t>×S</w:t>
      </w:r>
      <w:r>
        <w:rPr>
          <w:rFonts w:hint="default" w:ascii="Times New Roman" w:hAnsi="Times New Roman" w:eastAsia="宋体" w:cs="Times New Roman"/>
          <w:caps w:val="0"/>
          <w:color w:val="auto"/>
          <w:spacing w:val="0"/>
          <w:sz w:val="28"/>
          <w:szCs w:val="28"/>
          <w:vertAlign w:val="subscript"/>
          <w:lang w:val="en-US" w:eastAsia="zh-CN"/>
          <w14:ligatures w14:val="none"/>
        </w:rPr>
        <w:t>Z</w:t>
      </w:r>
    </w:p>
    <w:p w14:paraId="383913CD">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R</w:t>
      </w:r>
      <w:r>
        <w:rPr>
          <w:rFonts w:hint="default" w:ascii="Times New Roman" w:hAnsi="Times New Roman" w:eastAsia="宋体" w:cs="Times New Roman"/>
          <w:caps w:val="0"/>
          <w:color w:val="auto"/>
          <w:spacing w:val="0"/>
          <w:sz w:val="28"/>
          <w:szCs w:val="28"/>
          <w:vertAlign w:val="subscript"/>
          <w:lang w:val="en-US" w:eastAsia="zh-CN"/>
          <w14:ligatures w14:val="none"/>
        </w:rPr>
        <w:t>Z</w:t>
      </w:r>
      <w:r>
        <w:rPr>
          <w:rFonts w:hint="default" w:ascii="Times New Roman" w:hAnsi="Times New Roman" w:eastAsia="宋体" w:cs="Times New Roman"/>
          <w:caps w:val="0"/>
          <w:color w:val="auto"/>
          <w:spacing w:val="0"/>
          <w:sz w:val="28"/>
          <w:szCs w:val="28"/>
          <w:lang w:val="en-US" w:eastAsia="zh-CN"/>
          <w14:ligatures w14:val="none"/>
        </w:rPr>
        <w:t>－泡沫混合液供给强度(L/min</w:t>
      </w:r>
      <w:r>
        <w:rPr>
          <w:rFonts w:hint="eastAsia" w:ascii="Times New Roman" w:hAnsi="Times New Roman" w:eastAsia="宋体" w:cs="Times New Roman"/>
          <w:caps w:val="0"/>
          <w:color w:val="auto"/>
          <w:spacing w:val="0"/>
          <w:sz w:val="28"/>
          <w:szCs w:val="28"/>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m</w:t>
      </w:r>
      <w:r>
        <w:rPr>
          <w:rFonts w:hint="default"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w:t>
      </w:r>
    </w:p>
    <w:p w14:paraId="09358D9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S</w:t>
      </w:r>
      <w:r>
        <w:rPr>
          <w:rFonts w:hint="default" w:ascii="Times New Roman" w:hAnsi="Times New Roman" w:eastAsia="宋体" w:cs="Times New Roman"/>
          <w:caps w:val="0"/>
          <w:color w:val="auto"/>
          <w:spacing w:val="0"/>
          <w:sz w:val="28"/>
          <w:szCs w:val="28"/>
          <w:vertAlign w:val="subscript"/>
          <w:lang w:val="en-US" w:eastAsia="zh-CN"/>
          <w14:ligatures w14:val="none"/>
        </w:rPr>
        <w:t>Z</w:t>
      </w:r>
      <w:r>
        <w:rPr>
          <w:rFonts w:hint="default" w:ascii="Times New Roman" w:hAnsi="Times New Roman" w:eastAsia="宋体" w:cs="Times New Roman"/>
          <w:caps w:val="0"/>
          <w:color w:val="auto"/>
          <w:spacing w:val="0"/>
          <w:sz w:val="28"/>
          <w:szCs w:val="28"/>
          <w:lang w:val="en-US" w:eastAsia="zh-CN"/>
          <w14:ligatures w14:val="none"/>
        </w:rPr>
        <w:t>－油罐防护面积(m</w:t>
      </w:r>
      <w:r>
        <w:rPr>
          <w:rFonts w:hint="default"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)按油罐截面积计算；</w:t>
      </w:r>
    </w:p>
    <w:p w14:paraId="45C84C1A">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R</w:t>
      </w:r>
      <w:r>
        <w:rPr>
          <w:rFonts w:hint="default" w:ascii="Times New Roman" w:hAnsi="Times New Roman" w:eastAsia="宋体" w:cs="Times New Roman"/>
          <w:caps w:val="0"/>
          <w:color w:val="auto"/>
          <w:spacing w:val="0"/>
          <w:sz w:val="28"/>
          <w:szCs w:val="28"/>
          <w:vertAlign w:val="subscript"/>
          <w:lang w:val="en-US" w:eastAsia="zh-CN"/>
          <w14:ligatures w14:val="none"/>
        </w:rPr>
        <w:t>Z</w:t>
      </w:r>
      <w:r>
        <w:rPr>
          <w:rFonts w:hint="default" w:ascii="Times New Roman" w:hAnsi="Times New Roman" w:eastAsia="宋体" w:cs="Times New Roman"/>
          <w:caps w:val="0"/>
          <w:color w:val="auto"/>
          <w:spacing w:val="0"/>
          <w:sz w:val="28"/>
          <w:szCs w:val="28"/>
          <w:lang w:val="en-US" w:eastAsia="zh-CN"/>
          <w14:ligatures w14:val="none"/>
        </w:rPr>
        <w:t>＝6L/min</w:t>
      </w:r>
      <w:r>
        <w:rPr>
          <w:rFonts w:hint="eastAsia" w:ascii="Times New Roman" w:hAnsi="Times New Roman" w:eastAsia="宋体" w:cs="Times New Roman"/>
          <w:caps w:val="0"/>
          <w:color w:val="auto"/>
          <w:spacing w:val="0"/>
          <w:sz w:val="28"/>
          <w:szCs w:val="28"/>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m</w:t>
      </w:r>
      <w:r>
        <w:rPr>
          <w:rFonts w:hint="default" w:ascii="Times New Roman" w:hAnsi="Times New Roman" w:eastAsia="宋体" w:cs="Times New Roman"/>
          <w:caps w:val="0"/>
          <w:color w:val="auto"/>
          <w:spacing w:val="0"/>
          <w:sz w:val="28"/>
          <w:szCs w:val="28"/>
          <w:vertAlign w:val="superscript"/>
          <w:lang w:val="en-US" w:eastAsia="zh-CN"/>
          <w14:ligatures w14:val="none"/>
        </w:rPr>
        <w:t>2</w:t>
      </w:r>
    </w:p>
    <w:p w14:paraId="7CD69353">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S</w:t>
      </w:r>
      <w:r>
        <w:rPr>
          <w:rFonts w:hint="default" w:ascii="Times New Roman" w:hAnsi="Times New Roman" w:eastAsia="宋体" w:cs="Times New Roman"/>
          <w:caps w:val="0"/>
          <w:color w:val="auto"/>
          <w:spacing w:val="0"/>
          <w:sz w:val="28"/>
          <w:szCs w:val="28"/>
          <w:vertAlign w:val="subscript"/>
          <w:lang w:val="en-US" w:eastAsia="zh-CN"/>
          <w14:ligatures w14:val="none"/>
        </w:rPr>
        <w:t>Z</w:t>
      </w:r>
      <w:r>
        <w:rPr>
          <w:rFonts w:hint="default" w:ascii="Times New Roman" w:hAnsi="Times New Roman" w:eastAsia="宋体" w:cs="Times New Roman"/>
          <w:caps w:val="0"/>
          <w:color w:val="auto"/>
          <w:spacing w:val="0"/>
          <w:sz w:val="28"/>
          <w:szCs w:val="28"/>
          <w:lang w:val="en-US" w:eastAsia="zh-CN"/>
          <w14:ligatures w14:val="none"/>
        </w:rPr>
        <w:t>＝(π/4)D</w:t>
      </w:r>
      <w:r>
        <w:rPr>
          <w:rFonts w:hint="default"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＝(3</w:t>
      </w:r>
      <w:r>
        <w:rPr>
          <w:rFonts w:hint="eastAsia" w:ascii="Times New Roman" w:hAnsi="Times New Roman" w:eastAsia="宋体" w:cs="Times New Roman"/>
          <w:caps w:val="0"/>
          <w:color w:val="auto"/>
          <w:spacing w:val="0"/>
          <w:sz w:val="28"/>
          <w:szCs w:val="28"/>
          <w:lang w:val="en-US" w:eastAsia="zh-CN"/>
          <w14:ligatures w14:val="none"/>
        </w:rPr>
        <w:t>.14/</w:t>
      </w:r>
      <w:r>
        <w:rPr>
          <w:rFonts w:hint="default" w:ascii="Times New Roman" w:hAnsi="Times New Roman" w:eastAsia="宋体" w:cs="Times New Roman"/>
          <w:caps w:val="0"/>
          <w:color w:val="auto"/>
          <w:spacing w:val="0"/>
          <w:sz w:val="28"/>
          <w:szCs w:val="28"/>
          <w:lang w:val="en-US" w:eastAsia="zh-CN"/>
          <w14:ligatures w14:val="none"/>
        </w:rPr>
        <w:t>4)×15.512</w:t>
      </w:r>
      <w:r>
        <w:rPr>
          <w:rFonts w:hint="eastAsia"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＝188.8</w:t>
      </w:r>
      <w:r>
        <w:rPr>
          <w:rFonts w:hint="eastAsia" w:ascii="Times New Roman" w:hAnsi="Times New Roman" w:eastAsia="宋体" w:cs="Times New Roman"/>
          <w:caps w:val="0"/>
          <w:color w:val="auto"/>
          <w:spacing w:val="0"/>
          <w:sz w:val="28"/>
          <w:szCs w:val="28"/>
          <w:lang w:val="en-US" w:eastAsia="zh-CN"/>
          <w14:ligatures w14:val="none"/>
        </w:rPr>
        <w:t>9</w:t>
      </w:r>
      <w:r>
        <w:rPr>
          <w:rFonts w:hint="default" w:ascii="Times New Roman" w:hAnsi="Times New Roman" w:eastAsia="宋体" w:cs="Times New Roman"/>
          <w:caps w:val="0"/>
          <w:color w:val="auto"/>
          <w:spacing w:val="0"/>
          <w:sz w:val="28"/>
          <w:szCs w:val="28"/>
          <w:lang w:val="en-US" w:eastAsia="zh-CN"/>
          <w14:ligatures w14:val="none"/>
        </w:rPr>
        <w:t>m</w:t>
      </w:r>
      <w:r>
        <w:rPr>
          <w:rFonts w:hint="default" w:ascii="Times New Roman" w:hAnsi="Times New Roman" w:eastAsia="宋体" w:cs="Times New Roman"/>
          <w:caps w:val="0"/>
          <w:color w:val="auto"/>
          <w:spacing w:val="0"/>
          <w:sz w:val="28"/>
          <w:szCs w:val="28"/>
          <w:vertAlign w:val="superscript"/>
          <w:lang w:val="en-US" w:eastAsia="zh-CN"/>
          <w14:ligatures w14:val="none"/>
        </w:rPr>
        <w:t>2</w:t>
      </w:r>
    </w:p>
    <w:p w14:paraId="3DE1589F">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Q＝6×188.8</w:t>
      </w:r>
      <w:r>
        <w:rPr>
          <w:rFonts w:hint="eastAsia" w:ascii="Times New Roman" w:hAnsi="Times New Roman" w:eastAsia="宋体" w:cs="Times New Roman"/>
          <w:caps w:val="0"/>
          <w:color w:val="auto"/>
          <w:spacing w:val="0"/>
          <w:sz w:val="28"/>
          <w:szCs w:val="28"/>
          <w:lang w:val="en-US" w:eastAsia="zh-CN"/>
          <w14:ligatures w14:val="none"/>
        </w:rPr>
        <w:t>9</w:t>
      </w:r>
      <w:r>
        <w:rPr>
          <w:rFonts w:hint="default" w:ascii="Times New Roman" w:hAnsi="Times New Roman" w:eastAsia="宋体" w:cs="Times New Roman"/>
          <w:caps w:val="0"/>
          <w:color w:val="auto"/>
          <w:spacing w:val="0"/>
          <w:sz w:val="28"/>
          <w:szCs w:val="28"/>
          <w:lang w:val="en-US" w:eastAsia="zh-CN"/>
          <w14:ligatures w14:val="none"/>
        </w:rPr>
        <w:t>＝1133.</w:t>
      </w:r>
      <w:r>
        <w:rPr>
          <w:rFonts w:hint="eastAsia" w:ascii="Times New Roman" w:hAnsi="Times New Roman" w:eastAsia="宋体" w:cs="Times New Roman"/>
          <w:caps w:val="0"/>
          <w:color w:val="auto"/>
          <w:spacing w:val="0"/>
          <w:sz w:val="28"/>
          <w:szCs w:val="28"/>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4L/min＝18.</w:t>
      </w:r>
      <w:r>
        <w:rPr>
          <w:rFonts w:hint="eastAsia" w:ascii="Times New Roman" w:hAnsi="Times New Roman" w:eastAsia="宋体" w:cs="Times New Roman"/>
          <w:caps w:val="0"/>
          <w:color w:val="auto"/>
          <w:spacing w:val="0"/>
          <w:sz w:val="28"/>
          <w:szCs w:val="28"/>
          <w:lang w:val="en-US" w:eastAsia="zh-CN"/>
          <w14:ligatures w14:val="none"/>
        </w:rPr>
        <w:t>9</w:t>
      </w:r>
      <w:r>
        <w:rPr>
          <w:rFonts w:hint="default" w:ascii="Times New Roman" w:hAnsi="Times New Roman" w:eastAsia="宋体" w:cs="Times New Roman"/>
          <w:caps w:val="0"/>
          <w:color w:val="auto"/>
          <w:spacing w:val="0"/>
          <w:sz w:val="28"/>
          <w:szCs w:val="28"/>
          <w:lang w:val="en-US" w:eastAsia="zh-CN"/>
          <w14:ligatures w14:val="none"/>
        </w:rPr>
        <w:t>L/s</w:t>
      </w:r>
    </w:p>
    <w:p w14:paraId="2DAF4CA7">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故罐上选用1只PCL16型泡沫产生器及1只PQ4型泡沫枪，实际灭火用泡沫液流量为20L/s。</w:t>
      </w:r>
    </w:p>
    <w:p w14:paraId="533409D8">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2）泡沫枪单枪流量为4L/s</w:t>
      </w:r>
      <w:r>
        <w:rPr>
          <w:rFonts w:hint="eastAsia" w:ascii="Times New Roman" w:hAnsi="Times New Roman" w:eastAsia="宋体" w:cs="Times New Roman"/>
          <w:caps w:val="0"/>
          <w:color w:val="auto"/>
          <w:spacing w:val="0"/>
          <w:sz w:val="28"/>
          <w:szCs w:val="28"/>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连续供给时间为20min ，满足《泡沫灭火系统设计规范》(GB50151-2010)第5.2.5条规定。</w:t>
      </w:r>
    </w:p>
    <w:p w14:paraId="2A6F0D4F">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故泡沫混合液总流量为Q</w:t>
      </w:r>
      <w:r>
        <w:rPr>
          <w:rFonts w:hint="default" w:ascii="Times New Roman" w:hAnsi="Times New Roman" w:eastAsia="宋体" w:cs="Times New Roman"/>
          <w:caps w:val="0"/>
          <w:color w:val="auto"/>
          <w:spacing w:val="0"/>
          <w:sz w:val="28"/>
          <w:szCs w:val="28"/>
          <w:vertAlign w:val="subscript"/>
          <w:lang w:val="en-US" w:eastAsia="zh-CN"/>
          <w14:ligatures w14:val="none"/>
        </w:rPr>
        <w:t>总</w:t>
      </w:r>
      <w:r>
        <w:rPr>
          <w:rFonts w:hint="default" w:ascii="Times New Roman" w:hAnsi="Times New Roman" w:eastAsia="宋体" w:cs="Times New Roman"/>
          <w:caps w:val="0"/>
          <w:color w:val="auto"/>
          <w:spacing w:val="0"/>
          <w:sz w:val="28"/>
          <w:szCs w:val="28"/>
          <w:lang w:val="en-US" w:eastAsia="zh-CN"/>
          <w14:ligatures w14:val="none"/>
        </w:rPr>
        <w:t>＝16＋4＝20L/s</w:t>
      </w:r>
    </w:p>
    <w:p w14:paraId="7F5C9BA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所需泡沫液量为V</w:t>
      </w:r>
      <w:r>
        <w:rPr>
          <w:rFonts w:hint="default" w:ascii="Times New Roman" w:hAnsi="Times New Roman" w:eastAsia="宋体" w:cs="Times New Roman"/>
          <w:caps w:val="0"/>
          <w:color w:val="auto"/>
          <w:spacing w:val="0"/>
          <w:sz w:val="28"/>
          <w:szCs w:val="28"/>
          <w:vertAlign w:val="subscript"/>
          <w:lang w:val="en-US" w:eastAsia="zh-CN"/>
          <w14:ligatures w14:val="none"/>
        </w:rPr>
        <w:t>总</w:t>
      </w:r>
      <w:r>
        <w:rPr>
          <w:rFonts w:hint="default" w:ascii="Times New Roman" w:hAnsi="Times New Roman" w:eastAsia="宋体" w:cs="Times New Roman"/>
          <w:caps w:val="0"/>
          <w:color w:val="auto"/>
          <w:spacing w:val="0"/>
          <w:sz w:val="28"/>
          <w:szCs w:val="28"/>
          <w:lang w:val="en-US" w:eastAsia="zh-CN"/>
          <w14:ligatures w14:val="none"/>
        </w:rPr>
        <w:t>＝V</w:t>
      </w:r>
      <w:r>
        <w:rPr>
          <w:rFonts w:hint="default" w:ascii="Times New Roman" w:hAnsi="Times New Roman" w:eastAsia="宋体" w:cs="Times New Roman"/>
          <w:caps w:val="0"/>
          <w:color w:val="auto"/>
          <w:spacing w:val="0"/>
          <w:sz w:val="28"/>
          <w:szCs w:val="28"/>
          <w:vertAlign w:val="subscript"/>
          <w:lang w:val="en-US" w:eastAsia="zh-CN"/>
          <w14:ligatures w14:val="none"/>
        </w:rPr>
        <w:t>1</w:t>
      </w:r>
      <w:r>
        <w:rPr>
          <w:rFonts w:hint="default" w:ascii="Times New Roman" w:hAnsi="Times New Roman" w:eastAsia="宋体" w:cs="Times New Roman"/>
          <w:caps w:val="0"/>
          <w:color w:val="auto"/>
          <w:spacing w:val="0"/>
          <w:sz w:val="28"/>
          <w:szCs w:val="28"/>
          <w:lang w:val="en-US" w:eastAsia="zh-CN"/>
          <w14:ligatures w14:val="none"/>
        </w:rPr>
        <w:t>＋V</w:t>
      </w:r>
      <w:r>
        <w:rPr>
          <w:rFonts w:hint="default" w:ascii="Times New Roman" w:hAnsi="Times New Roman" w:eastAsia="宋体" w:cs="Times New Roman"/>
          <w:caps w:val="0"/>
          <w:color w:val="auto"/>
          <w:spacing w:val="0"/>
          <w:sz w:val="28"/>
          <w:szCs w:val="28"/>
          <w:vertAlign w:val="subscript"/>
          <w:lang w:val="en-US" w:eastAsia="zh-CN"/>
          <w14:ligatures w14:val="none"/>
        </w:rPr>
        <w:t>2</w:t>
      </w:r>
    </w:p>
    <w:p w14:paraId="4EE53BCA">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式中：V</w:t>
      </w:r>
      <w:r>
        <w:rPr>
          <w:rFonts w:hint="default" w:ascii="Times New Roman" w:hAnsi="Times New Roman" w:eastAsia="宋体" w:cs="Times New Roman"/>
          <w:caps w:val="0"/>
          <w:color w:val="auto"/>
          <w:spacing w:val="0"/>
          <w:sz w:val="28"/>
          <w:szCs w:val="28"/>
          <w:vertAlign w:val="subscript"/>
          <w:lang w:val="en-US" w:eastAsia="zh-CN"/>
          <w14:ligatures w14:val="none"/>
        </w:rPr>
        <w:t>1</w:t>
      </w:r>
      <w:r>
        <w:rPr>
          <w:rFonts w:hint="default" w:ascii="Times New Roman" w:hAnsi="Times New Roman" w:eastAsia="宋体" w:cs="Times New Roman"/>
          <w:caps w:val="0"/>
          <w:color w:val="auto"/>
          <w:spacing w:val="0"/>
          <w:sz w:val="28"/>
          <w:szCs w:val="28"/>
          <w:lang w:val="en-US" w:eastAsia="zh-CN"/>
          <w14:ligatures w14:val="none"/>
        </w:rPr>
        <w:t>－储罐灭火泡沫用量；</w:t>
      </w:r>
    </w:p>
    <w:p w14:paraId="7066561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V</w:t>
      </w:r>
      <w:r>
        <w:rPr>
          <w:rFonts w:hint="default" w:ascii="Times New Roman" w:hAnsi="Times New Roman" w:eastAsia="宋体" w:cs="Times New Roman"/>
          <w:caps w:val="0"/>
          <w:color w:val="auto"/>
          <w:spacing w:val="0"/>
          <w:sz w:val="28"/>
          <w:szCs w:val="28"/>
          <w:vertAlign w:val="sub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－充满管道泡沫液量(管长200m，管径DN150)</w:t>
      </w:r>
    </w:p>
    <w:p w14:paraId="33F00AC2">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V</w:t>
      </w:r>
      <w:r>
        <w:rPr>
          <w:rFonts w:hint="default" w:ascii="Times New Roman" w:hAnsi="Times New Roman" w:eastAsia="宋体" w:cs="Times New Roman"/>
          <w:caps w:val="0"/>
          <w:color w:val="auto"/>
          <w:spacing w:val="0"/>
          <w:sz w:val="28"/>
          <w:szCs w:val="28"/>
          <w:vertAlign w:val="subscript"/>
          <w:lang w:val="en-US" w:eastAsia="zh-CN"/>
          <w14:ligatures w14:val="none"/>
        </w:rPr>
        <w:t>1</w:t>
      </w:r>
      <w:r>
        <w:rPr>
          <w:rFonts w:hint="default" w:ascii="Times New Roman" w:hAnsi="Times New Roman" w:eastAsia="宋体" w:cs="Times New Roman"/>
          <w:caps w:val="0"/>
          <w:color w:val="auto"/>
          <w:spacing w:val="0"/>
          <w:sz w:val="28"/>
          <w:szCs w:val="28"/>
          <w:lang w:val="en-US" w:eastAsia="zh-CN"/>
          <w14:ligatures w14:val="none"/>
        </w:rPr>
        <w:t>＝QT</w:t>
      </w:r>
      <w:r>
        <w:rPr>
          <w:rFonts w:hint="default" w:ascii="Times New Roman" w:hAnsi="Times New Roman" w:eastAsia="宋体" w:cs="Times New Roman"/>
          <w:caps w:val="0"/>
          <w:color w:val="auto"/>
          <w:spacing w:val="0"/>
          <w:sz w:val="28"/>
          <w:szCs w:val="28"/>
          <w:vertAlign w:val="subscript"/>
          <w:lang w:val="en-US" w:eastAsia="zh-CN"/>
          <w14:ligatures w14:val="none"/>
        </w:rPr>
        <w:t>Z</w:t>
      </w:r>
      <w:r>
        <w:rPr>
          <w:rFonts w:hint="default" w:ascii="Times New Roman" w:hAnsi="Times New Roman" w:eastAsia="宋体" w:cs="Times New Roman"/>
          <w:caps w:val="0"/>
          <w:color w:val="auto"/>
          <w:spacing w:val="0"/>
          <w:sz w:val="28"/>
          <w:szCs w:val="28"/>
          <w:lang w:val="en-US" w:eastAsia="zh-CN"/>
          <w14:ligatures w14:val="none"/>
        </w:rPr>
        <w:t>K</w:t>
      </w:r>
    </w:p>
    <w:p w14:paraId="6F4E18EB">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=（16×30×60×0.06＋4×20×60×0.06）/1000</w:t>
      </w:r>
    </w:p>
    <w:p w14:paraId="3C92059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=2.016m</w:t>
      </w:r>
      <w:r>
        <w:rPr>
          <w:rFonts w:hint="default" w:ascii="Times New Roman" w:hAnsi="Times New Roman" w:eastAsia="宋体" w:cs="Times New Roman"/>
          <w:caps w:val="0"/>
          <w:color w:val="auto"/>
          <w:spacing w:val="0"/>
          <w:sz w:val="28"/>
          <w:szCs w:val="28"/>
          <w:vertAlign w:val="superscript"/>
          <w:lang w:val="en-US" w:eastAsia="zh-CN"/>
          <w14:ligatures w14:val="none"/>
        </w:rPr>
        <w:t>3</w:t>
      </w:r>
    </w:p>
    <w:p w14:paraId="7FFB08A3">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V</w:t>
      </w:r>
      <w:r>
        <w:rPr>
          <w:rFonts w:hint="default" w:ascii="Times New Roman" w:hAnsi="Times New Roman" w:eastAsia="宋体" w:cs="Times New Roman"/>
          <w:caps w:val="0"/>
          <w:color w:val="auto"/>
          <w:spacing w:val="0"/>
          <w:sz w:val="28"/>
          <w:szCs w:val="28"/>
          <w:vertAlign w:val="sub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200×3.14×0.152 ×0.06</w:t>
      </w:r>
      <w:r>
        <w:rPr>
          <w:rFonts w:hint="eastAsia" w:ascii="Times New Roman" w:hAnsi="Times New Roman" w:eastAsia="宋体" w:cs="Times New Roman"/>
          <w:caps w:val="0"/>
          <w:color w:val="auto"/>
          <w:spacing w:val="0"/>
          <w:sz w:val="28"/>
          <w:szCs w:val="28"/>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4＝0.212m</w:t>
      </w:r>
      <w:r>
        <w:rPr>
          <w:rFonts w:hint="default" w:ascii="Times New Roman" w:hAnsi="Times New Roman" w:eastAsia="宋体" w:cs="Times New Roman"/>
          <w:caps w:val="0"/>
          <w:color w:val="auto"/>
          <w:spacing w:val="0"/>
          <w:sz w:val="28"/>
          <w:szCs w:val="28"/>
          <w:vertAlign w:val="superscript"/>
          <w:lang w:val="en-US" w:eastAsia="zh-CN"/>
          <w14:ligatures w14:val="none"/>
        </w:rPr>
        <w:t>3</w:t>
      </w:r>
    </w:p>
    <w:p w14:paraId="0EBA85C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V</w:t>
      </w:r>
      <w:r>
        <w:rPr>
          <w:rFonts w:hint="default" w:ascii="Times New Roman" w:hAnsi="Times New Roman" w:eastAsia="宋体" w:cs="Times New Roman"/>
          <w:caps w:val="0"/>
          <w:color w:val="auto"/>
          <w:spacing w:val="0"/>
          <w:sz w:val="28"/>
          <w:szCs w:val="28"/>
          <w:vertAlign w:val="subscript"/>
          <w:lang w:val="en-US" w:eastAsia="zh-CN"/>
          <w14:ligatures w14:val="none"/>
        </w:rPr>
        <w:t>1</w:t>
      </w:r>
      <w:r>
        <w:rPr>
          <w:rFonts w:hint="default" w:ascii="Times New Roman" w:hAnsi="Times New Roman" w:eastAsia="宋体" w:cs="Times New Roman"/>
          <w:caps w:val="0"/>
          <w:color w:val="auto"/>
          <w:spacing w:val="0"/>
          <w:sz w:val="28"/>
          <w:szCs w:val="28"/>
          <w:lang w:val="en-US" w:eastAsia="zh-CN"/>
          <w14:ligatures w14:val="none"/>
        </w:rPr>
        <w:t>＋V</w:t>
      </w:r>
      <w:r>
        <w:rPr>
          <w:rFonts w:hint="default" w:ascii="Times New Roman" w:hAnsi="Times New Roman" w:eastAsia="宋体" w:cs="Times New Roman"/>
          <w:caps w:val="0"/>
          <w:color w:val="auto"/>
          <w:spacing w:val="0"/>
          <w:sz w:val="28"/>
          <w:szCs w:val="28"/>
          <w:vertAlign w:val="sub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＝2.016m</w:t>
      </w:r>
      <w:r>
        <w:rPr>
          <w:rFonts w:hint="default"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+0.212m</w:t>
      </w:r>
      <w:r>
        <w:rPr>
          <w:rFonts w:hint="default"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＝2.228m</w:t>
      </w:r>
      <w:r>
        <w:rPr>
          <w:rFonts w:hint="default" w:ascii="Times New Roman" w:hAnsi="Times New Roman" w:eastAsia="宋体" w:cs="Times New Roman"/>
          <w:caps w:val="0"/>
          <w:color w:val="auto"/>
          <w:spacing w:val="0"/>
          <w:sz w:val="28"/>
          <w:szCs w:val="28"/>
          <w:vertAlign w:val="superscript"/>
          <w:lang w:val="en-US" w:eastAsia="zh-CN"/>
          <w14:ligatures w14:val="none"/>
        </w:rPr>
        <w:t>3</w:t>
      </w:r>
    </w:p>
    <w:p w14:paraId="7A2D00B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故本项目泡沫混合液流量最大为20L/s，一次灭火泡沫液最大用量为 2.228m</w:t>
      </w:r>
      <w:r>
        <w:rPr>
          <w:rFonts w:hint="default"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，采用6%抗溶性低倍数水成膜泡沫液。消防泵房内设一套压力比例式泡沫混合装置，型号为PH-48型，有效容积为4.0m</w:t>
      </w:r>
      <w:r>
        <w:rPr>
          <w:rFonts w:hint="default"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，满足消防要求。</w:t>
      </w:r>
    </w:p>
    <w:p w14:paraId="1CF68C1A">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一次消防用水量为：</w:t>
      </w:r>
      <w:r>
        <w:rPr>
          <w:rFonts w:hint="eastAsia" w:ascii="Times New Roman" w:hAnsi="Times New Roman" w:eastAsia="宋体" w:cs="Times New Roman"/>
          <w:caps w:val="0"/>
          <w:color w:val="auto"/>
          <w:spacing w:val="0"/>
          <w:sz w:val="28"/>
          <w:szCs w:val="28"/>
          <w:lang w:val="en-US" w:eastAsia="zh-CN"/>
          <w14:ligatures w14:val="none"/>
        </w:rPr>
        <w:t>47.43</w:t>
      </w:r>
      <w:r>
        <w:rPr>
          <w:rFonts w:hint="default" w:ascii="Times New Roman" w:hAnsi="Times New Roman" w:eastAsia="宋体" w:cs="Times New Roman"/>
          <w:caps w:val="0"/>
          <w:color w:val="auto"/>
          <w:spacing w:val="0"/>
          <w:sz w:val="28"/>
          <w:szCs w:val="28"/>
          <w:lang w:val="en-US" w:eastAsia="zh-CN"/>
          <w14:ligatures w14:val="none"/>
        </w:rPr>
        <w:t>×6×</w:t>
      </w:r>
      <w:r>
        <w:rPr>
          <w:rFonts w:hint="eastAsia" w:ascii="Times New Roman" w:hAnsi="Times New Roman" w:eastAsia="宋体" w:cs="Times New Roman"/>
          <w:caps w:val="0"/>
          <w:color w:val="auto"/>
          <w:spacing w:val="0"/>
          <w:sz w:val="28"/>
          <w:szCs w:val="28"/>
          <w:lang w:val="en-US" w:eastAsia="zh-CN"/>
          <w14:ligatures w14:val="none"/>
        </w:rPr>
        <w:t>3.6＋</w:t>
      </w:r>
      <w:r>
        <w:rPr>
          <w:rFonts w:hint="default" w:ascii="Times New Roman" w:hAnsi="Times New Roman" w:eastAsia="宋体" w:cs="Times New Roman"/>
          <w:caps w:val="0"/>
          <w:color w:val="auto"/>
          <w:spacing w:val="0"/>
          <w:sz w:val="28"/>
          <w:szCs w:val="28"/>
          <w:lang w:val="en-US" w:eastAsia="zh-CN"/>
          <w14:ligatures w14:val="none"/>
        </w:rPr>
        <w:t>2.228×0.94/0.06=</w:t>
      </w:r>
      <w:r>
        <w:rPr>
          <w:rFonts w:hint="eastAsia" w:ascii="Times New Roman" w:hAnsi="Times New Roman" w:eastAsia="宋体" w:cs="Times New Roman"/>
          <w:caps w:val="0"/>
          <w:color w:val="auto"/>
          <w:spacing w:val="0"/>
          <w:sz w:val="28"/>
          <w:szCs w:val="28"/>
          <w:lang w:val="en-US" w:eastAsia="zh-CN"/>
          <w14:ligatures w14:val="none"/>
        </w:rPr>
        <w:t>1059.4</w:t>
      </w:r>
      <w:r>
        <w:rPr>
          <w:rFonts w:hint="default" w:ascii="Times New Roman" w:hAnsi="Times New Roman" w:eastAsia="宋体" w:cs="Times New Roman"/>
          <w:caps w:val="0"/>
          <w:color w:val="auto"/>
          <w:spacing w:val="0"/>
          <w:sz w:val="28"/>
          <w:szCs w:val="28"/>
          <w:lang w:val="en-US" w:eastAsia="zh-CN"/>
          <w14:ligatures w14:val="none"/>
        </w:rPr>
        <w:t>m</w:t>
      </w:r>
      <w:r>
        <w:rPr>
          <w:rFonts w:hint="eastAsia" w:ascii="Times New Roman" w:hAnsi="Times New Roman" w:eastAsia="宋体" w:cs="Times New Roman"/>
          <w:caps w:val="0"/>
          <w:color w:val="auto"/>
          <w:spacing w:val="0"/>
          <w:sz w:val="28"/>
          <w:szCs w:val="28"/>
          <w:vertAlign w:val="superscript"/>
          <w:lang w:val="en-US" w:eastAsia="zh-CN"/>
          <w14:ligatures w14:val="none"/>
        </w:rPr>
        <w:t>3</w:t>
      </w:r>
    </w:p>
    <w:p w14:paraId="3F83E17F">
      <w:pPr>
        <w:pStyle w:val="34"/>
        <w:adjustRightInd w:val="0"/>
        <w:snapToGrid w:val="0"/>
        <w:ind w:firstLine="560"/>
        <w:rPr>
          <w:rFonts w:hint="eastAsia"/>
          <w:highlight w:val="none"/>
        </w:rPr>
      </w:pPr>
      <w:r>
        <w:rPr>
          <w:rFonts w:hint="eastAsia"/>
        </w:rPr>
        <w:t>故该企业一次消防用水量</w:t>
      </w:r>
      <w:r>
        <w:rPr>
          <w:rFonts w:hint="eastAsia"/>
          <w:highlight w:val="none"/>
        </w:rPr>
        <w:t>为</w:t>
      </w:r>
      <w:r>
        <w:rPr>
          <w:rFonts w:hint="eastAsia"/>
          <w:highlight w:val="none"/>
          <w:lang w:val="en-US" w:eastAsia="zh-CN"/>
        </w:rPr>
        <w:t>1059.4</w:t>
      </w:r>
      <w:r>
        <w:rPr>
          <w:rFonts w:hint="eastAsia"/>
          <w:highlight w:val="none"/>
        </w:rPr>
        <w:t>m</w:t>
      </w:r>
      <w:r>
        <w:rPr>
          <w:rFonts w:hint="eastAsia"/>
          <w:highlight w:val="none"/>
          <w:vertAlign w:val="superscript"/>
        </w:rPr>
        <w:t>3</w:t>
      </w:r>
      <w:r>
        <w:rPr>
          <w:rFonts w:hint="eastAsia"/>
          <w:highlight w:val="none"/>
        </w:rPr>
        <w:t>，该企业现有</w:t>
      </w:r>
      <w:r>
        <w:rPr>
          <w:rFonts w:hint="eastAsia"/>
          <w:highlight w:val="none"/>
          <w:lang w:val="en-US" w:eastAsia="zh-CN"/>
        </w:rPr>
        <w:t>12</w:t>
      </w:r>
      <w:r>
        <w:rPr>
          <w:rFonts w:hint="eastAsia"/>
          <w:highlight w:val="none"/>
        </w:rPr>
        <w:t>00m</w:t>
      </w:r>
      <w:r>
        <w:rPr>
          <w:rFonts w:hint="eastAsia"/>
          <w:highlight w:val="none"/>
          <w:vertAlign w:val="superscript"/>
        </w:rPr>
        <w:t>3</w:t>
      </w:r>
      <w:r>
        <w:rPr>
          <w:rFonts w:hint="eastAsia"/>
          <w:highlight w:val="none"/>
        </w:rPr>
        <w:t>消防水池，满足一次消防用水量需求。</w:t>
      </w:r>
    </w:p>
    <w:p w14:paraId="1A43BC77">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olor w:val="000000"/>
          <w:kern w:val="28"/>
          <w:sz w:val="28"/>
          <w:szCs w:val="28"/>
          <w:lang w:val="en-US" w:eastAsia="zh-CN" w:bidi="ar"/>
          <w14:ligatures w14:val="none"/>
        </w:rPr>
      </w:pPr>
      <w:r>
        <w:rPr>
          <w:rFonts w:hint="default" w:ascii="Times New Roman" w:hAnsi="Times New Roman" w:eastAsia="宋体" w:cs="Times New Roman"/>
          <w:color w:val="000000"/>
          <w:kern w:val="28"/>
          <w:sz w:val="28"/>
          <w:szCs w:val="28"/>
          <w:lang w:val="en-US" w:eastAsia="zh-CN" w:bidi="ar"/>
          <w14:ligatures w14:val="none"/>
        </w:rPr>
        <w:t>（</w:t>
      </w:r>
      <w:r>
        <w:rPr>
          <w:rFonts w:hint="eastAsia" w:ascii="Times New Roman" w:hAnsi="Times New Roman" w:eastAsia="宋体" w:cs="Times New Roman"/>
          <w:color w:val="000000"/>
          <w:kern w:val="28"/>
          <w:sz w:val="28"/>
          <w:szCs w:val="28"/>
          <w:lang w:val="en-US" w:eastAsia="zh-CN" w:bidi="ar"/>
          <w14:ligatures w14:val="none"/>
        </w:rPr>
        <w:t>3</w:t>
      </w:r>
      <w:r>
        <w:rPr>
          <w:rFonts w:hint="default" w:ascii="Times New Roman" w:hAnsi="Times New Roman" w:eastAsia="宋体" w:cs="Times New Roman"/>
          <w:color w:val="000000"/>
          <w:kern w:val="28"/>
          <w:sz w:val="28"/>
          <w:szCs w:val="28"/>
          <w:lang w:val="en-US" w:eastAsia="zh-CN" w:bidi="ar"/>
          <w14:ligatures w14:val="none"/>
        </w:rPr>
        <w:t>）消防器材</w:t>
      </w:r>
    </w:p>
    <w:p w14:paraId="1A54E7CF">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color w:val="000000"/>
          <w:kern w:val="28"/>
          <w:sz w:val="28"/>
          <w:szCs w:val="28"/>
          <w14:ligatures w14:val="none"/>
        </w:rPr>
      </w:pPr>
      <w:r>
        <w:rPr>
          <w:rFonts w:hint="default" w:ascii="Times New Roman" w:hAnsi="Times New Roman" w:eastAsia="宋体" w:cs="Times New Roman"/>
          <w:color w:val="000000"/>
          <w:kern w:val="28"/>
          <w:sz w:val="28"/>
          <w:szCs w:val="28"/>
          <w:highlight w:val="none"/>
          <w:lang w:val="en-US" w:eastAsia="zh-CN" w:bidi="ar"/>
          <w14:ligatures w14:val="none"/>
        </w:rPr>
        <w:t>该油库油罐区配备8kg干粉灭火器12具，35kg干粉灭火器1具 ，灭火毯4块，灭火砂4m</w:t>
      </w:r>
      <w:r>
        <w:rPr>
          <w:rFonts w:hint="eastAsia" w:ascii="Times New Roman" w:hAnsi="Times New Roman" w:eastAsia="宋体" w:cs="Times New Roman"/>
          <w:color w:val="000000"/>
          <w:kern w:val="28"/>
          <w:sz w:val="28"/>
          <w:szCs w:val="28"/>
          <w:highlight w:val="none"/>
          <w:vertAlign w:val="superscript"/>
          <w:lang w:val="en-US" w:eastAsia="zh-CN" w:bidi="ar"/>
          <w14:ligatures w14:val="none"/>
        </w:rPr>
        <w:t>3</w:t>
      </w:r>
      <w:r>
        <w:rPr>
          <w:rFonts w:hint="default" w:ascii="Times New Roman" w:hAnsi="Times New Roman" w:eastAsia="宋体" w:cs="Times New Roman"/>
          <w:color w:val="000000"/>
          <w:kern w:val="28"/>
          <w:sz w:val="28"/>
          <w:szCs w:val="28"/>
          <w:highlight w:val="none"/>
          <w:lang w:val="en-US" w:eastAsia="zh-CN" w:bidi="ar"/>
          <w14:ligatures w14:val="none"/>
        </w:rPr>
        <w:t>；泵房配备了8kg干粉灭火器4具，35kg干粉灭火器1具，灭火毯2块，灭火砂4m³；汽车油罐车装</w:t>
      </w:r>
      <w:r>
        <w:rPr>
          <w:rFonts w:hint="eastAsia" w:ascii="Times New Roman" w:hAnsi="Times New Roman" w:eastAsia="宋体" w:cs="Times New Roman"/>
          <w:color w:val="000000"/>
          <w:kern w:val="28"/>
          <w:sz w:val="28"/>
          <w:szCs w:val="28"/>
          <w:highlight w:val="none"/>
          <w:lang w:val="en-US" w:eastAsia="zh-CN" w:bidi="ar"/>
          <w14:ligatures w14:val="none"/>
        </w:rPr>
        <w:t>卸</w:t>
      </w:r>
      <w:r>
        <w:rPr>
          <w:rFonts w:hint="default" w:ascii="Times New Roman" w:hAnsi="Times New Roman" w:eastAsia="宋体" w:cs="Times New Roman"/>
          <w:color w:val="000000"/>
          <w:kern w:val="28"/>
          <w:sz w:val="28"/>
          <w:szCs w:val="28"/>
          <w:highlight w:val="none"/>
          <w:lang w:val="en-US" w:eastAsia="zh-CN" w:bidi="ar"/>
          <w14:ligatures w14:val="none"/>
        </w:rPr>
        <w:t>车亭配备了8kg干粉灭火器12具，35kg干粉灭火器1具，灭火毯3块，灭火砂4m³</w:t>
      </w:r>
      <w:r>
        <w:rPr>
          <w:rFonts w:ascii="Times New Roman" w:hAnsi="Times New Roman" w:eastAsia="宋体" w:cs="Times New Roman"/>
          <w:color w:val="000000"/>
          <w:kern w:val="28"/>
          <w:sz w:val="28"/>
          <w:szCs w:val="28"/>
          <w14:ligatures w14:val="none"/>
        </w:rPr>
        <w:t>。</w:t>
      </w:r>
    </w:p>
    <w:p w14:paraId="4ECCDFE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sz w:val="28"/>
          <w:szCs w:val="28"/>
          <w14:ligatures w14:val="none"/>
        </w:rPr>
      </w:pPr>
      <w:r>
        <w:rPr>
          <w:rFonts w:ascii="Times New Roman" w:hAnsi="Times New Roman" w:eastAsia="宋体" w:cs="Times New Roman"/>
          <w:sz w:val="28"/>
          <w:szCs w:val="28"/>
          <w14:ligatures w14:val="none"/>
        </w:rPr>
        <w:br w:type="page"/>
      </w:r>
    </w:p>
    <w:p w14:paraId="39AD628F">
      <w:pPr>
        <w:adjustRightInd w:val="0"/>
        <w:snapToGrid w:val="0"/>
        <w:spacing w:before="468" w:beforeLines="150" w:after="468" w:afterLines="150" w:line="360" w:lineRule="auto"/>
        <w:jc w:val="center"/>
        <w:outlineLvl w:val="0"/>
        <w:rPr>
          <w:rFonts w:ascii="Times New Roman" w:hAnsi="Times New Roman" w:eastAsia="黑体" w:cs="黑体"/>
          <w:b/>
          <w:kern w:val="44"/>
          <w:sz w:val="32"/>
          <w:szCs w:val="44"/>
          <w14:ligatures w14:val="none"/>
        </w:rPr>
      </w:pPr>
      <w:bookmarkStart w:id="77" w:name="_Toc25932"/>
      <w:bookmarkStart w:id="78" w:name="_Toc163051348"/>
      <w:r>
        <w:rPr>
          <w:rFonts w:ascii="Times New Roman" w:hAnsi="Times New Roman" w:eastAsia="黑体" w:cs="黑体"/>
          <w:b/>
          <w:kern w:val="44"/>
          <w:sz w:val="32"/>
          <w:szCs w:val="44"/>
          <w14:ligatures w14:val="none"/>
        </w:rPr>
        <w:t>3危险、有害因素辨识分析</w:t>
      </w:r>
      <w:bookmarkEnd w:id="77"/>
      <w:bookmarkEnd w:id="78"/>
    </w:p>
    <w:p w14:paraId="4BAACEE8">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bookmarkStart w:id="79" w:name="_Toc141324799"/>
      <w:bookmarkStart w:id="80" w:name="_Toc141324902"/>
      <w:bookmarkStart w:id="81" w:name="_Toc141260348"/>
      <w:bookmarkStart w:id="82" w:name="_Toc141759634"/>
      <w:bookmarkStart w:id="83" w:name="_Toc492367650"/>
      <w:bookmarkStart w:id="84" w:name="_Toc527536706"/>
      <w:r>
        <w:rPr>
          <w:rFonts w:ascii="Times New Roman" w:hAnsi="Times New Roman" w:eastAsia="宋体" w:cs="Times New Roman"/>
          <w:sz w:val="28"/>
          <w:szCs w:val="28"/>
          <w14:ligatures w14:val="none"/>
        </w:rPr>
        <w:t>危险、有害因素分析，是对该企业在生产过程中的物料、工艺、设备及公用设施等方面潜在的危险、有害因素及能量失控时出现的危险、有害因素的性质、类别、条件和可能带来的后果进行分析。</w:t>
      </w:r>
    </w:p>
    <w:p w14:paraId="72D074A4">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ascii="Times New Roman" w:hAnsi="Times New Roman" w:eastAsia="宋体" w:cs="Times New Roman"/>
          <w:sz w:val="28"/>
          <w:szCs w:val="28"/>
          <w14:ligatures w14:val="none"/>
        </w:rPr>
        <w:t>危险因素的分析目的是对系统中潜在危险进行辨别，提出防止这些隐患转变为事故的安全对策措施。</w:t>
      </w:r>
    </w:p>
    <w:p w14:paraId="4217BA07">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ascii="Times New Roman" w:hAnsi="Times New Roman" w:eastAsia="宋体" w:cs="Times New Roman"/>
          <w:sz w:val="28"/>
          <w:szCs w:val="28"/>
          <w14:ligatures w14:val="none"/>
        </w:rPr>
        <w:t>有害因素分析的目的则是找出生产活动中对作业人员的健康可能产生危害的因素，提出改善作业条件和作业环境的对策措施。通过贯彻和落实提出的措施，达到控制和减少职业危害，保证职工身体健康和安全。</w:t>
      </w:r>
      <w:bookmarkEnd w:id="79"/>
      <w:bookmarkEnd w:id="80"/>
      <w:bookmarkEnd w:id="81"/>
      <w:bookmarkEnd w:id="82"/>
    </w:p>
    <w:bookmarkEnd w:id="83"/>
    <w:bookmarkEnd w:id="84"/>
    <w:p w14:paraId="23488186">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85" w:name="_Toc154481646"/>
      <w:bookmarkStart w:id="86" w:name="_Toc153188276"/>
      <w:bookmarkStart w:id="87" w:name="_Toc163051349"/>
      <w:bookmarkStart w:id="88" w:name="_Toc6085"/>
      <w:bookmarkStart w:id="89" w:name="_Toc153164199"/>
      <w:bookmarkStart w:id="90" w:name="_Toc153164239"/>
      <w:bookmarkStart w:id="91" w:name="_Toc479257160"/>
      <w:bookmarkStart w:id="92" w:name="_Toc153164283"/>
      <w:bookmarkStart w:id="93" w:name="_Toc153188309"/>
      <w:bookmarkStart w:id="94" w:name="_Toc184353431"/>
      <w:bookmarkStart w:id="95" w:name="_Toc148274187"/>
      <w:bookmarkStart w:id="96" w:name="_Toc150762520"/>
      <w:bookmarkStart w:id="97" w:name="_Toc150762738"/>
      <w:bookmarkStart w:id="98" w:name="_Toc151432833"/>
      <w:bookmarkStart w:id="99" w:name="_Toc149036055"/>
      <w:bookmarkStart w:id="100" w:name="_Toc148271244"/>
      <w:bookmarkStart w:id="101" w:name="_Toc152296973"/>
      <w:bookmarkStart w:id="102" w:name="_Toc148415651"/>
      <w:bookmarkStart w:id="103" w:name="_Toc148271303"/>
      <w:bookmarkStart w:id="104" w:name="_Toc141324903"/>
      <w:bookmarkStart w:id="105" w:name="_Toc152300719"/>
      <w:bookmarkStart w:id="106" w:name="_Toc152308737"/>
      <w:bookmarkStart w:id="107" w:name="_Toc152386213"/>
      <w:bookmarkStart w:id="108" w:name="_Toc141324800"/>
      <w:bookmarkStart w:id="109" w:name="_Toc141260349"/>
      <w:bookmarkStart w:id="110" w:name="_Toc150744345"/>
      <w:bookmarkStart w:id="111" w:name="_Toc151432892"/>
      <w:bookmarkStart w:id="112" w:name="_Toc151433084"/>
      <w:bookmarkStart w:id="113" w:name="_Toc141759635"/>
      <w:r>
        <w:rPr>
          <w:rFonts w:ascii="Times New Roman" w:hAnsi="Times New Roman" w:eastAsia="楷体" w:cs="黑体"/>
          <w:b/>
          <w:sz w:val="32"/>
          <w:szCs w:val="32"/>
          <w14:ligatures w14:val="none"/>
        </w:rPr>
        <w:t>3.1物质的危险、有害因素分析</w:t>
      </w:r>
      <w:bookmarkEnd w:id="85"/>
      <w:bookmarkEnd w:id="86"/>
      <w:bookmarkEnd w:id="87"/>
      <w:bookmarkEnd w:id="88"/>
      <w:bookmarkEnd w:id="89"/>
      <w:bookmarkEnd w:id="90"/>
      <w:bookmarkEnd w:id="91"/>
      <w:bookmarkEnd w:id="92"/>
      <w:bookmarkEnd w:id="93"/>
      <w:bookmarkEnd w:id="94"/>
    </w:p>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14:paraId="18D8CD55">
      <w:pPr>
        <w:adjustRightInd w:val="0"/>
        <w:snapToGrid w:val="0"/>
        <w:spacing w:after="0" w:line="360" w:lineRule="auto"/>
        <w:ind w:firstLine="560" w:firstLineChars="200"/>
        <w:jc w:val="both"/>
        <w:rPr>
          <w:rFonts w:hint="eastAsia" w:ascii="Times New Roman" w:hAnsi="Times New Roman" w:eastAsia="宋体" w:cs="Times New Roman"/>
          <w:sz w:val="28"/>
          <w:szCs w:val="28"/>
          <w:lang w:eastAsia="zh-CN"/>
          <w14:ligatures w14:val="none"/>
        </w:rPr>
      </w:pPr>
      <w:r>
        <w:rPr>
          <w:rFonts w:ascii="Times New Roman" w:hAnsi="Times New Roman" w:eastAsia="宋体" w:cs="Times New Roman"/>
          <w:sz w:val="28"/>
          <w:szCs w:val="28"/>
          <w14:ligatures w14:val="none"/>
        </w:rPr>
        <w:t>依据《危险化学品目录（2015年版）》（国家安全生产监督管理总局等十部门公告2015年第5号）</w:t>
      </w:r>
      <w:r>
        <w:rPr>
          <w:rFonts w:hint="eastAsia" w:ascii="Times New Roman" w:hAnsi="Times New Roman" w:eastAsia="宋体" w:cs="Times New Roman"/>
          <w:sz w:val="28"/>
          <w:szCs w:val="28"/>
          <w14:ligatures w14:val="none"/>
        </w:rPr>
        <w:t>和《关于调整危险化学品目录(2015版)的公告》（中华人民共和国应急管理部等十部门公告2022年第8号）进行辨识</w:t>
      </w:r>
      <w:r>
        <w:rPr>
          <w:rFonts w:ascii="Times New Roman" w:hAnsi="Times New Roman" w:eastAsia="宋体" w:cs="Times New Roman"/>
          <w:sz w:val="28"/>
          <w:szCs w:val="28"/>
          <w14:ligatures w14:val="none"/>
        </w:rPr>
        <w:t>，</w:t>
      </w:r>
      <w:r>
        <w:rPr>
          <w:rFonts w:hint="eastAsia" w:ascii="Times New Roman" w:hAnsi="Times New Roman" w:eastAsia="宋体" w:cs="Times New Roman"/>
          <w:sz w:val="28"/>
          <w:szCs w:val="28"/>
          <w14:ligatures w14:val="none"/>
        </w:rPr>
        <w:t>企业</w:t>
      </w:r>
      <w:r>
        <w:rPr>
          <w:rFonts w:hint="eastAsia" w:ascii="Times New Roman" w:hAnsi="Times New Roman" w:eastAsia="宋体" w:cs="Times New Roman"/>
          <w:sz w:val="28"/>
          <w:szCs w:val="28"/>
          <w:lang w:val="en-US" w:eastAsia="zh-CN"/>
          <w14:ligatures w14:val="none"/>
        </w:rPr>
        <w:t>仓储经营</w:t>
      </w:r>
      <w:r>
        <w:rPr>
          <w:rFonts w:ascii="Times New Roman" w:hAnsi="Times New Roman" w:eastAsia="宋体" w:cs="Times New Roman"/>
          <w:sz w:val="28"/>
          <w:szCs w:val="28"/>
          <w14:ligatures w14:val="none"/>
        </w:rPr>
        <w:t>的危险化学品</w:t>
      </w:r>
      <w:r>
        <w:rPr>
          <w:rFonts w:hint="eastAsia" w:ascii="Times New Roman" w:hAnsi="Times New Roman" w:eastAsia="宋体" w:cs="Times New Roman"/>
          <w:sz w:val="28"/>
          <w:szCs w:val="28"/>
          <w:lang w:val="en-US" w:eastAsia="zh-CN"/>
          <w14:ligatures w14:val="none"/>
        </w:rPr>
        <w:t>为柴油。</w:t>
      </w:r>
    </w:p>
    <w:p w14:paraId="10D2B76C">
      <w:pPr>
        <w:keepNext/>
        <w:adjustRightInd w:val="0"/>
        <w:snapToGrid w:val="0"/>
        <w:spacing w:before="156" w:beforeLines="50" w:after="156" w:afterLines="50" w:line="240" w:lineRule="auto"/>
        <w:jc w:val="center"/>
        <w:rPr>
          <w:rFonts w:hint="eastAsia" w:ascii="Times New Roman" w:hAnsi="Times New Roman" w:eastAsia="黑体" w:cs="Times New Roman"/>
          <w:sz w:val="24"/>
          <w:lang w:eastAsia="zh-CN"/>
          <w14:ligatures w14:val="none"/>
        </w:rPr>
      </w:pPr>
      <w:r>
        <w:rPr>
          <w:rFonts w:ascii="Times New Roman" w:hAnsi="Times New Roman" w:eastAsia="黑体" w:cs="Times New Roman"/>
          <w:sz w:val="24"/>
          <w14:ligatures w14:val="none"/>
        </w:rPr>
        <w:t>表</w:t>
      </w:r>
      <w:r>
        <w:rPr>
          <w:rFonts w:hint="eastAsia" w:ascii="Times New Roman" w:hAnsi="Times New Roman" w:eastAsia="黑体" w:cs="Times New Roman"/>
          <w:sz w:val="24"/>
          <w14:ligatures w14:val="none"/>
        </w:rPr>
        <w:t>3.1</w:t>
      </w:r>
      <w:r>
        <w:rPr>
          <w:rFonts w:ascii="Times New Roman" w:hAnsi="Times New Roman" w:eastAsia="黑体" w:cs="Times New Roman"/>
          <w:sz w:val="24"/>
          <w14:ligatures w14:val="none"/>
        </w:rPr>
        <w:t xml:space="preserve">-1 </w:t>
      </w:r>
      <w:r>
        <w:rPr>
          <w:rFonts w:hint="eastAsia" w:ascii="Times New Roman" w:hAnsi="Times New Roman" w:eastAsia="黑体" w:cs="Times New Roman"/>
          <w:sz w:val="24"/>
          <w14:ligatures w14:val="none"/>
        </w:rPr>
        <w:t>危险化学品危险特性一览表</w:t>
      </w:r>
    </w:p>
    <w:tbl>
      <w:tblPr>
        <w:tblStyle w:val="14"/>
        <w:tblW w:w="4875" w:type="pct"/>
        <w:jc w:val="center"/>
        <w:tblBorders>
          <w:top w:val="single" w:color="auto" w:sz="4" w:space="0"/>
          <w:left w:val="single" w:color="auto" w:sz="4" w:space="0"/>
          <w:bottom w:val="single" w:color="auto" w:sz="4" w:space="0"/>
          <w:right w:val="single" w:color="auto" w:sz="4" w:space="0"/>
          <w:insideH w:val="none" w:color="auto" w:sz="4" w:space="0"/>
          <w:insideV w:val="none" w:color="auto" w:sz="4" w:space="0"/>
        </w:tblBorders>
        <w:tblLayout w:type="fixed"/>
        <w:tblCellMar>
          <w:top w:w="0" w:type="dxa"/>
          <w:left w:w="10" w:type="dxa"/>
          <w:bottom w:w="0" w:type="dxa"/>
          <w:right w:w="10" w:type="dxa"/>
        </w:tblCellMar>
      </w:tblPr>
      <w:tblGrid>
        <w:gridCol w:w="513"/>
        <w:gridCol w:w="1901"/>
        <w:gridCol w:w="978"/>
        <w:gridCol w:w="1065"/>
        <w:gridCol w:w="2076"/>
        <w:gridCol w:w="692"/>
        <w:gridCol w:w="724"/>
        <w:gridCol w:w="512"/>
        <w:gridCol w:w="513"/>
      </w:tblGrid>
      <w:tr w14:paraId="5C3C0772">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824" w:hRule="atLeast"/>
          <w:jc w:val="center"/>
        </w:trPr>
        <w:tc>
          <w:tcPr>
            <w:tcW w:w="513" w:type="dxa"/>
            <w:shd w:val="clear" w:color="auto" w:fill="FFFFFF"/>
            <w:noWrap w:val="0"/>
            <w:vAlign w:val="center"/>
          </w:tcPr>
          <w:p w14:paraId="1462A0A1">
            <w:pPr>
              <w:pStyle w:val="29"/>
              <w:keepNext w:val="0"/>
              <w:keepLines w:val="0"/>
              <w:pageBreakBefore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序号</w:t>
            </w:r>
          </w:p>
        </w:tc>
        <w:tc>
          <w:tcPr>
            <w:tcW w:w="1901" w:type="dxa"/>
            <w:tcBorders>
              <w:left w:val="single" w:color="auto" w:sz="4" w:space="0"/>
            </w:tcBorders>
            <w:shd w:val="clear" w:color="auto" w:fill="FFFFFF"/>
            <w:noWrap w:val="0"/>
            <w:vAlign w:val="center"/>
          </w:tcPr>
          <w:p w14:paraId="3E8ED6B2">
            <w:pPr>
              <w:pStyle w:val="29"/>
              <w:keepNext w:val="0"/>
              <w:keepLines w:val="0"/>
              <w:pageBreakBefore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名</w:t>
            </w:r>
            <w:r>
              <w:rPr>
                <w:rFonts w:hint="default" w:ascii="Times New Roman" w:hAnsi="Times New Roman" w:eastAsia="宋体" w:cs="Times New Roman"/>
                <w:b w:val="0"/>
                <w:bCs w:val="0"/>
                <w:color w:val="auto"/>
                <w:sz w:val="21"/>
                <w:szCs w:val="21"/>
                <w:highlight w:val="none"/>
                <w:lang w:val="en-US" w:eastAsia="zh-CN"/>
              </w:rPr>
              <w:t xml:space="preserve">  </w:t>
            </w:r>
            <w:r>
              <w:rPr>
                <w:rFonts w:hint="default" w:ascii="Times New Roman" w:hAnsi="Times New Roman" w:eastAsia="宋体" w:cs="Times New Roman"/>
                <w:b w:val="0"/>
                <w:bCs w:val="0"/>
                <w:color w:val="auto"/>
                <w:sz w:val="21"/>
                <w:szCs w:val="21"/>
                <w:highlight w:val="none"/>
              </w:rPr>
              <w:t>称</w:t>
            </w:r>
          </w:p>
        </w:tc>
        <w:tc>
          <w:tcPr>
            <w:tcW w:w="978" w:type="dxa"/>
            <w:tcBorders>
              <w:left w:val="single" w:color="auto" w:sz="4" w:space="0"/>
            </w:tcBorders>
            <w:shd w:val="clear" w:color="auto" w:fill="FFFFFF"/>
            <w:noWrap w:val="0"/>
            <w:vAlign w:val="center"/>
          </w:tcPr>
          <w:p w14:paraId="7196572D">
            <w:pPr>
              <w:pStyle w:val="29"/>
              <w:keepNext w:val="0"/>
              <w:keepLines w:val="0"/>
              <w:pageBreakBefore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危化品</w:t>
            </w:r>
          </w:p>
          <w:p w14:paraId="5D3C388C">
            <w:pPr>
              <w:pStyle w:val="29"/>
              <w:keepNext w:val="0"/>
              <w:keepLines w:val="0"/>
              <w:pageBreakBefore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目录序号</w:t>
            </w:r>
          </w:p>
        </w:tc>
        <w:tc>
          <w:tcPr>
            <w:tcW w:w="1065" w:type="dxa"/>
            <w:tcBorders>
              <w:left w:val="single" w:color="auto" w:sz="4" w:space="0"/>
            </w:tcBorders>
            <w:shd w:val="clear" w:color="auto" w:fill="FFFFFF"/>
            <w:noWrap w:val="0"/>
            <w:vAlign w:val="center"/>
          </w:tcPr>
          <w:p w14:paraId="21F53420">
            <w:pPr>
              <w:pStyle w:val="29"/>
              <w:keepNext w:val="0"/>
              <w:keepLines w:val="0"/>
              <w:pageBreakBefore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CAS号</w:t>
            </w:r>
          </w:p>
        </w:tc>
        <w:tc>
          <w:tcPr>
            <w:tcW w:w="2076" w:type="dxa"/>
            <w:tcBorders>
              <w:left w:val="single" w:color="auto" w:sz="4" w:space="0"/>
            </w:tcBorders>
            <w:shd w:val="clear" w:color="auto" w:fill="FFFFFF"/>
            <w:noWrap w:val="0"/>
            <w:vAlign w:val="center"/>
          </w:tcPr>
          <w:p w14:paraId="67EDBBFF">
            <w:pPr>
              <w:pStyle w:val="29"/>
              <w:keepNext w:val="0"/>
              <w:keepLines w:val="0"/>
              <w:pageBreakBefore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危险类别</w:t>
            </w:r>
          </w:p>
        </w:tc>
        <w:tc>
          <w:tcPr>
            <w:tcW w:w="692" w:type="dxa"/>
            <w:tcBorders>
              <w:left w:val="single" w:color="auto" w:sz="4" w:space="0"/>
            </w:tcBorders>
            <w:shd w:val="clear" w:color="auto" w:fill="FFFFFF"/>
            <w:noWrap w:val="0"/>
            <w:vAlign w:val="center"/>
          </w:tcPr>
          <w:p w14:paraId="6D4EA6A1">
            <w:pPr>
              <w:pStyle w:val="29"/>
              <w:keepNext w:val="0"/>
              <w:keepLines w:val="0"/>
              <w:pageBreakBefore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闪点</w:t>
            </w:r>
          </w:p>
          <w:p w14:paraId="3E857908">
            <w:pPr>
              <w:pStyle w:val="29"/>
              <w:keepNext w:val="0"/>
              <w:keepLines w:val="0"/>
              <w:pageBreakBefore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bidi="en-US"/>
              </w:rPr>
              <w:t>（</w:t>
            </w:r>
            <w:r>
              <w:rPr>
                <w:rFonts w:hint="default" w:ascii="Times New Roman" w:hAnsi="Times New Roman" w:eastAsia="宋体" w:cs="Times New Roman"/>
                <w:b w:val="0"/>
                <w:bCs w:val="0"/>
                <w:color w:val="auto"/>
                <w:sz w:val="21"/>
                <w:szCs w:val="21"/>
                <w:highlight w:val="none"/>
                <w:lang w:val="en-US" w:eastAsia="en-US" w:bidi="en-US"/>
              </w:rPr>
              <w:t>°C</w:t>
            </w:r>
            <w:r>
              <w:rPr>
                <w:rFonts w:hint="default" w:ascii="Times New Roman" w:hAnsi="Times New Roman" w:eastAsia="宋体" w:cs="Times New Roman"/>
                <w:b w:val="0"/>
                <w:bCs w:val="0"/>
                <w:color w:val="auto"/>
                <w:sz w:val="21"/>
                <w:szCs w:val="21"/>
                <w:highlight w:val="none"/>
                <w:lang w:val="en-US" w:eastAsia="zh-CN" w:bidi="en-US"/>
              </w:rPr>
              <w:t>）</w:t>
            </w:r>
          </w:p>
        </w:tc>
        <w:tc>
          <w:tcPr>
            <w:tcW w:w="724" w:type="dxa"/>
            <w:tcBorders>
              <w:left w:val="single" w:color="auto" w:sz="4" w:space="0"/>
            </w:tcBorders>
            <w:shd w:val="clear" w:color="auto" w:fill="FFFFFF"/>
            <w:noWrap w:val="0"/>
            <w:vAlign w:val="center"/>
          </w:tcPr>
          <w:p w14:paraId="0193473A">
            <w:pPr>
              <w:pStyle w:val="29"/>
              <w:keepNext w:val="0"/>
              <w:keepLines w:val="0"/>
              <w:pageBreakBefore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爆炸</w:t>
            </w:r>
          </w:p>
          <w:p w14:paraId="5542A0BD">
            <w:pPr>
              <w:pStyle w:val="29"/>
              <w:keepNext w:val="0"/>
              <w:keepLines w:val="0"/>
              <w:pageBreakBefore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极限</w:t>
            </w:r>
          </w:p>
          <w:p w14:paraId="1F3E47DD">
            <w:pPr>
              <w:pStyle w:val="29"/>
              <w:keepNext w:val="0"/>
              <w:keepLines w:val="0"/>
              <w:pageBreakBefore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en-US" w:bidi="en-US"/>
              </w:rPr>
              <w:t>%</w:t>
            </w:r>
          </w:p>
        </w:tc>
        <w:tc>
          <w:tcPr>
            <w:tcW w:w="512" w:type="dxa"/>
            <w:tcBorders>
              <w:left w:val="single" w:color="auto" w:sz="4" w:space="0"/>
              <w:right w:val="single" w:color="auto" w:sz="4" w:space="0"/>
            </w:tcBorders>
            <w:shd w:val="clear" w:color="auto" w:fill="FFFFFF"/>
            <w:noWrap w:val="0"/>
            <w:vAlign w:val="center"/>
          </w:tcPr>
          <w:p w14:paraId="1D828DD5">
            <w:pPr>
              <w:pStyle w:val="29"/>
              <w:keepNext w:val="0"/>
              <w:keepLines w:val="0"/>
              <w:pageBreakBefore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火灾</w:t>
            </w:r>
          </w:p>
          <w:p w14:paraId="26367658">
            <w:pPr>
              <w:pStyle w:val="29"/>
              <w:keepNext w:val="0"/>
              <w:keepLines w:val="0"/>
              <w:pageBreakBefore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危险性</w:t>
            </w:r>
          </w:p>
        </w:tc>
        <w:tc>
          <w:tcPr>
            <w:tcW w:w="513" w:type="dxa"/>
            <w:tcBorders>
              <w:left w:val="single" w:color="auto" w:sz="4" w:space="0"/>
              <w:bottom w:val="single" w:color="auto" w:sz="4" w:space="0"/>
            </w:tcBorders>
            <w:shd w:val="clear" w:color="auto" w:fill="FFFFFF"/>
            <w:noWrap w:val="0"/>
            <w:vAlign w:val="center"/>
          </w:tcPr>
          <w:p w14:paraId="55D7C3A9">
            <w:pPr>
              <w:pStyle w:val="29"/>
              <w:keepNext w:val="0"/>
              <w:keepLines w:val="0"/>
              <w:pageBreakBefore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备注</w:t>
            </w:r>
          </w:p>
        </w:tc>
      </w:tr>
      <w:tr w14:paraId="6A19C00C">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84" w:hRule="atLeast"/>
          <w:jc w:val="center"/>
        </w:trPr>
        <w:tc>
          <w:tcPr>
            <w:tcW w:w="513" w:type="dxa"/>
            <w:tcBorders>
              <w:top w:val="single" w:color="auto" w:sz="4" w:space="0"/>
            </w:tcBorders>
            <w:shd w:val="clear" w:color="auto" w:fill="FFFFFF"/>
            <w:noWrap w:val="0"/>
            <w:vAlign w:val="center"/>
          </w:tcPr>
          <w:p w14:paraId="20D59C3E">
            <w:pPr>
              <w:pStyle w:val="29"/>
              <w:keepNext w:val="0"/>
              <w:keepLines w:val="0"/>
              <w:pageBreakBefore w:val="0"/>
              <w:numPr>
                <w:ilvl w:val="0"/>
                <w:numId w:val="0"/>
              </w:numPr>
              <w:kinsoku/>
              <w:wordWrap/>
              <w:overflowPunct/>
              <w:topLinePunct w:val="0"/>
              <w:autoSpaceDE/>
              <w:autoSpaceDN/>
              <w:bidi w:val="0"/>
              <w:adjustRightInd w:val="0"/>
              <w:snapToGrid w:val="0"/>
              <w:spacing w:after="0" w:line="240" w:lineRule="auto"/>
              <w:ind w:left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w:t>
            </w:r>
          </w:p>
        </w:tc>
        <w:tc>
          <w:tcPr>
            <w:tcW w:w="1901" w:type="dxa"/>
            <w:tcBorders>
              <w:top w:val="single" w:color="auto" w:sz="4" w:space="0"/>
              <w:left w:val="single" w:color="auto" w:sz="4" w:space="0"/>
            </w:tcBorders>
            <w:shd w:val="clear" w:color="auto" w:fill="FFFFFF"/>
            <w:noWrap w:val="0"/>
            <w:vAlign w:val="center"/>
          </w:tcPr>
          <w:p w14:paraId="75C3853D">
            <w:pPr>
              <w:pStyle w:val="29"/>
              <w:keepNext w:val="0"/>
              <w:keepLines w:val="0"/>
              <w:pageBreakBefore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柴油</w:t>
            </w:r>
          </w:p>
        </w:tc>
        <w:tc>
          <w:tcPr>
            <w:tcW w:w="978" w:type="dxa"/>
            <w:tcBorders>
              <w:top w:val="single" w:color="auto" w:sz="4" w:space="0"/>
              <w:left w:val="single" w:color="auto" w:sz="4" w:space="0"/>
            </w:tcBorders>
            <w:shd w:val="clear" w:color="auto" w:fill="FFFFFF"/>
            <w:noWrap w:val="0"/>
            <w:vAlign w:val="center"/>
          </w:tcPr>
          <w:p w14:paraId="38BF00D3">
            <w:pPr>
              <w:pStyle w:val="29"/>
              <w:keepNext w:val="0"/>
              <w:keepLines w:val="0"/>
              <w:pageBreakBefore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val="0"/>
                <w:color w:val="auto"/>
                <w:kern w:val="0"/>
                <w:sz w:val="21"/>
                <w:szCs w:val="21"/>
                <w:highlight w:val="none"/>
                <w:lang w:val="en-US" w:eastAsia="zh-CN"/>
              </w:rPr>
            </w:pPr>
            <w:r>
              <w:rPr>
                <w:rFonts w:hint="eastAsia" w:ascii="Times New Roman" w:hAnsi="Times New Roman" w:cs="Times New Roman"/>
                <w:b w:val="0"/>
                <w:bCs w:val="0"/>
                <w:color w:val="auto"/>
                <w:kern w:val="0"/>
                <w:sz w:val="21"/>
                <w:szCs w:val="21"/>
                <w:highlight w:val="none"/>
                <w:lang w:val="en-US" w:eastAsia="zh-CN"/>
              </w:rPr>
              <w:t>1674</w:t>
            </w:r>
          </w:p>
        </w:tc>
        <w:tc>
          <w:tcPr>
            <w:tcW w:w="1065" w:type="dxa"/>
            <w:tcBorders>
              <w:top w:val="single" w:color="auto" w:sz="4" w:space="0"/>
              <w:left w:val="single" w:color="auto" w:sz="4" w:space="0"/>
            </w:tcBorders>
            <w:shd w:val="clear" w:color="auto" w:fill="auto"/>
            <w:noWrap w:val="0"/>
            <w:vAlign w:val="center"/>
          </w:tcPr>
          <w:p w14:paraId="2AF499C0">
            <w:pPr>
              <w:adjustRightInd w:val="0"/>
              <w:snapToGrid w:val="0"/>
              <w:spacing w:after="0" w:line="240" w:lineRule="auto"/>
              <w:jc w:val="center"/>
              <w:rPr>
                <w:rFonts w:hint="default" w:ascii="Times New Roman" w:hAnsi="Times New Roman" w:eastAsia="宋体" w:cs="Times New Roman"/>
                <w:color w:val="auto"/>
                <w:kern w:val="28"/>
                <w:sz w:val="21"/>
                <w:szCs w:val="21"/>
                <w:highlight w:val="none"/>
                <w:lang w:val="en-US" w:eastAsia="zh-CN" w:bidi="ar-SA"/>
                <w14:ligatures w14:val="none"/>
              </w:rPr>
            </w:pPr>
            <w:r>
              <w:rPr>
                <w:rFonts w:ascii="Times New Roman" w:hAnsi="Times New Roman" w:eastAsia="宋体" w:cs="Times New Roman"/>
                <w:color w:val="auto"/>
                <w:kern w:val="28"/>
                <w:sz w:val="21"/>
                <w:szCs w:val="21"/>
                <w:highlight w:val="none"/>
                <w14:ligatures w14:val="none"/>
              </w:rPr>
              <w:t>68334-30-5</w:t>
            </w:r>
          </w:p>
        </w:tc>
        <w:tc>
          <w:tcPr>
            <w:tcW w:w="2076" w:type="dxa"/>
            <w:tcBorders>
              <w:top w:val="single" w:color="auto" w:sz="4" w:space="0"/>
              <w:left w:val="single" w:color="auto" w:sz="4" w:space="0"/>
            </w:tcBorders>
            <w:shd w:val="clear" w:color="auto" w:fill="FFFFFF"/>
            <w:noWrap w:val="0"/>
            <w:vAlign w:val="center"/>
          </w:tcPr>
          <w:p w14:paraId="489230B5">
            <w:pPr>
              <w:pStyle w:val="29"/>
              <w:keepNext w:val="0"/>
              <w:keepLines w:val="0"/>
              <w:pageBreakBefore w:val="0"/>
              <w:kinsoku/>
              <w:wordWrap/>
              <w:overflowPunct/>
              <w:topLinePunct w:val="0"/>
              <w:autoSpaceDE/>
              <w:autoSpaceDN/>
              <w:bidi w:val="0"/>
              <w:adjustRightInd w:val="0"/>
              <w:snapToGrid w:val="0"/>
              <w:spacing w:after="0" w:line="240" w:lineRule="auto"/>
              <w:ind w:left="0" w:firstLine="0"/>
              <w:jc w:val="both"/>
              <w:textAlignment w:val="auto"/>
              <w:rPr>
                <w:rFonts w:hint="default" w:ascii="Times New Roman" w:hAnsi="Times New Roman" w:eastAsia="宋体" w:cs="Times New Roman"/>
                <w:b w:val="0"/>
                <w:bCs w:val="0"/>
                <w:color w:val="auto"/>
                <w:sz w:val="21"/>
                <w:szCs w:val="21"/>
                <w:highlight w:val="none"/>
                <w:lang w:val="en-US" w:eastAsia="zh-CN"/>
              </w:rPr>
            </w:pPr>
            <w:r>
              <w:rPr>
                <w:rFonts w:ascii="Times New Roman" w:hAnsi="Times New Roman" w:eastAsia="宋体" w:cs="Times New Roman"/>
                <w:color w:val="auto"/>
                <w:kern w:val="28"/>
                <w:sz w:val="21"/>
                <w:szCs w:val="21"/>
                <w:highlight w:val="none"/>
                <w14:ligatures w14:val="none"/>
              </w:rPr>
              <w:t>易燃液体，类别3</w:t>
            </w:r>
          </w:p>
        </w:tc>
        <w:tc>
          <w:tcPr>
            <w:tcW w:w="692" w:type="dxa"/>
            <w:tcBorders>
              <w:top w:val="single" w:color="auto" w:sz="4" w:space="0"/>
              <w:left w:val="single" w:color="auto" w:sz="4" w:space="0"/>
            </w:tcBorders>
            <w:shd w:val="clear" w:color="auto" w:fill="FFFFFF"/>
            <w:noWrap w:val="0"/>
            <w:vAlign w:val="center"/>
          </w:tcPr>
          <w:p w14:paraId="4D58FCF2">
            <w:pPr>
              <w:adjustRightInd w:val="0"/>
              <w:snapToGrid w:val="0"/>
              <w:spacing w:after="0" w:line="240" w:lineRule="auto"/>
              <w:jc w:val="center"/>
              <w:rPr>
                <w:rFonts w:hint="default" w:ascii="Times New Roman" w:hAnsi="Times New Roman" w:eastAsia="宋体" w:cs="Times New Roman"/>
                <w:b w:val="0"/>
                <w:bCs w:val="0"/>
                <w:color w:val="auto"/>
                <w:sz w:val="21"/>
                <w:szCs w:val="21"/>
                <w:highlight w:val="none"/>
              </w:rPr>
            </w:pPr>
            <w:r>
              <w:rPr>
                <w:rFonts w:ascii="Times New Roman" w:hAnsi="Times New Roman" w:eastAsia="宋体" w:cs="Times New Roman"/>
                <w:color w:val="auto"/>
                <w:kern w:val="28"/>
                <w:sz w:val="21"/>
                <w:szCs w:val="21"/>
                <w:highlight w:val="none"/>
                <w14:ligatures w14:val="none"/>
              </w:rPr>
              <w:t>≥45</w:t>
            </w:r>
          </w:p>
        </w:tc>
        <w:tc>
          <w:tcPr>
            <w:tcW w:w="724" w:type="dxa"/>
            <w:tcBorders>
              <w:top w:val="single" w:color="auto" w:sz="4" w:space="0"/>
              <w:left w:val="single" w:color="auto" w:sz="4" w:space="0"/>
            </w:tcBorders>
            <w:shd w:val="clear" w:color="auto" w:fill="FFFFFF"/>
            <w:noWrap w:val="0"/>
            <w:vAlign w:val="center"/>
          </w:tcPr>
          <w:p w14:paraId="55FD5AE7">
            <w:pPr>
              <w:adjustRightInd w:val="0"/>
              <w:snapToGrid w:val="0"/>
              <w:spacing w:after="0" w:line="240" w:lineRule="auto"/>
              <w:jc w:val="center"/>
              <w:rPr>
                <w:rFonts w:hint="default" w:ascii="Times New Roman" w:hAnsi="Times New Roman" w:eastAsia="宋体" w:cs="Times New Roman"/>
                <w:b w:val="0"/>
                <w:bCs w:val="0"/>
                <w:color w:val="auto"/>
                <w:sz w:val="21"/>
                <w:szCs w:val="21"/>
                <w:highlight w:val="none"/>
              </w:rPr>
            </w:pPr>
            <w:r>
              <w:rPr>
                <w:rStyle w:val="28"/>
                <w:rFonts w:hint="default" w:ascii="Times New Roman" w:hAnsi="Times New Roman" w:cs="Times New Roman"/>
                <w:color w:val="auto"/>
                <w:kern w:val="28"/>
                <w:sz w:val="21"/>
                <w:szCs w:val="21"/>
                <w:highlight w:val="none"/>
                <w14:ligatures w14:val="none"/>
              </w:rPr>
              <w:t>0.6～6.5</w:t>
            </w:r>
          </w:p>
        </w:tc>
        <w:tc>
          <w:tcPr>
            <w:tcW w:w="512" w:type="dxa"/>
            <w:tcBorders>
              <w:top w:val="single" w:color="auto" w:sz="4" w:space="0"/>
              <w:left w:val="single" w:color="auto" w:sz="4" w:space="0"/>
              <w:right w:val="single" w:color="auto" w:sz="4" w:space="0"/>
            </w:tcBorders>
            <w:shd w:val="clear" w:color="auto" w:fill="FFFFFF"/>
            <w:noWrap w:val="0"/>
            <w:vAlign w:val="center"/>
          </w:tcPr>
          <w:p w14:paraId="58EF93F3">
            <w:pPr>
              <w:adjustRightInd w:val="0"/>
              <w:snapToGrid w:val="0"/>
              <w:spacing w:after="0" w:line="240" w:lineRule="auto"/>
              <w:jc w:val="center"/>
              <w:rPr>
                <w:rFonts w:hint="default" w:ascii="Times New Roman" w:hAnsi="Times New Roman" w:eastAsia="宋体" w:cs="Times New Roman"/>
                <w:b w:val="0"/>
                <w:bCs w:val="0"/>
                <w:color w:val="auto"/>
                <w:sz w:val="21"/>
                <w:szCs w:val="21"/>
                <w:highlight w:val="none"/>
                <w:lang w:val="en-US" w:eastAsia="zh-CN"/>
              </w:rPr>
            </w:pPr>
            <w:r>
              <w:rPr>
                <w:rFonts w:ascii="Times New Roman" w:hAnsi="Times New Roman" w:eastAsia="宋体" w:cs="Times New Roman"/>
                <w:color w:val="auto"/>
                <w:kern w:val="28"/>
                <w:sz w:val="21"/>
                <w:szCs w:val="21"/>
                <w:highlight w:val="none"/>
                <w14:ligatures w14:val="none"/>
              </w:rPr>
              <w:t>乙类</w:t>
            </w:r>
            <w:r>
              <w:rPr>
                <w:rFonts w:hint="eastAsia" w:ascii="Times New Roman" w:hAnsi="Times New Roman" w:eastAsia="宋体" w:cs="Times New Roman"/>
                <w:color w:val="auto"/>
                <w:kern w:val="28"/>
                <w:sz w:val="21"/>
                <w:szCs w:val="21"/>
                <w:highlight w:val="none"/>
                <w14:ligatures w14:val="none"/>
              </w:rPr>
              <w:t>/丙类</w:t>
            </w:r>
          </w:p>
        </w:tc>
        <w:tc>
          <w:tcPr>
            <w:tcW w:w="513"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E9753B0">
            <w:pPr>
              <w:keepLines/>
              <w:adjustRightInd w:val="0"/>
              <w:spacing w:after="0" w:line="240" w:lineRule="auto"/>
              <w:jc w:val="center"/>
              <w:rPr>
                <w:rFonts w:hint="default" w:ascii="Times New Roman" w:hAnsi="Times New Roman" w:eastAsia="宋体" w:cs="Times New Roman"/>
                <w:kern w:val="2"/>
                <w:sz w:val="21"/>
                <w:szCs w:val="21"/>
                <w:highlight w:val="none"/>
                <w:lang w:val="en-US" w:eastAsia="zh-CN" w:bidi="ar-SA"/>
                <w14:ligatures w14:val="none"/>
              </w:rPr>
            </w:pPr>
          </w:p>
        </w:tc>
      </w:tr>
    </w:tbl>
    <w:p w14:paraId="7516E560">
      <w:pPr>
        <w:tabs>
          <w:tab w:val="left" w:pos="840"/>
          <w:tab w:val="left" w:pos="1260"/>
        </w:tabs>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sz w:val="28"/>
          <w:szCs w:val="32"/>
          <w:lang w:eastAsia="zh-CN"/>
          <w14:ligatures w14:val="none"/>
        </w:rPr>
      </w:pPr>
      <w:r>
        <w:rPr>
          <w:rFonts w:ascii="Times New Roman" w:hAnsi="Times New Roman" w:eastAsia="黑体" w:cs="Times New Roman"/>
          <w:b/>
          <w:sz w:val="28"/>
          <w:szCs w:val="32"/>
          <w14:ligatures w14:val="none"/>
        </w:rPr>
        <w:t>3.1.</w:t>
      </w:r>
      <w:r>
        <w:rPr>
          <w:rFonts w:hint="eastAsia" w:ascii="Times New Roman" w:hAnsi="Times New Roman" w:eastAsia="黑体" w:cs="Times New Roman"/>
          <w:b/>
          <w:sz w:val="28"/>
          <w:szCs w:val="32"/>
          <w:lang w:val="en-US" w:eastAsia="zh-CN"/>
          <w14:ligatures w14:val="none"/>
        </w:rPr>
        <w:t>1柴油</w:t>
      </w:r>
    </w:p>
    <w:p w14:paraId="0A6A9CD9">
      <w:pPr>
        <w:keepNext/>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r>
        <w:rPr>
          <w:rFonts w:ascii="Times New Roman" w:hAnsi="Times New Roman" w:eastAsia="黑体" w:cs="Times New Roman"/>
          <w:sz w:val="24"/>
          <w14:ligatures w14:val="none"/>
        </w:rPr>
        <w:t>表</w:t>
      </w:r>
      <w:r>
        <w:rPr>
          <w:rFonts w:hint="eastAsia" w:ascii="Times New Roman" w:hAnsi="Times New Roman" w:eastAsia="黑体" w:cs="Times New Roman"/>
          <w:sz w:val="24"/>
          <w14:ligatures w14:val="none"/>
        </w:rPr>
        <w:t>3.1</w:t>
      </w:r>
      <w:r>
        <w:rPr>
          <w:rFonts w:ascii="Times New Roman" w:hAnsi="Times New Roman" w:eastAsia="黑体" w:cs="Times New Roman"/>
          <w:sz w:val="24"/>
          <w14:ligatures w14:val="none"/>
        </w:rPr>
        <w:t>-</w:t>
      </w:r>
      <w:r>
        <w:rPr>
          <w:rFonts w:hint="eastAsia" w:ascii="Times New Roman" w:hAnsi="Times New Roman" w:eastAsia="黑体" w:cs="Times New Roman"/>
          <w:sz w:val="24"/>
          <w:lang w:val="en-US" w:eastAsia="zh-CN"/>
          <w14:ligatures w14:val="none"/>
        </w:rPr>
        <w:t>2</w:t>
      </w:r>
      <w:r>
        <w:rPr>
          <w:rFonts w:hint="eastAsia" w:ascii="Times New Roman" w:hAnsi="Times New Roman" w:eastAsia="黑体" w:cs="Times New Roman"/>
          <w:sz w:val="24"/>
          <w14:ligatures w14:val="none"/>
        </w:rPr>
        <w:t xml:space="preserve">  </w:t>
      </w:r>
      <w:r>
        <w:rPr>
          <w:rFonts w:hint="eastAsia" w:ascii="Times New Roman" w:hAnsi="Times New Roman" w:eastAsia="黑体" w:cs="Times New Roman"/>
          <w:sz w:val="24"/>
          <w:lang w:val="en-US" w:eastAsia="zh-CN"/>
          <w14:ligatures w14:val="none"/>
        </w:rPr>
        <w:t>柴油</w:t>
      </w:r>
      <w:r>
        <w:rPr>
          <w:rFonts w:hint="eastAsia" w:ascii="Times New Roman" w:hAnsi="Times New Roman" w:eastAsia="黑体" w:cs="Times New Roman"/>
          <w:sz w:val="24"/>
          <w14:ligatures w14:val="none"/>
        </w:rPr>
        <w:t>理化特性表</w:t>
      </w:r>
    </w:p>
    <w:tbl>
      <w:tblPr>
        <w:tblStyle w:val="1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8623"/>
      </w:tblGrid>
      <w:tr w14:paraId="6734A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7" w:type="dxa"/>
            <w:tcBorders>
              <w:tl2br w:val="nil"/>
              <w:tr2bl w:val="nil"/>
            </w:tcBorders>
            <w:noWrap w:val="0"/>
            <w:vAlign w:val="center"/>
          </w:tcPr>
          <w:p w14:paraId="3261A686">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特别警示</w:t>
            </w:r>
          </w:p>
        </w:tc>
        <w:tc>
          <w:tcPr>
            <w:tcW w:w="8624" w:type="dxa"/>
            <w:tcBorders>
              <w:tl2br w:val="nil"/>
              <w:tr2bl w:val="nil"/>
            </w:tcBorders>
            <w:noWrap w:val="0"/>
            <w:vAlign w:val="top"/>
          </w:tcPr>
          <w:p w14:paraId="5443E419">
            <w:pPr>
              <w:pStyle w:val="12"/>
              <w:adjustRightInd w:val="0"/>
              <w:snapToGrid w:val="0"/>
              <w:spacing w:before="0" w:beforeAutospacing="0" w:after="0" w:afterAutospacing="0"/>
              <w:jc w:val="both"/>
              <w:rPr>
                <w:rStyle w:val="28"/>
                <w:rFonts w:hint="default" w:ascii="Times New Roman" w:hAnsi="Times New Roman" w:eastAsia="宋体" w:cs="Times New Roman"/>
                <w:b w:val="0"/>
                <w:bCs/>
                <w:color w:val="auto"/>
                <w:sz w:val="21"/>
                <w:szCs w:val="21"/>
              </w:rPr>
            </w:pPr>
            <w:r>
              <w:rPr>
                <w:rStyle w:val="28"/>
                <w:rFonts w:hint="default" w:ascii="Times New Roman" w:hAnsi="Times New Roman" w:eastAsia="宋体" w:cs="Times New Roman"/>
                <w:b w:val="0"/>
                <w:bCs/>
                <w:color w:val="auto"/>
                <w:sz w:val="21"/>
                <w:szCs w:val="21"/>
              </w:rPr>
              <w:t>该物质对环境有危害，建议不要让其进入环境。对水体和大气可造成污染，破坏水生生物呼吸系统。对海藻应给予特别注意。</w:t>
            </w:r>
          </w:p>
        </w:tc>
      </w:tr>
      <w:tr w14:paraId="02764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7" w:type="dxa"/>
            <w:tcBorders>
              <w:tl2br w:val="nil"/>
              <w:tr2bl w:val="nil"/>
            </w:tcBorders>
            <w:noWrap w:val="0"/>
            <w:vAlign w:val="center"/>
          </w:tcPr>
          <w:p w14:paraId="1D740347">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理</w:t>
            </w:r>
          </w:p>
          <w:p w14:paraId="139C3D1E">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化</w:t>
            </w:r>
          </w:p>
          <w:p w14:paraId="04B787F2">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特</w:t>
            </w:r>
          </w:p>
          <w:p w14:paraId="628440FB">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性</w:t>
            </w:r>
          </w:p>
        </w:tc>
        <w:tc>
          <w:tcPr>
            <w:tcW w:w="8624" w:type="dxa"/>
            <w:tcBorders>
              <w:tl2br w:val="nil"/>
              <w:tr2bl w:val="nil"/>
            </w:tcBorders>
            <w:noWrap w:val="0"/>
            <w:vAlign w:val="top"/>
          </w:tcPr>
          <w:p w14:paraId="2C2B9D66">
            <w:pPr>
              <w:pStyle w:val="12"/>
              <w:adjustRightInd w:val="0"/>
              <w:snapToGrid w:val="0"/>
              <w:spacing w:before="0" w:beforeAutospacing="0" w:after="0" w:afterAutospacing="0"/>
              <w:jc w:val="both"/>
              <w:rPr>
                <w:rStyle w:val="28"/>
                <w:rFonts w:hint="default" w:ascii="Times New Roman" w:hAnsi="Times New Roman" w:eastAsia="宋体" w:cs="Times New Roman"/>
                <w:b w:val="0"/>
                <w:bCs/>
                <w:color w:val="auto"/>
                <w:sz w:val="21"/>
                <w:szCs w:val="21"/>
              </w:rPr>
            </w:pPr>
            <w:r>
              <w:rPr>
                <w:rStyle w:val="28"/>
                <w:rFonts w:hint="default" w:ascii="Times New Roman" w:hAnsi="Times New Roman" w:eastAsia="宋体" w:cs="Times New Roman"/>
                <w:b w:val="0"/>
                <w:bCs/>
                <w:color w:val="auto"/>
                <w:sz w:val="21"/>
                <w:szCs w:val="21"/>
              </w:rPr>
              <w:t>稍有粘性的棕色液体。</w:t>
            </w:r>
          </w:p>
          <w:p w14:paraId="2C1ACE85">
            <w:pPr>
              <w:pStyle w:val="12"/>
              <w:adjustRightInd w:val="0"/>
              <w:snapToGrid w:val="0"/>
              <w:spacing w:before="0" w:beforeAutospacing="0" w:after="0" w:afterAutospacing="0"/>
              <w:jc w:val="both"/>
              <w:rPr>
                <w:rStyle w:val="28"/>
                <w:rFonts w:hint="default" w:ascii="Times New Roman" w:hAnsi="Times New Roman" w:eastAsia="宋体" w:cs="Times New Roman"/>
                <w:b w:val="0"/>
                <w:bCs/>
                <w:color w:val="auto"/>
                <w:sz w:val="21"/>
                <w:szCs w:val="21"/>
              </w:rPr>
            </w:pPr>
            <w:r>
              <w:rPr>
                <w:rStyle w:val="28"/>
                <w:rFonts w:hint="default" w:ascii="Times New Roman" w:hAnsi="Times New Roman" w:eastAsia="宋体" w:cs="Times New Roman"/>
                <w:b w:val="0"/>
                <w:bCs/>
                <w:color w:val="auto"/>
                <w:sz w:val="21"/>
                <w:szCs w:val="21"/>
              </w:rPr>
              <w:t>相对密度（水=1）0.79～0.85，闪点（闭口）（℃）：其中5号、0号、-10号柴油的闪点不低于60℃；-20号柴油闪点不低于50℃；-35号、-50号柴油的闪点不低于45℃，沸点282-338℃，引燃温度257℃。</w:t>
            </w:r>
          </w:p>
          <w:p w14:paraId="0FD0782A">
            <w:pPr>
              <w:pStyle w:val="12"/>
              <w:adjustRightInd w:val="0"/>
              <w:snapToGrid w:val="0"/>
              <w:spacing w:before="0" w:beforeAutospacing="0" w:after="0" w:afterAutospacing="0"/>
              <w:jc w:val="both"/>
              <w:rPr>
                <w:rStyle w:val="28"/>
                <w:rFonts w:hint="default" w:ascii="Times New Roman" w:hAnsi="Times New Roman" w:eastAsia="宋体" w:cs="Times New Roman"/>
                <w:b w:val="0"/>
                <w:bCs/>
                <w:color w:val="auto"/>
                <w:sz w:val="21"/>
                <w:szCs w:val="21"/>
              </w:rPr>
            </w:pPr>
            <w:r>
              <w:rPr>
                <w:rStyle w:val="28"/>
                <w:rFonts w:hint="default" w:ascii="Times New Roman" w:hAnsi="Times New Roman" w:eastAsia="宋体" w:cs="Times New Roman"/>
                <w:b w:val="0"/>
                <w:bCs/>
                <w:color w:val="auto"/>
                <w:sz w:val="21"/>
                <w:szCs w:val="21"/>
              </w:rPr>
              <w:t>主要用途：柴油主要用作柴油机的燃料。</w:t>
            </w:r>
          </w:p>
        </w:tc>
      </w:tr>
      <w:tr w14:paraId="74FBC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7" w:type="dxa"/>
            <w:tcBorders>
              <w:tl2br w:val="nil"/>
              <w:tr2bl w:val="nil"/>
            </w:tcBorders>
            <w:noWrap w:val="0"/>
            <w:vAlign w:val="center"/>
          </w:tcPr>
          <w:p w14:paraId="1BD1ACB7">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危</w:t>
            </w:r>
          </w:p>
          <w:p w14:paraId="308FD3AB">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害</w:t>
            </w:r>
          </w:p>
          <w:p w14:paraId="6FB010FB">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信</w:t>
            </w:r>
          </w:p>
          <w:p w14:paraId="1A1DDF02">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息</w:t>
            </w:r>
          </w:p>
        </w:tc>
        <w:tc>
          <w:tcPr>
            <w:tcW w:w="8624" w:type="dxa"/>
            <w:tcBorders>
              <w:tl2br w:val="nil"/>
              <w:tr2bl w:val="nil"/>
            </w:tcBorders>
            <w:noWrap w:val="0"/>
            <w:vAlign w:val="top"/>
          </w:tcPr>
          <w:p w14:paraId="523A816B">
            <w:pPr>
              <w:pStyle w:val="12"/>
              <w:adjustRightInd w:val="0"/>
              <w:snapToGrid w:val="0"/>
              <w:spacing w:before="0" w:beforeAutospacing="0" w:after="0" w:afterAutospacing="0"/>
              <w:jc w:val="both"/>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【燃烧和爆炸危险性】</w:t>
            </w:r>
          </w:p>
          <w:p w14:paraId="3FB5ACCA">
            <w:pPr>
              <w:pStyle w:val="12"/>
              <w:adjustRightInd w:val="0"/>
              <w:snapToGrid w:val="0"/>
              <w:spacing w:before="0" w:beforeAutospacing="0" w:after="0" w:afterAutospacing="0"/>
              <w:jc w:val="both"/>
              <w:rPr>
                <w:rFonts w:hint="default" w:ascii="Times New Roman" w:hAnsi="Times New Roman" w:eastAsia="宋体" w:cs="Times New Roman"/>
                <w:b w:val="0"/>
                <w:bCs/>
                <w:color w:val="auto"/>
                <w:sz w:val="21"/>
                <w:szCs w:val="21"/>
                <w:shd w:val="clear" w:color="auto" w:fill="FFFFFF"/>
              </w:rPr>
            </w:pPr>
            <w:r>
              <w:rPr>
                <w:rFonts w:hint="default" w:ascii="Times New Roman" w:hAnsi="Times New Roman" w:eastAsia="宋体" w:cs="Times New Roman"/>
                <w:b w:val="0"/>
                <w:bCs/>
                <w:color w:val="auto"/>
                <w:sz w:val="21"/>
                <w:szCs w:val="21"/>
                <w:shd w:val="clear" w:color="auto" w:fill="FFFFFF"/>
              </w:rPr>
              <w:t>本品易燃，具刺激性。遇明火、高热或与氧化剂接触，有引起燃烧爆炸的危险。若遇高热，容器内压增大，有开裂和爆炸的危险。</w:t>
            </w:r>
          </w:p>
          <w:p w14:paraId="68299334">
            <w:pPr>
              <w:pStyle w:val="12"/>
              <w:adjustRightInd w:val="0"/>
              <w:snapToGrid w:val="0"/>
              <w:spacing w:before="0" w:beforeAutospacing="0" w:after="0" w:afterAutospacing="0"/>
              <w:jc w:val="both"/>
              <w:rPr>
                <w:rStyle w:val="28"/>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【健康危害】</w:t>
            </w:r>
          </w:p>
          <w:p w14:paraId="3C651446">
            <w:pPr>
              <w:pStyle w:val="12"/>
              <w:adjustRightInd w:val="0"/>
              <w:snapToGrid w:val="0"/>
              <w:spacing w:before="0" w:beforeAutospacing="0" w:after="0" w:afterAutospacing="0"/>
              <w:jc w:val="both"/>
              <w:rPr>
                <w:rFonts w:hint="default" w:ascii="Times New Roman" w:hAnsi="Times New Roman" w:eastAsia="宋体" w:cs="Times New Roman"/>
                <w:b w:val="0"/>
                <w:bCs/>
                <w:color w:val="auto"/>
                <w:sz w:val="21"/>
                <w:szCs w:val="21"/>
              </w:rPr>
            </w:pPr>
            <w:r>
              <w:rPr>
                <w:rStyle w:val="28"/>
                <w:rFonts w:hint="default" w:ascii="Times New Roman" w:hAnsi="Times New Roman" w:eastAsia="宋体" w:cs="Times New Roman"/>
                <w:b w:val="0"/>
                <w:bCs/>
                <w:color w:val="auto"/>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14:paraId="4E360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7" w:type="dxa"/>
            <w:tcBorders>
              <w:tl2br w:val="nil"/>
              <w:tr2bl w:val="nil"/>
            </w:tcBorders>
            <w:noWrap w:val="0"/>
            <w:vAlign w:val="center"/>
          </w:tcPr>
          <w:p w14:paraId="4BF783EE">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安</w:t>
            </w:r>
          </w:p>
          <w:p w14:paraId="2A92990F">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全</w:t>
            </w:r>
          </w:p>
          <w:p w14:paraId="024B7D6C">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措</w:t>
            </w:r>
          </w:p>
          <w:p w14:paraId="64E9B235">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施</w:t>
            </w:r>
          </w:p>
        </w:tc>
        <w:tc>
          <w:tcPr>
            <w:tcW w:w="8624" w:type="dxa"/>
            <w:tcBorders>
              <w:tl2br w:val="nil"/>
              <w:tr2bl w:val="nil"/>
            </w:tcBorders>
            <w:noWrap w:val="0"/>
            <w:vAlign w:val="top"/>
          </w:tcPr>
          <w:p w14:paraId="2700D4FD">
            <w:pPr>
              <w:pStyle w:val="12"/>
              <w:adjustRightInd w:val="0"/>
              <w:snapToGrid w:val="0"/>
              <w:spacing w:before="0" w:beforeAutospacing="0" w:after="0" w:afterAutospacing="0"/>
              <w:jc w:val="both"/>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【一般要求】</w:t>
            </w:r>
          </w:p>
          <w:p w14:paraId="1FB8579D">
            <w:pPr>
              <w:pStyle w:val="12"/>
              <w:adjustRightInd w:val="0"/>
              <w:snapToGrid w:val="0"/>
              <w:spacing w:before="0" w:beforeAutospacing="0" w:after="0" w:afterAutospacing="0"/>
              <w:jc w:val="both"/>
              <w:rPr>
                <w:rFonts w:hint="default" w:ascii="Times New Roman" w:hAnsi="Times New Roman" w:eastAsia="宋体" w:cs="Times New Roman"/>
                <w:b w:val="0"/>
                <w:bCs/>
                <w:color w:val="auto"/>
                <w:sz w:val="21"/>
                <w:szCs w:val="21"/>
              </w:rPr>
            </w:pPr>
            <w:r>
              <w:rPr>
                <w:rStyle w:val="28"/>
                <w:rFonts w:hint="default" w:ascii="Times New Roman" w:hAnsi="Times New Roman" w:eastAsia="宋体" w:cs="Times New Roman"/>
                <w:b w:val="0"/>
                <w:bCs/>
                <w:color w:val="auto"/>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39E8D806">
            <w:pPr>
              <w:pStyle w:val="27"/>
              <w:widowControl w:val="0"/>
              <w:adjustRightInd w:val="0"/>
              <w:snapToGrid w:val="0"/>
              <w:spacing w:before="0" w:beforeAutospacing="0" w:after="0" w:afterAutospacing="0" w:line="240" w:lineRule="auto"/>
              <w:jc w:val="both"/>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【储存安全】</w:t>
            </w:r>
          </w:p>
          <w:p w14:paraId="416D525C">
            <w:pPr>
              <w:pStyle w:val="12"/>
              <w:adjustRightInd w:val="0"/>
              <w:snapToGrid w:val="0"/>
              <w:spacing w:before="0" w:beforeAutospacing="0" w:after="0" w:afterAutospacing="0"/>
              <w:jc w:val="both"/>
              <w:rPr>
                <w:rFonts w:hint="default" w:ascii="Times New Roman" w:hAnsi="Times New Roman" w:eastAsia="宋体" w:cs="Times New Roman"/>
                <w:b w:val="0"/>
                <w:bCs/>
                <w:color w:val="auto"/>
                <w:sz w:val="21"/>
                <w:szCs w:val="21"/>
              </w:rPr>
            </w:pPr>
            <w:r>
              <w:rPr>
                <w:rStyle w:val="28"/>
                <w:rFonts w:hint="default" w:ascii="Times New Roman" w:hAnsi="Times New Roman" w:eastAsia="宋体" w:cs="Times New Roman"/>
                <w:b w:val="0"/>
                <w:bCs/>
                <w:color w:val="auto"/>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14:paraId="65696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7" w:type="dxa"/>
            <w:tcBorders>
              <w:tl2br w:val="nil"/>
              <w:tr2bl w:val="nil"/>
            </w:tcBorders>
            <w:noWrap w:val="0"/>
            <w:vAlign w:val="center"/>
          </w:tcPr>
          <w:p w14:paraId="2F906241">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应</w:t>
            </w:r>
          </w:p>
          <w:p w14:paraId="37ACFE96">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急</w:t>
            </w:r>
          </w:p>
          <w:p w14:paraId="48A946B1">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处</w:t>
            </w:r>
          </w:p>
          <w:p w14:paraId="644111C7">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置</w:t>
            </w:r>
          </w:p>
          <w:p w14:paraId="605DFB57">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原</w:t>
            </w:r>
          </w:p>
          <w:p w14:paraId="723406B5">
            <w:pPr>
              <w:pStyle w:val="27"/>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则</w:t>
            </w:r>
          </w:p>
        </w:tc>
        <w:tc>
          <w:tcPr>
            <w:tcW w:w="8624" w:type="dxa"/>
            <w:tcBorders>
              <w:tl2br w:val="nil"/>
              <w:tr2bl w:val="nil"/>
            </w:tcBorders>
            <w:noWrap w:val="0"/>
            <w:vAlign w:val="top"/>
          </w:tcPr>
          <w:p w14:paraId="5DB7628C">
            <w:pPr>
              <w:spacing w:line="240" w:lineRule="auto"/>
              <w:rPr>
                <w:rFonts w:hint="default" w:ascii="Times New Roman" w:hAnsi="Times New Roman" w:eastAsia="宋体" w:cs="Times New Roman"/>
                <w:b w:val="0"/>
                <w:bCs/>
                <w:color w:val="auto"/>
                <w:kern w:val="0"/>
                <w:sz w:val="21"/>
                <w:szCs w:val="21"/>
              </w:rPr>
            </w:pPr>
            <w:r>
              <w:rPr>
                <w:rFonts w:hint="default" w:ascii="Times New Roman" w:hAnsi="Times New Roman" w:eastAsia="宋体" w:cs="Times New Roman"/>
                <w:b w:val="0"/>
                <w:bCs/>
                <w:color w:val="auto"/>
                <w:kern w:val="0"/>
                <w:sz w:val="21"/>
                <w:szCs w:val="21"/>
              </w:rPr>
              <w:t>【急救措施】</w:t>
            </w:r>
          </w:p>
          <w:p w14:paraId="51FACA87">
            <w:pPr>
              <w:pStyle w:val="12"/>
              <w:adjustRightInd w:val="0"/>
              <w:snapToGrid w:val="0"/>
              <w:spacing w:before="0" w:beforeAutospacing="0" w:after="0" w:afterAutospacing="0"/>
              <w:jc w:val="both"/>
              <w:rPr>
                <w:rStyle w:val="28"/>
                <w:rFonts w:hint="default" w:ascii="Times New Roman" w:hAnsi="Times New Roman" w:eastAsia="宋体" w:cs="Times New Roman"/>
                <w:b w:val="0"/>
                <w:bCs/>
                <w:color w:val="auto"/>
                <w:sz w:val="21"/>
                <w:szCs w:val="21"/>
              </w:rPr>
            </w:pPr>
            <w:r>
              <w:rPr>
                <w:rStyle w:val="28"/>
                <w:rFonts w:hint="default" w:ascii="Times New Roman" w:hAnsi="Times New Roman" w:eastAsia="宋体" w:cs="Times New Roman"/>
                <w:b w:val="0"/>
                <w:bCs/>
                <w:color w:val="auto"/>
                <w:sz w:val="21"/>
                <w:szCs w:val="21"/>
              </w:rPr>
              <w:t>吸入：迅速脱离现场至空气新鲜处。保持呼吸道通畅。如呼吸困难，给输氧。如呼吸停止，立即进行人工呼吸。就医。</w:t>
            </w:r>
          </w:p>
          <w:p w14:paraId="78D6B6FD">
            <w:pPr>
              <w:pStyle w:val="12"/>
              <w:adjustRightInd w:val="0"/>
              <w:snapToGrid w:val="0"/>
              <w:spacing w:before="0" w:beforeAutospacing="0" w:after="0" w:afterAutospacing="0"/>
              <w:jc w:val="both"/>
              <w:rPr>
                <w:rStyle w:val="28"/>
                <w:rFonts w:hint="default" w:ascii="Times New Roman" w:hAnsi="Times New Roman" w:eastAsia="宋体" w:cs="Times New Roman"/>
                <w:b w:val="0"/>
                <w:bCs/>
                <w:color w:val="auto"/>
                <w:sz w:val="21"/>
                <w:szCs w:val="21"/>
              </w:rPr>
            </w:pPr>
            <w:r>
              <w:rPr>
                <w:rStyle w:val="28"/>
                <w:rFonts w:hint="default" w:ascii="Times New Roman" w:hAnsi="Times New Roman" w:eastAsia="宋体" w:cs="Times New Roman"/>
                <w:b w:val="0"/>
                <w:bCs/>
                <w:color w:val="auto"/>
                <w:sz w:val="21"/>
                <w:szCs w:val="21"/>
              </w:rPr>
              <w:t>食入：尽快彻底洗胃。就医。</w:t>
            </w:r>
          </w:p>
          <w:p w14:paraId="13BB3AF2">
            <w:pPr>
              <w:pStyle w:val="12"/>
              <w:adjustRightInd w:val="0"/>
              <w:snapToGrid w:val="0"/>
              <w:spacing w:before="0" w:beforeAutospacing="0" w:after="0" w:afterAutospacing="0"/>
              <w:jc w:val="both"/>
              <w:rPr>
                <w:rStyle w:val="28"/>
                <w:rFonts w:hint="default" w:ascii="Times New Roman" w:hAnsi="Times New Roman" w:eastAsia="宋体" w:cs="Times New Roman"/>
                <w:b w:val="0"/>
                <w:bCs/>
                <w:color w:val="auto"/>
                <w:sz w:val="21"/>
                <w:szCs w:val="21"/>
              </w:rPr>
            </w:pPr>
            <w:r>
              <w:rPr>
                <w:rStyle w:val="28"/>
                <w:rFonts w:hint="default" w:ascii="Times New Roman" w:hAnsi="Times New Roman" w:eastAsia="宋体" w:cs="Times New Roman"/>
                <w:b w:val="0"/>
                <w:bCs/>
                <w:color w:val="auto"/>
                <w:sz w:val="21"/>
                <w:szCs w:val="21"/>
              </w:rPr>
              <w:t>皮肤接触：立即脱去污染的衣着，用肥皂水和清水彻底冲洗皮肤。就医。</w:t>
            </w:r>
          </w:p>
          <w:p w14:paraId="47F04BCF">
            <w:pPr>
              <w:pStyle w:val="12"/>
              <w:adjustRightInd w:val="0"/>
              <w:snapToGrid w:val="0"/>
              <w:spacing w:before="0" w:beforeAutospacing="0" w:after="0" w:afterAutospacing="0"/>
              <w:jc w:val="both"/>
              <w:rPr>
                <w:rStyle w:val="28"/>
                <w:rFonts w:hint="default" w:ascii="Times New Roman" w:hAnsi="Times New Roman" w:eastAsia="宋体" w:cs="Times New Roman"/>
                <w:b w:val="0"/>
                <w:bCs/>
                <w:color w:val="auto"/>
                <w:sz w:val="21"/>
                <w:szCs w:val="21"/>
              </w:rPr>
            </w:pPr>
            <w:r>
              <w:rPr>
                <w:rStyle w:val="28"/>
                <w:rFonts w:hint="default" w:ascii="Times New Roman" w:hAnsi="Times New Roman" w:eastAsia="宋体" w:cs="Times New Roman"/>
                <w:b w:val="0"/>
                <w:bCs/>
                <w:color w:val="auto"/>
                <w:sz w:val="21"/>
                <w:szCs w:val="21"/>
              </w:rPr>
              <w:t>眼睛接触：提起眼睑，用流动清水或生理盐水冲洗。就医。</w:t>
            </w:r>
          </w:p>
          <w:p w14:paraId="539C191E">
            <w:pPr>
              <w:spacing w:line="240" w:lineRule="auto"/>
              <w:rPr>
                <w:rFonts w:hint="default" w:ascii="Times New Roman" w:hAnsi="Times New Roman" w:eastAsia="宋体" w:cs="Times New Roman"/>
                <w:b w:val="0"/>
                <w:bCs/>
                <w:color w:val="auto"/>
                <w:kern w:val="0"/>
                <w:sz w:val="21"/>
                <w:szCs w:val="21"/>
              </w:rPr>
            </w:pPr>
            <w:r>
              <w:rPr>
                <w:rFonts w:hint="default" w:ascii="Times New Roman" w:hAnsi="Times New Roman" w:eastAsia="宋体" w:cs="Times New Roman"/>
                <w:b w:val="0"/>
                <w:bCs/>
                <w:color w:val="auto"/>
                <w:kern w:val="0"/>
                <w:sz w:val="21"/>
                <w:szCs w:val="21"/>
              </w:rPr>
              <w:t>【灭火方法】</w:t>
            </w:r>
          </w:p>
          <w:p w14:paraId="0866BB87">
            <w:pPr>
              <w:pStyle w:val="12"/>
              <w:adjustRightInd w:val="0"/>
              <w:snapToGrid w:val="0"/>
              <w:spacing w:before="0" w:beforeAutospacing="0" w:after="0" w:afterAutospacing="0"/>
              <w:jc w:val="both"/>
              <w:rPr>
                <w:rStyle w:val="28"/>
                <w:rFonts w:hint="default" w:ascii="Times New Roman" w:hAnsi="Times New Roman" w:eastAsia="宋体" w:cs="Times New Roman"/>
                <w:b w:val="0"/>
                <w:bCs/>
                <w:color w:val="auto"/>
                <w:sz w:val="21"/>
                <w:szCs w:val="21"/>
              </w:rPr>
            </w:pPr>
            <w:r>
              <w:rPr>
                <w:rStyle w:val="28"/>
                <w:rFonts w:hint="default" w:ascii="Times New Roman" w:hAnsi="Times New Roman" w:eastAsia="宋体" w:cs="Times New Roman"/>
                <w:b w:val="0"/>
                <w:bCs/>
                <w:color w:val="auto"/>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71DCE5F8">
            <w:pPr>
              <w:pStyle w:val="12"/>
              <w:adjustRightInd w:val="0"/>
              <w:snapToGrid w:val="0"/>
              <w:spacing w:before="0" w:beforeAutospacing="0" w:after="0" w:afterAutospacing="0"/>
              <w:jc w:val="both"/>
              <w:rPr>
                <w:rStyle w:val="28"/>
                <w:rFonts w:hint="default" w:ascii="Times New Roman" w:hAnsi="Times New Roman" w:eastAsia="宋体" w:cs="Times New Roman"/>
                <w:b w:val="0"/>
                <w:bCs/>
                <w:color w:val="auto"/>
                <w:sz w:val="21"/>
                <w:szCs w:val="21"/>
              </w:rPr>
            </w:pPr>
            <w:r>
              <w:rPr>
                <w:rStyle w:val="28"/>
                <w:rFonts w:hint="default" w:ascii="Times New Roman" w:hAnsi="Times New Roman" w:eastAsia="宋体" w:cs="Times New Roman"/>
                <w:b w:val="0"/>
                <w:bCs/>
                <w:color w:val="auto"/>
                <w:sz w:val="21"/>
                <w:szCs w:val="21"/>
              </w:rPr>
              <w:t>灭火剂：雾状水、泡沫、干粉、二氧化碳、砂土。</w:t>
            </w:r>
          </w:p>
          <w:p w14:paraId="02F2A0B1">
            <w:pPr>
              <w:spacing w:line="240" w:lineRule="auto"/>
              <w:rPr>
                <w:rFonts w:hint="default" w:ascii="Times New Roman" w:hAnsi="Times New Roman" w:eastAsia="宋体" w:cs="Times New Roman"/>
                <w:b w:val="0"/>
                <w:bCs/>
                <w:color w:val="auto"/>
                <w:kern w:val="0"/>
                <w:sz w:val="21"/>
                <w:szCs w:val="21"/>
              </w:rPr>
            </w:pPr>
            <w:r>
              <w:rPr>
                <w:rFonts w:hint="default" w:ascii="Times New Roman" w:hAnsi="Times New Roman" w:eastAsia="宋体" w:cs="Times New Roman"/>
                <w:b w:val="0"/>
                <w:bCs/>
                <w:color w:val="auto"/>
                <w:kern w:val="0"/>
                <w:sz w:val="21"/>
                <w:szCs w:val="21"/>
              </w:rPr>
              <w:t>【泄漏应急处置】</w:t>
            </w:r>
          </w:p>
          <w:p w14:paraId="63DB3651">
            <w:pPr>
              <w:pStyle w:val="12"/>
              <w:adjustRightInd w:val="0"/>
              <w:snapToGrid w:val="0"/>
              <w:spacing w:before="0" w:beforeAutospacing="0" w:after="0" w:afterAutospacing="0"/>
              <w:jc w:val="both"/>
              <w:rPr>
                <w:rFonts w:hint="default" w:ascii="Times New Roman" w:hAnsi="Times New Roman" w:eastAsia="宋体" w:cs="Times New Roman"/>
                <w:b w:val="0"/>
                <w:bCs/>
                <w:color w:val="auto"/>
                <w:sz w:val="21"/>
                <w:szCs w:val="21"/>
              </w:rPr>
            </w:pPr>
            <w:r>
              <w:rPr>
                <w:rStyle w:val="28"/>
                <w:rFonts w:hint="default" w:ascii="Times New Roman" w:hAnsi="Times New Roman" w:eastAsia="宋体" w:cs="Times New Roman"/>
                <w:b w:val="0"/>
                <w:bCs/>
                <w:color w:val="auto"/>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20314EC0">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14" w:name="_Toc27049"/>
      <w:r>
        <w:rPr>
          <w:rFonts w:hint="eastAsia" w:ascii="Times New Roman" w:hAnsi="Times New Roman" w:eastAsia="楷体" w:cs="黑体"/>
          <w:b/>
          <w:sz w:val="32"/>
          <w:szCs w:val="32"/>
          <w14:ligatures w14:val="none"/>
        </w:rPr>
        <w:t>3.2储存经营过程中的危险、有害因素分析</w:t>
      </w:r>
      <w:bookmarkEnd w:id="114"/>
    </w:p>
    <w:p w14:paraId="1EA6DB11">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依据《企业职工伤亡事故分类》、《生产过程危险和有害因素分类与代码》和《职业病危害因素分类目录》可知，</w:t>
      </w:r>
      <w:r>
        <w:rPr>
          <w:rFonts w:hint="eastAsia" w:ascii="Times New Roman" w:hAnsi="Times New Roman" w:eastAsia="宋体" w:cs="Times New Roman"/>
          <w:sz w:val="28"/>
          <w:szCs w:val="28"/>
          <w:lang w:eastAsia="zh-CN"/>
          <w14:ligatures w14:val="none"/>
        </w:rPr>
        <w:t>国能安储（东港）燃料供应有限公司</w:t>
      </w:r>
      <w:r>
        <w:rPr>
          <w:rFonts w:hint="eastAsia" w:ascii="Times New Roman" w:hAnsi="Times New Roman" w:eastAsia="宋体" w:cs="Times New Roman"/>
          <w:sz w:val="28"/>
          <w:szCs w:val="28"/>
          <w:lang w:val="en-US" w:eastAsia="zh-CN"/>
          <w14:ligatures w14:val="none"/>
        </w:rPr>
        <w:t>储存、</w:t>
      </w:r>
      <w:r>
        <w:rPr>
          <w:rFonts w:hint="eastAsia" w:ascii="Times New Roman" w:hAnsi="Times New Roman" w:eastAsia="宋体" w:cs="Times New Roman"/>
          <w:sz w:val="28"/>
          <w:szCs w:val="28"/>
          <w14:ligatures w14:val="none"/>
        </w:rPr>
        <w:t>经营过程中的危险、有害因素分为：火灾爆炸、中毒和窒息、触电、机械伤害、物体打击、高处坠落、淹溺、车辆伤害、坍塌、噪声伤害等。</w:t>
      </w:r>
    </w:p>
    <w:p w14:paraId="022EE150">
      <w:pPr>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3.2.1火灾、爆炸</w:t>
      </w:r>
    </w:p>
    <w:p w14:paraId="441E99A0">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（1）储罐区</w:t>
      </w:r>
    </w:p>
    <w:p w14:paraId="7E28ACDF">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由前述可知，储罐区是石油库的重点要害部位，加之作业频繁，储罐附件和管件较多，又储存大量易燃液体，为事故高发区域。经类比调查与辨识分析，存在火灾爆炸、跑（冒）混介质、高处坠落和人员中毒窒息等危险有害因素。</w:t>
      </w:r>
    </w:p>
    <w:p w14:paraId="1D5D47A9">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1）在储罐区内违章用火（电）或使用非防爆器具，以及铁器碰撞等，引燃（爆）可燃气体并造成火灾爆炸事故；</w:t>
      </w:r>
    </w:p>
    <w:p w14:paraId="0DA62BD0">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2）管线腐蚀、冻裂、胀裂、法兰垫破损等造成易燃液体泄漏或污染环境，遇明火还将发生着火爆炸事故；</w:t>
      </w:r>
    </w:p>
    <w:p w14:paraId="0226F2C1">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3）储罐罐底或罐壁腐蚀穿孔或破裂，人孔、罐前阀门或胀油管渗漏等造成易燃液体泄漏或环境污染，遇明火还将发生着火爆炸事故；</w:t>
      </w:r>
    </w:p>
    <w:p w14:paraId="69A9D1E2">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4）错开忘关阀门，不同介质的管线连接处无盲板隔离等造成储存介质的混、串甚至跑冒；储罐基础沉降不均或基础下沉而使储罐变形或破坏，造成易燃液体泄漏，遇明火还将发生着火爆炸事故；</w:t>
      </w:r>
    </w:p>
    <w:p w14:paraId="18B9C143">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5）罐顶检尺采样作业时产生的静电，员工未按规定着装，可能引燃（爆）可燃气体并造成火灾爆炸事故；</w:t>
      </w:r>
    </w:p>
    <w:p w14:paraId="67084650">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6）罐内清洗不力，通风不良，或罐内温度高；个人防护器具配备不好；进罐作业防范措施不力；罐内气体监测及取样分析不实等，造成人员中毒或中暑；</w:t>
      </w:r>
    </w:p>
    <w:p w14:paraId="7E3FC598">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7）登罐作业因风大、盘梯滑等造成作业人员踏空失足而高空坠落；</w:t>
      </w:r>
    </w:p>
    <w:p w14:paraId="05EE26F7">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8）罐顶检修、工具物料等摆放不合理，大风等将罐项杂物刮落造成落物伤人或设备等。</w:t>
      </w:r>
    </w:p>
    <w:p w14:paraId="6D2916C6">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9）在油罐清罐作业过程中，现场的油气浓度通常超标几倍甚至几十倍，特别是在打开清扫孔、透光孔、人孔等时，超标的油气可致现场作业及监护人员中毒、窒息等，其中，轻质油致人中毒、窒息的风险更大。油品中还有一些能在空气中自燃的物质如FeS等，使得只要有一定的能量即可导致自燃燃烧或爆炸。作业现场能量的来源很多，譬如清罐过程中人孔、清扫孔、透光孔法兰与油罐相互碰撞产生的火花、违章使用铁制工具引起的碰撞火花、现场违章动火、未保温的高温物体表面、裸露的高压蒸气管线、太阳曝晒以及冲洗过程中形成的静电放电火花等。</w:t>
      </w:r>
    </w:p>
    <w:p w14:paraId="6C7413D7">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10）内浮顶储罐火灾多因明火、静电、雷电等因素引起，在储罐内罐体与浮盘之间的密封处形成稳定型不完全燃烧，在储罐外通风口、量油孔、泡沫产生器处形成明火稳定燃烧，火焰呈带压火炬形、橘红色，伴有亮光和少量烟雾。但是若不及时采取措施，储罐油蒸气压持续升高，有罐顶爆炸掀飞危险。如果浮盘为铝合金材质，还会发生浮盘卷边，造成环形密封间隙扩大，导致罐内油品猛烈燃烧和罐体塌陷。</w:t>
      </w:r>
    </w:p>
    <w:p w14:paraId="3A48C3FC">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（2）泵房</w:t>
      </w:r>
    </w:p>
    <w:p w14:paraId="4DC6F01F">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泵房是储库的重要组成部分。它起到储库的心脏作用，储库的一些主要作业及各种介质的输送都必须通过其泵房输转才能实现；加之其作业场所为有限空间，又集中布置很多设备或管件，且作业频繁，动、静密封点多，是发生储存介质跑、冒、滴、漏，造成易燃蒸气积聚，遇点火源即可发生着火爆炸事故的多发区。</w:t>
      </w:r>
    </w:p>
    <w:p w14:paraId="0A45B680">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1）油泵密封不好，材质不合格，造成介质渗漏，易燃液体蒸气易于在低洼处积聚遇点火源而闪（燃）爆，并可导致事故扩大；</w:t>
      </w:r>
    </w:p>
    <w:p w14:paraId="3CF1FB93">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2）管线配管、支撑不合理或机泵基础不适，致使油泵振动大，或紧固件松动而影响设备正常运行，严重时将造成焊口开裂，介质外漏，遇明火还将发生着火爆炸事故；</w:t>
      </w:r>
    </w:p>
    <w:p w14:paraId="2549C2EA">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3）压力（真空）表未拧紧，根部焊口有缺陷，造成介质泄漏，遇明火还将发生着火爆炸事故；</w:t>
      </w:r>
    </w:p>
    <w:p w14:paraId="7E2F5209">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4）泵抽空可能引起机泵和管线的振动，长时间抽空易损坏密封件或泵体，从而造成介质泄漏，污染环境，甚至造成火灾爆炸及人员伤亡；</w:t>
      </w:r>
    </w:p>
    <w:p w14:paraId="0B0C8625">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5）电机绝缘不好，接地失效，导致电机漏电，造成人员触电伤亡事故；</w:t>
      </w:r>
    </w:p>
    <w:p w14:paraId="31E8D536">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6）机泵运转不平稳，噪声超标，可对听力等人身健康造成损害；</w:t>
      </w:r>
    </w:p>
    <w:p w14:paraId="17047ED1">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7）泵类设备安装不当，检（维）修不及时，可造成泵在运行时振动大、噪声大，易于烧电机或螺丝等旋转部件飞出伤人或人员触电；</w:t>
      </w:r>
    </w:p>
    <w:p w14:paraId="29F7DDC7">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8）泵运转时进行擦（抹）泵，头发较长又未戴安全帽易于造成人身伤害。</w:t>
      </w:r>
    </w:p>
    <w:p w14:paraId="74F59878">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（3）管线</w:t>
      </w:r>
    </w:p>
    <w:p w14:paraId="436C9AC9">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由于管线所需介质本身的性质、外部环境和外力因素，在下列情况下将可能发生泄漏，从而导致火灾事故的发生：</w:t>
      </w:r>
    </w:p>
    <w:p w14:paraId="0507B0B3">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1）防腐蚀措施失效，管线腐蚀穿孔，导致介质外泄。</w:t>
      </w:r>
    </w:p>
    <w:p w14:paraId="6E959D52">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2）管材质量低劣，材料、压力等级选用或使用错误，制造精度尺寸不能满足实际要求，导致管线强度达不到要求而出现裂缝或断裂现象，进而导致介质泄漏。</w:t>
      </w:r>
    </w:p>
    <w:p w14:paraId="58B201A5">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3）施工质量未过关，管线焊接焊头焊接质量差或未完全焊透，导致管线接头处腐蚀加速、进而发生腐蚀穿孔或强度不能满足安全运行要求而致使介质泄漏。</w:t>
      </w:r>
    </w:p>
    <w:p w14:paraId="2895C228">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4）外部原因导致介质泄漏。如埋地管线上方及地面管线附近的施工，可能导致管线受到意外重大的机械损伤，导致介质泄漏。另外，洪水、地震等不可抗拒外力因素的作用也可能导致管道断裂而造成介质泄漏。</w:t>
      </w:r>
    </w:p>
    <w:p w14:paraId="33F476C3">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5）误操作或人为破坏而使管线发生泄漏事故。</w:t>
      </w:r>
    </w:p>
    <w:p w14:paraId="40FDE565">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6）地下管道可能出现的现象：包括管子径向被压扁和管道发生非设计性的过度弯曲，这些失稳现象会使管子的横截面严重变形，影响管道的正常输送或造成管道破坏事故。管子径向的失稳现象，可能缘于以下两种原因：一是在运输和施工中因钢度不够发生扁瘪，另一个是由于管外荷载过大造成的。</w:t>
      </w:r>
    </w:p>
    <w:p w14:paraId="2CB7AACF">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（4）铁路卸车栈桥</w:t>
      </w:r>
    </w:p>
    <w:p w14:paraId="1F374D0E">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由于铁路运输的柴油具有燃爆等危险特性；加之铁路卸车作业时间集中，有时需要昼夜连续进行，且所涉及作业人员和工种较多，又存在高处作业等作业环节，管理难度较大，极易发生人身伤害和着火爆炸事故，主要事故发生原因分析如下：</w:t>
      </w:r>
    </w:p>
    <w:p w14:paraId="1BDE3B83">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（1）卸车作业时员工脱岗，容易发生柴油泄露；罐车罐体不完好，罐体渗漏发现或处理不及时，若遇点火源也可发生火灾爆炸事故；</w:t>
      </w:r>
    </w:p>
    <w:p w14:paraId="122D3400">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（2）卸车流速过快极易产生静电，并积聚形成点火源，引燃油品蒸气；</w:t>
      </w:r>
    </w:p>
    <w:p w14:paraId="7DBB3D30">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（3）无防静电设施或防静电设施失去作用，静电电荷不能迅速泄放，产生积聚形成放电引燃柴油蒸气；</w:t>
      </w:r>
    </w:p>
    <w:p w14:paraId="6DB3178E">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（4）静止时间不够，急于进行作业而造成静电放电，引燃柴油蒸气；</w:t>
      </w:r>
    </w:p>
    <w:p w14:paraId="057882E7">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（5）未按规定穿着防静电劳动保护用品，未能将人体工作过程中产生的静电荷及时导出而造成静电放电，引燃柴油蒸气；</w:t>
      </w:r>
    </w:p>
    <w:p w14:paraId="40C6F7A9">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（6）接卸场地内使用的手机等非防爆器具或设备等是点火源，极易造成火灾爆炸事故。</w:t>
      </w:r>
    </w:p>
    <w:p w14:paraId="6278C497">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（7）卸车作业区域无静电消除装置，导致静电积聚放点，引燃柴油发生火灾爆炸事故。</w:t>
      </w:r>
    </w:p>
    <w:p w14:paraId="6429C553">
      <w:pPr>
        <w:keepNext/>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3.2.2中毒和窒息</w:t>
      </w:r>
    </w:p>
    <w:p w14:paraId="53EAE9F1">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根据前面物料的危险有害因素分析，油库储存的油品有一定的毒性，易燃油品大量挥发及泄漏时会降低空气中的氧分压造成人体窒息。</w:t>
      </w:r>
    </w:p>
    <w:p w14:paraId="1AC40357">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装卸过程中毒性蒸气可能空间内挥发，如密闭失效或操作人员个体防护不当均有可能造成人员中毒。正常作业情况下，作业场所的毒性物质污染较少。但有部分工序还需手工操作完成（如：拆装接卸鹤管等）及各种原因引起的跑、冒、滴、漏等现象，可使装卸作业场所受到一定的污染。柴油等所含有毒有害物质种类很多，涵盖了刺激性、有机化合物等多个种类，并有多种致癌物质。主要经呼吸道和皮肤进入体内，亦可经消化道进入。对人体的危害主要为中毒，可引起呼吸道系统、神经系统、血液系统、消化系统、循环系统、泌尿系统等的损伤。</w:t>
      </w:r>
    </w:p>
    <w:p w14:paraId="1FDBA8D4">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在检维修、清罐作业过程中，采用氮气吹扫或工作人员在受限空间内进行操作，如违规操作或个体防护不当均有可能造成人员中毒窒息。</w:t>
      </w:r>
    </w:p>
    <w:p w14:paraId="46C081EF">
      <w:pPr>
        <w:keepNext/>
        <w:tabs>
          <w:tab w:val="left" w:pos="840"/>
          <w:tab w:val="left" w:pos="1260"/>
        </w:tabs>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3.2.3触电</w:t>
      </w:r>
    </w:p>
    <w:p w14:paraId="54A4882E">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（1）触电伤害</w:t>
      </w:r>
    </w:p>
    <w:p w14:paraId="7AA2AC8C">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电气伤害是电能作用于人体造成的伤害。电气伤害事故以触电伤害最为常见。如果与装卸、输送、储存等设施配套的各类电气设施、电器开关、电缆敷设的接地或接零或屏护措施不完善、耐压强度低、耐腐蚀性差，都会造成漏电，导致触电伤人事故。</w:t>
      </w:r>
    </w:p>
    <w:p w14:paraId="2463C1BB">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（2）静电伤害</w:t>
      </w:r>
    </w:p>
    <w:p w14:paraId="5081AC1D">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静电电荷产生的火花，常为石油工业发生火灾爆炸的一个根源。产生静电荷的原因是电介质相互摩擦或电介质与金属摩擦所致。</w:t>
      </w:r>
    </w:p>
    <w:p w14:paraId="20FD8DE3">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在接卸与付出设备，以及输油管线和储罐内都有产生静电电荷积累的可能性。尤其在接卸与付出等作业过程中，更容易产生静电火花而引起火灾爆炸。譬如，喷溅式付油，液体流速过快，液体静置时间不够进行计量检尺作业，以及无防静电设施或防静电设施未起作用和不按规定穿着防静电劳动保护护具等都极易产生静电，并积聚形成引爆（燃）源，其静电火花将导致火灾爆炸事故的发生。另外，静电也能给人以电击，造成操作人员紧张，妨碍操作，引发二次伤害事故。</w:t>
      </w:r>
    </w:p>
    <w:p w14:paraId="3A91D0ED">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（3）雷电</w:t>
      </w:r>
    </w:p>
    <w:p w14:paraId="1FF0EA00">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 xml:space="preserve">储存设施如防雷装置失效，在雷雨天存在着被雷击的危险。由于雷电具有电流很大、电压很高、冲击性很强的特点，一旦被雷电击中，不但可能损坏生产设备和设施，造成大规模停电，而且还会导致火灾和爆炸，造成人员伤亡事故。 </w:t>
      </w:r>
    </w:p>
    <w:p w14:paraId="562D30D7">
      <w:pPr>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3.2.4机械伤害</w:t>
      </w:r>
    </w:p>
    <w:p w14:paraId="45ADF1B8">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机械作业中危险性较大、使用频率较高的机械设备，如各类机泵等典型的作业具有一定风险。风险的产生与设备工作原理和工作状态有关。其主要原因为：机械设备防护措施不到位或防护措施缺陷、设备故障或机械设备未及时检查修理、人员违章操作等。</w:t>
      </w:r>
    </w:p>
    <w:p w14:paraId="0878A6B7">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常见机械伤害有：与运动零部件接触伤害、飞出物的打击伤害、重物坠落、倾翻的打击、刺割、刮碰、撞击伤害、坠落、磕绊与跌伤。</w:t>
      </w:r>
    </w:p>
    <w:p w14:paraId="022E1017">
      <w:pPr>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3.2.5高处坠落</w:t>
      </w:r>
    </w:p>
    <w:p w14:paraId="5B347BD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根据《危险化学品企业特殊作业安全规范》（GB30871-2022）中高处作业定义，在距坠落基准面2m及2m以上的有可能坠落的高处进行的作业均为高处作业。</w:t>
      </w:r>
    </w:p>
    <w:p w14:paraId="758CB4D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在储罐检修等工作中，违反高处作业规定或不严格执行操作规程等，容易发生高处坠落事故。如登高装置自身结构设计缺陷、支撑基础下沉、承载超重、违反操作规程等，都可能造成高处坠落伤害事故。</w:t>
      </w:r>
    </w:p>
    <w:p w14:paraId="0031A57F">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铁路卸车部分操作人员需借助栈桥、完成铁路槽车罐盖启闭、卸车鹤管对位阀门开关等相关作业，这些作业处于高处作业状态，存在着高处坠落伤害的危险性，尤其冬季其危险性更大。</w:t>
      </w:r>
    </w:p>
    <w:p w14:paraId="2D1E27E8">
      <w:pPr>
        <w:keepNext/>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3.2.6物体打击</w:t>
      </w:r>
    </w:p>
    <w:p w14:paraId="78EDB08A">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物体打击事故通常作业过程中大多是两人或两人以上的众人多工种或立体交叉作业过程中由于配合不当所致，且通常是不但伤害自己还常危及他人。如：对设备进行检修作业或巡检时，高处作业时作业人员从高处随意往下任意乱抛物体；或在检修作业过程中工器具脱落飞出；或在检修作业过程中物体受到打击后边、角飞出。或正在转动的机器设备另部件因安装不牢而飞出，从而造成对作业人员或其周围人员的伤害。</w:t>
      </w:r>
    </w:p>
    <w:p w14:paraId="519AA65A">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使用泵等转动设备，这些设备的传动皮带和电动机的联轴器等传动装置处存在着伤害的危险。在操作过程中，工作人员或维修人员如不按照措施操作，一旦误入运行的机械部件内就可能收到撞击、挤压、剪切等伤害。</w:t>
      </w:r>
    </w:p>
    <w:p w14:paraId="34ECAD3A">
      <w:pPr>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3.2.7车辆伤害</w:t>
      </w:r>
    </w:p>
    <w:p w14:paraId="76BE5E70">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638DFDF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油库内设有公路装卸区，当车辆进油库内提油时，如果车辆具有缺陷、安全防护装置欠缺或不完善、行车道路不通畅、作业条件（场地、堆场路况、照明）不良、 自然环境（台风、雨雪、冰冻）恶劣、行车信号及安全标志不健全、驾驶员的技术素质低、违反操作规程等，均可导致发生各类车辆伤害事故。</w:t>
      </w:r>
    </w:p>
    <w:p w14:paraId="46D6D1DF">
      <w:pPr>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3.2.8噪声</w:t>
      </w:r>
      <w:r>
        <w:rPr>
          <w:rFonts w:hint="eastAsia" w:ascii="Times New Roman" w:hAnsi="Times New Roman" w:eastAsia="黑体" w:cs="Times New Roman"/>
          <w:b/>
          <w:sz w:val="28"/>
          <w:szCs w:val="32"/>
          <w:lang w:val="en-US" w:eastAsia="zh-CN"/>
          <w14:ligatures w14:val="none"/>
        </w:rPr>
        <w:t>危害</w:t>
      </w:r>
    </w:p>
    <w:p w14:paraId="4D46D452">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作业人员若长期暴露在强度在 85-90dB[A]的噪声环境下，将会对作业人员产生各种危害的影响，还可能引起人体其他系统的疾病。长期暴露于过强（大于85dB[A]）的噪声环境中，会发生职业性噪声聋。</w:t>
      </w:r>
    </w:p>
    <w:p w14:paraId="5F241283">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泵房内</w:t>
      </w:r>
      <w:r>
        <w:rPr>
          <w:rFonts w:hint="default" w:ascii="Times New Roman" w:hAnsi="Times New Roman" w:eastAsia="宋体" w:cstheme="minorBidi"/>
          <w:kern w:val="2"/>
          <w:sz w:val="28"/>
          <w:szCs w:val="24"/>
          <w:lang w:val="en-US" w:eastAsia="zh-CN" w:bidi="ar-SA"/>
          <w14:ligatures w14:val="standardContextual"/>
        </w:rPr>
        <w:t>机泵等机械设备产生一定的噪声，作业人员的健康会不同程度地受到伤害。</w:t>
      </w:r>
    </w:p>
    <w:p w14:paraId="781320B5">
      <w:pPr>
        <w:tabs>
          <w:tab w:val="left" w:pos="840"/>
          <w:tab w:val="left" w:pos="1260"/>
        </w:tabs>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sz w:val="28"/>
          <w:szCs w:val="32"/>
          <w:lang w:eastAsia="zh-CN"/>
          <w14:ligatures w14:val="none"/>
        </w:rPr>
      </w:pPr>
      <w:r>
        <w:rPr>
          <w:rFonts w:hint="eastAsia" w:ascii="Times New Roman" w:hAnsi="Times New Roman" w:eastAsia="黑体" w:cs="Times New Roman"/>
          <w:b/>
          <w:sz w:val="28"/>
          <w:szCs w:val="32"/>
          <w14:ligatures w14:val="none"/>
        </w:rPr>
        <w:t>3.2.9</w:t>
      </w:r>
      <w:r>
        <w:rPr>
          <w:rFonts w:hint="eastAsia" w:ascii="Times New Roman" w:hAnsi="Times New Roman" w:eastAsia="黑体" w:cs="Times New Roman"/>
          <w:b/>
          <w:sz w:val="28"/>
          <w:szCs w:val="32"/>
          <w:lang w:val="en-US" w:eastAsia="zh-CN"/>
          <w14:ligatures w14:val="none"/>
        </w:rPr>
        <w:t>坍塌</w:t>
      </w:r>
    </w:p>
    <w:p w14:paraId="02BD4C34">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坍塌是指物体在外力和重力的作用下，超过自身极限强度，结构稳定失衡塌落。大风尤以春季多发、暴雪和外腐蚀等原因，容易造成</w:t>
      </w:r>
      <w:r>
        <w:rPr>
          <w:rFonts w:hint="eastAsia" w:ascii="Times New Roman" w:hAnsi="Times New Roman" w:eastAsia="宋体" w:cstheme="minorBidi"/>
          <w:kern w:val="2"/>
          <w:sz w:val="28"/>
          <w:szCs w:val="24"/>
          <w:lang w:val="en-US" w:eastAsia="zh-CN" w:bidi="ar-SA"/>
          <w14:ligatures w14:val="standardContextual"/>
        </w:rPr>
        <w:t>装卸车棚结构</w:t>
      </w:r>
      <w:r>
        <w:rPr>
          <w:rFonts w:hint="default" w:ascii="Times New Roman" w:hAnsi="Times New Roman" w:eastAsia="宋体" w:cstheme="minorBidi"/>
          <w:kern w:val="2"/>
          <w:sz w:val="28"/>
          <w:szCs w:val="24"/>
          <w:lang w:val="en-US" w:eastAsia="zh-CN" w:bidi="ar-SA"/>
          <w14:ligatures w14:val="standardContextual"/>
        </w:rPr>
        <w:t>坍塌，对作业人员造成伤害。此外，若</w:t>
      </w:r>
      <w:r>
        <w:rPr>
          <w:rFonts w:hint="eastAsia" w:ascii="Times New Roman" w:hAnsi="Times New Roman" w:eastAsia="宋体" w:cstheme="minorBidi"/>
          <w:kern w:val="2"/>
          <w:sz w:val="28"/>
          <w:szCs w:val="24"/>
          <w:lang w:val="en-US" w:eastAsia="zh-CN" w:bidi="ar-SA"/>
          <w14:ligatures w14:val="standardContextual"/>
        </w:rPr>
        <w:t>车棚</w:t>
      </w:r>
      <w:r>
        <w:rPr>
          <w:rFonts w:hint="default" w:ascii="Times New Roman" w:hAnsi="Times New Roman" w:eastAsia="宋体" w:cstheme="minorBidi"/>
          <w:kern w:val="2"/>
          <w:sz w:val="28"/>
          <w:szCs w:val="24"/>
          <w:lang w:val="en-US" w:eastAsia="zh-CN" w:bidi="ar-SA"/>
          <w14:ligatures w14:val="standardContextual"/>
        </w:rPr>
        <w:t>设计有缺陷、施工质量不良都会导致坍塌。</w:t>
      </w:r>
    </w:p>
    <w:p w14:paraId="18DB2FE8">
      <w:pPr>
        <w:tabs>
          <w:tab w:val="left" w:pos="840"/>
          <w:tab w:val="left" w:pos="1260"/>
        </w:tabs>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sz w:val="28"/>
          <w:szCs w:val="32"/>
          <w:lang w:val="en-US" w:eastAsia="zh-CN"/>
          <w14:ligatures w14:val="none"/>
        </w:rPr>
      </w:pPr>
      <w:r>
        <w:rPr>
          <w:rFonts w:hint="eastAsia" w:ascii="Times New Roman" w:hAnsi="Times New Roman" w:eastAsia="黑体" w:cs="Times New Roman"/>
          <w:b/>
          <w:sz w:val="28"/>
          <w:szCs w:val="32"/>
          <w14:ligatures w14:val="none"/>
        </w:rPr>
        <w:t>3.2.</w:t>
      </w:r>
      <w:r>
        <w:rPr>
          <w:rFonts w:hint="eastAsia" w:ascii="Times New Roman" w:hAnsi="Times New Roman" w:eastAsia="黑体" w:cs="Times New Roman"/>
          <w:b/>
          <w:sz w:val="28"/>
          <w:szCs w:val="32"/>
          <w:lang w:val="en-US" w:eastAsia="zh-CN"/>
          <w14:ligatures w14:val="none"/>
        </w:rPr>
        <w:t>10淹溺</w:t>
      </w:r>
    </w:p>
    <w:p w14:paraId="23BFEBAA">
      <w:pPr>
        <w:keepNext w:val="0"/>
        <w:keepLines w:val="0"/>
        <w:pageBreakBefore w:val="0"/>
        <w:widowControl w:val="0"/>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厂内设有消防水池、事故水池，如果没有护栏和盖板等防护设施或防护设施失效，会使人员坠入其中造成淹溺伤亡事故。</w:t>
      </w:r>
    </w:p>
    <w:p w14:paraId="40B55314">
      <w:pPr>
        <w:tabs>
          <w:tab w:val="left" w:pos="840"/>
          <w:tab w:val="left" w:pos="1260"/>
        </w:tabs>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sz w:val="28"/>
          <w:szCs w:val="32"/>
          <w:lang w:val="en-US" w:eastAsia="zh-CN"/>
          <w14:ligatures w14:val="none"/>
        </w:rPr>
      </w:pPr>
      <w:r>
        <w:rPr>
          <w:rFonts w:hint="eastAsia" w:ascii="Times New Roman" w:hAnsi="Times New Roman" w:eastAsia="黑体" w:cs="Times New Roman"/>
          <w:b/>
          <w:sz w:val="28"/>
          <w:szCs w:val="32"/>
          <w14:ligatures w14:val="none"/>
        </w:rPr>
        <w:t>3.2.</w:t>
      </w:r>
      <w:r>
        <w:rPr>
          <w:rFonts w:hint="eastAsia" w:ascii="Times New Roman" w:hAnsi="Times New Roman" w:eastAsia="黑体" w:cs="Times New Roman"/>
          <w:b/>
          <w:sz w:val="28"/>
          <w:szCs w:val="32"/>
          <w:lang w:val="en-US" w:eastAsia="zh-CN"/>
          <w14:ligatures w14:val="none"/>
        </w:rPr>
        <w:t>11自然灾害</w:t>
      </w:r>
    </w:p>
    <w:p w14:paraId="59E9874A">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color w:val="auto"/>
          <w:sz w:val="28"/>
          <w:szCs w:val="28"/>
          <w:highlight w:val="none"/>
          <w14:ligatures w14:val="none"/>
        </w:rPr>
      </w:pPr>
      <w:r>
        <w:rPr>
          <w:rFonts w:ascii="Times New Roman" w:hAnsi="Times New Roman" w:eastAsia="宋体" w:cs="Times New Roman"/>
          <w:color w:val="auto"/>
          <w:sz w:val="28"/>
          <w:szCs w:val="28"/>
          <w:highlight w:val="none"/>
          <w14:ligatures w14:val="none"/>
        </w:rPr>
        <w:t>根据</w:t>
      </w:r>
      <w:r>
        <w:rPr>
          <w:rFonts w:hint="eastAsia" w:ascii="Times New Roman" w:hAnsi="Times New Roman" w:eastAsia="宋体" w:cs="Times New Roman"/>
          <w:color w:val="auto"/>
          <w:sz w:val="28"/>
          <w:szCs w:val="28"/>
          <w:highlight w:val="none"/>
          <w14:ligatures w14:val="none"/>
        </w:rPr>
        <w:t>该油库</w:t>
      </w:r>
      <w:r>
        <w:rPr>
          <w:rFonts w:ascii="Times New Roman" w:hAnsi="Times New Roman" w:eastAsia="宋体" w:cs="Times New Roman"/>
          <w:color w:val="auto"/>
          <w:sz w:val="28"/>
          <w:szCs w:val="28"/>
          <w:highlight w:val="none"/>
          <w14:ligatures w14:val="none"/>
        </w:rPr>
        <w:t>所在地自然、地质条件资料，从其生产特点和所涉及物料的危险特性，乃至事故危害及影响等因素综合考虑，必须对夏季高温时储存、输送危险物质的安全性以及寒冷季节保温的有效性予以充分的考虑，对诸如雷雨天气和地震等自然灾害极有可能造成设备设施漂浮、移位，管线断裂，阀门损坏，物料外溢，火灾、爆炸及环境污染等更大的危害予以充分重视。地震和雷电灾害后果较为严重，其对项目的影响分析如下：</w:t>
      </w:r>
    </w:p>
    <w:p w14:paraId="1E40F370">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color w:val="auto"/>
          <w:sz w:val="28"/>
          <w:szCs w:val="28"/>
          <w:highlight w:val="none"/>
          <w14:ligatures w14:val="none"/>
        </w:rPr>
      </w:pPr>
      <w:r>
        <w:rPr>
          <w:rFonts w:ascii="Times New Roman" w:hAnsi="Times New Roman" w:eastAsia="宋体" w:cs="Times New Roman"/>
          <w:color w:val="auto"/>
          <w:sz w:val="28"/>
          <w:szCs w:val="28"/>
          <w:highlight w:val="none"/>
          <w14:ligatures w14:val="none"/>
        </w:rPr>
        <w:t>（1）地震</w:t>
      </w:r>
    </w:p>
    <w:p w14:paraId="4BEE1A7F">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color w:val="auto"/>
          <w:sz w:val="28"/>
          <w:szCs w:val="28"/>
          <w:highlight w:val="none"/>
          <w14:ligatures w14:val="none"/>
        </w:rPr>
      </w:pPr>
      <w:r>
        <w:rPr>
          <w:rFonts w:ascii="Times New Roman" w:hAnsi="Times New Roman" w:eastAsia="宋体" w:cs="Times New Roman"/>
          <w:color w:val="auto"/>
          <w:sz w:val="28"/>
          <w:szCs w:val="28"/>
          <w:highlight w:val="none"/>
          <w14:ligatures w14:val="none"/>
        </w:rPr>
        <w:t>地震灾害的特点是突发性强、破坏性大、社会影响大、防御难度大。地震灾害分直接灾害和次生灾害。</w:t>
      </w:r>
    </w:p>
    <w:p w14:paraId="28F9363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color w:val="auto"/>
          <w:sz w:val="28"/>
          <w:szCs w:val="28"/>
          <w:highlight w:val="none"/>
          <w14:ligatures w14:val="none"/>
        </w:rPr>
      </w:pPr>
      <w:r>
        <w:rPr>
          <w:rFonts w:ascii="Times New Roman" w:hAnsi="Times New Roman" w:eastAsia="宋体" w:cs="Times New Roman"/>
          <w:color w:val="auto"/>
          <w:sz w:val="28"/>
          <w:szCs w:val="28"/>
          <w:highlight w:val="none"/>
          <w14:ligatures w14:val="none"/>
        </w:rPr>
        <w:t>直接灾害对</w:t>
      </w:r>
      <w:r>
        <w:rPr>
          <w:rFonts w:hint="eastAsia" w:ascii="Times New Roman" w:hAnsi="Times New Roman" w:eastAsia="宋体" w:cs="Times New Roman"/>
          <w:color w:val="auto"/>
          <w:sz w:val="28"/>
          <w:szCs w:val="28"/>
          <w:highlight w:val="none"/>
          <w14:ligatures w14:val="none"/>
        </w:rPr>
        <w:t>该油库</w:t>
      </w:r>
      <w:r>
        <w:rPr>
          <w:rFonts w:ascii="Times New Roman" w:hAnsi="Times New Roman" w:eastAsia="宋体" w:cs="Times New Roman"/>
          <w:color w:val="auto"/>
          <w:sz w:val="28"/>
          <w:szCs w:val="28"/>
          <w:highlight w:val="none"/>
          <w14:ligatures w14:val="none"/>
        </w:rPr>
        <w:t>造成的灾害是地震波引起的强烈震动、地震断层的错动和地面变形等所造成的灾害，主要表现为断裂、隆起、平移或凹陷等形式。这些现象对</w:t>
      </w:r>
      <w:r>
        <w:rPr>
          <w:rFonts w:hint="eastAsia" w:ascii="Times New Roman" w:hAnsi="Times New Roman" w:eastAsia="宋体" w:cs="Times New Roman"/>
          <w:color w:val="auto"/>
          <w:sz w:val="28"/>
          <w:szCs w:val="28"/>
          <w:highlight w:val="none"/>
          <w14:ligatures w14:val="none"/>
        </w:rPr>
        <w:t>该油库</w:t>
      </w:r>
      <w:r>
        <w:rPr>
          <w:rFonts w:ascii="Times New Roman" w:hAnsi="Times New Roman" w:eastAsia="宋体" w:cs="Times New Roman"/>
          <w:color w:val="auto"/>
          <w:sz w:val="28"/>
          <w:szCs w:val="28"/>
          <w:highlight w:val="none"/>
          <w14:ligatures w14:val="none"/>
        </w:rPr>
        <w:t>的建筑物、地面造成破坏，对相关设施如交通、通讯、供水、排水、供电、供气等造成破坏，危险物料泄漏起火，以致酿成重大火灾、爆炸事故。</w:t>
      </w:r>
    </w:p>
    <w:p w14:paraId="494647D7">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color w:val="auto"/>
          <w:sz w:val="28"/>
          <w:szCs w:val="28"/>
          <w:highlight w:val="none"/>
          <w14:ligatures w14:val="none"/>
        </w:rPr>
      </w:pPr>
      <w:r>
        <w:rPr>
          <w:rFonts w:ascii="Times New Roman" w:hAnsi="Times New Roman" w:eastAsia="宋体" w:cs="Times New Roman"/>
          <w:color w:val="auto"/>
          <w:sz w:val="28"/>
          <w:szCs w:val="28"/>
          <w:highlight w:val="none"/>
          <w14:ligatures w14:val="none"/>
        </w:rPr>
        <w:t>次生灾害是由于地震时酿成的设备、管线破裂引起火灾、爆炸、有毒物质扩散，造成人员伤亡，公路等交通中断，影响生产经营和日常生活。</w:t>
      </w:r>
    </w:p>
    <w:p w14:paraId="4CEE953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color w:val="auto"/>
          <w:sz w:val="28"/>
          <w:szCs w:val="28"/>
          <w:highlight w:val="none"/>
          <w14:ligatures w14:val="none"/>
        </w:rPr>
      </w:pPr>
      <w:r>
        <w:rPr>
          <w:rFonts w:hint="eastAsia" w:ascii="Times New Roman" w:hAnsi="Times New Roman" w:eastAsia="宋体" w:cs="Times New Roman"/>
          <w:color w:val="auto"/>
          <w:sz w:val="28"/>
          <w:szCs w:val="28"/>
          <w:highlight w:val="none"/>
          <w14:ligatures w14:val="none"/>
        </w:rPr>
        <w:t>该油库</w:t>
      </w:r>
      <w:r>
        <w:rPr>
          <w:rFonts w:ascii="Times New Roman" w:hAnsi="Times New Roman" w:eastAsia="宋体" w:cs="Times New Roman"/>
          <w:color w:val="auto"/>
          <w:sz w:val="28"/>
          <w:szCs w:val="28"/>
          <w:highlight w:val="none"/>
          <w14:ligatures w14:val="none"/>
        </w:rPr>
        <w:t>按地震烈度</w:t>
      </w:r>
      <w:r>
        <w:rPr>
          <w:rFonts w:hint="eastAsia" w:ascii="Times New Roman" w:hAnsi="Times New Roman" w:eastAsia="宋体" w:cs="Times New Roman"/>
          <w:color w:val="auto"/>
          <w:sz w:val="28"/>
          <w:szCs w:val="28"/>
          <w:highlight w:val="none"/>
          <w:lang w:val="en-US" w:eastAsia="zh-CN"/>
          <w14:ligatures w14:val="none"/>
        </w:rPr>
        <w:t>8</w:t>
      </w:r>
      <w:r>
        <w:rPr>
          <w:rFonts w:ascii="Times New Roman" w:hAnsi="Times New Roman" w:eastAsia="宋体" w:cs="Times New Roman"/>
          <w:color w:val="auto"/>
          <w:sz w:val="28"/>
          <w:szCs w:val="28"/>
          <w:highlight w:val="none"/>
          <w14:ligatures w14:val="none"/>
        </w:rPr>
        <w:t>度设防。当采取有效的抗震措施后，由地震而引发的直接灾害及次生灾害所造成的影响能降至最低水平。</w:t>
      </w:r>
    </w:p>
    <w:p w14:paraId="1AFA5280">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color w:val="auto"/>
          <w:sz w:val="28"/>
          <w:szCs w:val="28"/>
          <w:highlight w:val="none"/>
          <w14:ligatures w14:val="none"/>
        </w:rPr>
      </w:pPr>
      <w:r>
        <w:rPr>
          <w:rFonts w:ascii="Times New Roman" w:hAnsi="Times New Roman" w:eastAsia="宋体" w:cs="Times New Roman"/>
          <w:color w:val="auto"/>
          <w:sz w:val="28"/>
          <w:szCs w:val="28"/>
          <w:highlight w:val="none"/>
          <w14:ligatures w14:val="none"/>
        </w:rPr>
        <w:t>（2）雷电</w:t>
      </w:r>
    </w:p>
    <w:p w14:paraId="2336DB5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color w:val="auto"/>
          <w:sz w:val="28"/>
          <w:szCs w:val="28"/>
          <w:highlight w:val="none"/>
          <w14:ligatures w14:val="none"/>
        </w:rPr>
      </w:pPr>
      <w:r>
        <w:rPr>
          <w:rFonts w:ascii="Times New Roman" w:hAnsi="Times New Roman" w:eastAsia="宋体" w:cs="Times New Roman"/>
          <w:color w:val="auto"/>
          <w:sz w:val="28"/>
          <w:szCs w:val="28"/>
          <w:highlight w:val="none"/>
          <w14:ligatures w14:val="none"/>
        </w:rPr>
        <w:t>雷电是自然界中的声、光、电现象，它给人类生活和生产活动带来很大的影响。对于</w:t>
      </w:r>
      <w:r>
        <w:rPr>
          <w:rFonts w:hint="eastAsia" w:ascii="Times New Roman" w:hAnsi="Times New Roman" w:eastAsia="宋体" w:cs="Times New Roman"/>
          <w:color w:val="auto"/>
          <w:sz w:val="28"/>
          <w:szCs w:val="28"/>
          <w:highlight w:val="none"/>
          <w14:ligatures w14:val="none"/>
        </w:rPr>
        <w:t>该油库</w:t>
      </w:r>
      <w:r>
        <w:rPr>
          <w:rFonts w:ascii="Times New Roman" w:hAnsi="Times New Roman" w:eastAsia="宋体" w:cs="Times New Roman"/>
          <w:color w:val="auto"/>
          <w:sz w:val="28"/>
          <w:szCs w:val="28"/>
          <w:highlight w:val="none"/>
          <w14:ligatures w14:val="none"/>
        </w:rPr>
        <w:t>来说，能引起火灾和爆炸事故。由于雷电具有电流很大、电压很高、冲击性很强的特点，一旦被雷电击中，不但可能损坏有关设备和设施，造成大规模停电，而且还会导致火灾和爆炸，造成人员伤亡事故。</w:t>
      </w:r>
    </w:p>
    <w:p w14:paraId="1F4740B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color w:val="auto"/>
          <w:sz w:val="28"/>
          <w:szCs w:val="28"/>
          <w:highlight w:val="none"/>
          <w14:ligatures w14:val="none"/>
        </w:rPr>
      </w:pPr>
      <w:r>
        <w:rPr>
          <w:rFonts w:hint="eastAsia" w:ascii="Times New Roman" w:hAnsi="Times New Roman" w:eastAsia="宋体" w:cs="Times New Roman"/>
          <w:color w:val="auto"/>
          <w:sz w:val="28"/>
          <w:szCs w:val="28"/>
          <w:highlight w:val="none"/>
          <w14:ligatures w14:val="none"/>
        </w:rPr>
        <w:t>该油库</w:t>
      </w:r>
      <w:r>
        <w:rPr>
          <w:rFonts w:ascii="Times New Roman" w:hAnsi="Times New Roman" w:eastAsia="宋体" w:cs="Times New Roman"/>
          <w:color w:val="auto"/>
          <w:sz w:val="28"/>
          <w:szCs w:val="28"/>
          <w:highlight w:val="none"/>
          <w14:ligatures w14:val="none"/>
        </w:rPr>
        <w:t>必须对诸如汛期、雷雨天气和地震等自然灾害极有可能造成火灾等危害予以充分重视，并采取切实有效的安全防范措施，将其危害和可能造成的损失降到最低程度。</w:t>
      </w:r>
    </w:p>
    <w:p w14:paraId="65CC89C7">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color w:val="auto"/>
          <w:sz w:val="28"/>
          <w:szCs w:val="28"/>
          <w:highlight w:val="none"/>
          <w14:ligatures w14:val="none"/>
        </w:rPr>
      </w:pPr>
      <w:r>
        <w:rPr>
          <w:rFonts w:ascii="Times New Roman" w:hAnsi="Times New Roman" w:eastAsia="宋体" w:cs="Times New Roman"/>
          <w:color w:val="auto"/>
          <w:sz w:val="28"/>
          <w:szCs w:val="28"/>
          <w:highlight w:val="none"/>
          <w14:ligatures w14:val="none"/>
        </w:rPr>
        <w:t>（3）风</w:t>
      </w:r>
    </w:p>
    <w:p w14:paraId="06A8CE17">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color w:val="auto"/>
          <w:sz w:val="28"/>
          <w:szCs w:val="28"/>
          <w:highlight w:val="none"/>
          <w14:ligatures w14:val="none"/>
        </w:rPr>
      </w:pPr>
      <w:r>
        <w:rPr>
          <w:rFonts w:hint="eastAsia" w:ascii="Times New Roman" w:hAnsi="Times New Roman" w:eastAsia="宋体" w:cs="Times New Roman"/>
          <w:color w:val="auto"/>
          <w:sz w:val="28"/>
          <w:szCs w:val="28"/>
          <w:highlight w:val="none"/>
          <w14:ligatures w14:val="none"/>
        </w:rPr>
        <w:t>该</w:t>
      </w:r>
      <w:r>
        <w:rPr>
          <w:rFonts w:hint="eastAsia" w:ascii="Times New Roman" w:hAnsi="Times New Roman" w:eastAsia="宋体" w:cs="Times New Roman"/>
          <w:color w:val="auto"/>
          <w:sz w:val="28"/>
          <w:szCs w:val="28"/>
          <w:highlight w:val="none"/>
          <w:lang w:eastAsia="zh-CN"/>
          <w14:ligatures w14:val="none"/>
        </w:rPr>
        <w:t>企业</w:t>
      </w:r>
      <w:r>
        <w:rPr>
          <w:rFonts w:ascii="Times New Roman" w:hAnsi="Times New Roman" w:eastAsia="宋体" w:cs="Times New Roman"/>
          <w:color w:val="auto"/>
          <w:sz w:val="28"/>
          <w:szCs w:val="28"/>
          <w:highlight w:val="none"/>
          <w14:ligatures w14:val="none"/>
        </w:rPr>
        <w:t>所涉风对其的影响主要表现为可加速泄漏的可燃油蒸气的扩散，其达到一定浓度后，遇火源可发生火灾、爆炸事故。由于风的不确定性，其造成的损失一般也难以预测。</w:t>
      </w:r>
    </w:p>
    <w:p w14:paraId="7EAF7FB3">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color w:val="auto"/>
          <w:sz w:val="28"/>
          <w:szCs w:val="28"/>
          <w:highlight w:val="none"/>
          <w14:ligatures w14:val="none"/>
        </w:rPr>
      </w:pPr>
      <w:r>
        <w:rPr>
          <w:rFonts w:ascii="Times New Roman" w:hAnsi="Times New Roman" w:eastAsia="宋体" w:cs="Times New Roman"/>
          <w:color w:val="auto"/>
          <w:sz w:val="28"/>
          <w:szCs w:val="28"/>
          <w:highlight w:val="none"/>
          <w14:ligatures w14:val="none"/>
        </w:rPr>
        <w:t>（4）小结</w:t>
      </w:r>
    </w:p>
    <w:p w14:paraId="13F4755A">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color w:val="auto"/>
          <w:sz w:val="28"/>
          <w:szCs w:val="28"/>
          <w:highlight w:val="none"/>
          <w14:ligatures w14:val="none"/>
        </w:rPr>
      </w:pPr>
      <w:r>
        <w:rPr>
          <w:rFonts w:ascii="Times New Roman" w:hAnsi="Times New Roman" w:eastAsia="宋体" w:cs="Times New Roman"/>
          <w:color w:val="auto"/>
          <w:sz w:val="28"/>
          <w:szCs w:val="28"/>
          <w:highlight w:val="none"/>
          <w14:ligatures w14:val="none"/>
        </w:rPr>
        <w:t>从以上分析可知，该地区的自然条件对</w:t>
      </w:r>
      <w:r>
        <w:rPr>
          <w:rFonts w:hint="eastAsia" w:ascii="Times New Roman" w:hAnsi="Times New Roman" w:eastAsia="宋体" w:cs="Times New Roman"/>
          <w:color w:val="auto"/>
          <w:sz w:val="28"/>
          <w:szCs w:val="28"/>
          <w:highlight w:val="none"/>
          <w14:ligatures w14:val="none"/>
        </w:rPr>
        <w:t>该油库</w:t>
      </w:r>
      <w:r>
        <w:rPr>
          <w:rFonts w:ascii="Times New Roman" w:hAnsi="Times New Roman" w:eastAsia="宋体" w:cs="Times New Roman"/>
          <w:color w:val="auto"/>
          <w:sz w:val="28"/>
          <w:szCs w:val="28"/>
          <w:highlight w:val="none"/>
          <w14:ligatures w14:val="none"/>
        </w:rPr>
        <w:t>的生产会造成一定的影响，但采取有效的防范措施后，其影响可以消除或减弱到不会影响</w:t>
      </w:r>
      <w:r>
        <w:rPr>
          <w:rFonts w:hint="eastAsia" w:ascii="Times New Roman" w:hAnsi="Times New Roman" w:eastAsia="宋体" w:cs="Times New Roman"/>
          <w:color w:val="auto"/>
          <w:sz w:val="28"/>
          <w:szCs w:val="28"/>
          <w:highlight w:val="none"/>
          <w14:ligatures w14:val="none"/>
        </w:rPr>
        <w:t>该油库</w:t>
      </w:r>
      <w:r>
        <w:rPr>
          <w:rFonts w:ascii="Times New Roman" w:hAnsi="Times New Roman" w:eastAsia="宋体" w:cs="Times New Roman"/>
          <w:color w:val="auto"/>
          <w:sz w:val="28"/>
          <w:szCs w:val="28"/>
          <w:highlight w:val="none"/>
          <w14:ligatures w14:val="none"/>
        </w:rPr>
        <w:t>的正常生产。</w:t>
      </w:r>
    </w:p>
    <w:p w14:paraId="6A9ED970">
      <w:pPr>
        <w:pStyle w:val="4"/>
        <w:rPr>
          <w:rFonts w:hint="eastAsia"/>
          <w:lang w:val="en-US" w:eastAsia="zh-CN"/>
        </w:rPr>
      </w:pPr>
    </w:p>
    <w:p w14:paraId="5D4C26D6">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15" w:name="_Toc16001"/>
      <w:r>
        <w:rPr>
          <w:rFonts w:hint="eastAsia" w:ascii="Times New Roman" w:hAnsi="Times New Roman" w:eastAsia="楷体" w:cs="黑体"/>
          <w:b/>
          <w:sz w:val="32"/>
          <w:szCs w:val="32"/>
          <w14:ligatures w14:val="none"/>
        </w:rPr>
        <w:t>3.3主要危险有害部位辨识结果</w:t>
      </w:r>
      <w:bookmarkEnd w:id="115"/>
    </w:p>
    <w:p w14:paraId="4D7ACB30">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eastAsia="zh-CN"/>
          <w14:ligatures w14:val="none"/>
        </w:rPr>
        <w:t>国能安储（东港）燃料供应有限公司</w:t>
      </w:r>
      <w:r>
        <w:rPr>
          <w:rFonts w:hint="eastAsia" w:ascii="Times New Roman" w:hAnsi="Times New Roman" w:eastAsia="宋体" w:cs="Times New Roman"/>
          <w:sz w:val="28"/>
          <w:szCs w:val="28"/>
          <w14:ligatures w14:val="none"/>
        </w:rPr>
        <w:t>主要危险有害部位辨识结果，见表3.3-1。</w:t>
      </w:r>
    </w:p>
    <w:p w14:paraId="7AD1DC68">
      <w:pPr>
        <w:keepNext/>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r>
        <w:rPr>
          <w:rFonts w:hint="eastAsia" w:ascii="Times New Roman" w:hAnsi="Times New Roman" w:eastAsia="黑体" w:cs="Times New Roman"/>
          <w:sz w:val="24"/>
          <w14:ligatures w14:val="none"/>
        </w:rPr>
        <w:t>表3.3-1  主要危险有害部位辨识结果</w:t>
      </w:r>
    </w:p>
    <w:tbl>
      <w:tblPr>
        <w:tblStyle w:val="36"/>
        <w:tblW w:w="501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575"/>
        <w:gridCol w:w="1313"/>
        <w:gridCol w:w="1788"/>
        <w:gridCol w:w="2839"/>
        <w:gridCol w:w="710"/>
        <w:gridCol w:w="612"/>
        <w:gridCol w:w="1375"/>
      </w:tblGrid>
      <w:tr w14:paraId="35A34A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2FFE70F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序号</w:t>
            </w:r>
          </w:p>
        </w:tc>
        <w:tc>
          <w:tcPr>
            <w:tcW w:w="712" w:type="pct"/>
            <w:vAlign w:val="center"/>
          </w:tcPr>
          <w:p w14:paraId="4F4018C1">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事故类别</w:t>
            </w:r>
          </w:p>
        </w:tc>
        <w:tc>
          <w:tcPr>
            <w:tcW w:w="970" w:type="pct"/>
            <w:vAlign w:val="center"/>
          </w:tcPr>
          <w:p w14:paraId="69029554">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事故后果</w:t>
            </w:r>
          </w:p>
        </w:tc>
        <w:tc>
          <w:tcPr>
            <w:tcW w:w="1540" w:type="pct"/>
            <w:vAlign w:val="center"/>
          </w:tcPr>
          <w:p w14:paraId="2327A2F7">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危险部位或场所</w:t>
            </w:r>
          </w:p>
        </w:tc>
        <w:tc>
          <w:tcPr>
            <w:tcW w:w="385" w:type="pct"/>
            <w:vAlign w:val="center"/>
          </w:tcPr>
          <w:p w14:paraId="42A3A357">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危险程度</w:t>
            </w:r>
          </w:p>
        </w:tc>
        <w:tc>
          <w:tcPr>
            <w:tcW w:w="332" w:type="pct"/>
            <w:vAlign w:val="center"/>
          </w:tcPr>
          <w:p w14:paraId="1ABE10A2">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发生频率</w:t>
            </w:r>
          </w:p>
        </w:tc>
        <w:tc>
          <w:tcPr>
            <w:tcW w:w="745" w:type="pct"/>
            <w:vAlign w:val="center"/>
          </w:tcPr>
          <w:p w14:paraId="0890CA08">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影响范围</w:t>
            </w:r>
          </w:p>
        </w:tc>
      </w:tr>
      <w:tr w14:paraId="5DA883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19EDEBCD">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1</w:t>
            </w:r>
          </w:p>
        </w:tc>
        <w:tc>
          <w:tcPr>
            <w:tcW w:w="712" w:type="pct"/>
            <w:vAlign w:val="center"/>
          </w:tcPr>
          <w:p w14:paraId="2E01FE9B">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火灾</w:t>
            </w:r>
          </w:p>
        </w:tc>
        <w:tc>
          <w:tcPr>
            <w:tcW w:w="970" w:type="pct"/>
            <w:vAlign w:val="center"/>
          </w:tcPr>
          <w:p w14:paraId="1D914C10">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设备损坏、人员伤亡、停产、财产损失</w:t>
            </w:r>
          </w:p>
        </w:tc>
        <w:tc>
          <w:tcPr>
            <w:tcW w:w="1540" w:type="pct"/>
            <w:vAlign w:val="center"/>
          </w:tcPr>
          <w:p w14:paraId="61269F43">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罐区、装卸</w:t>
            </w:r>
            <w:r>
              <w:rPr>
                <w:rFonts w:hint="eastAsia" w:ascii="Times New Roman" w:hAnsi="Times New Roman" w:eastAsia="宋体" w:cs="宋体"/>
                <w:kern w:val="0"/>
                <w:sz w:val="21"/>
                <w:szCs w:val="22"/>
                <w:lang w:val="en-US" w:eastAsia="zh-CN" w:bidi="zh-CN"/>
                <w14:ligatures w14:val="none"/>
              </w:rPr>
              <w:t>车棚</w:t>
            </w:r>
            <w:r>
              <w:rPr>
                <w:rFonts w:hint="eastAsia" w:ascii="Times New Roman" w:hAnsi="Times New Roman" w:eastAsia="宋体" w:cs="宋体"/>
                <w:kern w:val="0"/>
                <w:sz w:val="21"/>
                <w:szCs w:val="22"/>
                <w:lang w:val="zh-CN" w:eastAsia="zh-CN" w:bidi="zh-CN"/>
                <w14:ligatures w14:val="none"/>
              </w:rPr>
              <w:t>、</w:t>
            </w:r>
            <w:r>
              <w:rPr>
                <w:rFonts w:hint="eastAsia" w:ascii="Times New Roman" w:hAnsi="Times New Roman" w:eastAsia="宋体" w:cs="宋体"/>
                <w:kern w:val="0"/>
                <w:sz w:val="21"/>
                <w:szCs w:val="22"/>
                <w:lang w:val="en-US" w:eastAsia="zh-CN" w:bidi="zh-CN"/>
                <w14:ligatures w14:val="none"/>
              </w:rPr>
              <w:t>办公楼、隔油池、火车栈桥、柴油发电机间</w:t>
            </w:r>
            <w:r>
              <w:rPr>
                <w:rFonts w:hint="eastAsia" w:ascii="Times New Roman" w:hAnsi="Times New Roman" w:eastAsia="宋体" w:cs="宋体"/>
                <w:kern w:val="0"/>
                <w:sz w:val="21"/>
                <w:szCs w:val="22"/>
                <w:lang w:val="zh-CN" w:eastAsia="zh-CN" w:bidi="zh-CN"/>
                <w14:ligatures w14:val="none"/>
              </w:rPr>
              <w:t>等</w:t>
            </w:r>
          </w:p>
        </w:tc>
        <w:tc>
          <w:tcPr>
            <w:tcW w:w="385" w:type="pct"/>
            <w:vAlign w:val="center"/>
          </w:tcPr>
          <w:p w14:paraId="3BDB2FC6">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高</w:t>
            </w:r>
          </w:p>
        </w:tc>
        <w:tc>
          <w:tcPr>
            <w:tcW w:w="332" w:type="pct"/>
            <w:vAlign w:val="center"/>
          </w:tcPr>
          <w:p w14:paraId="3781C455">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19409533">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厂内、厂外</w:t>
            </w:r>
          </w:p>
        </w:tc>
      </w:tr>
      <w:tr w14:paraId="7F6950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14CBDBEB">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2</w:t>
            </w:r>
          </w:p>
        </w:tc>
        <w:tc>
          <w:tcPr>
            <w:tcW w:w="712" w:type="pct"/>
            <w:vAlign w:val="center"/>
          </w:tcPr>
          <w:p w14:paraId="52A7A4A6">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爆炸</w:t>
            </w:r>
          </w:p>
        </w:tc>
        <w:tc>
          <w:tcPr>
            <w:tcW w:w="970" w:type="pct"/>
            <w:vAlign w:val="center"/>
          </w:tcPr>
          <w:p w14:paraId="18CB9F75">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设备损坏、人员伤亡、停产、财产损失</w:t>
            </w:r>
          </w:p>
        </w:tc>
        <w:tc>
          <w:tcPr>
            <w:tcW w:w="1540" w:type="pct"/>
            <w:vAlign w:val="center"/>
          </w:tcPr>
          <w:p w14:paraId="62FE4924">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ascii="Times New Roman" w:hAnsi="Times New Roman" w:eastAsia="宋体" w:cs="宋体"/>
                <w:kern w:val="0"/>
                <w:sz w:val="21"/>
                <w:szCs w:val="22"/>
                <w:lang w:val="zh-CN" w:eastAsia="zh-CN" w:bidi="zh-CN"/>
                <w14:ligatures w14:val="none"/>
              </w:rPr>
              <w:t>罐区、装卸</w:t>
            </w:r>
            <w:r>
              <w:rPr>
                <w:rFonts w:hint="eastAsia" w:ascii="Times New Roman" w:hAnsi="Times New Roman" w:eastAsia="宋体" w:cs="宋体"/>
                <w:kern w:val="0"/>
                <w:sz w:val="21"/>
                <w:szCs w:val="22"/>
                <w:lang w:val="en-US" w:eastAsia="zh-CN" w:bidi="zh-CN"/>
                <w14:ligatures w14:val="none"/>
              </w:rPr>
              <w:t>车棚、火车栈桥等</w:t>
            </w:r>
          </w:p>
        </w:tc>
        <w:tc>
          <w:tcPr>
            <w:tcW w:w="385" w:type="pct"/>
            <w:vAlign w:val="center"/>
          </w:tcPr>
          <w:p w14:paraId="1679330A">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高</w:t>
            </w:r>
          </w:p>
        </w:tc>
        <w:tc>
          <w:tcPr>
            <w:tcW w:w="332" w:type="pct"/>
            <w:vAlign w:val="center"/>
          </w:tcPr>
          <w:p w14:paraId="3B16ADC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6056DD01">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厂内、厂外</w:t>
            </w:r>
          </w:p>
        </w:tc>
      </w:tr>
      <w:tr w14:paraId="269343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5DA478CB">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3</w:t>
            </w:r>
          </w:p>
        </w:tc>
        <w:tc>
          <w:tcPr>
            <w:tcW w:w="712" w:type="pct"/>
            <w:vAlign w:val="center"/>
          </w:tcPr>
          <w:p w14:paraId="609737E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中毒和窒息</w:t>
            </w:r>
          </w:p>
        </w:tc>
        <w:tc>
          <w:tcPr>
            <w:tcW w:w="970" w:type="pct"/>
            <w:vAlign w:val="center"/>
          </w:tcPr>
          <w:p w14:paraId="69502B45">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人员伤亡</w:t>
            </w:r>
          </w:p>
        </w:tc>
        <w:tc>
          <w:tcPr>
            <w:tcW w:w="1540" w:type="pct"/>
            <w:vAlign w:val="center"/>
          </w:tcPr>
          <w:p w14:paraId="4398E569">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ascii="Times New Roman" w:hAnsi="Times New Roman" w:eastAsia="宋体" w:cs="宋体"/>
                <w:kern w:val="0"/>
                <w:sz w:val="21"/>
                <w:szCs w:val="22"/>
                <w:lang w:val="zh-CN" w:eastAsia="zh-CN" w:bidi="zh-CN"/>
                <w14:ligatures w14:val="none"/>
              </w:rPr>
              <w:t>罐区、受限空间作业场所</w:t>
            </w:r>
            <w:r>
              <w:rPr>
                <w:rFonts w:hint="eastAsia" w:ascii="Times New Roman" w:hAnsi="Times New Roman" w:eastAsia="宋体" w:cs="宋体"/>
                <w:kern w:val="0"/>
                <w:sz w:val="21"/>
                <w:szCs w:val="22"/>
                <w:lang w:val="zh-CN" w:eastAsia="zh-CN" w:bidi="zh-CN"/>
                <w14:ligatures w14:val="none"/>
              </w:rPr>
              <w:t>、</w:t>
            </w:r>
            <w:r>
              <w:rPr>
                <w:rFonts w:hint="eastAsia" w:ascii="Times New Roman" w:hAnsi="Times New Roman" w:eastAsia="宋体" w:cs="宋体"/>
                <w:kern w:val="0"/>
                <w:sz w:val="21"/>
                <w:szCs w:val="22"/>
                <w:lang w:val="en-US" w:eastAsia="zh-CN" w:bidi="zh-CN"/>
                <w14:ligatures w14:val="none"/>
              </w:rPr>
              <w:t>隔油池</w:t>
            </w:r>
          </w:p>
        </w:tc>
        <w:tc>
          <w:tcPr>
            <w:tcW w:w="385" w:type="pct"/>
            <w:vAlign w:val="center"/>
          </w:tcPr>
          <w:p w14:paraId="0156C8A8">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高</w:t>
            </w:r>
          </w:p>
        </w:tc>
        <w:tc>
          <w:tcPr>
            <w:tcW w:w="332" w:type="pct"/>
            <w:vAlign w:val="center"/>
          </w:tcPr>
          <w:p w14:paraId="6B0DD60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5031EE6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罐区、受限空间场所内</w:t>
            </w:r>
          </w:p>
        </w:tc>
      </w:tr>
      <w:tr w14:paraId="2EDF2B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594EF26C">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4</w:t>
            </w:r>
          </w:p>
        </w:tc>
        <w:tc>
          <w:tcPr>
            <w:tcW w:w="712" w:type="pct"/>
            <w:vAlign w:val="center"/>
          </w:tcPr>
          <w:p w14:paraId="44B6EE47">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kern w:val="0"/>
                <w:sz w:val="21"/>
                <w:szCs w:val="22"/>
                <w:lang w:eastAsia="zh-CN"/>
                <w14:ligatures w14:val="none"/>
              </w:rPr>
              <w:t>触电</w:t>
            </w:r>
          </w:p>
        </w:tc>
        <w:tc>
          <w:tcPr>
            <w:tcW w:w="970" w:type="pct"/>
            <w:vAlign w:val="center"/>
          </w:tcPr>
          <w:p w14:paraId="38DFF9DA">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kern w:val="0"/>
                <w:sz w:val="21"/>
                <w:szCs w:val="22"/>
                <w:lang w:eastAsia="zh-CN"/>
                <w14:ligatures w14:val="none"/>
              </w:rPr>
              <w:t>人员伤亡</w:t>
            </w:r>
          </w:p>
        </w:tc>
        <w:tc>
          <w:tcPr>
            <w:tcW w:w="1540" w:type="pct"/>
            <w:vAlign w:val="center"/>
          </w:tcPr>
          <w:p w14:paraId="0380F4CB">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kern w:val="0"/>
                <w:sz w:val="21"/>
                <w:szCs w:val="22"/>
                <w:lang w:eastAsia="zh-CN"/>
                <w14:ligatures w14:val="none"/>
              </w:rPr>
              <w:t>配电间、用电场所、可能被雷击的建（构）筑物</w:t>
            </w:r>
          </w:p>
        </w:tc>
        <w:tc>
          <w:tcPr>
            <w:tcW w:w="385" w:type="pct"/>
            <w:vAlign w:val="center"/>
          </w:tcPr>
          <w:p w14:paraId="053BC600">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kern w:val="0"/>
                <w:sz w:val="21"/>
                <w:szCs w:val="22"/>
                <w:lang w:eastAsia="en-US"/>
                <w14:ligatures w14:val="none"/>
              </w:rPr>
              <w:t>中</w:t>
            </w:r>
          </w:p>
        </w:tc>
        <w:tc>
          <w:tcPr>
            <w:tcW w:w="332" w:type="pct"/>
            <w:vAlign w:val="center"/>
          </w:tcPr>
          <w:p w14:paraId="61278E98">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kern w:val="0"/>
                <w:sz w:val="21"/>
                <w:szCs w:val="22"/>
                <w:lang w:eastAsia="en-US"/>
                <w14:ligatures w14:val="none"/>
              </w:rPr>
              <w:t>低</w:t>
            </w:r>
          </w:p>
        </w:tc>
        <w:tc>
          <w:tcPr>
            <w:tcW w:w="745" w:type="pct"/>
            <w:vAlign w:val="center"/>
          </w:tcPr>
          <w:p w14:paraId="45963795">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kern w:val="0"/>
                <w:sz w:val="21"/>
                <w:szCs w:val="22"/>
                <w:lang w:eastAsia="zh-CN"/>
                <w14:ligatures w14:val="none"/>
              </w:rPr>
              <w:t>配电间、用电场所内</w:t>
            </w:r>
          </w:p>
        </w:tc>
      </w:tr>
      <w:tr w14:paraId="2024F9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7A8D8E6C">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5</w:t>
            </w:r>
          </w:p>
        </w:tc>
        <w:tc>
          <w:tcPr>
            <w:tcW w:w="712" w:type="pct"/>
            <w:vAlign w:val="center"/>
          </w:tcPr>
          <w:p w14:paraId="239DB46E">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机械伤害</w:t>
            </w:r>
          </w:p>
        </w:tc>
        <w:tc>
          <w:tcPr>
            <w:tcW w:w="970" w:type="pct"/>
            <w:vAlign w:val="center"/>
          </w:tcPr>
          <w:p w14:paraId="7D985CA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人员受伤、设备损坏、财产损失</w:t>
            </w:r>
          </w:p>
        </w:tc>
        <w:tc>
          <w:tcPr>
            <w:tcW w:w="1540" w:type="pct"/>
            <w:vAlign w:val="center"/>
          </w:tcPr>
          <w:p w14:paraId="33F9563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电机、泵类等设备转运或传动部位</w:t>
            </w:r>
          </w:p>
        </w:tc>
        <w:tc>
          <w:tcPr>
            <w:tcW w:w="385" w:type="pct"/>
            <w:vAlign w:val="center"/>
          </w:tcPr>
          <w:p w14:paraId="7F6C5D9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中</w:t>
            </w:r>
          </w:p>
        </w:tc>
        <w:tc>
          <w:tcPr>
            <w:tcW w:w="332" w:type="pct"/>
            <w:vAlign w:val="center"/>
          </w:tcPr>
          <w:p w14:paraId="7B4EF76A">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23DAE8E2">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ascii="Times New Roman" w:hAnsi="Times New Roman" w:eastAsia="宋体" w:cs="宋体"/>
                <w:kern w:val="0"/>
                <w:sz w:val="21"/>
                <w:szCs w:val="22"/>
                <w:lang w:val="zh-CN" w:eastAsia="zh-CN" w:bidi="zh-CN"/>
                <w14:ligatures w14:val="none"/>
              </w:rPr>
              <w:t>罐区</w:t>
            </w:r>
            <w:r>
              <w:rPr>
                <w:rFonts w:hint="eastAsia" w:ascii="Times New Roman" w:hAnsi="Times New Roman" w:eastAsia="宋体" w:cs="宋体"/>
                <w:kern w:val="0"/>
                <w:sz w:val="21"/>
                <w:szCs w:val="22"/>
                <w:lang w:val="zh-CN" w:eastAsia="zh-CN" w:bidi="zh-CN"/>
                <w14:ligatures w14:val="none"/>
              </w:rPr>
              <w:t>、</w:t>
            </w:r>
            <w:r>
              <w:rPr>
                <w:rFonts w:hint="eastAsia" w:ascii="Times New Roman" w:hAnsi="Times New Roman" w:eastAsia="宋体" w:cs="宋体"/>
                <w:kern w:val="0"/>
                <w:sz w:val="21"/>
                <w:szCs w:val="22"/>
                <w:lang w:val="en-US" w:eastAsia="zh-CN" w:bidi="zh-CN"/>
                <w14:ligatures w14:val="none"/>
              </w:rPr>
              <w:t>泵房</w:t>
            </w:r>
          </w:p>
        </w:tc>
      </w:tr>
      <w:tr w14:paraId="562AA8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28967D3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6</w:t>
            </w:r>
          </w:p>
        </w:tc>
        <w:tc>
          <w:tcPr>
            <w:tcW w:w="712" w:type="pct"/>
            <w:vAlign w:val="center"/>
          </w:tcPr>
          <w:p w14:paraId="304DFAB3">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车辆伤害</w:t>
            </w:r>
          </w:p>
        </w:tc>
        <w:tc>
          <w:tcPr>
            <w:tcW w:w="970" w:type="pct"/>
            <w:vAlign w:val="center"/>
          </w:tcPr>
          <w:p w14:paraId="3A977174">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人员伤亡</w:t>
            </w:r>
          </w:p>
        </w:tc>
        <w:tc>
          <w:tcPr>
            <w:tcW w:w="1540" w:type="pct"/>
            <w:vAlign w:val="center"/>
          </w:tcPr>
          <w:p w14:paraId="5EE85378">
            <w:pPr>
              <w:autoSpaceDE w:val="0"/>
              <w:autoSpaceDN w:val="0"/>
              <w:spacing w:after="0" w:line="240" w:lineRule="auto"/>
              <w:jc w:val="center"/>
              <w:rPr>
                <w:rFonts w:hint="default" w:ascii="Times New Roman" w:hAnsi="Times New Roman" w:eastAsia="宋体" w:cs="宋体"/>
                <w:kern w:val="0"/>
                <w:sz w:val="21"/>
                <w:szCs w:val="22"/>
                <w:lang w:val="en-US" w:eastAsia="en-US" w:bidi="zh-CN"/>
                <w14:ligatures w14:val="none"/>
              </w:rPr>
            </w:pPr>
            <w:r>
              <w:rPr>
                <w:rFonts w:hint="eastAsia" w:ascii="Times New Roman" w:hAnsi="Times New Roman" w:eastAsia="宋体" w:cs="宋体"/>
                <w:kern w:val="0"/>
                <w:sz w:val="21"/>
                <w:szCs w:val="22"/>
                <w:lang w:val="zh-CN" w:eastAsia="zh-CN" w:bidi="zh-CN"/>
                <w14:ligatures w14:val="none"/>
              </w:rPr>
              <w:t>厂内道路、装卸</w:t>
            </w:r>
            <w:r>
              <w:rPr>
                <w:rFonts w:hint="eastAsia" w:ascii="Times New Roman" w:hAnsi="Times New Roman" w:eastAsia="宋体" w:cs="宋体"/>
                <w:kern w:val="0"/>
                <w:sz w:val="21"/>
                <w:szCs w:val="22"/>
                <w:lang w:val="en-US" w:eastAsia="zh-CN" w:bidi="zh-CN"/>
                <w14:ligatures w14:val="none"/>
              </w:rPr>
              <w:t>车棚处、火车栈桥处</w:t>
            </w:r>
          </w:p>
        </w:tc>
        <w:tc>
          <w:tcPr>
            <w:tcW w:w="385" w:type="pct"/>
            <w:vAlign w:val="center"/>
          </w:tcPr>
          <w:p w14:paraId="11D704C1">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ascii="Times New Roman" w:hAnsi="Times New Roman" w:eastAsia="宋体" w:cs="宋体"/>
                <w:kern w:val="0"/>
                <w:sz w:val="21"/>
                <w:szCs w:val="22"/>
                <w:lang w:val="zh-CN" w:eastAsia="zh-CN" w:bidi="zh-CN"/>
                <w14:ligatures w14:val="none"/>
              </w:rPr>
              <w:t>低</w:t>
            </w:r>
          </w:p>
        </w:tc>
        <w:tc>
          <w:tcPr>
            <w:tcW w:w="332" w:type="pct"/>
            <w:vAlign w:val="center"/>
          </w:tcPr>
          <w:p w14:paraId="00DE11A5">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ascii="Times New Roman" w:hAnsi="Times New Roman" w:eastAsia="宋体" w:cs="宋体"/>
                <w:kern w:val="0"/>
                <w:sz w:val="21"/>
                <w:szCs w:val="22"/>
                <w:lang w:val="zh-CN" w:eastAsia="zh-CN" w:bidi="zh-CN"/>
                <w14:ligatures w14:val="none"/>
              </w:rPr>
              <w:t>中</w:t>
            </w:r>
          </w:p>
        </w:tc>
        <w:tc>
          <w:tcPr>
            <w:tcW w:w="745" w:type="pct"/>
            <w:vAlign w:val="center"/>
          </w:tcPr>
          <w:p w14:paraId="62579CE3">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厂区内</w:t>
            </w:r>
          </w:p>
        </w:tc>
      </w:tr>
      <w:tr w14:paraId="6C4AED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4BB703DD">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en-US" w:eastAsia="zh-CN" w:bidi="zh-CN"/>
                <w14:ligatures w14:val="none"/>
              </w:rPr>
              <w:t>7</w:t>
            </w:r>
          </w:p>
        </w:tc>
        <w:tc>
          <w:tcPr>
            <w:tcW w:w="712" w:type="pct"/>
            <w:vAlign w:val="center"/>
          </w:tcPr>
          <w:p w14:paraId="471C04C9">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物体打击</w:t>
            </w:r>
          </w:p>
        </w:tc>
        <w:tc>
          <w:tcPr>
            <w:tcW w:w="970" w:type="pct"/>
            <w:vAlign w:val="center"/>
          </w:tcPr>
          <w:p w14:paraId="18F06226">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人员受伤</w:t>
            </w:r>
          </w:p>
        </w:tc>
        <w:tc>
          <w:tcPr>
            <w:tcW w:w="1540" w:type="pct"/>
            <w:vAlign w:val="center"/>
          </w:tcPr>
          <w:p w14:paraId="58F1F816">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厂区内</w:t>
            </w:r>
          </w:p>
        </w:tc>
        <w:tc>
          <w:tcPr>
            <w:tcW w:w="385" w:type="pct"/>
            <w:vAlign w:val="center"/>
          </w:tcPr>
          <w:p w14:paraId="55C74B3E">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332" w:type="pct"/>
            <w:vAlign w:val="center"/>
          </w:tcPr>
          <w:p w14:paraId="599E6EE6">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2E11648B">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厂区内</w:t>
            </w:r>
          </w:p>
        </w:tc>
      </w:tr>
      <w:tr w14:paraId="7C305E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117513A5">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hint="eastAsia" w:ascii="Times New Roman" w:hAnsi="Times New Roman" w:eastAsia="宋体" w:cs="宋体"/>
                <w:kern w:val="0"/>
                <w:sz w:val="21"/>
                <w:szCs w:val="22"/>
                <w:lang w:val="en-US" w:eastAsia="zh-CN" w:bidi="zh-CN"/>
                <w14:ligatures w14:val="none"/>
              </w:rPr>
              <w:t>8</w:t>
            </w:r>
          </w:p>
        </w:tc>
        <w:tc>
          <w:tcPr>
            <w:tcW w:w="712" w:type="pct"/>
            <w:vAlign w:val="center"/>
          </w:tcPr>
          <w:p w14:paraId="537F6799">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高处坠落</w:t>
            </w:r>
          </w:p>
        </w:tc>
        <w:tc>
          <w:tcPr>
            <w:tcW w:w="970" w:type="pct"/>
            <w:vAlign w:val="center"/>
          </w:tcPr>
          <w:p w14:paraId="59B63D6F">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人员伤亡</w:t>
            </w:r>
          </w:p>
        </w:tc>
        <w:tc>
          <w:tcPr>
            <w:tcW w:w="1540" w:type="pct"/>
            <w:vAlign w:val="center"/>
          </w:tcPr>
          <w:p w14:paraId="3F5FB7E5">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hint="eastAsia" w:ascii="Times New Roman" w:hAnsi="Times New Roman" w:eastAsia="宋体" w:cs="宋体"/>
                <w:kern w:val="0"/>
                <w:sz w:val="21"/>
                <w:szCs w:val="22"/>
                <w:lang w:val="zh-CN" w:eastAsia="zh-CN" w:bidi="zh-CN"/>
                <w14:ligatures w14:val="none"/>
              </w:rPr>
              <w:t>罐区、</w:t>
            </w:r>
            <w:r>
              <w:rPr>
                <w:rFonts w:hint="eastAsia" w:ascii="Times New Roman" w:hAnsi="Times New Roman" w:eastAsia="宋体" w:cs="宋体"/>
                <w:kern w:val="0"/>
                <w:sz w:val="21"/>
                <w:szCs w:val="22"/>
                <w:lang w:val="en-US" w:eastAsia="zh-CN" w:bidi="zh-CN"/>
                <w14:ligatures w14:val="none"/>
              </w:rPr>
              <w:t>办公楼、火车栈桥处等</w:t>
            </w:r>
          </w:p>
        </w:tc>
        <w:tc>
          <w:tcPr>
            <w:tcW w:w="385" w:type="pct"/>
            <w:vAlign w:val="center"/>
          </w:tcPr>
          <w:p w14:paraId="561EAD99">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中</w:t>
            </w:r>
          </w:p>
        </w:tc>
        <w:tc>
          <w:tcPr>
            <w:tcW w:w="332" w:type="pct"/>
            <w:vAlign w:val="center"/>
          </w:tcPr>
          <w:p w14:paraId="71F6A583">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1E38981D">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en-US" w:eastAsia="zh-CN" w:bidi="zh-CN"/>
                <w14:ligatures w14:val="none"/>
              </w:rPr>
              <w:t>厂区内</w:t>
            </w:r>
          </w:p>
        </w:tc>
      </w:tr>
      <w:tr w14:paraId="39B88B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66A1CB3D">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en-US" w:eastAsia="zh-CN" w:bidi="zh-CN"/>
                <w14:ligatures w14:val="none"/>
              </w:rPr>
              <w:t>9</w:t>
            </w:r>
          </w:p>
        </w:tc>
        <w:tc>
          <w:tcPr>
            <w:tcW w:w="712" w:type="pct"/>
            <w:vAlign w:val="center"/>
          </w:tcPr>
          <w:p w14:paraId="67FEC3E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淹溺</w:t>
            </w:r>
          </w:p>
        </w:tc>
        <w:tc>
          <w:tcPr>
            <w:tcW w:w="970" w:type="pct"/>
            <w:vAlign w:val="center"/>
          </w:tcPr>
          <w:p w14:paraId="33ADEEC6">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人员伤亡</w:t>
            </w:r>
          </w:p>
        </w:tc>
        <w:tc>
          <w:tcPr>
            <w:tcW w:w="1540" w:type="pct"/>
            <w:vAlign w:val="center"/>
          </w:tcPr>
          <w:p w14:paraId="32ADFFD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消防水池、事故水池</w:t>
            </w:r>
          </w:p>
        </w:tc>
        <w:tc>
          <w:tcPr>
            <w:tcW w:w="385" w:type="pct"/>
            <w:vAlign w:val="center"/>
          </w:tcPr>
          <w:p w14:paraId="583BBF4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中</w:t>
            </w:r>
          </w:p>
        </w:tc>
        <w:tc>
          <w:tcPr>
            <w:tcW w:w="332" w:type="pct"/>
            <w:vAlign w:val="center"/>
          </w:tcPr>
          <w:p w14:paraId="072501A6">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31BCF966">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厂区内</w:t>
            </w:r>
          </w:p>
        </w:tc>
      </w:tr>
      <w:tr w14:paraId="6D8148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113E08E4">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hint="eastAsia" w:ascii="Times New Roman" w:hAnsi="Times New Roman" w:eastAsia="宋体" w:cs="宋体"/>
                <w:kern w:val="0"/>
                <w:sz w:val="21"/>
                <w:szCs w:val="22"/>
                <w:lang w:val="en-US" w:eastAsia="zh-CN" w:bidi="zh-CN"/>
                <w14:ligatures w14:val="none"/>
              </w:rPr>
              <w:t>10</w:t>
            </w:r>
          </w:p>
        </w:tc>
        <w:tc>
          <w:tcPr>
            <w:tcW w:w="1313" w:type="dxa"/>
            <w:vAlign w:val="center"/>
          </w:tcPr>
          <w:p w14:paraId="05A65377">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hint="eastAsia" w:ascii="Times New Roman" w:hAnsi="Times New Roman" w:eastAsia="宋体" w:cs="宋体"/>
                <w:kern w:val="0"/>
                <w:sz w:val="21"/>
                <w:szCs w:val="22"/>
                <w:lang w:val="en-US" w:eastAsia="zh-CN" w:bidi="zh-CN"/>
                <w14:ligatures w14:val="none"/>
              </w:rPr>
              <w:t>坍塌</w:t>
            </w:r>
          </w:p>
        </w:tc>
        <w:tc>
          <w:tcPr>
            <w:tcW w:w="1788" w:type="dxa"/>
            <w:vAlign w:val="center"/>
          </w:tcPr>
          <w:p w14:paraId="1D6AA3D6">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人员伤亡</w:t>
            </w:r>
          </w:p>
        </w:tc>
        <w:tc>
          <w:tcPr>
            <w:tcW w:w="2839" w:type="dxa"/>
            <w:vAlign w:val="center"/>
          </w:tcPr>
          <w:p w14:paraId="373EB635">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装卸</w:t>
            </w:r>
            <w:r>
              <w:rPr>
                <w:rFonts w:hint="eastAsia" w:ascii="Times New Roman" w:hAnsi="Times New Roman" w:eastAsia="宋体" w:cs="宋体"/>
                <w:kern w:val="0"/>
                <w:sz w:val="21"/>
                <w:szCs w:val="22"/>
                <w:lang w:val="en-US" w:eastAsia="zh-CN" w:bidi="zh-CN"/>
                <w14:ligatures w14:val="none"/>
              </w:rPr>
              <w:t>车棚、火车栈桥处</w:t>
            </w:r>
          </w:p>
        </w:tc>
        <w:tc>
          <w:tcPr>
            <w:tcW w:w="710" w:type="dxa"/>
            <w:vAlign w:val="center"/>
          </w:tcPr>
          <w:p w14:paraId="06CCEB7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612" w:type="dxa"/>
            <w:vAlign w:val="center"/>
          </w:tcPr>
          <w:p w14:paraId="59F1918D">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中</w:t>
            </w:r>
          </w:p>
        </w:tc>
        <w:tc>
          <w:tcPr>
            <w:tcW w:w="1375" w:type="dxa"/>
            <w:vAlign w:val="center"/>
          </w:tcPr>
          <w:p w14:paraId="3AA30FE6">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厂区内</w:t>
            </w:r>
          </w:p>
        </w:tc>
      </w:tr>
      <w:tr w14:paraId="312229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2D8743A3">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hint="eastAsia" w:ascii="Times New Roman" w:hAnsi="Times New Roman" w:eastAsia="宋体" w:cs="宋体"/>
                <w:kern w:val="0"/>
                <w:sz w:val="21"/>
                <w:szCs w:val="22"/>
                <w:lang w:val="en-US" w:eastAsia="zh-CN" w:bidi="zh-CN"/>
                <w14:ligatures w14:val="none"/>
              </w:rPr>
              <w:t>11</w:t>
            </w:r>
          </w:p>
        </w:tc>
        <w:tc>
          <w:tcPr>
            <w:tcW w:w="1313" w:type="dxa"/>
            <w:vAlign w:val="center"/>
          </w:tcPr>
          <w:p w14:paraId="7A6A90A2">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hint="eastAsia" w:ascii="Times New Roman" w:hAnsi="Times New Roman" w:eastAsia="宋体" w:cs="宋体"/>
                <w:kern w:val="0"/>
                <w:sz w:val="21"/>
                <w:szCs w:val="22"/>
                <w:lang w:val="en-US" w:eastAsia="zh-CN" w:bidi="zh-CN"/>
                <w14:ligatures w14:val="none"/>
              </w:rPr>
              <w:t>自然灾害</w:t>
            </w:r>
          </w:p>
        </w:tc>
        <w:tc>
          <w:tcPr>
            <w:tcW w:w="1788" w:type="dxa"/>
            <w:vAlign w:val="center"/>
          </w:tcPr>
          <w:p w14:paraId="2DFE7ACF">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人员伤亡</w:t>
            </w:r>
          </w:p>
        </w:tc>
        <w:tc>
          <w:tcPr>
            <w:tcW w:w="2839" w:type="dxa"/>
            <w:vAlign w:val="center"/>
          </w:tcPr>
          <w:p w14:paraId="5B0BFA3B">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罐区、装卸</w:t>
            </w:r>
            <w:r>
              <w:rPr>
                <w:rFonts w:hint="eastAsia" w:ascii="Times New Roman" w:hAnsi="Times New Roman" w:eastAsia="宋体" w:cs="宋体"/>
                <w:kern w:val="0"/>
                <w:sz w:val="21"/>
                <w:szCs w:val="22"/>
                <w:lang w:val="en-US" w:eastAsia="zh-CN" w:bidi="zh-CN"/>
                <w14:ligatures w14:val="none"/>
              </w:rPr>
              <w:t>车棚</w:t>
            </w:r>
            <w:r>
              <w:rPr>
                <w:rFonts w:hint="eastAsia" w:ascii="Times New Roman" w:hAnsi="Times New Roman" w:eastAsia="宋体" w:cs="宋体"/>
                <w:kern w:val="0"/>
                <w:sz w:val="21"/>
                <w:szCs w:val="22"/>
                <w:lang w:val="zh-CN" w:eastAsia="zh-CN" w:bidi="zh-CN"/>
                <w14:ligatures w14:val="none"/>
              </w:rPr>
              <w:t>、</w:t>
            </w:r>
            <w:r>
              <w:rPr>
                <w:rFonts w:hint="eastAsia" w:ascii="Times New Roman" w:hAnsi="Times New Roman" w:eastAsia="宋体" w:cs="宋体"/>
                <w:kern w:val="0"/>
                <w:sz w:val="21"/>
                <w:szCs w:val="22"/>
                <w:lang w:val="en-US" w:eastAsia="zh-CN" w:bidi="zh-CN"/>
                <w14:ligatures w14:val="none"/>
              </w:rPr>
              <w:t>办公楼</w:t>
            </w:r>
            <w:r>
              <w:rPr>
                <w:rFonts w:hint="eastAsia" w:ascii="Times New Roman" w:hAnsi="Times New Roman" w:eastAsia="宋体" w:cs="宋体"/>
                <w:kern w:val="0"/>
                <w:sz w:val="21"/>
                <w:szCs w:val="22"/>
                <w:lang w:val="zh-CN" w:eastAsia="zh-CN" w:bidi="zh-CN"/>
                <w14:ligatures w14:val="none"/>
              </w:rPr>
              <w:t>等</w:t>
            </w:r>
          </w:p>
        </w:tc>
        <w:tc>
          <w:tcPr>
            <w:tcW w:w="710" w:type="dxa"/>
            <w:vAlign w:val="center"/>
          </w:tcPr>
          <w:p w14:paraId="648358E2">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en-US" w:eastAsia="zh-CN" w:bidi="zh-CN"/>
                <w14:ligatures w14:val="none"/>
              </w:rPr>
              <w:t>中</w:t>
            </w:r>
          </w:p>
        </w:tc>
        <w:tc>
          <w:tcPr>
            <w:tcW w:w="612" w:type="dxa"/>
            <w:vAlign w:val="center"/>
          </w:tcPr>
          <w:p w14:paraId="4574B902">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en-US" w:eastAsia="zh-CN" w:bidi="zh-CN"/>
                <w14:ligatures w14:val="none"/>
              </w:rPr>
              <w:t>低</w:t>
            </w:r>
          </w:p>
        </w:tc>
        <w:tc>
          <w:tcPr>
            <w:tcW w:w="1375" w:type="dxa"/>
            <w:vAlign w:val="center"/>
          </w:tcPr>
          <w:p w14:paraId="34481927">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厂区内</w:t>
            </w:r>
          </w:p>
        </w:tc>
      </w:tr>
    </w:tbl>
    <w:p w14:paraId="6D655D9F">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16" w:name="_Toc3361"/>
      <w:r>
        <w:rPr>
          <w:rFonts w:hint="eastAsia" w:ascii="Times New Roman" w:hAnsi="Times New Roman" w:eastAsia="楷体" w:cs="黑体"/>
          <w:b/>
          <w:sz w:val="32"/>
          <w:szCs w:val="32"/>
          <w14:ligatures w14:val="none"/>
        </w:rPr>
        <w:t>3.4周边环境及自然条件分析</w:t>
      </w:r>
      <w:bookmarkEnd w:id="116"/>
    </w:p>
    <w:p w14:paraId="64C5916C">
      <w:pPr>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3.4.1周边环境影响</w:t>
      </w:r>
    </w:p>
    <w:p w14:paraId="0A68D566">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该企业厂区地理位置优越，交通便利。厂区内设备、设施与厂外建、构筑物防火间距均满足规范要求。南京安元科技有限公司出具的区域定量风险分析报告基于风险的区域总体外部安全防护距离</w:t>
      </w:r>
      <w:r>
        <w:rPr>
          <w:rFonts w:hint="eastAsia" w:ascii="Times New Roman" w:hAnsi="Times New Roman" w:eastAsia="宋体" w:cs="Times New Roman"/>
          <w:sz w:val="28"/>
          <w:szCs w:val="28"/>
          <w:lang w:val="en-US" w:eastAsia="zh-CN"/>
          <w14:ligatures w14:val="none"/>
        </w:rPr>
        <w:t>结果为符合要求，</w:t>
      </w:r>
      <w:r>
        <w:rPr>
          <w:rFonts w:hint="eastAsia" w:ascii="Times New Roman" w:hAnsi="Times New Roman" w:eastAsia="宋体" w:cs="Times New Roman"/>
          <w:sz w:val="28"/>
          <w:szCs w:val="28"/>
          <w14:ligatures w14:val="none"/>
        </w:rPr>
        <w:t>正常生产情况下，</w:t>
      </w:r>
      <w:r>
        <w:rPr>
          <w:rFonts w:hint="eastAsia" w:ascii="Times New Roman" w:hAnsi="Times New Roman" w:eastAsia="宋体" w:cs="Times New Roman"/>
          <w:sz w:val="28"/>
          <w:szCs w:val="28"/>
          <w:lang w:eastAsia="zh-CN"/>
          <w14:ligatures w14:val="none"/>
        </w:rPr>
        <w:t>国能安储（东港）燃料供应有限公司</w:t>
      </w:r>
      <w:r>
        <w:rPr>
          <w:rFonts w:hint="eastAsia" w:ascii="Times New Roman" w:hAnsi="Times New Roman" w:eastAsia="宋体" w:cs="Times New Roman"/>
          <w:sz w:val="28"/>
          <w:szCs w:val="28"/>
          <w14:ligatures w14:val="none"/>
        </w:rPr>
        <w:t>的经营活动与周边环境互不构成安全影响。</w:t>
      </w:r>
    </w:p>
    <w:p w14:paraId="72CF5283">
      <w:pPr>
        <w:keepNext/>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3.4.2地震</w:t>
      </w:r>
    </w:p>
    <w:p w14:paraId="169D6F18">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val="en-US" w:eastAsia="zh-CN"/>
          <w14:ligatures w14:val="none"/>
        </w:rPr>
        <w:t>丹东东港市的抗震设防烈度为8度</w:t>
      </w:r>
      <w:r>
        <w:rPr>
          <w:rFonts w:hint="eastAsia" w:ascii="Times New Roman" w:hAnsi="Times New Roman" w:eastAsia="宋体" w:cs="Times New Roman"/>
          <w:sz w:val="28"/>
          <w:szCs w:val="28"/>
          <w14:ligatures w14:val="none"/>
        </w:rPr>
        <w:t>，如果设防不当，发生地震时会对建（构）筑物造成损坏甚至发生坍塌事故，导致建、构筑物，</w:t>
      </w:r>
      <w:r>
        <w:rPr>
          <w:rFonts w:hint="eastAsia" w:ascii="Times New Roman" w:hAnsi="Times New Roman" w:eastAsia="宋体" w:cs="Times New Roman"/>
          <w:sz w:val="28"/>
          <w:szCs w:val="28"/>
          <w:lang w:val="en-US" w:eastAsia="zh-CN"/>
          <w14:ligatures w14:val="none"/>
        </w:rPr>
        <w:t>柴油</w:t>
      </w:r>
      <w:r>
        <w:rPr>
          <w:rFonts w:hint="eastAsia" w:ascii="Times New Roman" w:hAnsi="Times New Roman" w:eastAsia="宋体" w:cs="Times New Roman"/>
          <w:sz w:val="28"/>
          <w:szCs w:val="28"/>
          <w14:ligatures w14:val="none"/>
        </w:rPr>
        <w:t>储罐、</w:t>
      </w:r>
      <w:r>
        <w:rPr>
          <w:rFonts w:hint="eastAsia" w:ascii="Times New Roman" w:hAnsi="Times New Roman" w:eastAsia="宋体" w:cs="Times New Roman"/>
          <w:sz w:val="28"/>
          <w:szCs w:val="28"/>
          <w:lang w:val="en-US" w:eastAsia="zh-CN"/>
          <w14:ligatures w14:val="none"/>
        </w:rPr>
        <w:t>泵</w:t>
      </w:r>
      <w:r>
        <w:rPr>
          <w:rFonts w:hint="eastAsia" w:ascii="Times New Roman" w:hAnsi="Times New Roman" w:eastAsia="宋体" w:cs="Times New Roman"/>
          <w:sz w:val="28"/>
          <w:szCs w:val="28"/>
          <w14:ligatures w14:val="none"/>
        </w:rPr>
        <w:t>、</w:t>
      </w:r>
      <w:r>
        <w:rPr>
          <w:rFonts w:hint="eastAsia" w:ascii="Times New Roman" w:hAnsi="Times New Roman" w:eastAsia="宋体" w:cs="Times New Roman"/>
          <w:sz w:val="28"/>
          <w:szCs w:val="28"/>
          <w:lang w:val="en-US" w:eastAsia="zh-CN"/>
          <w14:ligatures w14:val="none"/>
        </w:rPr>
        <w:t>输油</w:t>
      </w:r>
      <w:r>
        <w:rPr>
          <w:rFonts w:hint="eastAsia" w:ascii="Times New Roman" w:hAnsi="Times New Roman" w:eastAsia="宋体" w:cs="Times New Roman"/>
          <w:sz w:val="28"/>
          <w:szCs w:val="28"/>
          <w14:ligatures w14:val="none"/>
        </w:rPr>
        <w:t>管线等损坏，其直接后果是发生</w:t>
      </w:r>
      <w:r>
        <w:rPr>
          <w:rFonts w:hint="eastAsia" w:ascii="Times New Roman" w:hAnsi="Times New Roman" w:eastAsia="宋体" w:cs="Times New Roman"/>
          <w:sz w:val="28"/>
          <w:szCs w:val="28"/>
          <w:lang w:val="en-US" w:eastAsia="zh-CN"/>
          <w14:ligatures w14:val="none"/>
        </w:rPr>
        <w:t>柴油</w:t>
      </w:r>
      <w:r>
        <w:rPr>
          <w:rFonts w:hint="eastAsia" w:ascii="Times New Roman" w:hAnsi="Times New Roman" w:eastAsia="宋体" w:cs="Times New Roman"/>
          <w:sz w:val="28"/>
          <w:szCs w:val="28"/>
          <w14:ligatures w14:val="none"/>
        </w:rPr>
        <w:t>大量泄漏，造成人员伤害、财产损失。</w:t>
      </w:r>
    </w:p>
    <w:p w14:paraId="30BB96CE">
      <w:pPr>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3.4.3雷电</w:t>
      </w:r>
    </w:p>
    <w:p w14:paraId="27952152">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雷电引发火灾情况大体有三种：一是雷电直接击中建筑物产生大量热，从而引起可燃物质发生火灾；二是感应雷会造成建筑物内导线接地不良的金属物导体和大型的金属设备放电而引起电火花，从而引起火灾；三是在雷电闪击时会形成感应电磁场，对建筑物内的电子设备造成干扰、破坏，又或者使周围的金属构件产生感应电流，从而产生大量的热而引起火灾。故一旦建筑物没有设置可靠的防雷设施或是防雷设施失效，均有可能引发雷电火灾。</w:t>
      </w:r>
    </w:p>
    <w:p w14:paraId="1F2C2161">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雷电放电会产生高达几万乃至数百万伏的冲击电压，足以烧毁电气元件设备，引起绝缘击穿发生短路导致事故。雷电放电产生的上千安的电流通过导体在极短时间内转换成大量的热能可造成易燃物燃烧或金属熔化、飞溅而引发事故。雷电袭击在架空线路、架空管道可产生冲击电压，使雷电波沿线路或管道迅速侵入建筑物内可造成电气线路、绝缘层击穿，发生事故。一旦防雷装置设计不合理、安装存在缺陷、装置失效、防雷接地体接地电阻不符合要求会造成雷电伤害。</w:t>
      </w:r>
    </w:p>
    <w:p w14:paraId="7B0950DD">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当建构筑物受到雷电袭击时，会形成过电流和过电压，电线电缆、电气设备及开关等由于接地不良、电缆破损等原因，有可能发生电气大火。因此，应经常检查电气设施的完好性，定期对防雷防静电设施进行检验检测。</w:t>
      </w:r>
    </w:p>
    <w:p w14:paraId="2F702B31">
      <w:pPr>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3.4.4暴雨</w:t>
      </w:r>
    </w:p>
    <w:p w14:paraId="7D35C8D8">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该区域年平均降雨量为</w:t>
      </w:r>
      <w:r>
        <w:rPr>
          <w:rFonts w:hint="eastAsia" w:ascii="Times New Roman" w:hAnsi="Times New Roman" w:eastAsia="宋体" w:cs="Times New Roman"/>
          <w:sz w:val="28"/>
          <w:szCs w:val="28"/>
          <w:lang w:val="en-US" w:eastAsia="zh-CN"/>
          <w14:ligatures w14:val="none"/>
        </w:rPr>
        <w:t>614.7</w:t>
      </w:r>
      <w:r>
        <w:rPr>
          <w:rFonts w:hint="eastAsia" w:ascii="Times New Roman" w:hAnsi="Times New Roman" w:eastAsia="宋体" w:cs="Times New Roman"/>
          <w:sz w:val="28"/>
          <w:szCs w:val="28"/>
          <w14:ligatures w14:val="none"/>
        </w:rPr>
        <w:t>mm，降水多集中在7、8月份，一旦发生洪水或雨量过大时，若排水不畅，会造成雨水阻滞，水淹</w:t>
      </w:r>
      <w:r>
        <w:rPr>
          <w:rFonts w:hint="eastAsia" w:ascii="Times New Roman" w:hAnsi="Times New Roman" w:eastAsia="宋体" w:cs="Times New Roman"/>
          <w:sz w:val="28"/>
          <w:szCs w:val="28"/>
          <w:lang w:val="en-US" w:eastAsia="zh-CN"/>
          <w14:ligatures w14:val="none"/>
        </w:rPr>
        <w:t>罐区</w:t>
      </w:r>
      <w:r>
        <w:rPr>
          <w:rFonts w:hint="eastAsia" w:ascii="Times New Roman" w:hAnsi="Times New Roman" w:eastAsia="宋体" w:cs="Times New Roman"/>
          <w:sz w:val="28"/>
          <w:szCs w:val="28"/>
          <w14:ligatures w14:val="none"/>
        </w:rPr>
        <w:t>，进而可能损毁设备、设施，一旦装置基础受雨水冲刷下陷，则可能发生设备或</w:t>
      </w:r>
      <w:r>
        <w:rPr>
          <w:rFonts w:hint="eastAsia" w:ascii="Times New Roman" w:hAnsi="Times New Roman" w:eastAsia="宋体" w:cs="Times New Roman"/>
          <w:sz w:val="28"/>
          <w:szCs w:val="28"/>
          <w:lang w:val="en-US" w:eastAsia="zh-CN"/>
          <w14:ligatures w14:val="none"/>
        </w:rPr>
        <w:t>储罐</w:t>
      </w:r>
      <w:r>
        <w:rPr>
          <w:rFonts w:hint="eastAsia" w:ascii="Times New Roman" w:hAnsi="Times New Roman" w:eastAsia="宋体" w:cs="Times New Roman"/>
          <w:sz w:val="28"/>
          <w:szCs w:val="28"/>
          <w14:ligatures w14:val="none"/>
        </w:rPr>
        <w:t>坍塌，还可能危及生命财产安全。</w:t>
      </w:r>
    </w:p>
    <w:p w14:paraId="136702B4">
      <w:pPr>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r>
        <w:rPr>
          <w:rFonts w:hint="eastAsia" w:ascii="Times New Roman" w:hAnsi="Times New Roman" w:eastAsia="黑体" w:cs="Times New Roman"/>
          <w:b/>
          <w:sz w:val="28"/>
          <w:szCs w:val="32"/>
          <w14:ligatures w14:val="none"/>
        </w:rPr>
        <w:t>3.4.5暴雪</w:t>
      </w:r>
    </w:p>
    <w:p w14:paraId="06C2A43D">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在严寒的冬季，大雪过后屋盖结构不仅产生较大的残余变形，有时还会导致结构破坏。而在屋面低凹处更为严重，由于雪的堆积而形成局部地区很大的超载。同时，积雪熔化期间会在屋檐处形成冰锥，若不及时清理，大块冰锥整体掉落可引发物体打击。</w:t>
      </w:r>
    </w:p>
    <w:p w14:paraId="3E68C3E5">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17" w:name="_Toc29631"/>
      <w:bookmarkStart w:id="118" w:name="_Toc163051353"/>
      <w:bookmarkStart w:id="119" w:name="_Toc479257174"/>
      <w:r>
        <w:rPr>
          <w:rFonts w:ascii="Times New Roman" w:hAnsi="Times New Roman" w:eastAsia="楷体" w:cs="黑体"/>
          <w:b/>
          <w:sz w:val="32"/>
          <w:szCs w:val="32"/>
          <w14:ligatures w14:val="none"/>
        </w:rPr>
        <w:t>3.</w:t>
      </w:r>
      <w:r>
        <w:rPr>
          <w:rFonts w:hint="eastAsia" w:ascii="Times New Roman" w:hAnsi="Times New Roman" w:eastAsia="楷体" w:cs="黑体"/>
          <w:b/>
          <w:sz w:val="32"/>
          <w:szCs w:val="32"/>
          <w14:ligatures w14:val="none"/>
        </w:rPr>
        <w:t>5“</w:t>
      </w:r>
      <w:r>
        <w:rPr>
          <w:rFonts w:ascii="Times New Roman" w:hAnsi="Times New Roman" w:eastAsia="楷体" w:cs="黑体"/>
          <w:b/>
          <w:sz w:val="32"/>
          <w:szCs w:val="32"/>
          <w14:ligatures w14:val="none"/>
        </w:rPr>
        <w:t>两重点、一重大</w:t>
      </w:r>
      <w:r>
        <w:rPr>
          <w:rFonts w:hint="eastAsia" w:ascii="Times New Roman" w:hAnsi="Times New Roman" w:eastAsia="楷体" w:cs="黑体"/>
          <w:b/>
          <w:sz w:val="32"/>
          <w:szCs w:val="32"/>
          <w14:ligatures w14:val="none"/>
        </w:rPr>
        <w:t>”</w:t>
      </w:r>
      <w:r>
        <w:rPr>
          <w:rFonts w:ascii="Times New Roman" w:hAnsi="Times New Roman" w:eastAsia="楷体" w:cs="黑体"/>
          <w:b/>
          <w:sz w:val="32"/>
          <w:szCs w:val="32"/>
          <w14:ligatures w14:val="none"/>
        </w:rPr>
        <w:t>辨识</w:t>
      </w:r>
      <w:bookmarkEnd w:id="117"/>
      <w:bookmarkEnd w:id="118"/>
      <w:bookmarkEnd w:id="119"/>
    </w:p>
    <w:p w14:paraId="542FFA89">
      <w:pPr>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bookmarkStart w:id="120" w:name="_Toc479257175"/>
      <w:bookmarkStart w:id="121" w:name="_Toc423599728"/>
      <w:r>
        <w:rPr>
          <w:rFonts w:ascii="Times New Roman" w:hAnsi="Times New Roman" w:eastAsia="黑体" w:cs="Times New Roman"/>
          <w:b/>
          <w:sz w:val="28"/>
          <w:szCs w:val="32"/>
          <w14:ligatures w14:val="none"/>
        </w:rPr>
        <w:t>3.</w:t>
      </w:r>
      <w:r>
        <w:rPr>
          <w:rFonts w:hint="eastAsia" w:ascii="Times New Roman" w:hAnsi="Times New Roman" w:eastAsia="黑体" w:cs="Times New Roman"/>
          <w:b/>
          <w:sz w:val="28"/>
          <w:szCs w:val="32"/>
          <w14:ligatures w14:val="none"/>
        </w:rPr>
        <w:t>5</w:t>
      </w:r>
      <w:r>
        <w:rPr>
          <w:rFonts w:ascii="Times New Roman" w:hAnsi="Times New Roman" w:eastAsia="黑体" w:cs="Times New Roman"/>
          <w:b/>
          <w:sz w:val="28"/>
          <w:szCs w:val="32"/>
          <w14:ligatures w14:val="none"/>
        </w:rPr>
        <w:t>.1重大危险源辨识</w:t>
      </w:r>
      <w:bookmarkEnd w:id="120"/>
      <w:bookmarkEnd w:id="121"/>
    </w:p>
    <w:p w14:paraId="51598687">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（1）辨识依据</w:t>
      </w:r>
    </w:p>
    <w:p w14:paraId="728ACC18">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对重大危险源的辨识主要是依据《危险化学品重大危险源辨识》（GB 18218-2018）。</w:t>
      </w:r>
    </w:p>
    <w:p w14:paraId="51C4B9DE">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危险化学品重大危险源是长期地或临时地生产、储存、使用和经营危险化学品，且危险化学品的数量等于或超过临界量的单元。</w:t>
      </w:r>
    </w:p>
    <w:p w14:paraId="031B4AF3">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危险化学品重大危险源的辨识依据是危险化学品的危险特性及其数量。</w:t>
      </w:r>
    </w:p>
    <w:p w14:paraId="491702D3">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重大危险源的辨识指标有两种情况：</w:t>
      </w:r>
    </w:p>
    <w:p w14:paraId="12D43B7D">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1）单元内存在的危险物质为单一品种，则该物质的数量即为单元内危险物质的总量，若等于或超过相应的临界量，则定为重大危险源。</w:t>
      </w:r>
    </w:p>
    <w:p w14:paraId="72FAE4ED">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2）单元内存在的危险物质为多品种时，则按下式计算，若满足下式，则定为重大危险源。</w:t>
      </w:r>
    </w:p>
    <w:p w14:paraId="1E2D52FC">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S=q</w:t>
      </w:r>
      <w:r>
        <w:rPr>
          <w:rFonts w:hint="eastAsia" w:ascii="Times New Roman" w:hAnsi="Times New Roman" w:eastAsia="宋体" w:cstheme="minorBidi"/>
          <w:kern w:val="2"/>
          <w:sz w:val="28"/>
          <w:szCs w:val="24"/>
          <w:vertAlign w:val="subscript"/>
          <w:lang w:val="en-US" w:eastAsia="zh-CN" w:bidi="ar-SA"/>
          <w14:ligatures w14:val="standardContextual"/>
        </w:rPr>
        <w:t>1</w:t>
      </w:r>
      <w:r>
        <w:rPr>
          <w:rFonts w:hint="eastAsia" w:ascii="Times New Roman" w:hAnsi="Times New Roman" w:eastAsia="宋体" w:cstheme="minorBidi"/>
          <w:kern w:val="2"/>
          <w:sz w:val="28"/>
          <w:szCs w:val="24"/>
          <w:lang w:val="en-US" w:eastAsia="zh-CN" w:bidi="ar-SA"/>
          <w14:ligatures w14:val="standardContextual"/>
        </w:rPr>
        <w:t>/Q</w:t>
      </w:r>
      <w:r>
        <w:rPr>
          <w:rFonts w:hint="eastAsia" w:ascii="Times New Roman" w:hAnsi="Times New Roman" w:eastAsia="宋体" w:cstheme="minorBidi"/>
          <w:kern w:val="2"/>
          <w:sz w:val="28"/>
          <w:szCs w:val="24"/>
          <w:vertAlign w:val="subscript"/>
          <w:lang w:val="en-US" w:eastAsia="zh-CN" w:bidi="ar-SA"/>
          <w14:ligatures w14:val="standardContextual"/>
        </w:rPr>
        <w:t>1</w:t>
      </w:r>
      <w:r>
        <w:rPr>
          <w:rFonts w:hint="eastAsia" w:ascii="Times New Roman" w:hAnsi="Times New Roman" w:eastAsia="宋体" w:cstheme="minorBidi"/>
          <w:kern w:val="2"/>
          <w:sz w:val="28"/>
          <w:szCs w:val="24"/>
          <w:lang w:val="en-US" w:eastAsia="zh-CN" w:bidi="ar-SA"/>
          <w14:ligatures w14:val="standardContextual"/>
        </w:rPr>
        <w:t>+q</w:t>
      </w:r>
      <w:r>
        <w:rPr>
          <w:rFonts w:hint="eastAsia" w:ascii="Times New Roman" w:hAnsi="Times New Roman" w:eastAsia="宋体" w:cstheme="minorBidi"/>
          <w:kern w:val="2"/>
          <w:sz w:val="28"/>
          <w:szCs w:val="24"/>
          <w:vertAlign w:val="subscript"/>
          <w:lang w:val="en-US" w:eastAsia="zh-CN" w:bidi="ar-SA"/>
          <w14:ligatures w14:val="standardContextual"/>
        </w:rPr>
        <w:t>2</w:t>
      </w:r>
      <w:r>
        <w:rPr>
          <w:rFonts w:hint="eastAsia" w:ascii="Times New Roman" w:hAnsi="Times New Roman" w:eastAsia="宋体" w:cstheme="minorBidi"/>
          <w:kern w:val="2"/>
          <w:sz w:val="28"/>
          <w:szCs w:val="24"/>
          <w:lang w:val="en-US" w:eastAsia="zh-CN" w:bidi="ar-SA"/>
          <w14:ligatures w14:val="standardContextual"/>
        </w:rPr>
        <w:t>/Q</w:t>
      </w:r>
      <w:r>
        <w:rPr>
          <w:rFonts w:hint="eastAsia" w:ascii="Times New Roman" w:hAnsi="Times New Roman" w:eastAsia="宋体" w:cstheme="minorBidi"/>
          <w:kern w:val="2"/>
          <w:sz w:val="28"/>
          <w:szCs w:val="24"/>
          <w:vertAlign w:val="subscript"/>
          <w:lang w:val="en-US" w:eastAsia="zh-CN" w:bidi="ar-SA"/>
          <w14:ligatures w14:val="standardContextual"/>
        </w:rPr>
        <w:t>2</w:t>
      </w:r>
      <w:r>
        <w:rPr>
          <w:rFonts w:hint="eastAsia" w:ascii="Times New Roman" w:hAnsi="Times New Roman" w:eastAsia="宋体" w:cstheme="minorBidi"/>
          <w:kern w:val="2"/>
          <w:sz w:val="28"/>
          <w:szCs w:val="24"/>
          <w:lang w:val="en-US" w:eastAsia="zh-CN" w:bidi="ar-SA"/>
          <w14:ligatures w14:val="standardContextual"/>
        </w:rPr>
        <w:t>+…+q</w:t>
      </w:r>
      <w:r>
        <w:rPr>
          <w:rFonts w:hint="eastAsia" w:ascii="Times New Roman" w:hAnsi="Times New Roman" w:eastAsia="宋体" w:cstheme="minorBidi"/>
          <w:kern w:val="2"/>
          <w:sz w:val="28"/>
          <w:szCs w:val="24"/>
          <w:vertAlign w:val="subscript"/>
          <w:lang w:val="en-US" w:eastAsia="zh-CN" w:bidi="ar-SA"/>
          <w14:ligatures w14:val="standardContextual"/>
        </w:rPr>
        <w:t>n</w:t>
      </w:r>
      <w:r>
        <w:rPr>
          <w:rFonts w:hint="eastAsia" w:ascii="Times New Roman" w:hAnsi="Times New Roman" w:eastAsia="宋体" w:cstheme="minorBidi"/>
          <w:kern w:val="2"/>
          <w:sz w:val="28"/>
          <w:szCs w:val="24"/>
          <w:lang w:val="en-US" w:eastAsia="zh-CN" w:bidi="ar-SA"/>
          <w14:ligatures w14:val="standardContextual"/>
        </w:rPr>
        <w:t>/Q</w:t>
      </w:r>
      <w:r>
        <w:rPr>
          <w:rFonts w:hint="eastAsia" w:ascii="Times New Roman" w:hAnsi="Times New Roman" w:eastAsia="宋体" w:cstheme="minorBidi"/>
          <w:kern w:val="2"/>
          <w:sz w:val="28"/>
          <w:szCs w:val="24"/>
          <w:vertAlign w:val="subscript"/>
          <w:lang w:val="en-US" w:eastAsia="zh-CN" w:bidi="ar-SA"/>
          <w14:ligatures w14:val="standardContextual"/>
        </w:rPr>
        <w:t>n</w:t>
      </w:r>
      <w:r>
        <w:rPr>
          <w:rFonts w:hint="eastAsia" w:ascii="Times New Roman" w:hAnsi="Times New Roman" w:eastAsia="宋体" w:cstheme="minorBidi"/>
          <w:kern w:val="2"/>
          <w:sz w:val="28"/>
          <w:szCs w:val="24"/>
          <w:lang w:val="en-US" w:eastAsia="zh-CN" w:bidi="ar-SA"/>
          <w14:ligatures w14:val="standardContextual"/>
        </w:rPr>
        <w:t>，若计算结果≥1则构成危险化学品重大危险源。</w:t>
      </w:r>
    </w:p>
    <w:p w14:paraId="4BD53CD4">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式中q</w:t>
      </w:r>
      <w:r>
        <w:rPr>
          <w:rFonts w:hint="eastAsia" w:ascii="Times New Roman" w:hAnsi="Times New Roman" w:eastAsia="宋体" w:cstheme="minorBidi"/>
          <w:kern w:val="2"/>
          <w:sz w:val="28"/>
          <w:szCs w:val="24"/>
          <w:vertAlign w:val="subscript"/>
          <w:lang w:val="en-US" w:eastAsia="zh-CN" w:bidi="ar-SA"/>
          <w14:ligatures w14:val="standardContextual"/>
        </w:rPr>
        <w:t>1</w:t>
      </w:r>
      <w:r>
        <w:rPr>
          <w:rFonts w:hint="eastAsia" w:ascii="Times New Roman" w:hAnsi="Times New Roman" w:eastAsia="宋体" w:cstheme="minorBidi"/>
          <w:kern w:val="2"/>
          <w:sz w:val="28"/>
          <w:szCs w:val="24"/>
          <w:lang w:val="en-US" w:eastAsia="zh-CN" w:bidi="ar-SA"/>
          <w14:ligatures w14:val="standardContextual"/>
        </w:rPr>
        <w:t>、q</w:t>
      </w:r>
      <w:r>
        <w:rPr>
          <w:rFonts w:hint="eastAsia" w:ascii="Times New Roman" w:hAnsi="Times New Roman" w:eastAsia="宋体" w:cstheme="minorBidi"/>
          <w:kern w:val="2"/>
          <w:sz w:val="28"/>
          <w:szCs w:val="24"/>
          <w:vertAlign w:val="subscript"/>
          <w:lang w:val="en-US" w:eastAsia="zh-CN" w:bidi="ar-SA"/>
          <w14:ligatures w14:val="standardContextual"/>
        </w:rPr>
        <w:t>2</w:t>
      </w:r>
      <w:r>
        <w:rPr>
          <w:rFonts w:hint="eastAsia" w:ascii="Times New Roman" w:hAnsi="Times New Roman" w:eastAsia="宋体" w:cstheme="minorBidi"/>
          <w:kern w:val="2"/>
          <w:sz w:val="28"/>
          <w:szCs w:val="24"/>
          <w:lang w:val="en-US" w:eastAsia="zh-CN" w:bidi="ar-SA"/>
          <w14:ligatures w14:val="standardContextual"/>
        </w:rPr>
        <w:t>，…，qn为每种危险物质实际存在量，t。</w:t>
      </w:r>
    </w:p>
    <w:p w14:paraId="4E8B5C18">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Q</w:t>
      </w:r>
      <w:r>
        <w:rPr>
          <w:rFonts w:hint="eastAsia" w:ascii="Times New Roman" w:hAnsi="Times New Roman" w:eastAsia="宋体" w:cstheme="minorBidi"/>
          <w:kern w:val="2"/>
          <w:sz w:val="28"/>
          <w:szCs w:val="24"/>
          <w:vertAlign w:val="subscript"/>
          <w:lang w:val="en-US" w:eastAsia="zh-CN" w:bidi="ar-SA"/>
          <w14:ligatures w14:val="standardContextual"/>
        </w:rPr>
        <w:t>1</w:t>
      </w:r>
      <w:r>
        <w:rPr>
          <w:rFonts w:hint="eastAsia" w:ascii="Times New Roman" w:hAnsi="Times New Roman" w:eastAsia="宋体" w:cstheme="minorBidi"/>
          <w:kern w:val="2"/>
          <w:sz w:val="28"/>
          <w:szCs w:val="24"/>
          <w:lang w:val="en-US" w:eastAsia="zh-CN" w:bidi="ar-SA"/>
          <w14:ligatures w14:val="standardContextual"/>
        </w:rPr>
        <w:t>、Q</w:t>
      </w:r>
      <w:r>
        <w:rPr>
          <w:rFonts w:hint="eastAsia" w:ascii="Times New Roman" w:hAnsi="Times New Roman" w:eastAsia="宋体" w:cstheme="minorBidi"/>
          <w:kern w:val="2"/>
          <w:sz w:val="28"/>
          <w:szCs w:val="24"/>
          <w:vertAlign w:val="subscript"/>
          <w:lang w:val="en-US" w:eastAsia="zh-CN" w:bidi="ar-SA"/>
          <w14:ligatures w14:val="standardContextual"/>
        </w:rPr>
        <w:t>2</w:t>
      </w:r>
      <w:r>
        <w:rPr>
          <w:rFonts w:hint="eastAsia" w:ascii="Times New Roman" w:hAnsi="Times New Roman" w:eastAsia="宋体" w:cstheme="minorBidi"/>
          <w:kern w:val="2"/>
          <w:sz w:val="28"/>
          <w:szCs w:val="24"/>
          <w:lang w:val="en-US" w:eastAsia="zh-CN" w:bidi="ar-SA"/>
          <w14:ligatures w14:val="standardContextual"/>
        </w:rPr>
        <w:t>，…，Qn为与各危险物质相对应的临界量，t。</w:t>
      </w:r>
    </w:p>
    <w:p w14:paraId="5358DEB5">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其中，物质临界量的确定依据为《危险化学品重大危险源辨识》的表1，而未在表1中的危险化学品，依据其危险特性，根据《危险化学品重大危险源辨识》的表2确定其临界量。</w:t>
      </w:r>
    </w:p>
    <w:p w14:paraId="1364A55E">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（2）危险化学品重大危险源辨识</w:t>
      </w:r>
    </w:p>
    <w:p w14:paraId="21A88A48">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1）危险化学品重大危险源单元划分</w:t>
      </w:r>
    </w:p>
    <w:p w14:paraId="111A1BE1">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根据《危险化学品重大危险源辨识》（GB 18218-2018）的规定，单元一般分为生产单元和储存单元，其中，生产单元指危险化学品的生产、加工及使用等的装置及设施，当装置及设施之间有切断阀时，以切断阀作为分隔接线划分为独立的单元；储存单元指用于储存危险化学品的储罐或仓库组成的相对独立的区域，储罐区以罐区防火堤为界限划分为独立的单元，仓库以独立库房（独立建筑物）为界限划分为独立的单元。</w:t>
      </w:r>
    </w:p>
    <w:p w14:paraId="40690795">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因此，划分为2个生产单元，分别为装卸车棚单元、泵房单元；1个储存单元，为柴油罐区单元。</w:t>
      </w:r>
    </w:p>
    <w:p w14:paraId="23D62762">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2）危险化学品重大危险源辨识</w:t>
      </w:r>
    </w:p>
    <w:p w14:paraId="77328989">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2个生产单元及1个储存单元涉及的危险化学品为柴油。</w:t>
      </w:r>
    </w:p>
    <w:p w14:paraId="14C8C0B4">
      <w:pPr>
        <w:adjustRightInd w:val="0"/>
        <w:snapToGrid w:val="0"/>
        <w:spacing w:before="120" w:beforeLines="50" w:after="120" w:afterLines="50" w:line="240" w:lineRule="auto"/>
        <w:jc w:val="center"/>
        <w:rPr>
          <w:rFonts w:hint="default" w:ascii="Times New Roman" w:hAnsi="Times New Roman" w:eastAsia="黑体" w:cs="Times New Roman"/>
          <w:color w:val="auto"/>
          <w:kern w:val="28"/>
          <w:sz w:val="24"/>
          <w14:ligatures w14:val="none"/>
        </w:rPr>
      </w:pPr>
      <w:r>
        <w:rPr>
          <w:rFonts w:hint="default" w:ascii="Times New Roman" w:hAnsi="Times New Roman" w:eastAsia="黑体" w:cs="Times New Roman"/>
          <w:color w:val="auto"/>
          <w:kern w:val="28"/>
          <w:sz w:val="24"/>
          <w14:ligatures w14:val="none"/>
        </w:rPr>
        <w:t>表</w:t>
      </w:r>
      <w:r>
        <w:rPr>
          <w:rFonts w:hint="eastAsia" w:ascii="Times New Roman" w:hAnsi="Times New Roman" w:eastAsia="黑体" w:cs="Times New Roman"/>
          <w:color w:val="auto"/>
          <w:kern w:val="28"/>
          <w:sz w:val="24"/>
          <w:lang w:val="en-US" w:eastAsia="zh-CN"/>
          <w14:ligatures w14:val="none"/>
        </w:rPr>
        <w:t xml:space="preserve">3.5-1  </w:t>
      </w:r>
      <w:r>
        <w:rPr>
          <w:rFonts w:hint="default" w:ascii="Times New Roman" w:hAnsi="Times New Roman" w:eastAsia="黑体" w:cs="Times New Roman"/>
          <w:color w:val="auto"/>
          <w:kern w:val="28"/>
          <w:sz w:val="24"/>
          <w14:ligatures w14:val="none"/>
        </w:rPr>
        <w:t>重大危险源设计存储量表</w:t>
      </w:r>
    </w:p>
    <w:tbl>
      <w:tblPr>
        <w:tblStyle w:val="36"/>
        <w:tblW w:w="5015"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9"/>
        <w:gridCol w:w="1617"/>
        <w:gridCol w:w="1322"/>
        <w:gridCol w:w="5530"/>
      </w:tblGrid>
      <w:tr w14:paraId="013F84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tcBorders>
              <w:bottom w:val="single" w:color="auto" w:sz="4" w:space="0"/>
            </w:tcBorders>
            <w:vAlign w:val="center"/>
          </w:tcPr>
          <w:p w14:paraId="308162CE">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序号</w:t>
            </w:r>
          </w:p>
        </w:tc>
        <w:tc>
          <w:tcPr>
            <w:tcW w:w="1616" w:type="dxa"/>
            <w:tcBorders>
              <w:bottom w:val="single" w:color="auto" w:sz="4" w:space="0"/>
            </w:tcBorders>
            <w:vAlign w:val="center"/>
          </w:tcPr>
          <w:p w14:paraId="09E6C573">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辨识单元</w:t>
            </w:r>
          </w:p>
        </w:tc>
        <w:tc>
          <w:tcPr>
            <w:tcW w:w="1321" w:type="dxa"/>
            <w:tcBorders>
              <w:bottom w:val="single" w:color="auto" w:sz="4" w:space="0"/>
            </w:tcBorders>
            <w:vAlign w:val="center"/>
          </w:tcPr>
          <w:p w14:paraId="50D915C0">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en-US" w:bidi="ar-SA"/>
                <w14:ligatures w14:val="standardContextual"/>
              </w:rPr>
            </w:pPr>
            <w:r>
              <w:rPr>
                <w:rFonts w:hint="default" w:ascii="Times New Roman" w:hAnsi="Times New Roman" w:eastAsia="宋体" w:cs="Times New Roman"/>
                <w:spacing w:val="-5"/>
                <w:kern w:val="2"/>
                <w:sz w:val="21"/>
                <w:szCs w:val="21"/>
                <w:lang w:val="en-US" w:eastAsia="en-US" w:bidi="ar-SA"/>
                <w14:ligatures w14:val="standardContextual"/>
              </w:rPr>
              <w:t>名称</w:t>
            </w:r>
          </w:p>
        </w:tc>
        <w:tc>
          <w:tcPr>
            <w:tcW w:w="5526" w:type="dxa"/>
            <w:tcBorders>
              <w:bottom w:val="single" w:color="auto" w:sz="4" w:space="0"/>
            </w:tcBorders>
            <w:vAlign w:val="center"/>
          </w:tcPr>
          <w:p w14:paraId="6D5F4444">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en-US" w:bidi="ar-SA"/>
                <w14:ligatures w14:val="standardContextual"/>
              </w:rPr>
            </w:pPr>
            <w:r>
              <w:rPr>
                <w:rFonts w:hint="default" w:ascii="Times New Roman" w:hAnsi="Times New Roman" w:eastAsia="宋体" w:cs="Times New Roman"/>
                <w:spacing w:val="-2"/>
                <w:kern w:val="2"/>
                <w:sz w:val="21"/>
                <w:szCs w:val="21"/>
                <w:lang w:val="en-US" w:eastAsia="en-US" w:bidi="ar-SA"/>
                <w14:ligatures w14:val="standardContextual"/>
              </w:rPr>
              <w:t>设计存储量（t）</w:t>
            </w:r>
          </w:p>
        </w:tc>
      </w:tr>
      <w:tr w14:paraId="4CCBD0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vAlign w:val="center"/>
          </w:tcPr>
          <w:p w14:paraId="2440D98F">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kern w:val="2"/>
                <w:sz w:val="21"/>
                <w:szCs w:val="21"/>
                <w:lang w:val="en-US" w:eastAsia="zh-CN" w:bidi="ar-SA"/>
                <w14:ligatures w14:val="standardContextual"/>
              </w:rPr>
            </w:pPr>
            <w:r>
              <w:rPr>
                <w:rFonts w:hint="eastAsia" w:ascii="Times New Roman" w:hAnsi="Times New Roman" w:eastAsia="宋体" w:cs="Times New Roman"/>
                <w:kern w:val="2"/>
                <w:sz w:val="21"/>
                <w:szCs w:val="21"/>
                <w:lang w:val="en-US" w:eastAsia="zh-CN" w:bidi="ar-SA"/>
                <w14:ligatures w14:val="standardContextual"/>
              </w:rPr>
              <w:t>1</w:t>
            </w:r>
          </w:p>
        </w:tc>
        <w:tc>
          <w:tcPr>
            <w:tcW w:w="1616" w:type="dxa"/>
            <w:vAlign w:val="center"/>
          </w:tcPr>
          <w:p w14:paraId="38B362E1">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en-US"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柴油</w:t>
            </w:r>
            <w:r>
              <w:rPr>
                <w:rFonts w:hint="default" w:ascii="Times New Roman" w:hAnsi="Times New Roman" w:eastAsia="宋体" w:cs="Times New Roman"/>
                <w:spacing w:val="-2"/>
                <w:kern w:val="2"/>
                <w:sz w:val="21"/>
                <w:szCs w:val="21"/>
                <w:lang w:val="en-US" w:eastAsia="en-US" w:bidi="ar-SA"/>
                <w14:ligatures w14:val="standardContextual"/>
              </w:rPr>
              <w:t>罐区</w:t>
            </w:r>
          </w:p>
        </w:tc>
        <w:tc>
          <w:tcPr>
            <w:tcW w:w="1321" w:type="dxa"/>
            <w:vAlign w:val="center"/>
          </w:tcPr>
          <w:p w14:paraId="728E8DE0">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kern w:val="2"/>
                <w:sz w:val="21"/>
                <w:szCs w:val="21"/>
                <w:lang w:val="en-US" w:eastAsia="zh-CN"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柴油</w:t>
            </w:r>
          </w:p>
        </w:tc>
        <w:tc>
          <w:tcPr>
            <w:tcW w:w="5526" w:type="dxa"/>
            <w:vAlign w:val="center"/>
          </w:tcPr>
          <w:p w14:paraId="41728F12">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en-US" w:bidi="ar-SA"/>
                <w14:ligatures w14:val="standardContextual"/>
              </w:rPr>
            </w:pPr>
            <w:r>
              <w:rPr>
                <w:rFonts w:hint="default" w:ascii="Times New Roman" w:hAnsi="Times New Roman" w:eastAsia="宋体" w:cs="Times New Roman"/>
                <w:color w:val="auto"/>
                <w:kern w:val="2"/>
                <w:sz w:val="20"/>
                <w:szCs w:val="20"/>
                <w:lang w:val="en-US" w:eastAsia="zh-CN" w:bidi="ar-SA"/>
                <w14:ligatures w14:val="standardContextual"/>
              </w:rPr>
              <w:t>9</w:t>
            </w:r>
            <w:r>
              <w:rPr>
                <w:rFonts w:hint="eastAsia" w:ascii="Times New Roman" w:hAnsi="Times New Roman" w:eastAsia="宋体" w:cs="Times New Roman"/>
                <w:color w:val="auto"/>
                <w:kern w:val="2"/>
                <w:sz w:val="20"/>
                <w:szCs w:val="20"/>
                <w:lang w:val="en-US" w:eastAsia="zh-CN" w:bidi="ar-SA"/>
                <w14:ligatures w14:val="standardContextual"/>
              </w:rPr>
              <w:t>90</w:t>
            </w:r>
            <w:r>
              <w:rPr>
                <w:rFonts w:hint="default" w:ascii="Times New Roman" w:hAnsi="Times New Roman" w:eastAsia="宋体" w:cs="Times New Roman"/>
                <w:color w:val="auto"/>
                <w:kern w:val="2"/>
                <w:sz w:val="20"/>
                <w:szCs w:val="20"/>
                <w:lang w:val="en-US" w:eastAsia="zh-CN" w:bidi="ar-SA"/>
                <w14:ligatures w14:val="standardContextual"/>
              </w:rPr>
              <w:t>0</w:t>
            </w:r>
            <w:r>
              <w:rPr>
                <w:rFonts w:hint="default" w:ascii="Times New Roman" w:hAnsi="Times New Roman" w:eastAsia="宋体" w:cs="Times New Roman"/>
                <w:color w:val="auto"/>
                <w:kern w:val="2"/>
                <w:sz w:val="20"/>
                <w:szCs w:val="20"/>
                <w:lang w:val="en-US" w:eastAsia="en-US" w:bidi="ar-SA"/>
                <w14:ligatures w14:val="standardContextual"/>
              </w:rPr>
              <w:t>m</w:t>
            </w:r>
            <w:r>
              <w:rPr>
                <w:rFonts w:hint="default" w:ascii="Times New Roman" w:hAnsi="Times New Roman" w:eastAsia="宋体" w:cs="Times New Roman"/>
                <w:color w:val="auto"/>
                <w:kern w:val="2"/>
                <w:sz w:val="20"/>
                <w:szCs w:val="20"/>
                <w:vertAlign w:val="superscript"/>
                <w:lang w:val="en-US" w:eastAsia="en-US" w:bidi="ar-SA"/>
                <w14:ligatures w14:val="standardContextual"/>
              </w:rPr>
              <w:t>3</w:t>
            </w:r>
            <w:r>
              <w:rPr>
                <w:rFonts w:hint="default" w:ascii="Times New Roman" w:hAnsi="Times New Roman" w:eastAsia="宋体" w:cs="Times New Roman"/>
                <w:color w:val="auto"/>
                <w:kern w:val="2"/>
                <w:sz w:val="20"/>
                <w:szCs w:val="20"/>
                <w:lang w:val="en-US" w:eastAsia="en-US" w:bidi="ar-SA"/>
                <w14:ligatures w14:val="standardContextual"/>
              </w:rPr>
              <w:t>×0.8</w:t>
            </w:r>
            <w:r>
              <w:rPr>
                <w:rFonts w:hint="eastAsia" w:ascii="Times New Roman" w:hAnsi="Times New Roman" w:eastAsia="宋体" w:cs="Times New Roman"/>
                <w:color w:val="auto"/>
                <w:kern w:val="2"/>
                <w:sz w:val="20"/>
                <w:szCs w:val="20"/>
                <w:lang w:val="en-US" w:eastAsia="zh-CN" w:bidi="ar-SA"/>
                <w14:ligatures w14:val="standardContextual"/>
              </w:rPr>
              <w:t>5</w:t>
            </w:r>
            <w:r>
              <w:rPr>
                <w:rFonts w:hint="default" w:ascii="Times New Roman" w:hAnsi="Times New Roman" w:eastAsia="宋体" w:cs="Times New Roman"/>
                <w:color w:val="auto"/>
                <w:kern w:val="2"/>
                <w:sz w:val="20"/>
                <w:szCs w:val="20"/>
                <w:lang w:val="en-US" w:eastAsia="en-US" w:bidi="ar-SA"/>
                <w14:ligatures w14:val="standardContextual"/>
              </w:rPr>
              <w:t>t/m</w:t>
            </w:r>
            <w:r>
              <w:rPr>
                <w:rFonts w:hint="default" w:ascii="Times New Roman" w:hAnsi="Times New Roman" w:eastAsia="宋体" w:cs="Times New Roman"/>
                <w:color w:val="auto"/>
                <w:kern w:val="2"/>
                <w:sz w:val="20"/>
                <w:szCs w:val="20"/>
                <w:vertAlign w:val="superscript"/>
                <w:lang w:val="en-US" w:eastAsia="en-US" w:bidi="ar-SA"/>
                <w14:ligatures w14:val="standardContextual"/>
              </w:rPr>
              <w:t>3</w:t>
            </w:r>
            <w:r>
              <w:rPr>
                <w:rFonts w:hint="eastAsia" w:ascii="Times New Roman" w:hAnsi="Times New Roman" w:eastAsia="宋体" w:cs="Times New Roman"/>
                <w:kern w:val="2"/>
                <w:sz w:val="21"/>
                <w:szCs w:val="21"/>
                <w:vertAlign w:val="baseline"/>
                <w:lang w:val="en-US" w:eastAsia="zh-CN" w:bidi="ar-SA"/>
                <w14:ligatures w14:val="standardContextual"/>
              </w:rPr>
              <w:t>＝</w:t>
            </w:r>
            <w:r>
              <w:rPr>
                <w:rFonts w:hint="eastAsia" w:ascii="Times New Roman" w:hAnsi="Times New Roman" w:eastAsia="宋体" w:cs="Times New Roman"/>
                <w:spacing w:val="-4"/>
                <w:kern w:val="2"/>
                <w:sz w:val="21"/>
                <w:szCs w:val="21"/>
                <w:lang w:val="en-US" w:eastAsia="zh-CN" w:bidi="ar-SA"/>
                <w14:ligatures w14:val="standardContextual"/>
              </w:rPr>
              <w:t>8415</w:t>
            </w:r>
            <w:r>
              <w:rPr>
                <w:rFonts w:hint="default" w:ascii="Times New Roman" w:hAnsi="Times New Roman" w:eastAsia="宋体" w:cs="Times New Roman"/>
                <w:spacing w:val="-4"/>
                <w:kern w:val="2"/>
                <w:sz w:val="21"/>
                <w:szCs w:val="21"/>
                <w:lang w:val="en-US" w:eastAsia="en-US" w:bidi="ar-SA"/>
                <w14:ligatures w14:val="standardContextual"/>
              </w:rPr>
              <w:t>t</w:t>
            </w:r>
          </w:p>
        </w:tc>
      </w:tr>
      <w:tr w14:paraId="06B840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vAlign w:val="center"/>
          </w:tcPr>
          <w:p w14:paraId="5985D7D3">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zh-CN" w:bidi="ar-SA"/>
                <w14:ligatures w14:val="standardContextual"/>
              </w:rPr>
            </w:pPr>
            <w:r>
              <w:rPr>
                <w:rFonts w:hint="eastAsia" w:ascii="Times New Roman" w:hAnsi="Times New Roman" w:eastAsia="宋体" w:cs="Times New Roman"/>
                <w:kern w:val="2"/>
                <w:sz w:val="21"/>
                <w:szCs w:val="21"/>
                <w:lang w:val="en-US" w:eastAsia="zh-CN" w:bidi="ar-SA"/>
                <w14:ligatures w14:val="standardContextual"/>
              </w:rPr>
              <w:t>2</w:t>
            </w:r>
          </w:p>
        </w:tc>
        <w:tc>
          <w:tcPr>
            <w:tcW w:w="1616" w:type="dxa"/>
            <w:vAlign w:val="center"/>
          </w:tcPr>
          <w:p w14:paraId="0256962C">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装卸车棚</w:t>
            </w:r>
          </w:p>
        </w:tc>
        <w:tc>
          <w:tcPr>
            <w:tcW w:w="1321" w:type="dxa"/>
            <w:vAlign w:val="center"/>
          </w:tcPr>
          <w:p w14:paraId="14B76E3D">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柴油</w:t>
            </w:r>
          </w:p>
        </w:tc>
        <w:tc>
          <w:tcPr>
            <w:tcW w:w="5526" w:type="dxa"/>
            <w:vAlign w:val="center"/>
          </w:tcPr>
          <w:p w14:paraId="33185BD2">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color w:val="auto"/>
                <w:kern w:val="2"/>
                <w:sz w:val="20"/>
                <w:szCs w:val="20"/>
                <w:lang w:val="en-US" w:eastAsia="zh-CN" w:bidi="ar-SA"/>
                <w14:ligatures w14:val="standardContextual"/>
              </w:rPr>
            </w:pPr>
            <w:r>
              <w:rPr>
                <w:rFonts w:hint="eastAsia" w:ascii="Times New Roman" w:hAnsi="Times New Roman" w:eastAsia="宋体" w:cs="Times New Roman"/>
                <w:color w:val="auto"/>
                <w:kern w:val="2"/>
                <w:sz w:val="20"/>
                <w:szCs w:val="20"/>
                <w:lang w:val="en-US" w:eastAsia="zh-CN" w:bidi="ar-SA"/>
                <w14:ligatures w14:val="standardContextual"/>
              </w:rPr>
              <w:t>0.01t</w:t>
            </w:r>
          </w:p>
        </w:tc>
      </w:tr>
      <w:tr w14:paraId="571065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vAlign w:val="center"/>
          </w:tcPr>
          <w:p w14:paraId="61DBBBB6">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zh-CN" w:bidi="ar-SA"/>
                <w14:ligatures w14:val="standardContextual"/>
              </w:rPr>
            </w:pPr>
            <w:r>
              <w:rPr>
                <w:rFonts w:hint="eastAsia" w:ascii="Times New Roman" w:hAnsi="Times New Roman" w:eastAsia="宋体" w:cs="Times New Roman"/>
                <w:kern w:val="2"/>
                <w:sz w:val="21"/>
                <w:szCs w:val="21"/>
                <w:lang w:val="en-US" w:eastAsia="zh-CN" w:bidi="ar-SA"/>
                <w14:ligatures w14:val="standardContextual"/>
              </w:rPr>
              <w:t>3</w:t>
            </w:r>
          </w:p>
        </w:tc>
        <w:tc>
          <w:tcPr>
            <w:tcW w:w="1616" w:type="dxa"/>
            <w:vAlign w:val="center"/>
          </w:tcPr>
          <w:p w14:paraId="2F9F7D89">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泵房</w:t>
            </w:r>
          </w:p>
        </w:tc>
        <w:tc>
          <w:tcPr>
            <w:tcW w:w="1321" w:type="dxa"/>
            <w:vAlign w:val="center"/>
          </w:tcPr>
          <w:p w14:paraId="78B44CE4">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柴油</w:t>
            </w:r>
          </w:p>
        </w:tc>
        <w:tc>
          <w:tcPr>
            <w:tcW w:w="5526" w:type="dxa"/>
            <w:vAlign w:val="center"/>
          </w:tcPr>
          <w:p w14:paraId="6367B891">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color w:val="auto"/>
                <w:kern w:val="2"/>
                <w:sz w:val="20"/>
                <w:szCs w:val="20"/>
                <w:lang w:val="en-US" w:eastAsia="zh-CN" w:bidi="ar-SA"/>
                <w14:ligatures w14:val="standardContextual"/>
              </w:rPr>
            </w:pPr>
            <w:r>
              <w:rPr>
                <w:rFonts w:hint="eastAsia" w:ascii="Times New Roman" w:hAnsi="Times New Roman" w:eastAsia="宋体" w:cs="Times New Roman"/>
                <w:color w:val="auto"/>
                <w:kern w:val="2"/>
                <w:sz w:val="20"/>
                <w:szCs w:val="20"/>
                <w:lang w:val="en-US" w:eastAsia="zh-CN" w:bidi="ar-SA"/>
                <w14:ligatures w14:val="standardContextual"/>
              </w:rPr>
              <w:t>0.01t</w:t>
            </w:r>
          </w:p>
        </w:tc>
      </w:tr>
    </w:tbl>
    <w:p w14:paraId="7FFA173F">
      <w:pPr>
        <w:spacing w:line="41" w:lineRule="exact"/>
      </w:pPr>
    </w:p>
    <w:p w14:paraId="4D632CB8">
      <w:pPr>
        <w:adjustRightInd w:val="0"/>
        <w:snapToGrid w:val="0"/>
        <w:spacing w:before="120" w:beforeLines="50" w:after="120" w:afterLines="50" w:line="240" w:lineRule="auto"/>
        <w:jc w:val="center"/>
        <w:rPr>
          <w:rFonts w:hint="default" w:ascii="Times New Roman" w:hAnsi="Times New Roman" w:eastAsia="黑体" w:cs="Times New Roman"/>
          <w:color w:val="auto"/>
          <w:kern w:val="28"/>
          <w:sz w:val="24"/>
          <w:lang w:val="en-US" w:eastAsia="zh-CN"/>
          <w14:ligatures w14:val="none"/>
        </w:rPr>
      </w:pPr>
      <w:r>
        <w:rPr>
          <w:rFonts w:hint="default" w:ascii="Times New Roman" w:hAnsi="Times New Roman" w:eastAsia="黑体" w:cs="Times New Roman"/>
          <w:color w:val="auto"/>
          <w:kern w:val="28"/>
          <w:sz w:val="24"/>
          <w:lang w:val="en-US" w:eastAsia="zh-CN"/>
          <w14:ligatures w14:val="none"/>
        </w:rPr>
        <w:t>表</w:t>
      </w:r>
      <w:r>
        <w:rPr>
          <w:rFonts w:hint="eastAsia" w:ascii="Times New Roman" w:hAnsi="Times New Roman" w:eastAsia="黑体" w:cs="Times New Roman"/>
          <w:color w:val="auto"/>
          <w:kern w:val="28"/>
          <w:sz w:val="24"/>
          <w:lang w:val="en-US" w:eastAsia="zh-CN"/>
          <w14:ligatures w14:val="none"/>
        </w:rPr>
        <w:t xml:space="preserve">3.5-2  </w:t>
      </w:r>
      <w:r>
        <w:rPr>
          <w:rFonts w:hint="default" w:ascii="Times New Roman" w:hAnsi="Times New Roman" w:eastAsia="黑体" w:cs="Times New Roman"/>
          <w:color w:val="auto"/>
          <w:kern w:val="28"/>
          <w:sz w:val="24"/>
          <w:lang w:val="en-US" w:eastAsia="zh-CN"/>
          <w14:ligatures w14:val="none"/>
        </w:rPr>
        <w:t>重大危险源辨识物质名称及临界量表</w:t>
      </w:r>
    </w:p>
    <w:tbl>
      <w:tblPr>
        <w:tblStyle w:val="36"/>
        <w:tblW w:w="5000"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7"/>
        <w:gridCol w:w="1324"/>
        <w:gridCol w:w="1331"/>
        <w:gridCol w:w="1329"/>
        <w:gridCol w:w="911"/>
        <w:gridCol w:w="3417"/>
      </w:tblGrid>
      <w:tr w14:paraId="0BE747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95" w:type="dxa"/>
            <w:vAlign w:val="center"/>
          </w:tcPr>
          <w:p w14:paraId="633CB3A8">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序号</w:t>
            </w:r>
          </w:p>
        </w:tc>
        <w:tc>
          <w:tcPr>
            <w:tcW w:w="1200" w:type="dxa"/>
            <w:vAlign w:val="center"/>
          </w:tcPr>
          <w:p w14:paraId="099384ED">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辨识单元</w:t>
            </w:r>
          </w:p>
        </w:tc>
        <w:tc>
          <w:tcPr>
            <w:tcW w:w="1207" w:type="dxa"/>
            <w:vAlign w:val="center"/>
          </w:tcPr>
          <w:p w14:paraId="727259A6">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名称</w:t>
            </w:r>
          </w:p>
        </w:tc>
        <w:tc>
          <w:tcPr>
            <w:tcW w:w="1205" w:type="dxa"/>
            <w:vAlign w:val="center"/>
          </w:tcPr>
          <w:p w14:paraId="4A40B216">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设计存储</w:t>
            </w:r>
          </w:p>
          <w:p w14:paraId="5DEDE09B">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量（t）</w:t>
            </w:r>
          </w:p>
        </w:tc>
        <w:tc>
          <w:tcPr>
            <w:tcW w:w="826" w:type="dxa"/>
            <w:vAlign w:val="center"/>
          </w:tcPr>
          <w:p w14:paraId="3D078D86">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临界量</w:t>
            </w:r>
          </w:p>
          <w:p w14:paraId="233FFC97">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（t）</w:t>
            </w:r>
          </w:p>
        </w:tc>
        <w:tc>
          <w:tcPr>
            <w:tcW w:w="3099" w:type="dxa"/>
            <w:vAlign w:val="center"/>
          </w:tcPr>
          <w:p w14:paraId="543AFFD4">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辨识结果</w:t>
            </w:r>
          </w:p>
        </w:tc>
      </w:tr>
      <w:tr w14:paraId="39099E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95" w:type="dxa"/>
            <w:vAlign w:val="center"/>
          </w:tcPr>
          <w:p w14:paraId="56923534">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1</w:t>
            </w:r>
          </w:p>
        </w:tc>
        <w:tc>
          <w:tcPr>
            <w:tcW w:w="1200" w:type="dxa"/>
            <w:vAlign w:val="center"/>
          </w:tcPr>
          <w:p w14:paraId="1D9295BE">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柴油罐区</w:t>
            </w:r>
          </w:p>
        </w:tc>
        <w:tc>
          <w:tcPr>
            <w:tcW w:w="1207" w:type="dxa"/>
            <w:vAlign w:val="center"/>
          </w:tcPr>
          <w:p w14:paraId="4C8B828D">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柴油</w:t>
            </w:r>
          </w:p>
        </w:tc>
        <w:tc>
          <w:tcPr>
            <w:tcW w:w="1205" w:type="dxa"/>
            <w:vAlign w:val="center"/>
          </w:tcPr>
          <w:p w14:paraId="4914182E">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8415</w:t>
            </w:r>
          </w:p>
        </w:tc>
        <w:tc>
          <w:tcPr>
            <w:tcW w:w="826" w:type="dxa"/>
            <w:vAlign w:val="center"/>
          </w:tcPr>
          <w:p w14:paraId="7E6F1FD7">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5000</w:t>
            </w:r>
          </w:p>
        </w:tc>
        <w:tc>
          <w:tcPr>
            <w:tcW w:w="3099" w:type="dxa"/>
            <w:vAlign w:val="center"/>
          </w:tcPr>
          <w:p w14:paraId="705428A0">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∑qn/Qn=</w:t>
            </w:r>
            <w:r>
              <w:rPr>
                <w:rFonts w:hint="eastAsia" w:ascii="Times New Roman" w:hAnsi="Times New Roman" w:eastAsia="宋体" w:cs="Times New Roman"/>
                <w:spacing w:val="-3"/>
                <w:kern w:val="2"/>
                <w:sz w:val="21"/>
                <w:szCs w:val="21"/>
                <w:lang w:val="en-US" w:eastAsia="zh-CN" w:bidi="ar-SA"/>
                <w14:ligatures w14:val="standardContextual"/>
              </w:rPr>
              <w:t>1.683</w:t>
            </w:r>
            <w:r>
              <w:rPr>
                <w:rFonts w:hint="default" w:ascii="Times New Roman" w:hAnsi="Times New Roman" w:eastAsia="宋体" w:cs="Times New Roman"/>
                <w:spacing w:val="-3"/>
                <w:kern w:val="2"/>
                <w:sz w:val="21"/>
                <w:szCs w:val="21"/>
                <w:lang w:val="en-US" w:eastAsia="en-US" w:bidi="ar-SA"/>
                <w14:ligatures w14:val="standardContextual"/>
              </w:rPr>
              <w:t>&gt;1 构成重大危险源</w:t>
            </w:r>
          </w:p>
        </w:tc>
      </w:tr>
      <w:tr w14:paraId="03218B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95" w:type="dxa"/>
            <w:vAlign w:val="center"/>
          </w:tcPr>
          <w:p w14:paraId="69614203">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2</w:t>
            </w:r>
          </w:p>
        </w:tc>
        <w:tc>
          <w:tcPr>
            <w:tcW w:w="1200" w:type="dxa"/>
            <w:vAlign w:val="center"/>
          </w:tcPr>
          <w:p w14:paraId="0176F70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装卸车棚</w:t>
            </w:r>
          </w:p>
        </w:tc>
        <w:tc>
          <w:tcPr>
            <w:tcW w:w="1207" w:type="dxa"/>
            <w:vAlign w:val="center"/>
          </w:tcPr>
          <w:p w14:paraId="290C074D">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柴油</w:t>
            </w:r>
          </w:p>
        </w:tc>
        <w:tc>
          <w:tcPr>
            <w:tcW w:w="1205" w:type="dxa"/>
            <w:vAlign w:val="center"/>
          </w:tcPr>
          <w:p w14:paraId="3F47AFBF">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0.01</w:t>
            </w:r>
          </w:p>
        </w:tc>
        <w:tc>
          <w:tcPr>
            <w:tcW w:w="826" w:type="dxa"/>
            <w:vAlign w:val="center"/>
          </w:tcPr>
          <w:p w14:paraId="0EADC5DA">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5000</w:t>
            </w:r>
          </w:p>
        </w:tc>
        <w:tc>
          <w:tcPr>
            <w:tcW w:w="3099" w:type="dxa"/>
            <w:vAlign w:val="center"/>
          </w:tcPr>
          <w:p w14:paraId="50A9BCF5">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∑qn/Qn=</w:t>
            </w:r>
            <w:r>
              <w:rPr>
                <w:rFonts w:hint="eastAsia" w:ascii="Times New Roman" w:hAnsi="Times New Roman" w:eastAsia="宋体" w:cs="Times New Roman"/>
                <w:spacing w:val="-3"/>
                <w:sz w:val="21"/>
                <w:szCs w:val="21"/>
                <w:lang w:val="en-US" w:eastAsia="zh-CN"/>
              </w:rPr>
              <w:t>0.000002＜</w:t>
            </w:r>
            <w:r>
              <w:rPr>
                <w:rFonts w:hint="default" w:ascii="Times New Roman" w:hAnsi="Times New Roman" w:eastAsia="宋体" w:cs="Times New Roman"/>
                <w:spacing w:val="-3"/>
                <w:sz w:val="21"/>
                <w:szCs w:val="21"/>
              </w:rPr>
              <w:t xml:space="preserve">1 </w:t>
            </w:r>
          </w:p>
          <w:p w14:paraId="2D05D878">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eastAsia" w:ascii="Times New Roman" w:hAnsi="Times New Roman" w:eastAsia="宋体" w:cs="Times New Roman"/>
                <w:spacing w:val="-3"/>
                <w:sz w:val="21"/>
                <w:szCs w:val="21"/>
                <w:lang w:val="en-US" w:eastAsia="zh-CN"/>
              </w:rPr>
              <w:t>未</w:t>
            </w:r>
            <w:r>
              <w:rPr>
                <w:rFonts w:hint="default" w:ascii="Times New Roman" w:hAnsi="Times New Roman" w:eastAsia="宋体" w:cs="Times New Roman"/>
                <w:spacing w:val="-3"/>
                <w:sz w:val="21"/>
                <w:szCs w:val="21"/>
              </w:rPr>
              <w:t>构成重大危险源</w:t>
            </w:r>
          </w:p>
        </w:tc>
      </w:tr>
      <w:tr w14:paraId="144E7C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95" w:type="dxa"/>
            <w:vAlign w:val="center"/>
          </w:tcPr>
          <w:p w14:paraId="582A48AF">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3</w:t>
            </w:r>
          </w:p>
        </w:tc>
        <w:tc>
          <w:tcPr>
            <w:tcW w:w="1200" w:type="dxa"/>
            <w:vAlign w:val="center"/>
          </w:tcPr>
          <w:p w14:paraId="2BB1548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泵房</w:t>
            </w:r>
          </w:p>
        </w:tc>
        <w:tc>
          <w:tcPr>
            <w:tcW w:w="1207" w:type="dxa"/>
            <w:vAlign w:val="center"/>
          </w:tcPr>
          <w:p w14:paraId="6B6A9756">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柴油</w:t>
            </w:r>
          </w:p>
        </w:tc>
        <w:tc>
          <w:tcPr>
            <w:tcW w:w="1205" w:type="dxa"/>
            <w:vAlign w:val="center"/>
          </w:tcPr>
          <w:p w14:paraId="42023D95">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0.01</w:t>
            </w:r>
          </w:p>
        </w:tc>
        <w:tc>
          <w:tcPr>
            <w:tcW w:w="826" w:type="dxa"/>
            <w:vAlign w:val="center"/>
          </w:tcPr>
          <w:p w14:paraId="283AFFE1">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5000</w:t>
            </w:r>
          </w:p>
        </w:tc>
        <w:tc>
          <w:tcPr>
            <w:tcW w:w="3099" w:type="dxa"/>
            <w:vAlign w:val="center"/>
          </w:tcPr>
          <w:p w14:paraId="6DA2D47F">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∑qn/Qn=</w:t>
            </w:r>
            <w:r>
              <w:rPr>
                <w:rFonts w:hint="eastAsia" w:ascii="Times New Roman" w:hAnsi="Times New Roman" w:cs="Times New Roman"/>
                <w:spacing w:val="-3"/>
                <w:sz w:val="21"/>
                <w:szCs w:val="21"/>
                <w:lang w:val="en-US" w:eastAsia="zh-CN"/>
              </w:rPr>
              <w:t>0.000002</w:t>
            </w:r>
            <w:r>
              <w:rPr>
                <w:rFonts w:hint="eastAsia" w:ascii="Times New Roman" w:hAnsi="Times New Roman" w:eastAsia="宋体" w:cs="Times New Roman"/>
                <w:spacing w:val="-3"/>
                <w:sz w:val="21"/>
                <w:szCs w:val="21"/>
                <w:lang w:val="en-US" w:eastAsia="zh-CN"/>
              </w:rPr>
              <w:t>＜</w:t>
            </w:r>
            <w:r>
              <w:rPr>
                <w:rFonts w:hint="default" w:ascii="Times New Roman" w:hAnsi="Times New Roman" w:eastAsia="宋体" w:cs="Times New Roman"/>
                <w:spacing w:val="-3"/>
                <w:sz w:val="21"/>
                <w:szCs w:val="21"/>
              </w:rPr>
              <w:t>1</w:t>
            </w:r>
          </w:p>
          <w:p w14:paraId="31F62C8D">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 xml:space="preserve"> </w:t>
            </w:r>
            <w:r>
              <w:rPr>
                <w:rFonts w:hint="eastAsia" w:ascii="Times New Roman" w:hAnsi="Times New Roman" w:eastAsia="宋体" w:cs="Times New Roman"/>
                <w:spacing w:val="-3"/>
                <w:sz w:val="21"/>
                <w:szCs w:val="21"/>
                <w:lang w:val="en-US" w:eastAsia="zh-CN"/>
              </w:rPr>
              <w:t>未</w:t>
            </w:r>
            <w:r>
              <w:rPr>
                <w:rFonts w:hint="default" w:ascii="Times New Roman" w:hAnsi="Times New Roman" w:eastAsia="宋体" w:cs="Times New Roman"/>
                <w:spacing w:val="-3"/>
                <w:sz w:val="21"/>
                <w:szCs w:val="21"/>
              </w:rPr>
              <w:t>构成重大危险源</w:t>
            </w:r>
          </w:p>
        </w:tc>
      </w:tr>
    </w:tbl>
    <w:p w14:paraId="44075563">
      <w:pPr>
        <w:spacing w:line="39" w:lineRule="exact"/>
      </w:pPr>
    </w:p>
    <w:p w14:paraId="4F9090CA">
      <w:pPr>
        <w:keepNext w:val="0"/>
        <w:keepLines w:val="0"/>
        <w:pageBreakBefore w:val="0"/>
        <w:widowControl w:val="0"/>
        <w:kinsoku/>
        <w:wordWrap/>
        <w:overflowPunct/>
        <w:topLinePunct w:val="0"/>
        <w:autoSpaceDE/>
        <w:autoSpaceDN/>
        <w:bidi w:val="0"/>
        <w:adjustRightInd w:val="0"/>
        <w:snapToGrid w:val="0"/>
        <w:spacing w:before="0" w:beforeLines="0" w:after="0" w:afterLines="0" w:line="360" w:lineRule="auto"/>
        <w:ind w:firstLine="560" w:firstLineChars="200"/>
        <w:jc w:val="both"/>
        <w:textAlignment w:val="auto"/>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根据上表可知，柴油储罐区单元已构成危险化学品重大危险源。</w:t>
      </w:r>
    </w:p>
    <w:p w14:paraId="69108826">
      <w:pPr>
        <w:keepNext w:val="0"/>
        <w:keepLines w:val="0"/>
        <w:pageBreakBefore w:val="0"/>
        <w:widowControl w:val="0"/>
        <w:kinsoku/>
        <w:wordWrap/>
        <w:overflowPunct/>
        <w:topLinePunct w:val="0"/>
        <w:autoSpaceDE/>
        <w:autoSpaceDN/>
        <w:bidi w:val="0"/>
        <w:adjustRightInd w:val="0"/>
        <w:snapToGrid w:val="0"/>
        <w:spacing w:before="0" w:beforeLines="0" w:after="0" w:afterLines="0" w:line="360" w:lineRule="auto"/>
        <w:ind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（3）危险化学品重大危险源分级</w:t>
      </w:r>
    </w:p>
    <w:p w14:paraId="3A43FD9C">
      <w:pPr>
        <w:keepNext w:val="0"/>
        <w:keepLines w:val="0"/>
        <w:pageBreakBefore w:val="0"/>
        <w:widowControl w:val="0"/>
        <w:kinsoku/>
        <w:wordWrap/>
        <w:overflowPunct/>
        <w:topLinePunct w:val="0"/>
        <w:autoSpaceDE/>
        <w:autoSpaceDN/>
        <w:bidi w:val="0"/>
        <w:adjustRightInd w:val="0"/>
        <w:snapToGrid w:val="0"/>
        <w:spacing w:before="0" w:beforeLines="0" w:after="0" w:afterLines="0" w:line="360" w:lineRule="auto"/>
        <w:ind w:firstLine="560" w:firstLineChars="200"/>
        <w:jc w:val="both"/>
        <w:textAlignment w:val="auto"/>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根据《危险化学品重大危险源监督管理暂行规定》和《危险化学品重大危险源辨识》（GB 18218-2018）的要求，对危险化学品重大危险源进行分级。</w:t>
      </w:r>
    </w:p>
    <w:p w14:paraId="5D652169">
      <w:pPr>
        <w:keepNext w:val="0"/>
        <w:keepLines w:val="0"/>
        <w:pageBreakBefore w:val="0"/>
        <w:widowControl w:val="0"/>
        <w:kinsoku/>
        <w:wordWrap/>
        <w:overflowPunct/>
        <w:topLinePunct w:val="0"/>
        <w:autoSpaceDE/>
        <w:autoSpaceDN/>
        <w:bidi w:val="0"/>
        <w:adjustRightInd w:val="0"/>
        <w:snapToGrid w:val="0"/>
        <w:spacing w:before="0" w:beforeLines="0" w:after="0" w:afterLines="0" w:line="360" w:lineRule="auto"/>
        <w:ind w:firstLine="560" w:firstLineChars="200"/>
        <w:jc w:val="both"/>
        <w:textAlignment w:val="auto"/>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1）分级指标</w:t>
      </w:r>
    </w:p>
    <w:p w14:paraId="0BBFADE3">
      <w:pPr>
        <w:keepNext w:val="0"/>
        <w:keepLines w:val="0"/>
        <w:pageBreakBefore w:val="0"/>
        <w:widowControl w:val="0"/>
        <w:kinsoku/>
        <w:wordWrap/>
        <w:overflowPunct/>
        <w:topLinePunct w:val="0"/>
        <w:autoSpaceDE/>
        <w:autoSpaceDN/>
        <w:bidi w:val="0"/>
        <w:adjustRightInd w:val="0"/>
        <w:snapToGrid w:val="0"/>
        <w:spacing w:before="0" w:beforeLines="0" w:after="0" w:afterLines="0" w:line="360" w:lineRule="auto"/>
        <w:ind w:firstLine="560" w:firstLineChars="200"/>
        <w:jc w:val="both"/>
        <w:textAlignment w:val="auto"/>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采用单元内各种危险化学品实际存在量与其相对应的临界量比值，经校正系数校正后的比值之和R作为分级指标。</w:t>
      </w:r>
    </w:p>
    <w:p w14:paraId="537E90CA">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2）R的计算方法</w:t>
      </w:r>
    </w:p>
    <w:p w14:paraId="39857F7B">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ascii="Times New Roman" w:hAnsi="Times New Roman" w:eastAsia="宋体" w:cstheme="minorBidi"/>
          <w:kern w:val="2"/>
          <w:sz w:val="28"/>
          <w:szCs w:val="24"/>
          <w:lang w:val="en-US" w:eastAsia="zh-CN" w:bidi="ar-SA"/>
          <w14:ligatures w14:val="standardContextual"/>
        </w:rPr>
        <w:drawing>
          <wp:inline distT="0" distB="0" distL="0" distR="0">
            <wp:extent cx="2749550" cy="579120"/>
            <wp:effectExtent l="0" t="0" r="12700" b="11430"/>
            <wp:docPr id="1011091976"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091976" name="图片 2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2749550" cy="579120"/>
                    </a:xfrm>
                    <a:prstGeom prst="rect">
                      <a:avLst/>
                    </a:prstGeom>
                    <a:noFill/>
                  </pic:spPr>
                </pic:pic>
              </a:graphicData>
            </a:graphic>
          </wp:inline>
        </w:drawing>
      </w:r>
    </w:p>
    <w:p w14:paraId="51787350">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式中：</w:t>
      </w:r>
    </w:p>
    <w:p w14:paraId="14ECB7E8">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R—重大危险源分级指标；</w:t>
      </w:r>
    </w:p>
    <w:p w14:paraId="5857EBB6">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q</w:t>
      </w:r>
      <w:r>
        <w:rPr>
          <w:rFonts w:hint="eastAsia" w:ascii="Times New Roman" w:hAnsi="Times New Roman" w:eastAsia="宋体" w:cstheme="minorBidi"/>
          <w:kern w:val="2"/>
          <w:sz w:val="28"/>
          <w:szCs w:val="24"/>
          <w:vertAlign w:val="subscript"/>
          <w:lang w:val="en-US" w:eastAsia="zh-CN" w:bidi="ar-SA"/>
          <w14:ligatures w14:val="standardContextual"/>
        </w:rPr>
        <w:t>1</w:t>
      </w:r>
      <w:r>
        <w:rPr>
          <w:rFonts w:hint="eastAsia" w:ascii="Times New Roman" w:hAnsi="Times New Roman" w:eastAsia="宋体" w:cstheme="minorBidi"/>
          <w:kern w:val="2"/>
          <w:sz w:val="28"/>
          <w:szCs w:val="24"/>
          <w:lang w:val="en-US" w:eastAsia="zh-CN" w:bidi="ar-SA"/>
          <w14:ligatures w14:val="standardContextual"/>
        </w:rPr>
        <w:t>，q</w:t>
      </w:r>
      <w:r>
        <w:rPr>
          <w:rFonts w:hint="eastAsia" w:ascii="Times New Roman" w:hAnsi="Times New Roman" w:eastAsia="宋体" w:cstheme="minorBidi"/>
          <w:kern w:val="2"/>
          <w:sz w:val="28"/>
          <w:szCs w:val="24"/>
          <w:vertAlign w:val="subscript"/>
          <w:lang w:val="en-US" w:eastAsia="zh-CN" w:bidi="ar-SA"/>
          <w14:ligatures w14:val="standardContextual"/>
        </w:rPr>
        <w:t>2</w:t>
      </w:r>
      <w:r>
        <w:rPr>
          <w:rFonts w:hint="eastAsia" w:ascii="Times New Roman" w:hAnsi="Times New Roman" w:eastAsia="宋体" w:cstheme="minorBidi"/>
          <w:kern w:val="2"/>
          <w:sz w:val="28"/>
          <w:szCs w:val="24"/>
          <w:lang w:val="en-US" w:eastAsia="zh-CN" w:bidi="ar-SA"/>
          <w14:ligatures w14:val="standardContextual"/>
        </w:rPr>
        <w:t>，…，q</w:t>
      </w:r>
      <w:r>
        <w:rPr>
          <w:rFonts w:hint="eastAsia" w:ascii="Times New Roman" w:hAnsi="Times New Roman" w:eastAsia="宋体" w:cstheme="minorBidi"/>
          <w:kern w:val="2"/>
          <w:sz w:val="28"/>
          <w:szCs w:val="24"/>
          <w:vertAlign w:val="subscript"/>
          <w:lang w:val="en-US" w:eastAsia="zh-CN" w:bidi="ar-SA"/>
          <w14:ligatures w14:val="standardContextual"/>
        </w:rPr>
        <w:t>n</w:t>
      </w:r>
      <w:r>
        <w:rPr>
          <w:rFonts w:hint="eastAsia" w:ascii="Times New Roman" w:hAnsi="Times New Roman" w:eastAsia="宋体" w:cstheme="minorBidi"/>
          <w:kern w:val="2"/>
          <w:sz w:val="28"/>
          <w:szCs w:val="24"/>
          <w:lang w:val="en-US" w:eastAsia="zh-CN" w:bidi="ar-SA"/>
          <w14:ligatures w14:val="standardContextual"/>
        </w:rPr>
        <w:t>—每种危险化学品实际存在量（单位：t）；</w:t>
      </w:r>
    </w:p>
    <w:p w14:paraId="3FFA9A4E">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Q</w:t>
      </w:r>
      <w:r>
        <w:rPr>
          <w:rFonts w:hint="eastAsia" w:ascii="Times New Roman" w:hAnsi="Times New Roman" w:eastAsia="宋体" w:cstheme="minorBidi"/>
          <w:kern w:val="2"/>
          <w:sz w:val="28"/>
          <w:szCs w:val="24"/>
          <w:vertAlign w:val="subscript"/>
          <w:lang w:val="en-US" w:eastAsia="zh-CN" w:bidi="ar-SA"/>
          <w14:ligatures w14:val="standardContextual"/>
        </w:rPr>
        <w:t>1</w:t>
      </w:r>
      <w:r>
        <w:rPr>
          <w:rFonts w:hint="eastAsia" w:ascii="Times New Roman" w:hAnsi="Times New Roman" w:eastAsia="宋体" w:cstheme="minorBidi"/>
          <w:kern w:val="2"/>
          <w:sz w:val="28"/>
          <w:szCs w:val="24"/>
          <w:lang w:val="en-US" w:eastAsia="zh-CN" w:bidi="ar-SA"/>
          <w14:ligatures w14:val="standardContextual"/>
        </w:rPr>
        <w:t>，Q</w:t>
      </w:r>
      <w:r>
        <w:rPr>
          <w:rFonts w:hint="eastAsia" w:ascii="Times New Roman" w:hAnsi="Times New Roman" w:eastAsia="宋体" w:cstheme="minorBidi"/>
          <w:kern w:val="2"/>
          <w:sz w:val="28"/>
          <w:szCs w:val="24"/>
          <w:vertAlign w:val="subscript"/>
          <w:lang w:val="en-US" w:eastAsia="zh-CN" w:bidi="ar-SA"/>
          <w14:ligatures w14:val="standardContextual"/>
        </w:rPr>
        <w:t>2</w:t>
      </w:r>
      <w:r>
        <w:rPr>
          <w:rFonts w:hint="eastAsia" w:ascii="Times New Roman" w:hAnsi="Times New Roman" w:eastAsia="宋体" w:cstheme="minorBidi"/>
          <w:kern w:val="2"/>
          <w:sz w:val="28"/>
          <w:szCs w:val="24"/>
          <w:lang w:val="en-US" w:eastAsia="zh-CN" w:bidi="ar-SA"/>
          <w14:ligatures w14:val="standardContextual"/>
        </w:rPr>
        <w:t>，…，Q</w:t>
      </w:r>
      <w:r>
        <w:rPr>
          <w:rFonts w:hint="eastAsia" w:ascii="Times New Roman" w:hAnsi="Times New Roman" w:eastAsia="宋体" w:cstheme="minorBidi"/>
          <w:kern w:val="2"/>
          <w:sz w:val="28"/>
          <w:szCs w:val="24"/>
          <w:vertAlign w:val="subscript"/>
          <w:lang w:val="en-US" w:eastAsia="zh-CN" w:bidi="ar-SA"/>
          <w14:ligatures w14:val="standardContextual"/>
        </w:rPr>
        <w:t>n</w:t>
      </w:r>
      <w:r>
        <w:rPr>
          <w:rFonts w:hint="eastAsia" w:ascii="Times New Roman" w:hAnsi="Times New Roman" w:eastAsia="宋体" w:cstheme="minorBidi"/>
          <w:kern w:val="2"/>
          <w:sz w:val="28"/>
          <w:szCs w:val="24"/>
          <w:lang w:val="en-US" w:eastAsia="zh-CN" w:bidi="ar-SA"/>
          <w14:ligatures w14:val="standardContextual"/>
        </w:rPr>
        <w:t>—与各危险化学品相对应的临界量（单位：t）；</w:t>
      </w:r>
    </w:p>
    <w:p w14:paraId="0BFE7F7A">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β</w:t>
      </w:r>
      <w:r>
        <w:rPr>
          <w:rFonts w:hint="eastAsia" w:ascii="Times New Roman" w:hAnsi="Times New Roman" w:eastAsia="宋体" w:cstheme="minorBidi"/>
          <w:kern w:val="2"/>
          <w:sz w:val="28"/>
          <w:szCs w:val="24"/>
          <w:vertAlign w:val="subscript"/>
          <w:lang w:val="en-US" w:eastAsia="zh-CN" w:bidi="ar-SA"/>
          <w14:ligatures w14:val="standardContextual"/>
        </w:rPr>
        <w:t>1</w:t>
      </w:r>
      <w:r>
        <w:rPr>
          <w:rFonts w:hint="eastAsia" w:ascii="Times New Roman" w:hAnsi="Times New Roman" w:eastAsia="宋体" w:cstheme="minorBidi"/>
          <w:kern w:val="2"/>
          <w:sz w:val="28"/>
          <w:szCs w:val="24"/>
          <w:lang w:val="en-US" w:eastAsia="zh-CN" w:bidi="ar-SA"/>
          <w14:ligatures w14:val="standardContextual"/>
        </w:rPr>
        <w:t>，β</w:t>
      </w:r>
      <w:r>
        <w:rPr>
          <w:rFonts w:hint="eastAsia" w:ascii="Times New Roman" w:hAnsi="Times New Roman" w:eastAsia="宋体" w:cstheme="minorBidi"/>
          <w:kern w:val="2"/>
          <w:sz w:val="28"/>
          <w:szCs w:val="24"/>
          <w:vertAlign w:val="subscript"/>
          <w:lang w:val="en-US" w:eastAsia="zh-CN" w:bidi="ar-SA"/>
          <w14:ligatures w14:val="standardContextual"/>
        </w:rPr>
        <w:t>2</w:t>
      </w:r>
      <w:r>
        <w:rPr>
          <w:rFonts w:hint="eastAsia" w:ascii="Times New Roman" w:hAnsi="Times New Roman" w:eastAsia="宋体" w:cstheme="minorBidi"/>
          <w:kern w:val="2"/>
          <w:sz w:val="28"/>
          <w:szCs w:val="24"/>
          <w:lang w:val="en-US" w:eastAsia="zh-CN" w:bidi="ar-SA"/>
          <w14:ligatures w14:val="standardContextual"/>
        </w:rPr>
        <w:t>…，β</w:t>
      </w:r>
      <w:r>
        <w:rPr>
          <w:rFonts w:hint="eastAsia" w:ascii="Times New Roman" w:hAnsi="Times New Roman" w:eastAsia="宋体" w:cstheme="minorBidi"/>
          <w:kern w:val="2"/>
          <w:sz w:val="28"/>
          <w:szCs w:val="24"/>
          <w:vertAlign w:val="subscript"/>
          <w:lang w:val="en-US" w:eastAsia="zh-CN" w:bidi="ar-SA"/>
          <w14:ligatures w14:val="standardContextual"/>
        </w:rPr>
        <w:t>n</w:t>
      </w:r>
      <w:r>
        <w:rPr>
          <w:rFonts w:hint="eastAsia" w:ascii="Times New Roman" w:hAnsi="Times New Roman" w:eastAsia="宋体" w:cstheme="minorBidi"/>
          <w:kern w:val="2"/>
          <w:sz w:val="28"/>
          <w:szCs w:val="24"/>
          <w:lang w:val="en-US" w:eastAsia="zh-CN" w:bidi="ar-SA"/>
          <w14:ligatures w14:val="standardContextual"/>
        </w:rPr>
        <w:t>—与各危险化学品相对应的校正系数；</w:t>
      </w:r>
    </w:p>
    <w:p w14:paraId="3D6D1654">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α—该危险化学品重大危险源厂区外暴露人员的校正系数。</w:t>
      </w:r>
    </w:p>
    <w:p w14:paraId="1CFE7866">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3）校正系数β的取值</w:t>
      </w:r>
    </w:p>
    <w:p w14:paraId="695D9966">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根据单元内危险化学品的类别不同，设定校正系数β值，在表2.2-2范围内的危险化学品，其β值按表3.5-3确定；未在表3.5-3范围内的危险化学品，其β值按表3.5-4确定。</w:t>
      </w:r>
    </w:p>
    <w:p w14:paraId="46D2CEAC">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eastAsia" w:ascii="黑体" w:hAnsi="黑体" w:eastAsia="黑体" w:cstheme="minorBidi"/>
          <w:kern w:val="2"/>
          <w:sz w:val="24"/>
          <w:szCs w:val="24"/>
          <w:lang w:val="en-US" w:eastAsia="zh-CN" w:bidi="ar-SA"/>
          <w14:ligatures w14:val="standardContextual"/>
        </w:rPr>
        <w:t>表</w:t>
      </w:r>
      <w:r>
        <w:rPr>
          <w:rFonts w:hint="eastAsia" w:ascii="Times New Roman" w:hAnsi="Times New Roman" w:eastAsia="黑体" w:cs="Times New Roman"/>
          <w:kern w:val="2"/>
          <w:sz w:val="24"/>
          <w:szCs w:val="24"/>
          <w:lang w:val="en-US" w:eastAsia="zh-CN" w:bidi="ar-SA"/>
          <w14:ligatures w14:val="standardContextual"/>
        </w:rPr>
        <w:t>3.5-3</w:t>
      </w:r>
      <w:r>
        <w:rPr>
          <w:rFonts w:hint="eastAsia" w:ascii="黑体" w:hAnsi="黑体" w:eastAsia="黑体" w:cstheme="minorBidi"/>
          <w:kern w:val="2"/>
          <w:sz w:val="24"/>
          <w:szCs w:val="24"/>
          <w:lang w:val="en-US" w:eastAsia="zh-CN" w:bidi="ar-SA"/>
          <w14:ligatures w14:val="standardContextual"/>
        </w:rPr>
        <w:t xml:space="preserve">  毒性气体校正系数β取值表</w:t>
      </w:r>
    </w:p>
    <w:tbl>
      <w:tblPr>
        <w:tblStyle w:val="1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00"/>
        <w:gridCol w:w="4700"/>
      </w:tblGrid>
      <w:tr w14:paraId="1053F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tblHeader/>
          <w:jc w:val="center"/>
        </w:trPr>
        <w:tc>
          <w:tcPr>
            <w:tcW w:w="2500" w:type="pct"/>
            <w:vAlign w:val="center"/>
          </w:tcPr>
          <w:p w14:paraId="204F768D">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名称</w:t>
            </w:r>
          </w:p>
        </w:tc>
        <w:tc>
          <w:tcPr>
            <w:tcW w:w="2500" w:type="pct"/>
            <w:vAlign w:val="center"/>
          </w:tcPr>
          <w:p w14:paraId="2383BF70">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校正系数β</w:t>
            </w:r>
          </w:p>
        </w:tc>
      </w:tr>
      <w:tr w14:paraId="7A6E3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007953D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一氧化碳</w:t>
            </w:r>
          </w:p>
        </w:tc>
        <w:tc>
          <w:tcPr>
            <w:tcW w:w="2500" w:type="pct"/>
            <w:vAlign w:val="center"/>
          </w:tcPr>
          <w:p w14:paraId="4991D391">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2CE41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7216524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二氧化硫</w:t>
            </w:r>
          </w:p>
        </w:tc>
        <w:tc>
          <w:tcPr>
            <w:tcW w:w="2500" w:type="pct"/>
            <w:vAlign w:val="center"/>
          </w:tcPr>
          <w:p w14:paraId="5D5F524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56B3B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4476016A">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氨</w:t>
            </w:r>
          </w:p>
        </w:tc>
        <w:tc>
          <w:tcPr>
            <w:tcW w:w="2500" w:type="pct"/>
            <w:vAlign w:val="center"/>
          </w:tcPr>
          <w:p w14:paraId="7E211872">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272F8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48A2323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环氧乙烷</w:t>
            </w:r>
          </w:p>
        </w:tc>
        <w:tc>
          <w:tcPr>
            <w:tcW w:w="2500" w:type="pct"/>
            <w:vAlign w:val="center"/>
          </w:tcPr>
          <w:p w14:paraId="116D3FA6">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630A2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65E945ED">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氯化氢</w:t>
            </w:r>
          </w:p>
        </w:tc>
        <w:tc>
          <w:tcPr>
            <w:tcW w:w="2500" w:type="pct"/>
            <w:vAlign w:val="center"/>
          </w:tcPr>
          <w:p w14:paraId="412C7ED2">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3</w:t>
            </w:r>
          </w:p>
        </w:tc>
      </w:tr>
      <w:tr w14:paraId="096FC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16FE8822">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溴甲烷</w:t>
            </w:r>
          </w:p>
        </w:tc>
        <w:tc>
          <w:tcPr>
            <w:tcW w:w="2500" w:type="pct"/>
            <w:vAlign w:val="center"/>
          </w:tcPr>
          <w:p w14:paraId="3DB95146">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3</w:t>
            </w:r>
          </w:p>
        </w:tc>
      </w:tr>
      <w:tr w14:paraId="79CC8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20C6515C">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氯</w:t>
            </w:r>
          </w:p>
        </w:tc>
        <w:tc>
          <w:tcPr>
            <w:tcW w:w="2500" w:type="pct"/>
            <w:vAlign w:val="center"/>
          </w:tcPr>
          <w:p w14:paraId="732BFE6D">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4</w:t>
            </w:r>
          </w:p>
        </w:tc>
      </w:tr>
      <w:tr w14:paraId="2A333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36F55681">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硫化氢</w:t>
            </w:r>
          </w:p>
        </w:tc>
        <w:tc>
          <w:tcPr>
            <w:tcW w:w="2500" w:type="pct"/>
            <w:vAlign w:val="center"/>
          </w:tcPr>
          <w:p w14:paraId="7D0454B9">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5</w:t>
            </w:r>
          </w:p>
        </w:tc>
      </w:tr>
      <w:tr w14:paraId="5CAD1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08D66D58">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氟化氢</w:t>
            </w:r>
          </w:p>
        </w:tc>
        <w:tc>
          <w:tcPr>
            <w:tcW w:w="2500" w:type="pct"/>
            <w:vAlign w:val="center"/>
          </w:tcPr>
          <w:p w14:paraId="252D79F9">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5</w:t>
            </w:r>
          </w:p>
        </w:tc>
      </w:tr>
      <w:tr w14:paraId="640D0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7765C5FD">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二氧化氮</w:t>
            </w:r>
          </w:p>
        </w:tc>
        <w:tc>
          <w:tcPr>
            <w:tcW w:w="2500" w:type="pct"/>
            <w:vAlign w:val="center"/>
          </w:tcPr>
          <w:p w14:paraId="1669632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w:t>
            </w:r>
          </w:p>
        </w:tc>
      </w:tr>
      <w:tr w14:paraId="41599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622C2280">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氰化氢</w:t>
            </w:r>
          </w:p>
        </w:tc>
        <w:tc>
          <w:tcPr>
            <w:tcW w:w="2500" w:type="pct"/>
            <w:vAlign w:val="center"/>
          </w:tcPr>
          <w:p w14:paraId="5234742C">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w:t>
            </w:r>
          </w:p>
        </w:tc>
      </w:tr>
      <w:tr w14:paraId="1891D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24EF702A">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碳酰氯</w:t>
            </w:r>
          </w:p>
        </w:tc>
        <w:tc>
          <w:tcPr>
            <w:tcW w:w="2500" w:type="pct"/>
            <w:vAlign w:val="center"/>
          </w:tcPr>
          <w:p w14:paraId="10AEAF90">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20</w:t>
            </w:r>
          </w:p>
        </w:tc>
      </w:tr>
      <w:tr w14:paraId="25A7D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2D471748">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磷化氢</w:t>
            </w:r>
          </w:p>
        </w:tc>
        <w:tc>
          <w:tcPr>
            <w:tcW w:w="2500" w:type="pct"/>
            <w:vAlign w:val="center"/>
          </w:tcPr>
          <w:p w14:paraId="1B54F781">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20</w:t>
            </w:r>
          </w:p>
        </w:tc>
      </w:tr>
      <w:tr w14:paraId="53DCF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3392A906">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异氰酸甲酯</w:t>
            </w:r>
          </w:p>
        </w:tc>
        <w:tc>
          <w:tcPr>
            <w:tcW w:w="2500" w:type="pct"/>
            <w:vAlign w:val="center"/>
          </w:tcPr>
          <w:p w14:paraId="1C6B1A4E">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20</w:t>
            </w:r>
          </w:p>
        </w:tc>
      </w:tr>
    </w:tbl>
    <w:p w14:paraId="5EAF286F">
      <w:pPr>
        <w:keepNext/>
        <w:keepLines/>
        <w:widowControl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eastAsia" w:ascii="黑体" w:hAnsi="黑体" w:eastAsia="黑体" w:cstheme="minorBidi"/>
          <w:kern w:val="2"/>
          <w:sz w:val="24"/>
          <w:szCs w:val="24"/>
          <w:lang w:val="en-US" w:eastAsia="zh-CN" w:bidi="ar-SA"/>
          <w14:ligatures w14:val="standardContextual"/>
        </w:rPr>
        <w:t>表</w:t>
      </w:r>
      <w:r>
        <w:rPr>
          <w:rFonts w:hint="eastAsia" w:ascii="Times New Roman" w:hAnsi="Times New Roman" w:eastAsia="黑体" w:cs="Times New Roman"/>
          <w:kern w:val="2"/>
          <w:sz w:val="24"/>
          <w:szCs w:val="24"/>
          <w:lang w:val="en-US" w:eastAsia="zh-CN" w:bidi="ar-SA"/>
          <w14:ligatures w14:val="standardContextual"/>
        </w:rPr>
        <w:t>3.5-4</w:t>
      </w:r>
      <w:r>
        <w:rPr>
          <w:rFonts w:hint="eastAsia" w:ascii="黑体" w:hAnsi="黑体" w:eastAsia="黑体" w:cstheme="minorBidi"/>
          <w:kern w:val="2"/>
          <w:sz w:val="24"/>
          <w:szCs w:val="24"/>
          <w:lang w:val="en-US" w:eastAsia="zh-CN" w:bidi="ar-SA"/>
          <w14:ligatures w14:val="standardContextual"/>
        </w:rPr>
        <w:t xml:space="preserve">  未在表</w:t>
      </w:r>
      <w:r>
        <w:rPr>
          <w:rFonts w:hint="eastAsia" w:ascii="Times New Roman" w:hAnsi="Times New Roman" w:eastAsia="黑体" w:cs="Times New Roman"/>
          <w:kern w:val="2"/>
          <w:sz w:val="24"/>
          <w:szCs w:val="24"/>
          <w:lang w:val="en-US" w:eastAsia="zh-CN" w:bidi="ar-SA"/>
          <w14:ligatures w14:val="standardContextual"/>
        </w:rPr>
        <w:t>3.5-3</w:t>
      </w:r>
      <w:r>
        <w:rPr>
          <w:rFonts w:hint="eastAsia" w:ascii="黑体" w:hAnsi="黑体" w:eastAsia="黑体" w:cstheme="minorBidi"/>
          <w:kern w:val="2"/>
          <w:sz w:val="24"/>
          <w:szCs w:val="24"/>
          <w:lang w:val="en-US" w:eastAsia="zh-CN" w:bidi="ar-SA"/>
          <w14:ligatures w14:val="standardContextual"/>
        </w:rPr>
        <w:t>中列举的危险化学品校正系数β值取值表</w:t>
      </w:r>
    </w:p>
    <w:tbl>
      <w:tblPr>
        <w:tblStyle w:val="1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818"/>
        <w:gridCol w:w="2790"/>
        <w:gridCol w:w="2792"/>
      </w:tblGrid>
      <w:tr w14:paraId="775F6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jc w:val="center"/>
        </w:trPr>
        <w:tc>
          <w:tcPr>
            <w:tcW w:w="2031" w:type="pct"/>
            <w:vAlign w:val="center"/>
          </w:tcPr>
          <w:p w14:paraId="00AF0FB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类别</w:t>
            </w:r>
          </w:p>
        </w:tc>
        <w:tc>
          <w:tcPr>
            <w:tcW w:w="1484" w:type="pct"/>
            <w:vAlign w:val="center"/>
          </w:tcPr>
          <w:p w14:paraId="56FA3D03">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符号</w:t>
            </w:r>
          </w:p>
        </w:tc>
        <w:tc>
          <w:tcPr>
            <w:tcW w:w="1485" w:type="pct"/>
            <w:vAlign w:val="center"/>
          </w:tcPr>
          <w:p w14:paraId="59038703">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β校正系数</w:t>
            </w:r>
          </w:p>
        </w:tc>
      </w:tr>
      <w:tr w14:paraId="33B00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229CF60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急性毒性</w:t>
            </w:r>
          </w:p>
        </w:tc>
        <w:tc>
          <w:tcPr>
            <w:tcW w:w="1484" w:type="pct"/>
            <w:vAlign w:val="center"/>
          </w:tcPr>
          <w:p w14:paraId="7A9730E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J1</w:t>
            </w:r>
          </w:p>
        </w:tc>
        <w:tc>
          <w:tcPr>
            <w:tcW w:w="1485" w:type="pct"/>
            <w:vAlign w:val="center"/>
          </w:tcPr>
          <w:p w14:paraId="153BD6E7">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4</w:t>
            </w:r>
          </w:p>
        </w:tc>
      </w:tr>
      <w:tr w14:paraId="3740D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03D86C8A">
            <w:pPr>
              <w:spacing w:after="0" w:line="240" w:lineRule="auto"/>
              <w:jc w:val="center"/>
              <w:rPr>
                <w:rFonts w:ascii="Times New Roman" w:hAnsi="Times New Roman" w:eastAsia="宋体" w:cs="宋体"/>
                <w:sz w:val="21"/>
                <w:szCs w:val="21"/>
                <w14:ligatures w14:val="none"/>
              </w:rPr>
            </w:pPr>
          </w:p>
        </w:tc>
        <w:tc>
          <w:tcPr>
            <w:tcW w:w="1484" w:type="pct"/>
            <w:vAlign w:val="center"/>
          </w:tcPr>
          <w:p w14:paraId="20C8A88D">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J2</w:t>
            </w:r>
          </w:p>
        </w:tc>
        <w:tc>
          <w:tcPr>
            <w:tcW w:w="1485" w:type="pct"/>
            <w:vAlign w:val="center"/>
          </w:tcPr>
          <w:p w14:paraId="4CF6E87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435AC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4E53ED40">
            <w:pPr>
              <w:spacing w:after="0" w:line="240" w:lineRule="auto"/>
              <w:jc w:val="center"/>
              <w:rPr>
                <w:rFonts w:ascii="Times New Roman" w:hAnsi="Times New Roman" w:eastAsia="宋体" w:cs="宋体"/>
                <w:sz w:val="21"/>
                <w:szCs w:val="21"/>
                <w14:ligatures w14:val="none"/>
              </w:rPr>
            </w:pPr>
          </w:p>
        </w:tc>
        <w:tc>
          <w:tcPr>
            <w:tcW w:w="1484" w:type="pct"/>
            <w:vAlign w:val="center"/>
          </w:tcPr>
          <w:p w14:paraId="04C192EF">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J3</w:t>
            </w:r>
          </w:p>
        </w:tc>
        <w:tc>
          <w:tcPr>
            <w:tcW w:w="1485" w:type="pct"/>
            <w:vAlign w:val="center"/>
          </w:tcPr>
          <w:p w14:paraId="112E96C5">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306FC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0BF8DDFB">
            <w:pPr>
              <w:spacing w:after="0" w:line="240" w:lineRule="auto"/>
              <w:jc w:val="center"/>
              <w:rPr>
                <w:rFonts w:ascii="Times New Roman" w:hAnsi="Times New Roman" w:eastAsia="宋体" w:cs="宋体"/>
                <w:sz w:val="21"/>
                <w:szCs w:val="21"/>
                <w14:ligatures w14:val="none"/>
              </w:rPr>
            </w:pPr>
          </w:p>
        </w:tc>
        <w:tc>
          <w:tcPr>
            <w:tcW w:w="1484" w:type="pct"/>
            <w:vAlign w:val="center"/>
          </w:tcPr>
          <w:p w14:paraId="65689204">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J4</w:t>
            </w:r>
          </w:p>
        </w:tc>
        <w:tc>
          <w:tcPr>
            <w:tcW w:w="1485" w:type="pct"/>
            <w:vAlign w:val="center"/>
          </w:tcPr>
          <w:p w14:paraId="77B68741">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09B81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4B274F4B">
            <w:pPr>
              <w:spacing w:after="0" w:line="240" w:lineRule="auto"/>
              <w:jc w:val="center"/>
              <w:rPr>
                <w:rFonts w:ascii="Times New Roman" w:hAnsi="Times New Roman" w:eastAsia="宋体" w:cs="宋体"/>
                <w:sz w:val="21"/>
                <w:szCs w:val="21"/>
                <w14:ligatures w14:val="none"/>
              </w:rPr>
            </w:pPr>
          </w:p>
        </w:tc>
        <w:tc>
          <w:tcPr>
            <w:tcW w:w="1484" w:type="pct"/>
            <w:vAlign w:val="center"/>
          </w:tcPr>
          <w:p w14:paraId="3E19D0E7">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J5</w:t>
            </w:r>
          </w:p>
        </w:tc>
        <w:tc>
          <w:tcPr>
            <w:tcW w:w="1485" w:type="pct"/>
            <w:vAlign w:val="center"/>
          </w:tcPr>
          <w:p w14:paraId="7F7013E4">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765DB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76D1E07B">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爆炸物</w:t>
            </w:r>
          </w:p>
        </w:tc>
        <w:tc>
          <w:tcPr>
            <w:tcW w:w="1484" w:type="pct"/>
            <w:vAlign w:val="center"/>
          </w:tcPr>
          <w:p w14:paraId="6C9DB33C">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W1.1</w:t>
            </w:r>
          </w:p>
        </w:tc>
        <w:tc>
          <w:tcPr>
            <w:tcW w:w="1485" w:type="pct"/>
            <w:vAlign w:val="center"/>
          </w:tcPr>
          <w:p w14:paraId="78F1FC01">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7F5AC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038CB6F2">
            <w:pPr>
              <w:spacing w:after="0" w:line="240" w:lineRule="auto"/>
              <w:jc w:val="center"/>
              <w:rPr>
                <w:rFonts w:ascii="Times New Roman" w:hAnsi="Times New Roman" w:eastAsia="宋体" w:cs="宋体"/>
                <w:sz w:val="21"/>
                <w:szCs w:val="21"/>
                <w14:ligatures w14:val="none"/>
              </w:rPr>
            </w:pPr>
          </w:p>
        </w:tc>
        <w:tc>
          <w:tcPr>
            <w:tcW w:w="1484" w:type="pct"/>
            <w:vAlign w:val="center"/>
          </w:tcPr>
          <w:p w14:paraId="4853061B">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W1.2</w:t>
            </w:r>
          </w:p>
        </w:tc>
        <w:tc>
          <w:tcPr>
            <w:tcW w:w="1485" w:type="pct"/>
            <w:vAlign w:val="center"/>
          </w:tcPr>
          <w:p w14:paraId="341E0962">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75BC3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591EDD30">
            <w:pPr>
              <w:spacing w:after="0" w:line="240" w:lineRule="auto"/>
              <w:jc w:val="center"/>
              <w:rPr>
                <w:rFonts w:ascii="Times New Roman" w:hAnsi="Times New Roman" w:eastAsia="宋体" w:cs="宋体"/>
                <w:sz w:val="21"/>
                <w:szCs w:val="21"/>
                <w14:ligatures w14:val="none"/>
              </w:rPr>
            </w:pPr>
          </w:p>
        </w:tc>
        <w:tc>
          <w:tcPr>
            <w:tcW w:w="1484" w:type="pct"/>
            <w:vAlign w:val="center"/>
          </w:tcPr>
          <w:p w14:paraId="10186211">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W1.3</w:t>
            </w:r>
          </w:p>
        </w:tc>
        <w:tc>
          <w:tcPr>
            <w:tcW w:w="1485" w:type="pct"/>
            <w:vAlign w:val="center"/>
          </w:tcPr>
          <w:p w14:paraId="1276E1AC">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567A0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51DCFE4C">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易燃气体</w:t>
            </w:r>
          </w:p>
        </w:tc>
        <w:tc>
          <w:tcPr>
            <w:tcW w:w="1484" w:type="pct"/>
            <w:vAlign w:val="center"/>
          </w:tcPr>
          <w:p w14:paraId="2614798F">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W2</w:t>
            </w:r>
          </w:p>
        </w:tc>
        <w:tc>
          <w:tcPr>
            <w:tcW w:w="1485" w:type="pct"/>
            <w:vAlign w:val="center"/>
          </w:tcPr>
          <w:p w14:paraId="7A883584">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1.5</w:t>
            </w:r>
          </w:p>
        </w:tc>
      </w:tr>
      <w:tr w14:paraId="09F98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23B54A28">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气溶胶</w:t>
            </w:r>
          </w:p>
        </w:tc>
        <w:tc>
          <w:tcPr>
            <w:tcW w:w="1484" w:type="pct"/>
            <w:vAlign w:val="center"/>
          </w:tcPr>
          <w:p w14:paraId="7CEAB7BF">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W3</w:t>
            </w:r>
          </w:p>
        </w:tc>
        <w:tc>
          <w:tcPr>
            <w:tcW w:w="1485" w:type="pct"/>
            <w:vAlign w:val="center"/>
          </w:tcPr>
          <w:p w14:paraId="539804B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5051F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453E003B">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氧化性气体</w:t>
            </w:r>
          </w:p>
        </w:tc>
        <w:tc>
          <w:tcPr>
            <w:tcW w:w="1484" w:type="pct"/>
            <w:vAlign w:val="center"/>
          </w:tcPr>
          <w:p w14:paraId="769BA73B">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W4</w:t>
            </w:r>
          </w:p>
        </w:tc>
        <w:tc>
          <w:tcPr>
            <w:tcW w:w="1485" w:type="pct"/>
            <w:vAlign w:val="center"/>
          </w:tcPr>
          <w:p w14:paraId="4C6B6D6E">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35948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747666CB">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易燃液体</w:t>
            </w:r>
          </w:p>
        </w:tc>
        <w:tc>
          <w:tcPr>
            <w:tcW w:w="1484" w:type="pct"/>
            <w:vAlign w:val="center"/>
          </w:tcPr>
          <w:p w14:paraId="7D52776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W5.1</w:t>
            </w:r>
          </w:p>
        </w:tc>
        <w:tc>
          <w:tcPr>
            <w:tcW w:w="1485" w:type="pct"/>
            <w:vAlign w:val="center"/>
          </w:tcPr>
          <w:p w14:paraId="5FBB756B">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1.5</w:t>
            </w:r>
          </w:p>
        </w:tc>
      </w:tr>
      <w:tr w14:paraId="617AF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1D7F1837">
            <w:pPr>
              <w:spacing w:after="0" w:line="240" w:lineRule="auto"/>
              <w:jc w:val="center"/>
              <w:rPr>
                <w:rFonts w:ascii="Times New Roman" w:hAnsi="Times New Roman" w:eastAsia="宋体" w:cs="宋体"/>
                <w:sz w:val="21"/>
                <w:szCs w:val="21"/>
                <w14:ligatures w14:val="none"/>
              </w:rPr>
            </w:pPr>
          </w:p>
        </w:tc>
        <w:tc>
          <w:tcPr>
            <w:tcW w:w="1484" w:type="pct"/>
            <w:vAlign w:val="center"/>
          </w:tcPr>
          <w:p w14:paraId="2FD0C2A2">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W5.2</w:t>
            </w:r>
          </w:p>
        </w:tc>
        <w:tc>
          <w:tcPr>
            <w:tcW w:w="1485" w:type="pct"/>
            <w:vAlign w:val="center"/>
          </w:tcPr>
          <w:p w14:paraId="76C793B8">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35342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453C3717">
            <w:pPr>
              <w:spacing w:after="0" w:line="240" w:lineRule="auto"/>
              <w:jc w:val="center"/>
              <w:rPr>
                <w:rFonts w:ascii="Times New Roman" w:hAnsi="Times New Roman" w:eastAsia="宋体" w:cs="宋体"/>
                <w:sz w:val="21"/>
                <w:szCs w:val="21"/>
                <w14:ligatures w14:val="none"/>
              </w:rPr>
            </w:pPr>
          </w:p>
        </w:tc>
        <w:tc>
          <w:tcPr>
            <w:tcW w:w="1484" w:type="pct"/>
            <w:vAlign w:val="center"/>
          </w:tcPr>
          <w:p w14:paraId="321A4612">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W5.3</w:t>
            </w:r>
          </w:p>
        </w:tc>
        <w:tc>
          <w:tcPr>
            <w:tcW w:w="1485" w:type="pct"/>
            <w:vAlign w:val="center"/>
          </w:tcPr>
          <w:p w14:paraId="34FEFCC7">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08FF5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2D0CFC89">
            <w:pPr>
              <w:spacing w:after="0" w:line="240" w:lineRule="auto"/>
              <w:jc w:val="center"/>
              <w:rPr>
                <w:rFonts w:ascii="Times New Roman" w:hAnsi="Times New Roman" w:eastAsia="宋体" w:cs="宋体"/>
                <w:sz w:val="21"/>
                <w:szCs w:val="21"/>
                <w14:ligatures w14:val="none"/>
              </w:rPr>
            </w:pPr>
          </w:p>
        </w:tc>
        <w:tc>
          <w:tcPr>
            <w:tcW w:w="1484" w:type="pct"/>
            <w:vAlign w:val="center"/>
          </w:tcPr>
          <w:p w14:paraId="6640EDFB">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W5.4</w:t>
            </w:r>
          </w:p>
        </w:tc>
        <w:tc>
          <w:tcPr>
            <w:tcW w:w="1485" w:type="pct"/>
            <w:vAlign w:val="center"/>
          </w:tcPr>
          <w:p w14:paraId="63F6AAB2">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12ACB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472550A9">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自反应物质和混合物</w:t>
            </w:r>
          </w:p>
        </w:tc>
        <w:tc>
          <w:tcPr>
            <w:tcW w:w="1484" w:type="pct"/>
            <w:vAlign w:val="center"/>
          </w:tcPr>
          <w:p w14:paraId="7D9443E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W6.1</w:t>
            </w:r>
          </w:p>
        </w:tc>
        <w:tc>
          <w:tcPr>
            <w:tcW w:w="1485" w:type="pct"/>
            <w:vAlign w:val="center"/>
          </w:tcPr>
          <w:p w14:paraId="3BFDCCF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1.5</w:t>
            </w:r>
          </w:p>
        </w:tc>
      </w:tr>
      <w:tr w14:paraId="52116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07E80FB1">
            <w:pPr>
              <w:spacing w:after="0" w:line="240" w:lineRule="auto"/>
              <w:jc w:val="center"/>
              <w:rPr>
                <w:rFonts w:ascii="Times New Roman" w:hAnsi="Times New Roman" w:eastAsia="宋体" w:cs="宋体"/>
                <w:sz w:val="21"/>
                <w:szCs w:val="21"/>
                <w14:ligatures w14:val="none"/>
              </w:rPr>
            </w:pPr>
          </w:p>
        </w:tc>
        <w:tc>
          <w:tcPr>
            <w:tcW w:w="1484" w:type="pct"/>
            <w:vAlign w:val="center"/>
          </w:tcPr>
          <w:p w14:paraId="6CAEBA69">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W6.2</w:t>
            </w:r>
          </w:p>
        </w:tc>
        <w:tc>
          <w:tcPr>
            <w:tcW w:w="1485" w:type="pct"/>
            <w:vAlign w:val="center"/>
          </w:tcPr>
          <w:p w14:paraId="0632486E">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0D673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00D8186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有机过氧化物</w:t>
            </w:r>
          </w:p>
        </w:tc>
        <w:tc>
          <w:tcPr>
            <w:tcW w:w="1484" w:type="pct"/>
            <w:vAlign w:val="center"/>
          </w:tcPr>
          <w:p w14:paraId="7D2C8B51">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W7.1</w:t>
            </w:r>
          </w:p>
        </w:tc>
        <w:tc>
          <w:tcPr>
            <w:tcW w:w="1485" w:type="pct"/>
            <w:vAlign w:val="center"/>
          </w:tcPr>
          <w:p w14:paraId="30E99E3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1.5</w:t>
            </w:r>
          </w:p>
        </w:tc>
      </w:tr>
      <w:tr w14:paraId="70B3E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4CF55ED1">
            <w:pPr>
              <w:spacing w:after="0" w:line="240" w:lineRule="auto"/>
              <w:jc w:val="center"/>
              <w:rPr>
                <w:rFonts w:ascii="Times New Roman" w:hAnsi="Times New Roman" w:eastAsia="宋体" w:cs="宋体"/>
                <w:sz w:val="21"/>
                <w:szCs w:val="21"/>
                <w14:ligatures w14:val="none"/>
              </w:rPr>
            </w:pPr>
          </w:p>
        </w:tc>
        <w:tc>
          <w:tcPr>
            <w:tcW w:w="1484" w:type="pct"/>
            <w:vAlign w:val="center"/>
          </w:tcPr>
          <w:p w14:paraId="7C4367F1">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W7.2</w:t>
            </w:r>
          </w:p>
        </w:tc>
        <w:tc>
          <w:tcPr>
            <w:tcW w:w="1485" w:type="pct"/>
            <w:vAlign w:val="center"/>
          </w:tcPr>
          <w:p w14:paraId="40F77798">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6575F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402D7030">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自燃液体和自燃固体</w:t>
            </w:r>
          </w:p>
        </w:tc>
        <w:tc>
          <w:tcPr>
            <w:tcW w:w="1484" w:type="pct"/>
            <w:vAlign w:val="center"/>
          </w:tcPr>
          <w:p w14:paraId="2A35C4DE">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W8</w:t>
            </w:r>
          </w:p>
        </w:tc>
        <w:tc>
          <w:tcPr>
            <w:tcW w:w="1485" w:type="pct"/>
            <w:vAlign w:val="center"/>
          </w:tcPr>
          <w:p w14:paraId="6BCE53E9">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60CB6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7936760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氧化性固体和液体</w:t>
            </w:r>
          </w:p>
        </w:tc>
        <w:tc>
          <w:tcPr>
            <w:tcW w:w="1484" w:type="pct"/>
            <w:vAlign w:val="center"/>
          </w:tcPr>
          <w:p w14:paraId="395A53C4">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W9.1</w:t>
            </w:r>
          </w:p>
        </w:tc>
        <w:tc>
          <w:tcPr>
            <w:tcW w:w="1485" w:type="pct"/>
            <w:vAlign w:val="center"/>
          </w:tcPr>
          <w:p w14:paraId="594C57A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0555A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761AC0C1">
            <w:pPr>
              <w:spacing w:after="0" w:line="240" w:lineRule="auto"/>
              <w:jc w:val="center"/>
              <w:rPr>
                <w:rFonts w:ascii="Times New Roman" w:hAnsi="Times New Roman" w:eastAsia="宋体" w:cs="宋体"/>
                <w:sz w:val="21"/>
                <w:szCs w:val="21"/>
                <w14:ligatures w14:val="none"/>
              </w:rPr>
            </w:pPr>
          </w:p>
        </w:tc>
        <w:tc>
          <w:tcPr>
            <w:tcW w:w="1484" w:type="pct"/>
            <w:vAlign w:val="center"/>
          </w:tcPr>
          <w:p w14:paraId="7B619D1A">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W9.2</w:t>
            </w:r>
          </w:p>
        </w:tc>
        <w:tc>
          <w:tcPr>
            <w:tcW w:w="1485" w:type="pct"/>
            <w:vAlign w:val="center"/>
          </w:tcPr>
          <w:p w14:paraId="6AD4EB59">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16EC7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42F727F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易燃固体</w:t>
            </w:r>
          </w:p>
        </w:tc>
        <w:tc>
          <w:tcPr>
            <w:tcW w:w="1484" w:type="pct"/>
            <w:vAlign w:val="center"/>
          </w:tcPr>
          <w:p w14:paraId="1EC515AF">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W10</w:t>
            </w:r>
          </w:p>
        </w:tc>
        <w:tc>
          <w:tcPr>
            <w:tcW w:w="1485" w:type="pct"/>
            <w:vAlign w:val="center"/>
          </w:tcPr>
          <w:p w14:paraId="09DDA415">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3310D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083949F1">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遇水放出易燃气体的物质和混合物</w:t>
            </w:r>
          </w:p>
        </w:tc>
        <w:tc>
          <w:tcPr>
            <w:tcW w:w="1484" w:type="pct"/>
            <w:vAlign w:val="center"/>
          </w:tcPr>
          <w:p w14:paraId="18D64578">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W11</w:t>
            </w:r>
          </w:p>
        </w:tc>
        <w:tc>
          <w:tcPr>
            <w:tcW w:w="1485" w:type="pct"/>
            <w:vAlign w:val="center"/>
          </w:tcPr>
          <w:p w14:paraId="6F33D8CB">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bl>
    <w:p w14:paraId="287624ED">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4）校正系数α的取值</w:t>
      </w:r>
    </w:p>
    <w:p w14:paraId="57736EDD">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根据危险化学品重大危险源的厂区边界向外扩展500m范围内常住人口数量，按照表3.5-5设定暴露人员校正系数α值。</w:t>
      </w:r>
    </w:p>
    <w:p w14:paraId="0270FB2A">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eastAsia" w:ascii="黑体" w:hAnsi="黑体" w:eastAsia="黑体" w:cstheme="minorBidi"/>
          <w:kern w:val="2"/>
          <w:sz w:val="24"/>
          <w:szCs w:val="24"/>
          <w:lang w:val="en-US" w:eastAsia="zh-CN" w:bidi="ar-SA"/>
          <w14:ligatures w14:val="standardContextual"/>
        </w:rPr>
        <w:t>表</w:t>
      </w:r>
      <w:r>
        <w:rPr>
          <w:rFonts w:hint="eastAsia" w:ascii="Times New Roman" w:hAnsi="Times New Roman" w:eastAsia="黑体" w:cs="Times New Roman"/>
          <w:kern w:val="2"/>
          <w:sz w:val="24"/>
          <w:szCs w:val="24"/>
          <w:lang w:val="en-US" w:eastAsia="zh-CN" w:bidi="ar-SA"/>
          <w14:ligatures w14:val="standardContextual"/>
        </w:rPr>
        <w:t>3.5-5</w:t>
      </w:r>
      <w:r>
        <w:rPr>
          <w:rFonts w:hint="eastAsia" w:ascii="黑体" w:hAnsi="黑体" w:eastAsia="黑体" w:cstheme="minorBidi"/>
          <w:kern w:val="2"/>
          <w:sz w:val="24"/>
          <w:szCs w:val="24"/>
          <w:lang w:val="en-US" w:eastAsia="zh-CN" w:bidi="ar-SA"/>
          <w14:ligatures w14:val="standardContextual"/>
        </w:rPr>
        <w:t xml:space="preserve">  暴露人员校正系数α取值表</w:t>
      </w:r>
    </w:p>
    <w:tbl>
      <w:tblPr>
        <w:tblStyle w:val="1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28"/>
        <w:gridCol w:w="4572"/>
      </w:tblGrid>
      <w:tr w14:paraId="1EA97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43603CCB">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厂外可能暴露人员数量</w:t>
            </w:r>
          </w:p>
        </w:tc>
        <w:tc>
          <w:tcPr>
            <w:tcW w:w="2432" w:type="pct"/>
            <w:vAlign w:val="center"/>
          </w:tcPr>
          <w:p w14:paraId="5E091CFA">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校正系数α</w:t>
            </w:r>
          </w:p>
        </w:tc>
      </w:tr>
      <w:tr w14:paraId="7D931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671A715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100人以上</w:t>
            </w:r>
          </w:p>
        </w:tc>
        <w:tc>
          <w:tcPr>
            <w:tcW w:w="2432" w:type="pct"/>
            <w:vAlign w:val="center"/>
          </w:tcPr>
          <w:p w14:paraId="7C7A5EC8">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2.0</w:t>
            </w:r>
          </w:p>
        </w:tc>
      </w:tr>
      <w:tr w14:paraId="35DCB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0E396516">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50人～99人</w:t>
            </w:r>
          </w:p>
        </w:tc>
        <w:tc>
          <w:tcPr>
            <w:tcW w:w="2432" w:type="pct"/>
            <w:vAlign w:val="center"/>
          </w:tcPr>
          <w:p w14:paraId="4AE7B37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1.5</w:t>
            </w:r>
          </w:p>
        </w:tc>
      </w:tr>
      <w:tr w14:paraId="139D4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6F8F3EB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30人～49人</w:t>
            </w:r>
          </w:p>
        </w:tc>
        <w:tc>
          <w:tcPr>
            <w:tcW w:w="2432" w:type="pct"/>
            <w:vAlign w:val="center"/>
          </w:tcPr>
          <w:p w14:paraId="6565F60D">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1.2</w:t>
            </w:r>
          </w:p>
        </w:tc>
      </w:tr>
      <w:tr w14:paraId="2CD9B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14FCE85C">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1～29人</w:t>
            </w:r>
          </w:p>
        </w:tc>
        <w:tc>
          <w:tcPr>
            <w:tcW w:w="2432" w:type="pct"/>
            <w:vAlign w:val="center"/>
          </w:tcPr>
          <w:p w14:paraId="456ACA2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w:t>
            </w:r>
          </w:p>
        </w:tc>
      </w:tr>
      <w:tr w14:paraId="31727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36E1E7CF">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0人</w:t>
            </w:r>
          </w:p>
        </w:tc>
        <w:tc>
          <w:tcPr>
            <w:tcW w:w="2432" w:type="pct"/>
            <w:vAlign w:val="center"/>
          </w:tcPr>
          <w:p w14:paraId="1386B24A">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0.5</w:t>
            </w:r>
          </w:p>
        </w:tc>
      </w:tr>
    </w:tbl>
    <w:p w14:paraId="10177163">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5）重大危险源分级标准</w:t>
      </w:r>
    </w:p>
    <w:p w14:paraId="6E65AD84">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根据计算出来的R值，按表3.5-6确定危险化学品重大危险源的级别。</w:t>
      </w:r>
    </w:p>
    <w:p w14:paraId="4DBE96E4">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eastAsia" w:ascii="黑体" w:hAnsi="黑体" w:eastAsia="黑体" w:cstheme="minorBidi"/>
          <w:kern w:val="2"/>
          <w:sz w:val="24"/>
          <w:szCs w:val="24"/>
          <w:lang w:val="en-US" w:eastAsia="zh-CN" w:bidi="ar-SA"/>
          <w14:ligatures w14:val="standardContextual"/>
        </w:rPr>
        <w:t>表</w:t>
      </w:r>
      <w:r>
        <w:rPr>
          <w:rFonts w:hint="eastAsia" w:ascii="Times New Roman" w:hAnsi="Times New Roman" w:eastAsia="黑体" w:cs="Times New Roman"/>
          <w:kern w:val="2"/>
          <w:sz w:val="24"/>
          <w:szCs w:val="24"/>
          <w:lang w:val="en-US" w:eastAsia="zh-CN" w:bidi="ar-SA"/>
          <w14:ligatures w14:val="standardContextual"/>
        </w:rPr>
        <w:t>3.5-6</w:t>
      </w:r>
      <w:r>
        <w:rPr>
          <w:rFonts w:hint="eastAsia" w:ascii="黑体" w:hAnsi="黑体" w:eastAsia="黑体" w:cstheme="minorBidi"/>
          <w:kern w:val="2"/>
          <w:sz w:val="24"/>
          <w:szCs w:val="24"/>
          <w:lang w:val="en-US" w:eastAsia="zh-CN" w:bidi="ar-SA"/>
          <w14:ligatures w14:val="standardContextual"/>
        </w:rPr>
        <w:t xml:space="preserve">  重大危险源级别和R值的对应关系</w:t>
      </w:r>
    </w:p>
    <w:tbl>
      <w:tblPr>
        <w:tblStyle w:val="1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24"/>
        <w:gridCol w:w="4576"/>
      </w:tblGrid>
      <w:tr w14:paraId="157B8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23AF7F1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重大危险源级别</w:t>
            </w:r>
          </w:p>
        </w:tc>
        <w:tc>
          <w:tcPr>
            <w:tcW w:w="2434" w:type="pct"/>
            <w:vAlign w:val="center"/>
          </w:tcPr>
          <w:p w14:paraId="1EAAB201">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i/>
                <w:sz w:val="21"/>
                <w:szCs w:val="21"/>
                <w14:ligatures w14:val="none"/>
              </w:rPr>
              <w:t>R</w:t>
            </w:r>
            <w:r>
              <w:rPr>
                <w:rFonts w:hint="eastAsia" w:ascii="Times New Roman" w:hAnsi="Times New Roman" w:eastAsia="宋体" w:cs="宋体"/>
                <w:sz w:val="21"/>
                <w:szCs w:val="21"/>
                <w14:ligatures w14:val="none"/>
              </w:rPr>
              <w:t>值</w:t>
            </w:r>
          </w:p>
        </w:tc>
      </w:tr>
      <w:tr w14:paraId="72DAF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3F52573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一级</w:t>
            </w:r>
          </w:p>
        </w:tc>
        <w:tc>
          <w:tcPr>
            <w:tcW w:w="2434" w:type="pct"/>
            <w:vAlign w:val="center"/>
          </w:tcPr>
          <w:p w14:paraId="54E86797">
            <w:pPr>
              <w:spacing w:after="0" w:line="240" w:lineRule="auto"/>
              <w:jc w:val="center"/>
              <w:rPr>
                <w:rFonts w:ascii="Times New Roman" w:hAnsi="Times New Roman" w:eastAsia="宋体" w:cs="宋体"/>
                <w:i/>
                <w:sz w:val="21"/>
                <w:szCs w:val="21"/>
                <w14:ligatures w14:val="none"/>
              </w:rPr>
            </w:pPr>
            <w:r>
              <w:rPr>
                <w:rFonts w:hint="eastAsia" w:ascii="Times New Roman" w:hAnsi="Times New Roman" w:eastAsia="宋体" w:cs="宋体"/>
                <w:i/>
                <w:sz w:val="21"/>
                <w:szCs w:val="21"/>
                <w14:ligatures w14:val="none"/>
              </w:rPr>
              <w:t>R≥</w:t>
            </w:r>
            <w:r>
              <w:rPr>
                <w:rFonts w:hint="eastAsia" w:ascii="Times New Roman" w:hAnsi="Times New Roman" w:eastAsia="宋体" w:cs="宋体"/>
                <w:sz w:val="21"/>
                <w:szCs w:val="21"/>
                <w14:ligatures w14:val="none"/>
              </w:rPr>
              <w:t>100</w:t>
            </w:r>
          </w:p>
        </w:tc>
      </w:tr>
      <w:tr w14:paraId="06B70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5514B388">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二级</w:t>
            </w:r>
          </w:p>
        </w:tc>
        <w:tc>
          <w:tcPr>
            <w:tcW w:w="2434" w:type="pct"/>
            <w:vAlign w:val="center"/>
          </w:tcPr>
          <w:p w14:paraId="16383E34">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100</w:t>
            </w:r>
            <w:r>
              <w:rPr>
                <w:rFonts w:hint="eastAsia" w:ascii="Times New Roman" w:hAnsi="Times New Roman" w:eastAsia="宋体" w:cs="宋体"/>
                <w:i/>
                <w:sz w:val="21"/>
                <w:szCs w:val="21"/>
                <w14:ligatures w14:val="none"/>
              </w:rPr>
              <w:t>&gt;R≥</w:t>
            </w:r>
            <w:r>
              <w:rPr>
                <w:rFonts w:hint="eastAsia" w:ascii="Times New Roman" w:hAnsi="Times New Roman" w:eastAsia="宋体" w:cs="宋体"/>
                <w:sz w:val="21"/>
                <w:szCs w:val="21"/>
                <w14:ligatures w14:val="none"/>
              </w:rPr>
              <w:t>50</w:t>
            </w:r>
          </w:p>
        </w:tc>
      </w:tr>
      <w:tr w14:paraId="505C4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360FBD3E">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三级</w:t>
            </w:r>
          </w:p>
        </w:tc>
        <w:tc>
          <w:tcPr>
            <w:tcW w:w="2434" w:type="pct"/>
            <w:vAlign w:val="center"/>
          </w:tcPr>
          <w:p w14:paraId="14DBD3E2">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50</w:t>
            </w:r>
            <w:r>
              <w:rPr>
                <w:rFonts w:hint="eastAsia" w:ascii="Times New Roman" w:hAnsi="Times New Roman" w:eastAsia="宋体" w:cs="宋体"/>
                <w:i/>
                <w:sz w:val="21"/>
                <w:szCs w:val="21"/>
                <w14:ligatures w14:val="none"/>
              </w:rPr>
              <w:t>&gt;R≥</w:t>
            </w:r>
            <w:r>
              <w:rPr>
                <w:rFonts w:hint="eastAsia" w:ascii="Times New Roman" w:hAnsi="Times New Roman" w:eastAsia="宋体" w:cs="宋体"/>
                <w:sz w:val="21"/>
                <w:szCs w:val="21"/>
                <w14:ligatures w14:val="none"/>
              </w:rPr>
              <w:t>10</w:t>
            </w:r>
          </w:p>
        </w:tc>
      </w:tr>
      <w:tr w14:paraId="6A309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0057706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四级</w:t>
            </w:r>
          </w:p>
        </w:tc>
        <w:tc>
          <w:tcPr>
            <w:tcW w:w="2434" w:type="pct"/>
            <w:vAlign w:val="center"/>
          </w:tcPr>
          <w:p w14:paraId="357F280F">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i/>
                <w:sz w:val="21"/>
                <w:szCs w:val="21"/>
                <w14:ligatures w14:val="none"/>
              </w:rPr>
              <w:t>R&lt;</w:t>
            </w:r>
            <w:r>
              <w:rPr>
                <w:rFonts w:hint="eastAsia" w:ascii="Times New Roman" w:hAnsi="Times New Roman" w:eastAsia="宋体" w:cs="宋体"/>
                <w:sz w:val="21"/>
                <w:szCs w:val="21"/>
                <w14:ligatures w14:val="none"/>
              </w:rPr>
              <w:t>10</w:t>
            </w:r>
          </w:p>
        </w:tc>
      </w:tr>
    </w:tbl>
    <w:p w14:paraId="64A02B59">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国能安储（东港）燃料供应有限公司厂区边界向外扩展500m范围内有部队用地、煤场及居民区等，常住人口数量在100人以上，因此，危险化学品重大危险源厂区外暴露人员的校正系数α值取2。</w:t>
      </w:r>
    </w:p>
    <w:p w14:paraId="6FABDAEF">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危险化学品的校正系数β按表3.5-3和3.5-4取值，其中表3.5-4中的符号取自《危险化学品重大危险源辨识》表2。</w:t>
      </w:r>
    </w:p>
    <w:p w14:paraId="2EFAE85A">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国能安储（东港）燃料供应有限公司危险化学品重大危险源分级情况，见表3.5-7。</w:t>
      </w:r>
    </w:p>
    <w:p w14:paraId="6AB0A354">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eastAsia" w:ascii="黑体" w:hAnsi="黑体" w:eastAsia="黑体" w:cstheme="minorBidi"/>
          <w:kern w:val="2"/>
          <w:sz w:val="24"/>
          <w:szCs w:val="24"/>
          <w:lang w:val="en-US" w:eastAsia="zh-CN" w:bidi="ar-SA"/>
          <w14:ligatures w14:val="standardContextual"/>
        </w:rPr>
        <w:t>表</w:t>
      </w:r>
      <w:r>
        <w:rPr>
          <w:rFonts w:hint="eastAsia" w:ascii="Times New Roman" w:hAnsi="Times New Roman" w:eastAsia="黑体" w:cs="Times New Roman"/>
          <w:kern w:val="2"/>
          <w:sz w:val="24"/>
          <w:szCs w:val="24"/>
          <w:lang w:val="en-US" w:eastAsia="zh-CN" w:bidi="ar-SA"/>
          <w14:ligatures w14:val="standardContextual"/>
        </w:rPr>
        <w:t>3.5-7</w:t>
      </w:r>
      <w:r>
        <w:rPr>
          <w:rFonts w:hint="eastAsia" w:ascii="黑体" w:hAnsi="黑体" w:eastAsia="黑体" w:cstheme="minorBidi"/>
          <w:kern w:val="2"/>
          <w:sz w:val="24"/>
          <w:szCs w:val="24"/>
          <w:lang w:val="en-US" w:eastAsia="zh-CN" w:bidi="ar-SA"/>
          <w14:ligatures w14:val="standardContextual"/>
        </w:rPr>
        <w:t xml:space="preserve">  危险化学品重大危险源辨识表（t）</w:t>
      </w:r>
    </w:p>
    <w:tbl>
      <w:tblPr>
        <w:tblStyle w:val="1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7"/>
        <w:gridCol w:w="1165"/>
        <w:gridCol w:w="1012"/>
        <w:gridCol w:w="1014"/>
        <w:gridCol w:w="1223"/>
        <w:gridCol w:w="1185"/>
        <w:gridCol w:w="512"/>
        <w:gridCol w:w="572"/>
        <w:gridCol w:w="1057"/>
        <w:gridCol w:w="983"/>
      </w:tblGrid>
      <w:tr w14:paraId="2360B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360" w:type="pct"/>
            <w:vAlign w:val="center"/>
          </w:tcPr>
          <w:p w14:paraId="1576B72B">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序号</w:t>
            </w:r>
          </w:p>
        </w:tc>
        <w:tc>
          <w:tcPr>
            <w:tcW w:w="619" w:type="pct"/>
            <w:vAlign w:val="center"/>
          </w:tcPr>
          <w:p w14:paraId="065DA472">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单元名称</w:t>
            </w:r>
          </w:p>
        </w:tc>
        <w:tc>
          <w:tcPr>
            <w:tcW w:w="538" w:type="pct"/>
            <w:vAlign w:val="center"/>
          </w:tcPr>
          <w:p w14:paraId="517A6941">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物质名称</w:t>
            </w:r>
          </w:p>
        </w:tc>
        <w:tc>
          <w:tcPr>
            <w:tcW w:w="539" w:type="pct"/>
            <w:vAlign w:val="center"/>
          </w:tcPr>
          <w:p w14:paraId="6024B329">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临界量</w:t>
            </w:r>
          </w:p>
          <w:p w14:paraId="7AFA0FD8">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（t）</w:t>
            </w:r>
          </w:p>
        </w:tc>
        <w:tc>
          <w:tcPr>
            <w:tcW w:w="650" w:type="pct"/>
            <w:vAlign w:val="center"/>
          </w:tcPr>
          <w:p w14:paraId="663EDD82">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实际量</w:t>
            </w:r>
          </w:p>
          <w:p w14:paraId="14C4B0CD">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（t）</w:t>
            </w:r>
          </w:p>
        </w:tc>
        <w:tc>
          <w:tcPr>
            <w:tcW w:w="630" w:type="pct"/>
            <w:vAlign w:val="center"/>
          </w:tcPr>
          <w:p w14:paraId="58BF6384">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q/Q</w:t>
            </w:r>
          </w:p>
        </w:tc>
        <w:tc>
          <w:tcPr>
            <w:tcW w:w="272" w:type="pct"/>
            <w:vAlign w:val="center"/>
          </w:tcPr>
          <w:p w14:paraId="260AECA0">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sz w:val="21"/>
                <w:szCs w:val="21"/>
                <w14:ligatures w14:val="none"/>
              </w:rPr>
              <w:t>α</w:t>
            </w:r>
          </w:p>
        </w:tc>
        <w:tc>
          <w:tcPr>
            <w:tcW w:w="304" w:type="pct"/>
            <w:vAlign w:val="center"/>
          </w:tcPr>
          <w:p w14:paraId="0C2483D4">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sz w:val="21"/>
                <w:szCs w:val="21"/>
                <w14:ligatures w14:val="none"/>
              </w:rPr>
              <w:t>β</w:t>
            </w:r>
          </w:p>
        </w:tc>
        <w:tc>
          <w:tcPr>
            <w:tcW w:w="562" w:type="pct"/>
            <w:vAlign w:val="center"/>
          </w:tcPr>
          <w:p w14:paraId="6FE21D5A">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R</w:t>
            </w:r>
            <w:r>
              <w:rPr>
                <w:rFonts w:hint="eastAsia" w:ascii="Times New Roman" w:hAnsi="Times New Roman" w:eastAsia="宋体" w:cs="Times New Roman"/>
                <w:bCs/>
                <w:sz w:val="21"/>
                <w:szCs w:val="21"/>
                <w:lang w:val="en-US" w:eastAsia="zh-CN"/>
                <w14:ligatures w14:val="none"/>
              </w:rPr>
              <w:t>＝</w:t>
            </w:r>
            <w:r>
              <w:rPr>
                <w:rFonts w:hint="eastAsia" w:ascii="Times New Roman" w:hAnsi="Times New Roman" w:eastAsia="宋体" w:cs="Times New Roman"/>
                <w:sz w:val="21"/>
                <w:szCs w:val="21"/>
                <w14:ligatures w14:val="none"/>
              </w:rPr>
              <w:t>α×β×</w:t>
            </w:r>
            <w:r>
              <w:rPr>
                <w:rFonts w:hint="eastAsia" w:ascii="Times New Roman" w:hAnsi="Times New Roman" w:eastAsia="宋体" w:cs="Times New Roman"/>
                <w:bCs/>
                <w:sz w:val="21"/>
                <w:szCs w:val="21"/>
                <w14:ligatures w14:val="none"/>
              </w:rPr>
              <w:t>q/Q</w:t>
            </w:r>
          </w:p>
        </w:tc>
        <w:tc>
          <w:tcPr>
            <w:tcW w:w="522" w:type="pct"/>
            <w:vAlign w:val="center"/>
          </w:tcPr>
          <w:p w14:paraId="49A742A7">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重大危险源</w:t>
            </w:r>
          </w:p>
          <w:p w14:paraId="30B4CE72">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级别</w:t>
            </w:r>
          </w:p>
        </w:tc>
      </w:tr>
      <w:tr w14:paraId="50FF9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360" w:type="pct"/>
            <w:vAlign w:val="center"/>
          </w:tcPr>
          <w:p w14:paraId="4FDB7E8C">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1</w:t>
            </w:r>
          </w:p>
        </w:tc>
        <w:tc>
          <w:tcPr>
            <w:tcW w:w="619" w:type="pct"/>
            <w:vAlign w:val="center"/>
          </w:tcPr>
          <w:p w14:paraId="32929F7F">
            <w:pPr>
              <w:adjustRightInd w:val="0"/>
              <w:snapToGrid w:val="0"/>
              <w:spacing w:after="0" w:line="240" w:lineRule="auto"/>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柴油罐区</w:t>
            </w:r>
          </w:p>
        </w:tc>
        <w:tc>
          <w:tcPr>
            <w:tcW w:w="538" w:type="pct"/>
            <w:vAlign w:val="center"/>
          </w:tcPr>
          <w:p w14:paraId="3DFD8E6C">
            <w:pPr>
              <w:autoSpaceDE w:val="0"/>
              <w:autoSpaceDN w:val="0"/>
              <w:spacing w:after="0" w:line="240" w:lineRule="auto"/>
              <w:jc w:val="center"/>
              <w:rPr>
                <w:rFonts w:hint="default"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柴油</w:t>
            </w:r>
          </w:p>
        </w:tc>
        <w:tc>
          <w:tcPr>
            <w:tcW w:w="539" w:type="pct"/>
            <w:vAlign w:val="center"/>
          </w:tcPr>
          <w:p w14:paraId="434DA36B">
            <w:pPr>
              <w:adjustRightInd w:val="0"/>
              <w:snapToGrid w:val="0"/>
              <w:spacing w:after="0" w:line="240" w:lineRule="auto"/>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5000</w:t>
            </w:r>
          </w:p>
        </w:tc>
        <w:tc>
          <w:tcPr>
            <w:tcW w:w="650" w:type="pct"/>
            <w:vAlign w:val="center"/>
          </w:tcPr>
          <w:p w14:paraId="14832614">
            <w:pPr>
              <w:adjustRightInd w:val="0"/>
              <w:snapToGrid w:val="0"/>
              <w:spacing w:after="0" w:line="240" w:lineRule="auto"/>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8415</w:t>
            </w:r>
          </w:p>
        </w:tc>
        <w:tc>
          <w:tcPr>
            <w:tcW w:w="630" w:type="pct"/>
            <w:vAlign w:val="center"/>
          </w:tcPr>
          <w:p w14:paraId="06587774">
            <w:pPr>
              <w:adjustRightInd w:val="0"/>
              <w:snapToGrid w:val="0"/>
              <w:spacing w:after="0" w:line="240" w:lineRule="auto"/>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1.683</w:t>
            </w:r>
          </w:p>
        </w:tc>
        <w:tc>
          <w:tcPr>
            <w:tcW w:w="272" w:type="pct"/>
            <w:vAlign w:val="center"/>
          </w:tcPr>
          <w:p w14:paraId="02049D9E">
            <w:pPr>
              <w:snapToGrid w:val="0"/>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c>
          <w:tcPr>
            <w:tcW w:w="304" w:type="pct"/>
            <w:vAlign w:val="center"/>
          </w:tcPr>
          <w:p w14:paraId="061F562C">
            <w:pPr>
              <w:snapToGrid w:val="0"/>
              <w:spacing w:after="0" w:line="240" w:lineRule="auto"/>
              <w:jc w:val="center"/>
              <w:rPr>
                <w:rFonts w:hint="eastAsia"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1</w:t>
            </w:r>
          </w:p>
        </w:tc>
        <w:tc>
          <w:tcPr>
            <w:tcW w:w="562" w:type="pct"/>
            <w:vAlign w:val="center"/>
          </w:tcPr>
          <w:p w14:paraId="7B398A0F">
            <w:pPr>
              <w:snapToGrid w:val="0"/>
              <w:spacing w:after="0" w:line="240" w:lineRule="auto"/>
              <w:jc w:val="center"/>
              <w:rPr>
                <w:rFonts w:hint="default"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3.366</w:t>
            </w:r>
          </w:p>
        </w:tc>
        <w:tc>
          <w:tcPr>
            <w:tcW w:w="522" w:type="pct"/>
            <w:vAlign w:val="center"/>
          </w:tcPr>
          <w:p w14:paraId="632D0401">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宋体"/>
                <w:bCs/>
                <w:sz w:val="21"/>
                <w:szCs w:val="21"/>
                <w:lang w:val="en-US" w:eastAsia="zh-CN"/>
                <w14:ligatures w14:val="none"/>
              </w:rPr>
              <w:t>四</w:t>
            </w:r>
            <w:r>
              <w:rPr>
                <w:rFonts w:hint="eastAsia" w:ascii="Times New Roman" w:hAnsi="Times New Roman" w:eastAsia="宋体" w:cs="宋体"/>
                <w:bCs/>
                <w:sz w:val="21"/>
                <w:szCs w:val="21"/>
                <w14:ligatures w14:val="none"/>
              </w:rPr>
              <w:t>级</w:t>
            </w:r>
          </w:p>
        </w:tc>
      </w:tr>
    </w:tbl>
    <w:p w14:paraId="681F9C63">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国能安储（东港）燃料供应有限公司储存单元柴油罐区构成四级危险化学品重大危险源。</w:t>
      </w:r>
    </w:p>
    <w:p w14:paraId="6EA7BA04">
      <w:pPr>
        <w:keepNext/>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bookmarkStart w:id="122" w:name="_Toc423599729"/>
      <w:bookmarkStart w:id="123" w:name="_Toc479257176"/>
      <w:r>
        <w:rPr>
          <w:rFonts w:ascii="Times New Roman" w:hAnsi="Times New Roman" w:eastAsia="黑体" w:cs="Times New Roman"/>
          <w:b/>
          <w:sz w:val="28"/>
          <w:szCs w:val="32"/>
          <w14:ligatures w14:val="none"/>
        </w:rPr>
        <w:t>3.</w:t>
      </w:r>
      <w:r>
        <w:rPr>
          <w:rFonts w:hint="eastAsia" w:ascii="Times New Roman" w:hAnsi="Times New Roman" w:eastAsia="黑体" w:cs="Times New Roman"/>
          <w:b/>
          <w:sz w:val="28"/>
          <w:szCs w:val="32"/>
          <w14:ligatures w14:val="none"/>
        </w:rPr>
        <w:t>5</w:t>
      </w:r>
      <w:r>
        <w:rPr>
          <w:rFonts w:ascii="Times New Roman" w:hAnsi="Times New Roman" w:eastAsia="黑体" w:cs="Times New Roman"/>
          <w:b/>
          <w:sz w:val="28"/>
          <w:szCs w:val="32"/>
          <w14:ligatures w14:val="none"/>
        </w:rPr>
        <w:t>.2重点监管危险化学品辨识</w:t>
      </w:r>
      <w:bookmarkEnd w:id="122"/>
      <w:bookmarkEnd w:id="123"/>
    </w:p>
    <w:p w14:paraId="33981C72">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ascii="Times New Roman" w:hAnsi="Times New Roman" w:eastAsia="宋体" w:cs="Times New Roman"/>
          <w:sz w:val="28"/>
          <w:szCs w:val="28"/>
          <w14:ligatures w14:val="none"/>
        </w:rPr>
        <w:t>根据《国家安全监管总局关于公布首批重点监管的危险化学品目录的通知》（安监总管三〔2011〕95号）、《国家安全监管总局关于公布第二批重点监管危险化学品名录的通知》（安监总管三〔2013〕12号），</w:t>
      </w:r>
      <w:r>
        <w:rPr>
          <w:rFonts w:hint="eastAsia" w:ascii="Times New Roman" w:hAnsi="Times New Roman" w:eastAsia="宋体" w:cs="Times New Roman"/>
          <w:sz w:val="28"/>
          <w:szCs w:val="28"/>
          <w:lang w:eastAsia="zh-CN"/>
          <w14:ligatures w14:val="none"/>
        </w:rPr>
        <w:t>国能安储（东港）燃料供应有限公司</w:t>
      </w:r>
      <w:r>
        <w:rPr>
          <w:rFonts w:hint="eastAsia" w:ascii="Times New Roman" w:hAnsi="Times New Roman" w:eastAsia="宋体" w:cs="Times New Roman"/>
          <w:sz w:val="28"/>
          <w:szCs w:val="28"/>
          <w:lang w:val="en-US" w:eastAsia="zh-CN"/>
          <w14:ligatures w14:val="none"/>
        </w:rPr>
        <w:t>无仓储经营的甲醇、苯、甲烷、天然气、氢气为</w:t>
      </w:r>
      <w:r>
        <w:rPr>
          <w:rFonts w:ascii="Times New Roman" w:hAnsi="Times New Roman" w:eastAsia="宋体" w:cs="Times New Roman"/>
          <w:sz w:val="28"/>
          <w:szCs w:val="28"/>
          <w14:ligatures w14:val="none"/>
        </w:rPr>
        <w:t>重点监管危险化学品。</w:t>
      </w:r>
      <w:r>
        <w:rPr>
          <w:rFonts w:hint="eastAsia" w:ascii="Times New Roman" w:hAnsi="Times New Roman" w:eastAsia="宋体" w:cs="Times New Roman"/>
          <w:sz w:val="28"/>
          <w:szCs w:val="28"/>
          <w:lang w:val="en-US" w:eastAsia="zh-CN"/>
          <w14:ligatures w14:val="none"/>
        </w:rPr>
        <w:t>有仓储经营的柴油不是</w:t>
      </w:r>
      <w:r>
        <w:rPr>
          <w:rFonts w:ascii="Times New Roman" w:hAnsi="Times New Roman" w:eastAsia="宋体" w:cs="Times New Roman"/>
          <w:sz w:val="28"/>
          <w:szCs w:val="28"/>
          <w14:ligatures w14:val="none"/>
        </w:rPr>
        <w:t>重点监管</w:t>
      </w:r>
      <w:r>
        <w:rPr>
          <w:rFonts w:hint="eastAsia" w:ascii="Times New Roman" w:hAnsi="Times New Roman" w:eastAsia="宋体" w:cs="Times New Roman"/>
          <w:sz w:val="28"/>
          <w:szCs w:val="28"/>
          <w:lang w:val="en-US" w:eastAsia="zh-CN"/>
          <w14:ligatures w14:val="none"/>
        </w:rPr>
        <w:t>的</w:t>
      </w:r>
      <w:r>
        <w:rPr>
          <w:rFonts w:ascii="Times New Roman" w:hAnsi="Times New Roman" w:eastAsia="宋体" w:cs="Times New Roman"/>
          <w:sz w:val="28"/>
          <w:szCs w:val="28"/>
          <w14:ligatures w14:val="none"/>
        </w:rPr>
        <w:t>危险化学品。</w:t>
      </w:r>
    </w:p>
    <w:p w14:paraId="6D8817F4">
      <w:pPr>
        <w:tabs>
          <w:tab w:val="left" w:pos="840"/>
          <w:tab w:val="left" w:pos="1260"/>
        </w:tabs>
        <w:adjustRightInd w:val="0"/>
        <w:snapToGrid w:val="0"/>
        <w:spacing w:before="156" w:beforeLines="50" w:after="156" w:afterLines="50" w:line="360" w:lineRule="auto"/>
        <w:ind w:firstLine="560" w:firstLineChars="200"/>
        <w:jc w:val="both"/>
        <w:outlineLvl w:val="2"/>
        <w:rPr>
          <w:rFonts w:ascii="Times New Roman" w:hAnsi="Times New Roman" w:eastAsia="黑体" w:cs="Times New Roman"/>
          <w:b/>
          <w:sz w:val="28"/>
          <w:szCs w:val="32"/>
          <w14:ligatures w14:val="none"/>
        </w:rPr>
      </w:pPr>
      <w:bookmarkStart w:id="124" w:name="_Toc479257177"/>
      <w:bookmarkStart w:id="125" w:name="_Toc423599730"/>
      <w:r>
        <w:rPr>
          <w:rFonts w:ascii="Times New Roman" w:hAnsi="Times New Roman" w:eastAsia="黑体" w:cs="Times New Roman"/>
          <w:b/>
          <w:sz w:val="28"/>
          <w:szCs w:val="32"/>
          <w14:ligatures w14:val="none"/>
        </w:rPr>
        <w:t>3.</w:t>
      </w:r>
      <w:r>
        <w:rPr>
          <w:rFonts w:hint="eastAsia" w:ascii="Times New Roman" w:hAnsi="Times New Roman" w:eastAsia="黑体" w:cs="Times New Roman"/>
          <w:b/>
          <w:sz w:val="28"/>
          <w:szCs w:val="32"/>
          <w14:ligatures w14:val="none"/>
        </w:rPr>
        <w:t>5</w:t>
      </w:r>
      <w:r>
        <w:rPr>
          <w:rFonts w:ascii="Times New Roman" w:hAnsi="Times New Roman" w:eastAsia="黑体" w:cs="Times New Roman"/>
          <w:b/>
          <w:sz w:val="28"/>
          <w:szCs w:val="32"/>
          <w14:ligatures w14:val="none"/>
        </w:rPr>
        <w:t>.3重点监管危险化工工艺辨识</w:t>
      </w:r>
      <w:bookmarkEnd w:id="124"/>
      <w:bookmarkEnd w:id="125"/>
    </w:p>
    <w:p w14:paraId="190BE3FA">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ascii="Times New Roman" w:hAnsi="Times New Roman" w:eastAsia="宋体" w:cs="Times New Roman"/>
          <w:sz w:val="28"/>
          <w:szCs w:val="28"/>
          <w14:ligatures w14:val="none"/>
        </w:rPr>
        <w:t>根据《国家安全监管总局关于公布首批重点监管的危险化工工艺目录的通知》（安监总管三〔2009〕116号）、《国家安全监管总局关于公布第二批重点监管、危险化工工艺目录和调整首批重点监管、危险化工工艺中部分典型工艺的通知》（安监总管三〔2013〕3号）</w:t>
      </w:r>
      <w:r>
        <w:rPr>
          <w:rFonts w:hint="eastAsia" w:ascii="Times New Roman" w:hAnsi="Times New Roman" w:eastAsia="宋体" w:cs="Times New Roman"/>
          <w:sz w:val="28"/>
          <w:szCs w:val="28"/>
          <w14:ligatures w14:val="none"/>
        </w:rPr>
        <w:t>，企业未</w:t>
      </w:r>
      <w:r>
        <w:rPr>
          <w:rFonts w:ascii="Times New Roman" w:hAnsi="Times New Roman" w:eastAsia="宋体" w:cs="Times New Roman"/>
          <w:sz w:val="28"/>
          <w:szCs w:val="28"/>
          <w14:ligatures w14:val="none"/>
        </w:rPr>
        <w:t>涉及危险化工工艺。</w:t>
      </w:r>
    </w:p>
    <w:p w14:paraId="42DB482E">
      <w:pPr>
        <w:keepNext/>
        <w:adjustRightInd w:val="0"/>
        <w:snapToGrid w:val="0"/>
        <w:spacing w:before="312" w:beforeLines="100" w:after="312" w:afterLines="100" w:line="360" w:lineRule="auto"/>
        <w:jc w:val="center"/>
        <w:outlineLvl w:val="1"/>
        <w:rPr>
          <w:rFonts w:ascii="Times New Roman" w:hAnsi="Times New Roman" w:eastAsia="黑体" w:cs="Times New Roman"/>
          <w:b/>
          <w:sz w:val="28"/>
          <w:szCs w:val="32"/>
          <w14:ligatures w14:val="none"/>
        </w:rPr>
      </w:pPr>
      <w:bookmarkStart w:id="126" w:name="_Toc23191"/>
      <w:r>
        <w:rPr>
          <w:rFonts w:hint="eastAsia" w:ascii="Times New Roman" w:hAnsi="Times New Roman" w:eastAsia="楷体" w:cs="黑体"/>
          <w:b/>
          <w:sz w:val="32"/>
          <w:szCs w:val="32"/>
          <w14:ligatures w14:val="none"/>
        </w:rPr>
        <w:t>3.6事故案例</w:t>
      </w:r>
      <w:bookmarkEnd w:id="126"/>
    </w:p>
    <w:p w14:paraId="2852CD38">
      <w:pPr>
        <w:tabs>
          <w:tab w:val="left" w:pos="2265"/>
        </w:tabs>
        <w:adjustRightInd w:val="0"/>
        <w:snapToGrid w:val="0"/>
        <w:spacing w:before="156" w:beforeLines="50" w:after="156" w:afterLines="50" w:line="360" w:lineRule="auto"/>
        <w:jc w:val="both"/>
        <w:outlineLvl w:val="2"/>
        <w:rPr>
          <w:rFonts w:hint="eastAsia" w:ascii="Times New Roman" w:hAnsi="Times New Roman" w:eastAsia="黑体" w:cs="Times New Roman"/>
          <w:b/>
          <w:color w:val="auto"/>
          <w:sz w:val="28"/>
          <w:highlight w:val="none"/>
          <w14:ligatures w14:val="none"/>
        </w:rPr>
      </w:pPr>
      <w:r>
        <w:rPr>
          <w:rFonts w:hint="eastAsia" w:ascii="Times New Roman" w:hAnsi="Times New Roman" w:eastAsia="黑体" w:cs="Times New Roman"/>
          <w:b/>
          <w:color w:val="auto"/>
          <w:sz w:val="28"/>
          <w:highlight w:val="none"/>
          <w14:ligatures w14:val="none"/>
        </w:rPr>
        <w:t>3.</w:t>
      </w:r>
      <w:r>
        <w:rPr>
          <w:rFonts w:hint="eastAsia" w:ascii="Times New Roman" w:hAnsi="Times New Roman" w:eastAsia="黑体" w:cs="Times New Roman"/>
          <w:b/>
          <w:color w:val="auto"/>
          <w:sz w:val="28"/>
          <w:highlight w:val="none"/>
          <w:lang w:val="en-US" w:eastAsia="zh-CN"/>
          <w14:ligatures w14:val="none"/>
        </w:rPr>
        <w:t>6</w:t>
      </w:r>
      <w:r>
        <w:rPr>
          <w:rFonts w:hint="eastAsia" w:ascii="Times New Roman" w:hAnsi="Times New Roman" w:eastAsia="黑体" w:cs="Times New Roman"/>
          <w:b/>
          <w:color w:val="auto"/>
          <w:sz w:val="28"/>
          <w:highlight w:val="none"/>
          <w14:ligatures w14:val="none"/>
        </w:rPr>
        <w:t>.1事故概况</w:t>
      </w:r>
    </w:p>
    <w:p w14:paraId="55F6FF47">
      <w:pPr>
        <w:adjustRightInd w:val="0"/>
        <w:snapToGrid w:val="0"/>
        <w:spacing w:after="0" w:line="360" w:lineRule="auto"/>
        <w:ind w:firstLine="560" w:firstLineChars="200"/>
        <w:jc w:val="both"/>
        <w:rPr>
          <w:rFonts w:ascii="Times New Roman" w:hAnsi="Times New Roman" w:eastAsia="宋体" w:cs="Times New Roman"/>
          <w:color w:val="auto"/>
          <w:kern w:val="0"/>
          <w:sz w:val="28"/>
          <w:szCs w:val="28"/>
          <w:highlight w:val="none"/>
          <w14:ligatures w14:val="none"/>
        </w:rPr>
      </w:pPr>
      <w:r>
        <w:rPr>
          <w:rFonts w:ascii="Times New Roman" w:hAnsi="Times New Roman" w:eastAsia="宋体" w:cs="Times New Roman"/>
          <w:color w:val="auto"/>
          <w:kern w:val="0"/>
          <w:sz w:val="28"/>
          <w:szCs w:val="28"/>
          <w:highlight w:val="none"/>
          <w14:ligatures w14:val="none"/>
        </w:rPr>
        <w:t>2011年8月29日9时56分44秒，大中石油大连石化柴油罐发生爆炸着火事故。事故造成柴油储罐被烧坍塌，相邻罐罐体过火罐组周边地面管排过火部分变形，东、南侧管廊上管排部分过火，没有造成人员伤亡。事故直接经济损失789.0473万元。</w:t>
      </w:r>
    </w:p>
    <w:p w14:paraId="45B2F0D1">
      <w:pPr>
        <w:tabs>
          <w:tab w:val="left" w:pos="2265"/>
        </w:tabs>
        <w:adjustRightInd w:val="0"/>
        <w:snapToGrid w:val="0"/>
        <w:spacing w:before="156" w:beforeLines="50" w:after="156" w:afterLines="50" w:line="360" w:lineRule="auto"/>
        <w:jc w:val="both"/>
        <w:outlineLvl w:val="2"/>
        <w:rPr>
          <w:rFonts w:hint="eastAsia" w:ascii="Times New Roman" w:hAnsi="Times New Roman" w:eastAsia="黑体" w:cs="Times New Roman"/>
          <w:b/>
          <w:color w:val="auto"/>
          <w:sz w:val="28"/>
          <w:highlight w:val="none"/>
          <w14:ligatures w14:val="none"/>
        </w:rPr>
      </w:pPr>
      <w:r>
        <w:rPr>
          <w:rFonts w:hint="eastAsia" w:ascii="Times New Roman" w:hAnsi="Times New Roman" w:eastAsia="黑体" w:cs="Times New Roman"/>
          <w:b/>
          <w:color w:val="auto"/>
          <w:sz w:val="28"/>
          <w:highlight w:val="none"/>
          <w14:ligatures w14:val="none"/>
        </w:rPr>
        <w:t>3.</w:t>
      </w:r>
      <w:r>
        <w:rPr>
          <w:rFonts w:hint="eastAsia" w:ascii="Times New Roman" w:hAnsi="Times New Roman" w:eastAsia="黑体" w:cs="Times New Roman"/>
          <w:b/>
          <w:color w:val="auto"/>
          <w:sz w:val="28"/>
          <w:highlight w:val="none"/>
          <w:lang w:val="en-US" w:eastAsia="zh-CN"/>
          <w14:ligatures w14:val="none"/>
        </w:rPr>
        <w:t>6</w:t>
      </w:r>
      <w:r>
        <w:rPr>
          <w:rFonts w:hint="eastAsia" w:ascii="Times New Roman" w:hAnsi="Times New Roman" w:eastAsia="黑体" w:cs="Times New Roman"/>
          <w:b/>
          <w:color w:val="auto"/>
          <w:sz w:val="28"/>
          <w:highlight w:val="none"/>
          <w14:ligatures w14:val="none"/>
        </w:rPr>
        <w:t>.2事故经过</w:t>
      </w:r>
    </w:p>
    <w:p w14:paraId="65A63467">
      <w:pPr>
        <w:autoSpaceDE w:val="0"/>
        <w:autoSpaceDN w:val="0"/>
        <w:adjustRightInd w:val="0"/>
        <w:snapToGrid w:val="0"/>
        <w:spacing w:after="0" w:line="360" w:lineRule="auto"/>
        <w:ind w:firstLine="560" w:firstLineChars="200"/>
        <w:jc w:val="both"/>
        <w:rPr>
          <w:rFonts w:ascii="Times New Roman" w:hAnsi="Times New Roman" w:eastAsia="宋体" w:cs="Times New Roman"/>
          <w:snapToGrid w:val="0"/>
          <w:color w:val="auto"/>
          <w:kern w:val="0"/>
          <w:sz w:val="28"/>
          <w:szCs w:val="28"/>
          <w:highlight w:val="none"/>
          <w14:ligatures w14:val="none"/>
        </w:rPr>
      </w:pPr>
      <w:r>
        <w:rPr>
          <w:rFonts w:ascii="Times New Roman" w:hAnsi="Times New Roman" w:eastAsia="宋体" w:cs="Times New Roman"/>
          <w:snapToGrid w:val="0"/>
          <w:color w:val="auto"/>
          <w:kern w:val="0"/>
          <w:sz w:val="28"/>
          <w:szCs w:val="28"/>
          <w:highlight w:val="none"/>
          <w14:ligatures w14:val="none"/>
        </w:rPr>
        <w:t>8月29日上午8时10分左右，储运车间八七罐区工段长吴胜接到生产运行处调度徐锋通知将柴油馏出油从877罐切换到875罐收油。当时877罐液位6.612m，温度40</w:t>
      </w:r>
      <w:r>
        <w:rPr>
          <w:rFonts w:hint="eastAsia" w:ascii="宋体" w:hAnsi="宋体" w:eastAsia="宋体" w:cs="宋体"/>
          <w:snapToGrid w:val="0"/>
          <w:color w:val="auto"/>
          <w:kern w:val="0"/>
          <w:sz w:val="28"/>
          <w:szCs w:val="28"/>
          <w:highlight w:val="none"/>
          <w14:ligatures w14:val="none"/>
        </w:rPr>
        <w:t>℃</w:t>
      </w:r>
      <w:r>
        <w:rPr>
          <w:rFonts w:ascii="Times New Roman" w:hAnsi="Times New Roman" w:eastAsia="宋体" w:cs="Times New Roman"/>
          <w:snapToGrid w:val="0"/>
          <w:color w:val="auto"/>
          <w:kern w:val="0"/>
          <w:sz w:val="28"/>
          <w:szCs w:val="28"/>
          <w:highlight w:val="none"/>
          <w14:ligatures w14:val="none"/>
        </w:rPr>
        <w:t>，875罐液位0.969m，温度37.6</w:t>
      </w:r>
      <w:r>
        <w:rPr>
          <w:rFonts w:hint="eastAsia" w:ascii="宋体" w:hAnsi="宋体" w:eastAsia="宋体" w:cs="宋体"/>
          <w:snapToGrid w:val="0"/>
          <w:color w:val="auto"/>
          <w:kern w:val="0"/>
          <w:sz w:val="28"/>
          <w:szCs w:val="28"/>
          <w:highlight w:val="none"/>
          <w14:ligatures w14:val="none"/>
        </w:rPr>
        <w:t>℃</w:t>
      </w:r>
      <w:r>
        <w:rPr>
          <w:rFonts w:ascii="Times New Roman" w:hAnsi="Times New Roman" w:eastAsia="宋体" w:cs="Times New Roman"/>
          <w:snapToGrid w:val="0"/>
          <w:color w:val="auto"/>
          <w:kern w:val="0"/>
          <w:sz w:val="28"/>
          <w:szCs w:val="28"/>
          <w:highlight w:val="none"/>
          <w14:ligatures w14:val="none"/>
        </w:rPr>
        <w:t>。8时30分左右，吴胜指令操作员刘长青和多玮进行转油操作。9时50分左右内操多玮通过DCS将馏出油从877罐转875罐收整个切换过程为自动操作。此时，当班班长周铁在现场检查电动阀门状态是否正常。在确认875罐调合一线阀门打开正常并与多玮确认875罐液位上升正常后，准备确认877罐调合一线阀门是否已经关闭。9时56分44秒左右，当班长周铁行至875罐至877罐走梯位置时，听到875罐“嘭”的一声出现闪爆，随即着火。现场操作人员立即报警并进行转油、关阀等应急处理。事故发生后</w:t>
      </w:r>
      <w:r>
        <w:rPr>
          <w:rFonts w:hint="eastAsia" w:ascii="Times New Roman" w:hAnsi="Times New Roman" w:eastAsia="宋体" w:cs="Times New Roman"/>
          <w:snapToGrid w:val="0"/>
          <w:color w:val="auto"/>
          <w:kern w:val="0"/>
          <w:sz w:val="28"/>
          <w:szCs w:val="28"/>
          <w:highlight w:val="none"/>
          <w14:ligatures w14:val="none"/>
        </w:rPr>
        <w:t>，</w:t>
      </w:r>
      <w:r>
        <w:rPr>
          <w:rFonts w:ascii="Times New Roman" w:hAnsi="Times New Roman" w:eastAsia="宋体" w:cs="Times New Roman"/>
          <w:snapToGrid w:val="0"/>
          <w:color w:val="auto"/>
          <w:kern w:val="0"/>
          <w:sz w:val="28"/>
          <w:szCs w:val="28"/>
          <w:highlight w:val="none"/>
          <w14:ligatures w14:val="none"/>
        </w:rPr>
        <w:t>公司立即启动应急预案</w:t>
      </w:r>
      <w:r>
        <w:rPr>
          <w:rFonts w:hint="eastAsia" w:ascii="Times New Roman" w:hAnsi="Times New Roman" w:eastAsia="宋体" w:cs="Times New Roman"/>
          <w:snapToGrid w:val="0"/>
          <w:color w:val="auto"/>
          <w:kern w:val="0"/>
          <w:sz w:val="28"/>
          <w:szCs w:val="28"/>
          <w:highlight w:val="none"/>
          <w14:ligatures w14:val="none"/>
        </w:rPr>
        <w:t>，</w:t>
      </w:r>
      <w:r>
        <w:rPr>
          <w:rFonts w:ascii="Times New Roman" w:hAnsi="Times New Roman" w:eastAsia="宋体" w:cs="Times New Roman"/>
          <w:snapToGrid w:val="0"/>
          <w:color w:val="auto"/>
          <w:kern w:val="0"/>
          <w:sz w:val="28"/>
          <w:szCs w:val="28"/>
          <w:highlight w:val="none"/>
          <w14:ligatures w14:val="none"/>
        </w:rPr>
        <w:t>下达调度指令紧急切断了相关管线物料</w:t>
      </w:r>
      <w:r>
        <w:rPr>
          <w:rFonts w:hint="eastAsia" w:ascii="Times New Roman" w:hAnsi="Times New Roman" w:eastAsia="宋体" w:cs="Times New Roman"/>
          <w:snapToGrid w:val="0"/>
          <w:color w:val="auto"/>
          <w:kern w:val="0"/>
          <w:sz w:val="28"/>
          <w:szCs w:val="28"/>
          <w:highlight w:val="none"/>
          <w14:ligatures w14:val="none"/>
        </w:rPr>
        <w:t>，</w:t>
      </w:r>
      <w:r>
        <w:rPr>
          <w:rFonts w:ascii="Times New Roman" w:hAnsi="Times New Roman" w:eastAsia="宋体" w:cs="Times New Roman"/>
          <w:snapToGrid w:val="0"/>
          <w:color w:val="auto"/>
          <w:kern w:val="0"/>
          <w:sz w:val="28"/>
          <w:szCs w:val="28"/>
          <w:highlight w:val="none"/>
          <w14:ligatures w14:val="none"/>
        </w:rPr>
        <w:t>对关联的上下游装置进行了循环处理。及时启动了三级防控系统,防止污染物入海。并在第一时间向集团公司总值班室和大连市委值班室报送了事故情况。公司消防支队和大连市消防局共出动69台消防车辆对着火点周边的储罐、管排进行喷淋冷却、隔离、降温处理。13时06分，现场明火全部扑灭。</w:t>
      </w:r>
    </w:p>
    <w:p w14:paraId="0A482187">
      <w:pPr>
        <w:tabs>
          <w:tab w:val="left" w:pos="2265"/>
        </w:tabs>
        <w:adjustRightInd w:val="0"/>
        <w:snapToGrid w:val="0"/>
        <w:spacing w:before="156" w:beforeLines="50" w:after="156" w:afterLines="50" w:line="360" w:lineRule="auto"/>
        <w:jc w:val="both"/>
        <w:outlineLvl w:val="2"/>
        <w:rPr>
          <w:rFonts w:hint="eastAsia" w:ascii="Times New Roman" w:hAnsi="Times New Roman" w:eastAsia="黑体" w:cs="Times New Roman"/>
          <w:b/>
          <w:color w:val="auto"/>
          <w:sz w:val="28"/>
          <w:highlight w:val="none"/>
          <w14:ligatures w14:val="none"/>
        </w:rPr>
      </w:pPr>
      <w:r>
        <w:rPr>
          <w:rFonts w:hint="eastAsia" w:ascii="Times New Roman" w:hAnsi="Times New Roman" w:eastAsia="黑体" w:cs="Times New Roman"/>
          <w:b/>
          <w:color w:val="auto"/>
          <w:sz w:val="28"/>
          <w:highlight w:val="none"/>
          <w14:ligatures w14:val="none"/>
        </w:rPr>
        <w:t>3.</w:t>
      </w:r>
      <w:r>
        <w:rPr>
          <w:rFonts w:hint="eastAsia" w:ascii="Times New Roman" w:hAnsi="Times New Roman" w:eastAsia="黑体" w:cs="Times New Roman"/>
          <w:b/>
          <w:color w:val="auto"/>
          <w:sz w:val="28"/>
          <w:highlight w:val="none"/>
          <w:lang w:val="en-US" w:eastAsia="zh-CN"/>
          <w14:ligatures w14:val="none"/>
        </w:rPr>
        <w:t>6</w:t>
      </w:r>
      <w:r>
        <w:rPr>
          <w:rFonts w:hint="eastAsia" w:ascii="Times New Roman" w:hAnsi="Times New Roman" w:eastAsia="黑体" w:cs="Times New Roman"/>
          <w:b/>
          <w:color w:val="auto"/>
          <w:sz w:val="28"/>
          <w:highlight w:val="none"/>
          <w14:ligatures w14:val="none"/>
        </w:rPr>
        <w:t>.3事故原因</w:t>
      </w:r>
    </w:p>
    <w:p w14:paraId="5AE02D93">
      <w:pPr>
        <w:autoSpaceDE w:val="0"/>
        <w:autoSpaceDN w:val="0"/>
        <w:adjustRightInd w:val="0"/>
        <w:snapToGrid w:val="0"/>
        <w:spacing w:after="0" w:line="360" w:lineRule="auto"/>
        <w:ind w:firstLine="560" w:firstLineChars="200"/>
        <w:jc w:val="both"/>
        <w:rPr>
          <w:rFonts w:hint="eastAsia" w:ascii="宋体" w:hAnsi="宋体" w:eastAsia="宋体" w:cs="宋体"/>
          <w:color w:val="auto"/>
          <w:sz w:val="28"/>
          <w:szCs w:val="28"/>
          <w:highlight w:val="none"/>
          <w14:ligatures w14:val="none"/>
        </w:rPr>
      </w:pPr>
      <w:r>
        <w:rPr>
          <w:rFonts w:hint="eastAsia" w:ascii="宋体" w:hAnsi="宋体" w:eastAsia="宋体" w:cs="宋体"/>
          <w:color w:val="auto"/>
          <w:sz w:val="28"/>
          <w:szCs w:val="28"/>
          <w:highlight w:val="none"/>
          <w14:ligatures w14:val="none"/>
        </w:rPr>
        <w:t>经初步分析，事故主要原因是事故储罐送油造成液位过低，浮盘与柴油液面之间形成气相空间，造成空气进入；同时，上游装置操作波动，进入事故储罐的柴油中轻组分含量增加，在浮盘下方形成爆炸性混合气体；加之进油流速过快，产生大量静电无法及时导出产生放电，引发爆炸着火。</w:t>
      </w:r>
    </w:p>
    <w:p w14:paraId="69559F49">
      <w:pPr>
        <w:tabs>
          <w:tab w:val="left" w:pos="2265"/>
        </w:tabs>
        <w:adjustRightInd w:val="0"/>
        <w:snapToGrid w:val="0"/>
        <w:spacing w:before="156" w:beforeLines="50" w:after="156" w:afterLines="50" w:line="360" w:lineRule="auto"/>
        <w:jc w:val="both"/>
        <w:outlineLvl w:val="2"/>
        <w:rPr>
          <w:rFonts w:hint="eastAsia" w:ascii="Times New Roman" w:hAnsi="Times New Roman" w:eastAsia="黑体" w:cs="Times New Roman"/>
          <w:b/>
          <w:color w:val="auto"/>
          <w:sz w:val="28"/>
          <w:highlight w:val="none"/>
          <w14:ligatures w14:val="none"/>
        </w:rPr>
      </w:pPr>
      <w:r>
        <w:rPr>
          <w:rFonts w:hint="eastAsia" w:ascii="Times New Roman" w:hAnsi="Times New Roman" w:eastAsia="黑体" w:cs="Times New Roman"/>
          <w:b/>
          <w:color w:val="auto"/>
          <w:sz w:val="28"/>
          <w:highlight w:val="none"/>
          <w14:ligatures w14:val="none"/>
        </w:rPr>
        <w:t>3.</w:t>
      </w:r>
      <w:r>
        <w:rPr>
          <w:rFonts w:hint="eastAsia" w:ascii="Times New Roman" w:hAnsi="Times New Roman" w:eastAsia="黑体" w:cs="Times New Roman"/>
          <w:b/>
          <w:color w:val="auto"/>
          <w:sz w:val="28"/>
          <w:highlight w:val="none"/>
          <w:lang w:val="en-US" w:eastAsia="zh-CN"/>
          <w14:ligatures w14:val="none"/>
        </w:rPr>
        <w:t>6</w:t>
      </w:r>
      <w:r>
        <w:rPr>
          <w:rFonts w:hint="eastAsia" w:ascii="Times New Roman" w:hAnsi="Times New Roman" w:eastAsia="黑体" w:cs="Times New Roman"/>
          <w:b/>
          <w:color w:val="auto"/>
          <w:sz w:val="28"/>
          <w:highlight w:val="none"/>
          <w14:ligatures w14:val="none"/>
        </w:rPr>
        <w:t>.4事故教训</w:t>
      </w:r>
    </w:p>
    <w:p w14:paraId="68994892">
      <w:pPr>
        <w:autoSpaceDE w:val="0"/>
        <w:autoSpaceDN w:val="0"/>
        <w:adjustRightInd w:val="0"/>
        <w:snapToGrid w:val="0"/>
        <w:spacing w:after="0" w:line="360" w:lineRule="auto"/>
        <w:ind w:firstLine="560" w:firstLineChars="200"/>
        <w:jc w:val="both"/>
        <w:rPr>
          <w:rFonts w:ascii="Times New Roman" w:hAnsi="Times New Roman" w:eastAsia="宋体" w:cs="Times New Roman"/>
          <w:color w:val="auto"/>
          <w:sz w:val="28"/>
          <w:szCs w:val="28"/>
          <w:highlight w:val="none"/>
          <w14:ligatures w14:val="none"/>
        </w:rPr>
      </w:pPr>
      <w:r>
        <w:rPr>
          <w:rFonts w:hint="eastAsia" w:ascii="Times New Roman" w:hAnsi="Times New Roman" w:eastAsia="宋体" w:cs="Times New Roman"/>
          <w:color w:val="auto"/>
          <w:sz w:val="28"/>
          <w:szCs w:val="28"/>
          <w:highlight w:val="none"/>
          <w14:ligatures w14:val="none"/>
        </w:rPr>
        <w:t>（1）</w:t>
      </w:r>
      <w:r>
        <w:rPr>
          <w:rFonts w:ascii="Times New Roman" w:hAnsi="Times New Roman" w:eastAsia="宋体" w:cs="Times New Roman"/>
          <w:color w:val="auto"/>
          <w:sz w:val="28"/>
          <w:szCs w:val="28"/>
          <w:highlight w:val="none"/>
          <w14:ligatures w14:val="none"/>
        </w:rPr>
        <w:t>应控制易燃液体流速，减少静电产生；</w:t>
      </w:r>
    </w:p>
    <w:p w14:paraId="0D416617">
      <w:pPr>
        <w:autoSpaceDE w:val="0"/>
        <w:autoSpaceDN w:val="0"/>
        <w:adjustRightInd w:val="0"/>
        <w:snapToGrid w:val="0"/>
        <w:spacing w:after="0" w:line="360" w:lineRule="auto"/>
        <w:ind w:firstLine="560" w:firstLineChars="200"/>
        <w:jc w:val="both"/>
        <w:rPr>
          <w:rFonts w:ascii="Times New Roman" w:hAnsi="Times New Roman" w:eastAsia="宋体" w:cs="Times New Roman"/>
          <w:color w:val="auto"/>
          <w:sz w:val="28"/>
          <w:szCs w:val="28"/>
          <w:highlight w:val="none"/>
          <w14:ligatures w14:val="none"/>
        </w:rPr>
      </w:pPr>
      <w:r>
        <w:rPr>
          <w:rFonts w:hint="eastAsia" w:ascii="Times New Roman" w:hAnsi="Times New Roman" w:eastAsia="宋体" w:cs="Times New Roman"/>
          <w:color w:val="auto"/>
          <w:sz w:val="28"/>
          <w:szCs w:val="28"/>
          <w:highlight w:val="none"/>
          <w14:ligatures w14:val="none"/>
        </w:rPr>
        <w:t>（2）</w:t>
      </w:r>
      <w:r>
        <w:rPr>
          <w:rFonts w:ascii="Times New Roman" w:hAnsi="Times New Roman" w:eastAsia="宋体" w:cs="Times New Roman"/>
          <w:color w:val="auto"/>
          <w:sz w:val="28"/>
          <w:szCs w:val="28"/>
          <w:highlight w:val="none"/>
          <w14:ligatures w14:val="none"/>
        </w:rPr>
        <w:t>员工的责任心不强，精力不集中，缺乏对员工的教育和培训，误操作和人的不安全行为是引起事故的祸根；</w:t>
      </w:r>
    </w:p>
    <w:p w14:paraId="4A5FA7E7">
      <w:pPr>
        <w:autoSpaceDE w:val="0"/>
        <w:autoSpaceDN w:val="0"/>
        <w:adjustRightInd w:val="0"/>
        <w:snapToGrid w:val="0"/>
        <w:spacing w:after="0" w:line="360" w:lineRule="auto"/>
        <w:ind w:firstLine="560" w:firstLineChars="200"/>
        <w:jc w:val="both"/>
        <w:rPr>
          <w:rFonts w:ascii="Times New Roman" w:hAnsi="Times New Roman" w:eastAsia="宋体" w:cs="Times New Roman"/>
          <w:color w:val="auto"/>
          <w:sz w:val="28"/>
          <w:szCs w:val="28"/>
          <w:highlight w:val="none"/>
          <w14:ligatures w14:val="none"/>
        </w:rPr>
      </w:pPr>
      <w:r>
        <w:rPr>
          <w:rFonts w:hint="eastAsia" w:ascii="Times New Roman" w:hAnsi="Times New Roman" w:eastAsia="宋体" w:cs="Times New Roman"/>
          <w:color w:val="auto"/>
          <w:sz w:val="28"/>
          <w:szCs w:val="28"/>
          <w:highlight w:val="none"/>
          <w14:ligatures w14:val="none"/>
        </w:rPr>
        <w:t>（3）</w:t>
      </w:r>
      <w:r>
        <w:rPr>
          <w:rFonts w:ascii="Times New Roman" w:hAnsi="Times New Roman" w:eastAsia="宋体" w:cs="Times New Roman"/>
          <w:color w:val="auto"/>
          <w:sz w:val="28"/>
          <w:szCs w:val="28"/>
          <w:highlight w:val="none"/>
          <w14:ligatures w14:val="none"/>
        </w:rPr>
        <w:t>未进行有效的风险辨识，防范措施落得不实；</w:t>
      </w:r>
    </w:p>
    <w:p w14:paraId="6B6A1AA4">
      <w:pPr>
        <w:autoSpaceDE w:val="0"/>
        <w:autoSpaceDN w:val="0"/>
        <w:adjustRightInd w:val="0"/>
        <w:snapToGrid w:val="0"/>
        <w:spacing w:after="0" w:line="360" w:lineRule="auto"/>
        <w:ind w:firstLine="560" w:firstLineChars="200"/>
        <w:jc w:val="both"/>
        <w:rPr>
          <w:rFonts w:ascii="Times New Roman" w:hAnsi="Times New Roman" w:eastAsia="宋体" w:cs="Times New Roman"/>
          <w:color w:val="auto"/>
          <w:sz w:val="28"/>
          <w:szCs w:val="28"/>
          <w:highlight w:val="none"/>
          <w14:ligatures w14:val="none"/>
        </w:rPr>
      </w:pPr>
      <w:r>
        <w:rPr>
          <w:rFonts w:hint="eastAsia" w:ascii="Times New Roman" w:hAnsi="Times New Roman" w:eastAsia="宋体" w:cs="Times New Roman"/>
          <w:color w:val="auto"/>
          <w:sz w:val="28"/>
          <w:szCs w:val="28"/>
          <w:highlight w:val="none"/>
          <w14:ligatures w14:val="none"/>
        </w:rPr>
        <w:t>（4）</w:t>
      </w:r>
      <w:r>
        <w:rPr>
          <w:rFonts w:ascii="Times New Roman" w:hAnsi="Times New Roman" w:eastAsia="宋体" w:cs="Times New Roman"/>
          <w:color w:val="auto"/>
          <w:sz w:val="28"/>
          <w:szCs w:val="28"/>
          <w:highlight w:val="none"/>
          <w14:ligatures w14:val="none"/>
        </w:rPr>
        <w:t>对储罐保养不到位；</w:t>
      </w:r>
    </w:p>
    <w:p w14:paraId="0751628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color w:val="auto"/>
          <w:sz w:val="28"/>
          <w:szCs w:val="28"/>
          <w:highlight w:val="none"/>
          <w14:ligatures w14:val="none"/>
        </w:rPr>
        <w:t>（5）</w:t>
      </w:r>
      <w:r>
        <w:rPr>
          <w:rFonts w:ascii="Times New Roman" w:hAnsi="Times New Roman" w:eastAsia="宋体" w:cs="Times New Roman"/>
          <w:color w:val="auto"/>
          <w:sz w:val="28"/>
          <w:szCs w:val="28"/>
          <w:highlight w:val="none"/>
          <w14:ligatures w14:val="none"/>
        </w:rPr>
        <w:t>不安全隐患整改不力，防灾灭灾的自动化管理水平不高。</w:t>
      </w:r>
    </w:p>
    <w:p w14:paraId="69DCBC59">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ascii="Times New Roman" w:hAnsi="Times New Roman" w:eastAsia="宋体" w:cs="Times New Roman"/>
          <w:sz w:val="28"/>
          <w:szCs w:val="28"/>
          <w14:ligatures w14:val="none"/>
        </w:rPr>
        <w:br w:type="page"/>
      </w:r>
    </w:p>
    <w:p w14:paraId="16660017">
      <w:pPr>
        <w:adjustRightInd w:val="0"/>
        <w:snapToGrid w:val="0"/>
        <w:spacing w:before="468" w:beforeLines="150" w:after="468" w:afterLines="150" w:line="360" w:lineRule="auto"/>
        <w:jc w:val="center"/>
        <w:outlineLvl w:val="0"/>
        <w:rPr>
          <w:rFonts w:ascii="Times New Roman" w:hAnsi="Times New Roman" w:eastAsia="黑体" w:cs="黑体"/>
          <w:b/>
          <w:kern w:val="44"/>
          <w:sz w:val="32"/>
          <w:szCs w:val="44"/>
          <w14:ligatures w14:val="none"/>
        </w:rPr>
      </w:pPr>
      <w:bookmarkStart w:id="127" w:name="_Toc24420"/>
      <w:r>
        <w:rPr>
          <w:rFonts w:hint="eastAsia" w:ascii="Times New Roman" w:hAnsi="Times New Roman" w:eastAsia="黑体" w:cs="黑体"/>
          <w:b/>
          <w:kern w:val="44"/>
          <w:sz w:val="32"/>
          <w:szCs w:val="44"/>
          <w14:ligatures w14:val="none"/>
        </w:rPr>
        <w:t>4评价单元划分及评价方法选择</w:t>
      </w:r>
      <w:bookmarkEnd w:id="127"/>
    </w:p>
    <w:p w14:paraId="621E289A">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28" w:name="_Toc18606"/>
      <w:r>
        <w:rPr>
          <w:rFonts w:hint="eastAsia" w:ascii="Times New Roman" w:hAnsi="Times New Roman" w:eastAsia="楷体" w:cs="黑体"/>
          <w:b/>
          <w:sz w:val="32"/>
          <w:szCs w:val="32"/>
          <w14:ligatures w14:val="none"/>
        </w:rPr>
        <w:t>4.1评价单元划分和评价方法选择</w:t>
      </w:r>
      <w:bookmarkEnd w:id="128"/>
    </w:p>
    <w:p w14:paraId="3A088944">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按照评价单元划分的原则和方法，结合该项目经营条件及安全管理、周边环境及平面布置、工艺及设施、公辅工程及辅助设施</w:t>
      </w:r>
      <w:r>
        <w:rPr>
          <w:rFonts w:hint="eastAsia" w:ascii="Times New Roman" w:hAnsi="Times New Roman" w:eastAsia="宋体" w:cs="Times New Roman"/>
          <w:sz w:val="28"/>
          <w:szCs w:val="28"/>
          <w:lang w:eastAsia="zh-CN"/>
          <w14:ligatures w14:val="none"/>
        </w:rPr>
        <w:t>、重大危险源管理及监控</w:t>
      </w:r>
      <w:r>
        <w:rPr>
          <w:rFonts w:hint="eastAsia" w:ascii="Times New Roman" w:hAnsi="Times New Roman" w:eastAsia="宋体" w:cs="Times New Roman"/>
          <w:sz w:val="28"/>
          <w:szCs w:val="28"/>
          <w:lang w:val="en-US" w:eastAsia="zh-CN"/>
          <w14:ligatures w14:val="none"/>
        </w:rPr>
        <w:t>以及</w:t>
      </w:r>
      <w:r>
        <w:rPr>
          <w:rFonts w:hint="eastAsia" w:ascii="Times New Roman" w:hAnsi="Times New Roman" w:eastAsia="宋体" w:cs="Times New Roman"/>
          <w:sz w:val="28"/>
          <w:szCs w:val="28"/>
          <w14:ligatures w14:val="none"/>
        </w:rPr>
        <w:t>重大生产安全事故隐患等内容，将该项目划分为</w:t>
      </w:r>
      <w:r>
        <w:rPr>
          <w:rFonts w:hint="eastAsia" w:ascii="Times New Roman" w:hAnsi="Times New Roman" w:eastAsia="宋体" w:cs="Times New Roman"/>
          <w:sz w:val="28"/>
          <w:szCs w:val="28"/>
          <w:lang w:val="en-US" w:eastAsia="zh-CN"/>
          <w14:ligatures w14:val="none"/>
        </w:rPr>
        <w:t>6</w:t>
      </w:r>
      <w:r>
        <w:rPr>
          <w:rFonts w:hint="eastAsia" w:ascii="Times New Roman" w:hAnsi="Times New Roman" w:eastAsia="宋体" w:cs="Times New Roman"/>
          <w:sz w:val="28"/>
          <w:szCs w:val="28"/>
          <w14:ligatures w14:val="none"/>
        </w:rPr>
        <w:t>个评价单元，各个单元采用的评价方法见表4.1-1所示。</w:t>
      </w:r>
    </w:p>
    <w:p w14:paraId="7486D010">
      <w:pPr>
        <w:keepNext/>
        <w:adjustRightInd w:val="0"/>
        <w:snapToGrid w:val="0"/>
        <w:spacing w:before="156" w:beforeLines="50" w:after="156" w:afterLines="50" w:line="240" w:lineRule="auto"/>
        <w:jc w:val="center"/>
        <w:rPr>
          <w:rFonts w:ascii="Times New Roman" w:hAnsi="Times New Roman" w:eastAsia="黑体" w:cs="Times New Roman"/>
          <w:sz w:val="24"/>
          <w14:ligatures w14:val="none"/>
        </w:rPr>
      </w:pPr>
      <w:r>
        <w:rPr>
          <w:rFonts w:hint="eastAsia" w:ascii="Times New Roman" w:hAnsi="Times New Roman" w:eastAsia="黑体" w:cs="Times New Roman"/>
          <w:sz w:val="24"/>
          <w14:ligatures w14:val="none"/>
        </w:rPr>
        <w:t>表4.1-1  各单元评价方法的选择</w:t>
      </w:r>
    </w:p>
    <w:tbl>
      <w:tblPr>
        <w:tblStyle w:val="1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2"/>
        <w:gridCol w:w="2207"/>
        <w:gridCol w:w="1748"/>
        <w:gridCol w:w="4753"/>
      </w:tblGrid>
      <w:tr w14:paraId="0F80E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68" w:type="pct"/>
            <w:vAlign w:val="center"/>
          </w:tcPr>
          <w:p w14:paraId="1F535907">
            <w:pPr>
              <w:adjustRightInd w:val="0"/>
              <w:snapToGrid w:val="0"/>
              <w:spacing w:after="0" w:line="240" w:lineRule="auto"/>
              <w:jc w:val="center"/>
              <w:rPr>
                <w:rFonts w:ascii="Times New Roman" w:hAnsi="Times New Roman" w:eastAsia="宋体" w:cs="Times New Roman"/>
                <w:sz w:val="21"/>
                <w14:ligatures w14:val="none"/>
              </w:rPr>
            </w:pPr>
            <w:r>
              <w:rPr>
                <w:rFonts w:ascii="Times New Roman" w:hAnsi="Times New Roman" w:eastAsia="宋体" w:cs="Times New Roman"/>
                <w:sz w:val="21"/>
                <w14:ligatures w14:val="none"/>
              </w:rPr>
              <w:t>序号</w:t>
            </w:r>
          </w:p>
        </w:tc>
        <w:tc>
          <w:tcPr>
            <w:tcW w:w="1174" w:type="pct"/>
            <w:vAlign w:val="center"/>
          </w:tcPr>
          <w:p w14:paraId="5B8B164B">
            <w:pPr>
              <w:adjustRightInd w:val="0"/>
              <w:snapToGrid w:val="0"/>
              <w:spacing w:after="0" w:line="240" w:lineRule="auto"/>
              <w:jc w:val="center"/>
              <w:rPr>
                <w:rFonts w:ascii="Times New Roman" w:hAnsi="Times New Roman" w:eastAsia="宋体" w:cs="Times New Roman"/>
                <w:sz w:val="21"/>
                <w14:ligatures w14:val="none"/>
              </w:rPr>
            </w:pPr>
            <w:r>
              <w:rPr>
                <w:rFonts w:ascii="Times New Roman" w:hAnsi="Times New Roman" w:eastAsia="宋体" w:cs="Times New Roman"/>
                <w:sz w:val="21"/>
                <w14:ligatures w14:val="none"/>
              </w:rPr>
              <w:t>评价单元</w:t>
            </w:r>
          </w:p>
        </w:tc>
        <w:tc>
          <w:tcPr>
            <w:tcW w:w="930" w:type="pct"/>
            <w:vAlign w:val="center"/>
          </w:tcPr>
          <w:p w14:paraId="01E3104B">
            <w:pPr>
              <w:adjustRightInd w:val="0"/>
              <w:snapToGrid w:val="0"/>
              <w:spacing w:after="0" w:line="240" w:lineRule="auto"/>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选用评价方法</w:t>
            </w:r>
          </w:p>
        </w:tc>
        <w:tc>
          <w:tcPr>
            <w:tcW w:w="2528" w:type="pct"/>
            <w:vAlign w:val="center"/>
          </w:tcPr>
          <w:p w14:paraId="7EF4C6F0">
            <w:pPr>
              <w:adjustRightInd w:val="0"/>
              <w:snapToGrid w:val="0"/>
              <w:spacing w:after="0" w:line="240" w:lineRule="auto"/>
              <w:jc w:val="center"/>
              <w:rPr>
                <w:rFonts w:ascii="Times New Roman" w:hAnsi="Times New Roman" w:eastAsia="宋体" w:cs="Times New Roman"/>
                <w:sz w:val="21"/>
                <w14:ligatures w14:val="none"/>
              </w:rPr>
            </w:pPr>
            <w:r>
              <w:rPr>
                <w:rFonts w:ascii="Times New Roman" w:hAnsi="Times New Roman" w:eastAsia="宋体" w:cs="Times New Roman"/>
                <w:sz w:val="21"/>
                <w14:ligatures w14:val="none"/>
              </w:rPr>
              <w:t>主要内容</w:t>
            </w:r>
          </w:p>
        </w:tc>
      </w:tr>
      <w:tr w14:paraId="5509B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68" w:type="pct"/>
            <w:vAlign w:val="center"/>
          </w:tcPr>
          <w:p w14:paraId="5E23DF0E">
            <w:pPr>
              <w:adjustRightInd w:val="0"/>
              <w:snapToGrid w:val="0"/>
              <w:spacing w:after="0" w:line="240" w:lineRule="auto"/>
              <w:jc w:val="center"/>
              <w:rPr>
                <w:rFonts w:ascii="Times New Roman" w:hAnsi="Times New Roman" w:eastAsia="宋体" w:cs="Times New Roman"/>
                <w:sz w:val="21"/>
                <w14:ligatures w14:val="none"/>
              </w:rPr>
            </w:pPr>
            <w:r>
              <w:rPr>
                <w:rFonts w:ascii="Times New Roman" w:hAnsi="Times New Roman" w:eastAsia="宋体" w:cs="Times New Roman"/>
                <w:sz w:val="21"/>
                <w14:ligatures w14:val="none"/>
              </w:rPr>
              <w:t>1</w:t>
            </w:r>
          </w:p>
        </w:tc>
        <w:tc>
          <w:tcPr>
            <w:tcW w:w="1174" w:type="pct"/>
            <w:vAlign w:val="center"/>
          </w:tcPr>
          <w:p w14:paraId="21310058">
            <w:pPr>
              <w:adjustRightInd w:val="0"/>
              <w:snapToGrid w:val="0"/>
              <w:spacing w:after="0" w:line="240" w:lineRule="auto"/>
              <w:jc w:val="center"/>
              <w:rPr>
                <w:rFonts w:ascii="Times New Roman" w:hAnsi="Times New Roman" w:eastAsia="宋体" w:cs="Times New Roman"/>
                <w:sz w:val="21"/>
                <w14:ligatures w14:val="none"/>
              </w:rPr>
            </w:pPr>
            <w:r>
              <w:rPr>
                <w:rFonts w:ascii="Times New Roman" w:hAnsi="Times New Roman" w:eastAsia="宋体" w:cs="Times New Roman"/>
                <w:sz w:val="21"/>
                <w14:ligatures w14:val="none"/>
              </w:rPr>
              <w:t>经营</w:t>
            </w:r>
            <w:r>
              <w:rPr>
                <w:rFonts w:hint="eastAsia" w:ascii="Times New Roman" w:hAnsi="Times New Roman" w:eastAsia="宋体" w:cs="Times New Roman"/>
                <w:sz w:val="21"/>
                <w14:ligatures w14:val="none"/>
              </w:rPr>
              <w:t>条件</w:t>
            </w:r>
            <w:r>
              <w:rPr>
                <w:rFonts w:ascii="Times New Roman" w:hAnsi="Times New Roman" w:eastAsia="宋体" w:cs="Times New Roman"/>
                <w:sz w:val="21"/>
                <w14:ligatures w14:val="none"/>
              </w:rPr>
              <w:t>及安全管理</w:t>
            </w:r>
          </w:p>
        </w:tc>
        <w:tc>
          <w:tcPr>
            <w:tcW w:w="930" w:type="pct"/>
            <w:vAlign w:val="center"/>
          </w:tcPr>
          <w:p w14:paraId="6FE6E4CA">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安全检查表法</w:t>
            </w:r>
          </w:p>
        </w:tc>
        <w:tc>
          <w:tcPr>
            <w:tcW w:w="2528" w:type="pct"/>
            <w:vAlign w:val="center"/>
          </w:tcPr>
          <w:p w14:paraId="07E41BC3">
            <w:pPr>
              <w:adjustRightInd w:val="0"/>
              <w:snapToGrid w:val="0"/>
              <w:spacing w:after="0" w:line="240" w:lineRule="auto"/>
              <w:jc w:val="both"/>
              <w:rPr>
                <w:rFonts w:ascii="Times New Roman" w:hAnsi="Times New Roman" w:eastAsia="宋体" w:cs="Times New Roman"/>
                <w:sz w:val="21"/>
                <w14:ligatures w14:val="none"/>
              </w:rPr>
            </w:pPr>
            <w:r>
              <w:rPr>
                <w:rFonts w:ascii="Times New Roman" w:hAnsi="Times New Roman" w:eastAsia="宋体" w:cs="Times New Roman"/>
                <w:sz w:val="21"/>
                <w:szCs w:val="21"/>
                <w14:ligatures w14:val="none"/>
              </w:rPr>
              <w:t>包括经营基本条件、安全生产管理机构的设置、安全生产管理规章制度、事故应急预案与演练等</w:t>
            </w:r>
          </w:p>
        </w:tc>
      </w:tr>
      <w:tr w14:paraId="78719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68" w:type="pct"/>
            <w:vAlign w:val="center"/>
          </w:tcPr>
          <w:p w14:paraId="71B46079">
            <w:pPr>
              <w:adjustRightInd w:val="0"/>
              <w:snapToGrid w:val="0"/>
              <w:spacing w:after="0" w:line="240" w:lineRule="auto"/>
              <w:jc w:val="center"/>
              <w:rPr>
                <w:rFonts w:ascii="Times New Roman" w:hAnsi="Times New Roman" w:eastAsia="宋体" w:cs="Times New Roman"/>
                <w:sz w:val="21"/>
                <w14:ligatures w14:val="none"/>
              </w:rPr>
            </w:pPr>
            <w:r>
              <w:rPr>
                <w:rFonts w:ascii="Times New Roman" w:hAnsi="Times New Roman" w:eastAsia="宋体" w:cs="Times New Roman"/>
                <w:sz w:val="21"/>
                <w14:ligatures w14:val="none"/>
              </w:rPr>
              <w:t>2</w:t>
            </w:r>
          </w:p>
        </w:tc>
        <w:tc>
          <w:tcPr>
            <w:tcW w:w="1174" w:type="pct"/>
            <w:vAlign w:val="center"/>
          </w:tcPr>
          <w:p w14:paraId="2FE60169">
            <w:pPr>
              <w:adjustRightInd w:val="0"/>
              <w:snapToGrid w:val="0"/>
              <w:spacing w:after="0" w:line="240" w:lineRule="auto"/>
              <w:jc w:val="center"/>
              <w:rPr>
                <w:rFonts w:ascii="Times New Roman" w:hAnsi="Times New Roman" w:eastAsia="宋体" w:cs="Times New Roman"/>
                <w:sz w:val="21"/>
                <w14:ligatures w14:val="none"/>
              </w:rPr>
            </w:pPr>
            <w:r>
              <w:rPr>
                <w:rFonts w:ascii="Times New Roman" w:hAnsi="Times New Roman" w:eastAsia="宋体" w:cs="Times New Roman"/>
                <w:sz w:val="21"/>
                <w14:ligatures w14:val="none"/>
              </w:rPr>
              <w:t>周边环境及平面布置</w:t>
            </w:r>
          </w:p>
        </w:tc>
        <w:tc>
          <w:tcPr>
            <w:tcW w:w="930" w:type="pct"/>
            <w:vAlign w:val="center"/>
          </w:tcPr>
          <w:p w14:paraId="25D0F1F0">
            <w:pPr>
              <w:adjustRightInd w:val="0"/>
              <w:snapToGrid w:val="0"/>
              <w:spacing w:after="0" w:line="240" w:lineRule="auto"/>
              <w:jc w:val="center"/>
              <w:rPr>
                <w:rFonts w:ascii="Times New Roman" w:hAnsi="Times New Roman" w:eastAsia="宋体" w:cs="Times New Roman"/>
                <w:sz w:val="21"/>
                <w14:ligatures w14:val="none"/>
              </w:rPr>
            </w:pPr>
            <w:r>
              <w:rPr>
                <w:rFonts w:hint="eastAsia" w:ascii="Times New Roman" w:hAnsi="Times New Roman" w:eastAsia="宋体" w:cs="Times New Roman"/>
                <w:sz w:val="21"/>
                <w:szCs w:val="21"/>
                <w14:ligatures w14:val="none"/>
              </w:rPr>
              <w:t>安全检查表法</w:t>
            </w:r>
          </w:p>
        </w:tc>
        <w:tc>
          <w:tcPr>
            <w:tcW w:w="2528" w:type="pct"/>
            <w:vAlign w:val="center"/>
          </w:tcPr>
          <w:p w14:paraId="5BDE4107">
            <w:pPr>
              <w:adjustRightInd w:val="0"/>
              <w:snapToGrid w:val="0"/>
              <w:spacing w:after="0" w:line="240" w:lineRule="auto"/>
              <w:jc w:val="both"/>
              <w:rPr>
                <w:rFonts w:ascii="Times New Roman" w:hAnsi="Times New Roman" w:eastAsia="宋体" w:cs="Times New Roman"/>
                <w:sz w:val="21"/>
                <w14:ligatures w14:val="none"/>
              </w:rPr>
            </w:pPr>
            <w:r>
              <w:rPr>
                <w:rFonts w:ascii="Times New Roman" w:hAnsi="Times New Roman" w:eastAsia="宋体" w:cs="Times New Roman"/>
                <w:sz w:val="21"/>
                <w14:ligatures w14:val="none"/>
              </w:rPr>
              <w:t>包括厂区内、外周边设施的安全距离</w:t>
            </w:r>
          </w:p>
        </w:tc>
      </w:tr>
      <w:tr w14:paraId="34CD0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68" w:type="pct"/>
            <w:vAlign w:val="center"/>
          </w:tcPr>
          <w:p w14:paraId="389E77AF">
            <w:pPr>
              <w:adjustRightInd w:val="0"/>
              <w:snapToGrid w:val="0"/>
              <w:spacing w:after="0" w:line="240" w:lineRule="auto"/>
              <w:jc w:val="center"/>
              <w:rPr>
                <w:rFonts w:ascii="Times New Roman" w:hAnsi="Times New Roman" w:eastAsia="宋体" w:cs="Times New Roman"/>
                <w:sz w:val="21"/>
                <w14:ligatures w14:val="none"/>
              </w:rPr>
            </w:pPr>
            <w:r>
              <w:rPr>
                <w:rFonts w:ascii="Times New Roman" w:hAnsi="Times New Roman" w:eastAsia="宋体" w:cs="Times New Roman"/>
                <w:sz w:val="21"/>
                <w14:ligatures w14:val="none"/>
              </w:rPr>
              <w:t>3</w:t>
            </w:r>
          </w:p>
        </w:tc>
        <w:tc>
          <w:tcPr>
            <w:tcW w:w="1174" w:type="pct"/>
            <w:vAlign w:val="center"/>
          </w:tcPr>
          <w:p w14:paraId="32624B6B">
            <w:pPr>
              <w:adjustRightInd w:val="0"/>
              <w:snapToGrid w:val="0"/>
              <w:spacing w:after="0" w:line="240" w:lineRule="auto"/>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 xml:space="preserve"> 工艺及设施</w:t>
            </w:r>
          </w:p>
        </w:tc>
        <w:tc>
          <w:tcPr>
            <w:tcW w:w="930" w:type="pct"/>
            <w:vAlign w:val="center"/>
          </w:tcPr>
          <w:p w14:paraId="7FF40F59">
            <w:pPr>
              <w:adjustRightInd w:val="0"/>
              <w:snapToGrid w:val="0"/>
              <w:spacing w:after="0" w:line="240" w:lineRule="auto"/>
              <w:jc w:val="center"/>
              <w:rPr>
                <w:rFonts w:ascii="Times New Roman" w:hAnsi="Times New Roman" w:eastAsia="宋体" w:cs="Times New Roman"/>
                <w:sz w:val="21"/>
                <w14:ligatures w14:val="none"/>
              </w:rPr>
            </w:pPr>
            <w:r>
              <w:rPr>
                <w:rFonts w:hint="eastAsia" w:ascii="Times New Roman" w:hAnsi="Times New Roman" w:eastAsia="宋体" w:cs="Times New Roman"/>
                <w:sz w:val="21"/>
                <w:szCs w:val="21"/>
                <w14:ligatures w14:val="none"/>
              </w:rPr>
              <w:t>安全检查表法</w:t>
            </w:r>
          </w:p>
        </w:tc>
        <w:tc>
          <w:tcPr>
            <w:tcW w:w="2528" w:type="pct"/>
            <w:vAlign w:val="center"/>
          </w:tcPr>
          <w:p w14:paraId="50FDD479">
            <w:pPr>
              <w:adjustRightInd w:val="0"/>
              <w:snapToGrid w:val="0"/>
              <w:spacing w:after="0" w:line="240" w:lineRule="auto"/>
              <w:jc w:val="both"/>
              <w:rPr>
                <w:rFonts w:ascii="Times New Roman" w:hAnsi="Times New Roman" w:eastAsia="宋体" w:cs="Times New Roman"/>
                <w:sz w:val="21"/>
                <w14:ligatures w14:val="none"/>
              </w:rPr>
            </w:pPr>
            <w:r>
              <w:rPr>
                <w:rFonts w:ascii="Times New Roman" w:hAnsi="Times New Roman" w:eastAsia="宋体" w:cs="Times New Roman"/>
                <w:sz w:val="21"/>
                <w14:ligatures w14:val="none"/>
              </w:rPr>
              <w:t>储罐</w:t>
            </w:r>
            <w:r>
              <w:rPr>
                <w:rFonts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装卸设施</w:t>
            </w: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工艺管道</w:t>
            </w:r>
          </w:p>
        </w:tc>
      </w:tr>
      <w:tr w14:paraId="22C3E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68" w:type="pct"/>
            <w:vAlign w:val="center"/>
          </w:tcPr>
          <w:p w14:paraId="39443259">
            <w:pPr>
              <w:adjustRightInd w:val="0"/>
              <w:snapToGrid w:val="0"/>
              <w:spacing w:after="0" w:line="240" w:lineRule="auto"/>
              <w:jc w:val="center"/>
              <w:rPr>
                <w:rFonts w:ascii="Times New Roman" w:hAnsi="Times New Roman" w:eastAsia="宋体" w:cs="Times New Roman"/>
                <w:sz w:val="21"/>
                <w14:ligatures w14:val="none"/>
              </w:rPr>
            </w:pPr>
            <w:r>
              <w:rPr>
                <w:rFonts w:ascii="Times New Roman" w:hAnsi="Times New Roman" w:eastAsia="宋体" w:cs="Times New Roman"/>
                <w:sz w:val="21"/>
                <w14:ligatures w14:val="none"/>
              </w:rPr>
              <w:t>4</w:t>
            </w:r>
          </w:p>
        </w:tc>
        <w:tc>
          <w:tcPr>
            <w:tcW w:w="1174" w:type="pct"/>
            <w:vAlign w:val="center"/>
          </w:tcPr>
          <w:p w14:paraId="084C5AC6">
            <w:pPr>
              <w:adjustRightInd w:val="0"/>
              <w:snapToGrid w:val="0"/>
              <w:spacing w:after="0" w:line="240" w:lineRule="auto"/>
              <w:jc w:val="center"/>
              <w:rPr>
                <w:rFonts w:ascii="Times New Roman" w:hAnsi="Times New Roman" w:eastAsia="宋体" w:cs="Times New Roman"/>
                <w:sz w:val="21"/>
                <w14:ligatures w14:val="none"/>
              </w:rPr>
            </w:pPr>
            <w:r>
              <w:rPr>
                <w:rFonts w:ascii="Times New Roman" w:hAnsi="Times New Roman" w:eastAsia="宋体" w:cs="Times New Roman"/>
                <w:sz w:val="21"/>
                <w14:ligatures w14:val="none"/>
              </w:rPr>
              <w:t>公辅工程及辅助设施</w:t>
            </w:r>
          </w:p>
        </w:tc>
        <w:tc>
          <w:tcPr>
            <w:tcW w:w="930" w:type="pct"/>
            <w:vAlign w:val="center"/>
          </w:tcPr>
          <w:p w14:paraId="74431A9E">
            <w:pPr>
              <w:adjustRightInd w:val="0"/>
              <w:snapToGrid w:val="0"/>
              <w:spacing w:after="0" w:line="240" w:lineRule="auto"/>
              <w:jc w:val="center"/>
              <w:rPr>
                <w:rFonts w:ascii="Times New Roman" w:hAnsi="Times New Roman" w:eastAsia="宋体" w:cs="Times New Roman"/>
                <w:sz w:val="21"/>
                <w14:ligatures w14:val="none"/>
              </w:rPr>
            </w:pPr>
            <w:r>
              <w:rPr>
                <w:rFonts w:hint="eastAsia" w:ascii="Times New Roman" w:hAnsi="Times New Roman" w:eastAsia="宋体" w:cs="Times New Roman"/>
                <w:sz w:val="21"/>
                <w:szCs w:val="21"/>
                <w14:ligatures w14:val="none"/>
              </w:rPr>
              <w:t>安全检查表法</w:t>
            </w:r>
          </w:p>
        </w:tc>
        <w:tc>
          <w:tcPr>
            <w:tcW w:w="2528" w:type="pct"/>
            <w:vAlign w:val="center"/>
          </w:tcPr>
          <w:p w14:paraId="4D61248C">
            <w:pPr>
              <w:adjustRightInd w:val="0"/>
              <w:snapToGrid w:val="0"/>
              <w:spacing w:after="0" w:line="240" w:lineRule="auto"/>
              <w:jc w:val="both"/>
              <w:rPr>
                <w:rFonts w:ascii="Times New Roman" w:hAnsi="Times New Roman" w:eastAsia="宋体" w:cs="Times New Roman"/>
                <w:sz w:val="21"/>
                <w14:ligatures w14:val="none"/>
              </w:rPr>
            </w:pPr>
            <w:r>
              <w:rPr>
                <w:rFonts w:ascii="Times New Roman" w:hAnsi="Times New Roman" w:eastAsia="宋体" w:cs="Times New Roman"/>
                <w:sz w:val="21"/>
                <w14:ligatures w14:val="none"/>
              </w:rPr>
              <w:t>包括供配电、</w:t>
            </w:r>
            <w:r>
              <w:rPr>
                <w:rFonts w:hint="eastAsia" w:ascii="Times New Roman" w:hAnsi="Times New Roman" w:eastAsia="宋体" w:cs="Times New Roman"/>
                <w:sz w:val="21"/>
                <w:lang w:val="en-US" w:eastAsia="zh-CN"/>
                <w14:ligatures w14:val="none"/>
              </w:rPr>
              <w:t>自动控制</w:t>
            </w:r>
            <w:r>
              <w:rPr>
                <w:rFonts w:ascii="Times New Roman" w:hAnsi="Times New Roman" w:eastAsia="宋体" w:cs="Times New Roman"/>
                <w:sz w:val="21"/>
                <w14:ligatures w14:val="none"/>
              </w:rPr>
              <w:t>、消防系统等</w:t>
            </w:r>
          </w:p>
        </w:tc>
      </w:tr>
      <w:tr w14:paraId="4321B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68" w:type="pct"/>
            <w:vAlign w:val="center"/>
          </w:tcPr>
          <w:p w14:paraId="4BF7F1EF">
            <w:pPr>
              <w:adjustRightInd w:val="0"/>
              <w:snapToGrid w:val="0"/>
              <w:spacing w:after="0" w:line="240" w:lineRule="auto"/>
              <w:jc w:val="center"/>
              <w:rPr>
                <w:rFonts w:hint="eastAsia" w:ascii="Times New Roman" w:hAnsi="Times New Roman" w:eastAsia="宋体" w:cs="Times New Roman"/>
                <w:sz w:val="21"/>
                <w:lang w:val="en-US" w:eastAsia="zh-CN"/>
                <w14:ligatures w14:val="none"/>
              </w:rPr>
            </w:pPr>
            <w:r>
              <w:rPr>
                <w:rFonts w:hint="eastAsia" w:ascii="Times New Roman" w:hAnsi="Times New Roman" w:eastAsia="宋体" w:cs="Times New Roman"/>
                <w:sz w:val="21"/>
                <w:lang w:val="en-US" w:eastAsia="zh-CN"/>
                <w14:ligatures w14:val="none"/>
              </w:rPr>
              <w:t>5</w:t>
            </w:r>
          </w:p>
        </w:tc>
        <w:tc>
          <w:tcPr>
            <w:tcW w:w="1174" w:type="pct"/>
            <w:vAlign w:val="center"/>
          </w:tcPr>
          <w:p w14:paraId="10094849">
            <w:pPr>
              <w:adjustRightInd w:val="0"/>
              <w:snapToGrid w:val="0"/>
              <w:spacing w:after="0" w:line="240" w:lineRule="auto"/>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重大危险源管理及监控</w:t>
            </w:r>
          </w:p>
        </w:tc>
        <w:tc>
          <w:tcPr>
            <w:tcW w:w="1706" w:type="dxa"/>
            <w:vAlign w:val="center"/>
          </w:tcPr>
          <w:p w14:paraId="180DA5E2">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安全检查表法</w:t>
            </w:r>
          </w:p>
        </w:tc>
        <w:tc>
          <w:tcPr>
            <w:tcW w:w="4639" w:type="dxa"/>
            <w:vAlign w:val="center"/>
          </w:tcPr>
          <w:p w14:paraId="53B86A54">
            <w:pPr>
              <w:adjustRightInd w:val="0"/>
              <w:snapToGrid w:val="0"/>
              <w:spacing w:after="0" w:line="240" w:lineRule="auto"/>
              <w:jc w:val="both"/>
              <w:rPr>
                <w:rFonts w:ascii="Times New Roman" w:hAnsi="Times New Roman" w:eastAsia="宋体" w:cs="Times New Roman"/>
                <w:sz w:val="21"/>
                <w14:ligatures w14:val="none"/>
              </w:rPr>
            </w:pPr>
            <w:r>
              <w:rPr>
                <w:rFonts w:ascii="Times New Roman" w:hAnsi="Times New Roman" w:eastAsia="宋体" w:cs="Times New Roman"/>
                <w:sz w:val="21"/>
                <w14:ligatures w14:val="none"/>
              </w:rPr>
              <w:t>包括</w:t>
            </w:r>
            <w:r>
              <w:rPr>
                <w:rFonts w:hint="eastAsia" w:ascii="Times New Roman" w:hAnsi="Times New Roman" w:eastAsia="宋体" w:cs="Times New Roman"/>
                <w:sz w:val="21"/>
                <w:lang w:val="en-US" w:eastAsia="zh-CN"/>
                <w14:ligatures w14:val="none"/>
              </w:rPr>
              <w:t>自动控制、仪表、消防</w:t>
            </w:r>
            <w:r>
              <w:rPr>
                <w:rFonts w:ascii="Times New Roman" w:hAnsi="Times New Roman" w:eastAsia="宋体" w:cs="Times New Roman"/>
                <w:sz w:val="21"/>
                <w14:ligatures w14:val="none"/>
              </w:rPr>
              <w:t>等</w:t>
            </w:r>
          </w:p>
        </w:tc>
      </w:tr>
      <w:tr w14:paraId="4276A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 w:hRule="atLeast"/>
          <w:jc w:val="center"/>
        </w:trPr>
        <w:tc>
          <w:tcPr>
            <w:tcW w:w="368" w:type="pct"/>
            <w:vAlign w:val="center"/>
          </w:tcPr>
          <w:p w14:paraId="271470D5">
            <w:pPr>
              <w:adjustRightInd w:val="0"/>
              <w:snapToGrid w:val="0"/>
              <w:spacing w:after="0" w:line="240" w:lineRule="auto"/>
              <w:jc w:val="center"/>
              <w:rPr>
                <w:rFonts w:hint="eastAsia" w:ascii="Times New Roman" w:hAnsi="Times New Roman" w:eastAsia="宋体" w:cs="Times New Roman"/>
                <w:sz w:val="21"/>
                <w:lang w:eastAsia="zh-CN"/>
                <w14:ligatures w14:val="none"/>
              </w:rPr>
            </w:pPr>
            <w:r>
              <w:rPr>
                <w:rFonts w:hint="eastAsia" w:ascii="Times New Roman" w:hAnsi="Times New Roman" w:eastAsia="宋体" w:cs="Times New Roman"/>
                <w:sz w:val="21"/>
                <w:lang w:val="en-US" w:eastAsia="zh-CN"/>
                <w14:ligatures w14:val="none"/>
              </w:rPr>
              <w:t>6</w:t>
            </w:r>
          </w:p>
        </w:tc>
        <w:tc>
          <w:tcPr>
            <w:tcW w:w="1174" w:type="pct"/>
            <w:vAlign w:val="center"/>
          </w:tcPr>
          <w:p w14:paraId="5639700C">
            <w:pPr>
              <w:adjustRightInd w:val="0"/>
              <w:snapToGrid w:val="0"/>
              <w:spacing w:after="0" w:line="240" w:lineRule="auto"/>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重大生产安全事故隐患</w:t>
            </w:r>
          </w:p>
        </w:tc>
        <w:tc>
          <w:tcPr>
            <w:tcW w:w="930" w:type="pct"/>
            <w:vAlign w:val="center"/>
          </w:tcPr>
          <w:p w14:paraId="748C5FF0">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安全检查表法</w:t>
            </w:r>
          </w:p>
        </w:tc>
        <w:tc>
          <w:tcPr>
            <w:tcW w:w="2528" w:type="pct"/>
            <w:vAlign w:val="center"/>
          </w:tcPr>
          <w:p w14:paraId="48496363">
            <w:pPr>
              <w:adjustRightInd w:val="0"/>
              <w:snapToGrid w:val="0"/>
              <w:spacing w:after="0" w:line="240" w:lineRule="auto"/>
              <w:jc w:val="both"/>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判定是否为重大生产安全事故隐患</w:t>
            </w:r>
          </w:p>
        </w:tc>
      </w:tr>
    </w:tbl>
    <w:p w14:paraId="029A0F5E">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29" w:name="_Toc31407"/>
      <w:r>
        <w:rPr>
          <w:rFonts w:hint="eastAsia" w:ascii="Times New Roman" w:hAnsi="Times New Roman" w:eastAsia="楷体" w:cs="黑体"/>
          <w:b/>
          <w:sz w:val="32"/>
          <w:szCs w:val="32"/>
          <w14:ligatures w14:val="none"/>
        </w:rPr>
        <w:t>4.2评价方法简介</w:t>
      </w:r>
      <w:bookmarkEnd w:id="129"/>
    </w:p>
    <w:p w14:paraId="6B4C3DBF">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安全检查表是系统安全工程的一种最基础、最简便、广泛应用的系统安全评价方法。安全检查表不仅用于查找系统中各种潜在的事故隐患，还对各检查项目给予量化，用于进行系统安全评价。</w:t>
      </w:r>
    </w:p>
    <w:p w14:paraId="66E9B5DB">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对系统进行评价时，对照安全检查表逐项检查，从而评价出系统的安全等级。编制安全检查表的主要依据为有关的安全法规、标准、规程和国内外相关的事故案例。</w:t>
      </w:r>
    </w:p>
    <w:p w14:paraId="2EF291DD">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安全检查表的编制步骤如下：</w:t>
      </w:r>
    </w:p>
    <w:p w14:paraId="2AD29611">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（1）熟悉系统。包括评价对象的结构、功能、工艺流程、操作条件、总图布置、已有的安全卫生设置等；</w:t>
      </w:r>
    </w:p>
    <w:p w14:paraId="6BD3C84A">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（2）搜集资料。搜集与评价对象有关的安全法规、标准、制度、过去发生过的事故案例，作为评价依据；</w:t>
      </w:r>
    </w:p>
    <w:p w14:paraId="36B7AEFA">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（3）划分单元。按功能或结构：将系统划分为若干子系统或单元，逐个分析潜在的危险因素；</w:t>
      </w:r>
    </w:p>
    <w:p w14:paraId="14E7E3CC">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（4）编制检查表。</w:t>
      </w:r>
      <w:r>
        <w:rPr>
          <w:rFonts w:ascii="Times New Roman" w:hAnsi="Times New Roman" w:eastAsia="宋体" w:cs="Times New Roman"/>
          <w:sz w:val="28"/>
          <w:szCs w:val="28"/>
          <w14:ligatures w14:val="none"/>
        </w:rPr>
        <w:br w:type="page"/>
      </w:r>
    </w:p>
    <w:p w14:paraId="147955D5">
      <w:pPr>
        <w:adjustRightInd w:val="0"/>
        <w:snapToGrid w:val="0"/>
        <w:spacing w:before="468" w:beforeLines="150" w:after="468" w:afterLines="150" w:line="360" w:lineRule="auto"/>
        <w:jc w:val="center"/>
        <w:outlineLvl w:val="0"/>
        <w:rPr>
          <w:rFonts w:ascii="Times New Roman" w:hAnsi="Times New Roman" w:eastAsia="黑体" w:cs="黑体"/>
          <w:b/>
          <w:kern w:val="44"/>
          <w:sz w:val="32"/>
          <w:szCs w:val="44"/>
          <w14:ligatures w14:val="none"/>
        </w:rPr>
      </w:pPr>
      <w:bookmarkStart w:id="130" w:name="_Toc23617"/>
      <w:r>
        <w:rPr>
          <w:rFonts w:hint="eastAsia" w:ascii="Times New Roman" w:hAnsi="Times New Roman" w:eastAsia="黑体" w:cs="黑体"/>
          <w:b/>
          <w:kern w:val="44"/>
          <w:sz w:val="32"/>
          <w:szCs w:val="44"/>
          <w14:ligatures w14:val="none"/>
        </w:rPr>
        <w:t>5定性评价</w:t>
      </w:r>
      <w:bookmarkEnd w:id="130"/>
    </w:p>
    <w:p w14:paraId="0DDE9B48">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31" w:name="_Toc19773"/>
      <w:r>
        <w:rPr>
          <w:rFonts w:hint="eastAsia" w:ascii="Times New Roman" w:hAnsi="Times New Roman" w:eastAsia="楷体" w:cs="黑体"/>
          <w:b/>
          <w:sz w:val="32"/>
          <w:szCs w:val="32"/>
          <w14:ligatures w14:val="none"/>
        </w:rPr>
        <w:t>5.1经营条件及安全管理单元</w:t>
      </w:r>
      <w:bookmarkEnd w:id="131"/>
    </w:p>
    <w:p w14:paraId="2FF7D6E6">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根据《危险化学品经营许可证管理办法》、《辽宁省危险化学品经营许可证颁发管理施细则》等行政法规、部门规章，针对</w:t>
      </w:r>
      <w:r>
        <w:rPr>
          <w:rFonts w:hint="eastAsia" w:ascii="Times New Roman" w:hAnsi="Times New Roman" w:eastAsia="宋体" w:cs="Times New Roman"/>
          <w:sz w:val="28"/>
          <w:szCs w:val="28"/>
          <w:lang w:eastAsia="zh-CN"/>
          <w14:ligatures w14:val="none"/>
        </w:rPr>
        <w:t>国能安储（东港）燃料供应有限公司</w:t>
      </w:r>
      <w:r>
        <w:rPr>
          <w:rFonts w:hint="eastAsia" w:ascii="Times New Roman" w:hAnsi="Times New Roman" w:eastAsia="宋体" w:cs="Times New Roman"/>
          <w:sz w:val="28"/>
          <w:szCs w:val="28"/>
          <w14:ligatures w14:val="none"/>
        </w:rPr>
        <w:t>经营条件及安全管理符合性进行检查，检查结果见表5.1-1。</w:t>
      </w:r>
    </w:p>
    <w:p w14:paraId="68783B2A">
      <w:pPr>
        <w:keepNext/>
        <w:adjustRightInd w:val="0"/>
        <w:snapToGrid w:val="0"/>
        <w:spacing w:before="156" w:beforeLines="50" w:after="156" w:afterLines="50" w:line="240" w:lineRule="auto"/>
        <w:jc w:val="center"/>
        <w:rPr>
          <w:rFonts w:ascii="Times New Roman" w:hAnsi="Times New Roman" w:eastAsia="黑体" w:cs="Times New Roman"/>
          <w:sz w:val="24"/>
          <w14:ligatures w14:val="none"/>
        </w:rPr>
      </w:pPr>
      <w:r>
        <w:rPr>
          <w:rFonts w:hint="eastAsia" w:ascii="Times New Roman" w:hAnsi="Times New Roman" w:eastAsia="黑体" w:cs="Times New Roman"/>
          <w:sz w:val="24"/>
          <w14:ligatures w14:val="none"/>
        </w:rPr>
        <w:t>表5.1-1  经营条件及安全管理单元安全检查表</w:t>
      </w:r>
    </w:p>
    <w:tbl>
      <w:tblPr>
        <w:tblStyle w:val="14"/>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1"/>
        <w:gridCol w:w="2905"/>
        <w:gridCol w:w="2636"/>
        <w:gridCol w:w="2037"/>
        <w:gridCol w:w="1020"/>
      </w:tblGrid>
      <w:tr w14:paraId="10C95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blHeader/>
          <w:jc w:val="center"/>
        </w:trPr>
        <w:tc>
          <w:tcPr>
            <w:tcW w:w="421" w:type="pct"/>
            <w:vAlign w:val="center"/>
          </w:tcPr>
          <w:p w14:paraId="4321E94A">
            <w:pPr>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项目</w:t>
            </w:r>
          </w:p>
        </w:tc>
        <w:tc>
          <w:tcPr>
            <w:tcW w:w="1546" w:type="pct"/>
            <w:vAlign w:val="center"/>
          </w:tcPr>
          <w:p w14:paraId="06FF914E">
            <w:pPr>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检查内容</w:t>
            </w:r>
          </w:p>
        </w:tc>
        <w:tc>
          <w:tcPr>
            <w:tcW w:w="1403" w:type="pct"/>
            <w:vAlign w:val="center"/>
          </w:tcPr>
          <w:p w14:paraId="15761383">
            <w:pPr>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依据</w:t>
            </w:r>
          </w:p>
        </w:tc>
        <w:tc>
          <w:tcPr>
            <w:tcW w:w="1084" w:type="pct"/>
            <w:vAlign w:val="center"/>
          </w:tcPr>
          <w:p w14:paraId="6DD74893">
            <w:pPr>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检查记录</w:t>
            </w:r>
          </w:p>
        </w:tc>
        <w:tc>
          <w:tcPr>
            <w:tcW w:w="543" w:type="pct"/>
            <w:vAlign w:val="center"/>
          </w:tcPr>
          <w:p w14:paraId="7708343F">
            <w:pPr>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结论</w:t>
            </w:r>
          </w:p>
        </w:tc>
      </w:tr>
      <w:tr w14:paraId="0D6F6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restart"/>
            <w:vAlign w:val="center"/>
          </w:tcPr>
          <w:p w14:paraId="171CE1BE">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基本</w:t>
            </w:r>
          </w:p>
          <w:p w14:paraId="4A0CF7F6">
            <w:pPr>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证</w:t>
            </w:r>
            <w:r>
              <w:rPr>
                <w:rFonts w:ascii="Times New Roman" w:hAnsi="Times New Roman" w:eastAsia="宋体" w:cs="Times New Roman"/>
                <w:sz w:val="21"/>
                <w:szCs w:val="21"/>
                <w14:ligatures w14:val="none"/>
              </w:rPr>
              <w:t>件</w:t>
            </w:r>
          </w:p>
        </w:tc>
        <w:tc>
          <w:tcPr>
            <w:tcW w:w="1546" w:type="pct"/>
            <w:vAlign w:val="center"/>
          </w:tcPr>
          <w:p w14:paraId="6E916C36">
            <w:pPr>
              <w:numPr>
                <w:ilvl w:val="0"/>
                <w:numId w:val="7"/>
              </w:numPr>
              <w:adjustRightInd w:val="0"/>
              <w:snapToGrid w:val="0"/>
              <w:spacing w:after="0" w:line="240" w:lineRule="auto"/>
              <w:ind w:left="0" w:firstLine="0"/>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具有</w:t>
            </w:r>
            <w:r>
              <w:rPr>
                <w:sz w:val="21"/>
                <w:szCs w:val="21"/>
              </w:rPr>
              <w:fldChar w:fldCharType="begin"/>
            </w:r>
            <w:r>
              <w:rPr>
                <w:sz w:val="21"/>
                <w:szCs w:val="21"/>
              </w:rPr>
              <w:instrText xml:space="preserve"> HYPERLINK "https://baike.sogou.com/lemma/ShowInnerLink.htm?lemmaId=235796&amp;ss_c=ssc.citiao.link" \t "https://baike.sogou.com/_blank" </w:instrText>
            </w:r>
            <w:r>
              <w:rPr>
                <w:sz w:val="21"/>
                <w:szCs w:val="21"/>
              </w:rPr>
              <w:fldChar w:fldCharType="separate"/>
            </w:r>
            <w:r>
              <w:rPr>
                <w:rFonts w:ascii="Times New Roman" w:hAnsi="Times New Roman" w:eastAsia="宋体" w:cs="Times New Roman"/>
                <w:sz w:val="21"/>
                <w:szCs w:val="21"/>
                <w14:ligatures w14:val="none"/>
              </w:rPr>
              <w:t>工商行政管理</w:t>
            </w:r>
            <w:r>
              <w:rPr>
                <w:rFonts w:ascii="Times New Roman" w:hAnsi="Times New Roman" w:eastAsia="宋体" w:cs="Times New Roman"/>
                <w:sz w:val="21"/>
                <w:szCs w:val="21"/>
                <w14:ligatures w14:val="none"/>
              </w:rPr>
              <w:fldChar w:fldCharType="end"/>
            </w:r>
            <w:r>
              <w:rPr>
                <w:rFonts w:ascii="Times New Roman" w:hAnsi="Times New Roman" w:eastAsia="宋体" w:cs="Times New Roman"/>
                <w:sz w:val="21"/>
                <w:szCs w:val="21"/>
                <w14:ligatures w14:val="none"/>
              </w:rPr>
              <w:t>部门颁发的企业性质营业执照或者</w:t>
            </w:r>
            <w:r>
              <w:rPr>
                <w:sz w:val="21"/>
                <w:szCs w:val="21"/>
              </w:rPr>
              <w:fldChar w:fldCharType="begin"/>
            </w:r>
            <w:r>
              <w:rPr>
                <w:sz w:val="21"/>
                <w:szCs w:val="21"/>
              </w:rPr>
              <w:instrText xml:space="preserve"> HYPERLINK "https://baike.sogou.com/lemma/ShowInnerLink.htm?lemmaId=168030163&amp;ss_c=ssc.citiao.link" \t "https://baike.sogou.com/_blank" </w:instrText>
            </w:r>
            <w:r>
              <w:rPr>
                <w:sz w:val="21"/>
                <w:szCs w:val="21"/>
              </w:rPr>
              <w:fldChar w:fldCharType="separate"/>
            </w:r>
            <w:r>
              <w:rPr>
                <w:rFonts w:ascii="Times New Roman" w:hAnsi="Times New Roman" w:eastAsia="宋体" w:cs="Times New Roman"/>
                <w:sz w:val="21"/>
                <w:szCs w:val="21"/>
                <w14:ligatures w14:val="none"/>
              </w:rPr>
              <w:t>企业名称预先核准</w:t>
            </w:r>
            <w:r>
              <w:rPr>
                <w:rFonts w:ascii="Times New Roman" w:hAnsi="Times New Roman" w:eastAsia="宋体" w:cs="Times New Roman"/>
                <w:sz w:val="21"/>
                <w:szCs w:val="21"/>
                <w14:ligatures w14:val="none"/>
              </w:rPr>
              <w:fldChar w:fldCharType="end"/>
            </w:r>
            <w:r>
              <w:rPr>
                <w:rFonts w:ascii="Times New Roman" w:hAnsi="Times New Roman" w:eastAsia="宋体" w:cs="Times New Roman"/>
                <w:sz w:val="21"/>
                <w:szCs w:val="21"/>
                <w14:ligatures w14:val="none"/>
              </w:rPr>
              <w:t>文件</w:t>
            </w:r>
          </w:p>
        </w:tc>
        <w:tc>
          <w:tcPr>
            <w:tcW w:w="1403" w:type="pct"/>
            <w:vAlign w:val="center"/>
          </w:tcPr>
          <w:p w14:paraId="5BF13745">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九</w:t>
            </w:r>
            <w:r>
              <w:rPr>
                <w:rFonts w:ascii="Times New Roman" w:hAnsi="Times New Roman" w:eastAsia="宋体" w:cs="Times New Roman"/>
                <w:sz w:val="21"/>
                <w:szCs w:val="21"/>
                <w14:ligatures w14:val="none"/>
              </w:rPr>
              <w:t>条</w:t>
            </w:r>
          </w:p>
        </w:tc>
        <w:tc>
          <w:tcPr>
            <w:tcW w:w="1084" w:type="pct"/>
            <w:vAlign w:val="center"/>
          </w:tcPr>
          <w:p w14:paraId="4FE24262">
            <w:pPr>
              <w:spacing w:after="0" w:line="240" w:lineRule="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有营业执照</w:t>
            </w:r>
            <w:r>
              <w:rPr>
                <w:rFonts w:hint="eastAsia" w:ascii="Times New Roman" w:hAnsi="Times New Roman" w:eastAsia="宋体" w:cs="Times New Roman"/>
                <w:sz w:val="21"/>
                <w:szCs w:val="21"/>
                <w:lang w:eastAsia="zh-CN"/>
                <w14:ligatures w14:val="none"/>
              </w:rPr>
              <w:t>，</w:t>
            </w:r>
            <w:r>
              <w:rPr>
                <w:rFonts w:ascii="Times New Roman" w:hAnsi="Times New Roman" w:eastAsia="宋体" w:cs="Times New Roman"/>
                <w:sz w:val="21"/>
                <w:szCs w:val="21"/>
                <w14:ligatures w14:val="none"/>
              </w:rPr>
              <w:t>见附件</w:t>
            </w:r>
          </w:p>
        </w:tc>
        <w:tc>
          <w:tcPr>
            <w:tcW w:w="543" w:type="pct"/>
            <w:vAlign w:val="center"/>
          </w:tcPr>
          <w:p w14:paraId="36198E28">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68D97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7443278F">
            <w:pPr>
              <w:spacing w:after="0" w:line="240" w:lineRule="auto"/>
              <w:jc w:val="center"/>
              <w:rPr>
                <w:rFonts w:ascii="Times New Roman" w:hAnsi="Times New Roman" w:eastAsia="宋体" w:cs="Times New Roman"/>
                <w:sz w:val="21"/>
                <w:szCs w:val="21"/>
                <w14:ligatures w14:val="none"/>
              </w:rPr>
            </w:pPr>
          </w:p>
        </w:tc>
        <w:tc>
          <w:tcPr>
            <w:tcW w:w="1546" w:type="pct"/>
            <w:vAlign w:val="center"/>
          </w:tcPr>
          <w:p w14:paraId="4D20E1CD">
            <w:pPr>
              <w:numPr>
                <w:ilvl w:val="0"/>
                <w:numId w:val="7"/>
              </w:numPr>
              <w:adjustRightInd w:val="0"/>
              <w:snapToGrid w:val="0"/>
              <w:spacing w:after="0" w:line="240" w:lineRule="auto"/>
              <w:ind w:left="0" w:firstLine="0"/>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具有</w:t>
            </w:r>
            <w:r>
              <w:rPr>
                <w:rFonts w:ascii="Times New Roman" w:hAnsi="Times New Roman" w:eastAsia="宋体" w:cs="Times New Roman"/>
                <w:sz w:val="21"/>
                <w:szCs w:val="21"/>
                <w14:ligatures w14:val="none"/>
              </w:rPr>
              <w:t>经营场所产权证明文件或者租赁证明文件</w:t>
            </w:r>
          </w:p>
        </w:tc>
        <w:tc>
          <w:tcPr>
            <w:tcW w:w="1403" w:type="pct"/>
            <w:vAlign w:val="center"/>
          </w:tcPr>
          <w:p w14:paraId="018362B9">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九</w:t>
            </w:r>
            <w:r>
              <w:rPr>
                <w:rFonts w:ascii="Times New Roman" w:hAnsi="Times New Roman" w:eastAsia="宋体" w:cs="Times New Roman"/>
                <w:sz w:val="21"/>
                <w:szCs w:val="21"/>
                <w14:ligatures w14:val="none"/>
              </w:rPr>
              <w:t>条</w:t>
            </w:r>
          </w:p>
        </w:tc>
        <w:tc>
          <w:tcPr>
            <w:tcW w:w="1084" w:type="pct"/>
            <w:vAlign w:val="center"/>
          </w:tcPr>
          <w:p w14:paraId="286F003E">
            <w:pPr>
              <w:spacing w:after="0" w:line="240" w:lineRule="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14:ligatures w14:val="none"/>
              </w:rPr>
              <w:t>具有</w:t>
            </w:r>
            <w:r>
              <w:rPr>
                <w:rFonts w:ascii="Times New Roman" w:hAnsi="Times New Roman" w:eastAsia="宋体" w:cs="Times New Roman"/>
                <w:sz w:val="21"/>
                <w:szCs w:val="21"/>
                <w14:ligatures w14:val="none"/>
              </w:rPr>
              <w:t>产权证明文件</w:t>
            </w:r>
          </w:p>
        </w:tc>
        <w:tc>
          <w:tcPr>
            <w:tcW w:w="543" w:type="pct"/>
            <w:vAlign w:val="center"/>
          </w:tcPr>
          <w:p w14:paraId="4569045F">
            <w:pPr>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742CA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restart"/>
            <w:vAlign w:val="center"/>
          </w:tcPr>
          <w:p w14:paraId="77EA5AA9">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应急</w:t>
            </w:r>
          </w:p>
          <w:p w14:paraId="74A4FCE7">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救援</w:t>
            </w:r>
          </w:p>
          <w:p w14:paraId="78871F54">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措施</w:t>
            </w:r>
          </w:p>
        </w:tc>
        <w:tc>
          <w:tcPr>
            <w:tcW w:w="1546" w:type="pct"/>
            <w:vAlign w:val="center"/>
          </w:tcPr>
          <w:p w14:paraId="72C9CBA1">
            <w:pPr>
              <w:numPr>
                <w:ilvl w:val="0"/>
                <w:numId w:val="7"/>
              </w:numPr>
              <w:adjustRightInd w:val="0"/>
              <w:snapToGrid w:val="0"/>
              <w:spacing w:after="0" w:line="240" w:lineRule="auto"/>
              <w:ind w:left="0" w:firstLine="0"/>
              <w:jc w:val="both"/>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建立应急救援组织，制定事故应急预案。</w:t>
            </w:r>
          </w:p>
        </w:tc>
        <w:tc>
          <w:tcPr>
            <w:tcW w:w="1403" w:type="pct"/>
            <w:vAlign w:val="center"/>
          </w:tcPr>
          <w:p w14:paraId="4295D1E7">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《危险化学品安全管理条例》第</w:t>
            </w:r>
            <w:r>
              <w:rPr>
                <w:rFonts w:hint="eastAsia" w:ascii="Times New Roman" w:hAnsi="Times New Roman" w:eastAsia="宋体" w:cs="Times New Roman"/>
                <w:sz w:val="21"/>
                <w:szCs w:val="21"/>
                <w14:ligatures w14:val="none"/>
              </w:rPr>
              <w:t>三十四</w:t>
            </w:r>
            <w:r>
              <w:rPr>
                <w:rFonts w:ascii="Times New Roman" w:hAnsi="Times New Roman" w:eastAsia="宋体" w:cs="Times New Roman"/>
                <w:sz w:val="21"/>
                <w:szCs w:val="21"/>
                <w14:ligatures w14:val="none"/>
              </w:rPr>
              <w:t>条</w:t>
            </w:r>
          </w:p>
        </w:tc>
        <w:tc>
          <w:tcPr>
            <w:tcW w:w="1084" w:type="pct"/>
            <w:vAlign w:val="center"/>
          </w:tcPr>
          <w:p w14:paraId="08A272D9">
            <w:pPr>
              <w:spacing w:after="0" w:line="240" w:lineRule="auto"/>
              <w:jc w:val="both"/>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已建立应急救援组织，并制定事故应急预案</w:t>
            </w:r>
          </w:p>
        </w:tc>
        <w:tc>
          <w:tcPr>
            <w:tcW w:w="543" w:type="pct"/>
            <w:vAlign w:val="center"/>
          </w:tcPr>
          <w:p w14:paraId="5B1C9FD5">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E26E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7001A982">
            <w:pPr>
              <w:spacing w:after="0" w:line="240" w:lineRule="auto"/>
              <w:jc w:val="center"/>
              <w:rPr>
                <w:rFonts w:ascii="Times New Roman" w:hAnsi="Times New Roman" w:eastAsia="宋体" w:cs="Times New Roman"/>
                <w:sz w:val="21"/>
                <w:szCs w:val="21"/>
                <w14:ligatures w14:val="none"/>
              </w:rPr>
            </w:pPr>
          </w:p>
        </w:tc>
        <w:tc>
          <w:tcPr>
            <w:tcW w:w="1546" w:type="pct"/>
            <w:vAlign w:val="center"/>
          </w:tcPr>
          <w:p w14:paraId="0AD0C875">
            <w:pPr>
              <w:numPr>
                <w:ilvl w:val="0"/>
                <w:numId w:val="7"/>
              </w:numPr>
              <w:adjustRightInd w:val="0"/>
              <w:snapToGrid w:val="0"/>
              <w:spacing w:after="0" w:line="240" w:lineRule="auto"/>
              <w:ind w:left="0" w:firstLine="0"/>
              <w:jc w:val="both"/>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预案编制符合《生产经营单位生产安全事故应急预案编制导则》GB/T 29639-20</w:t>
            </w:r>
            <w:r>
              <w:rPr>
                <w:rFonts w:hint="eastAsia" w:ascii="Times New Roman" w:hAnsi="Times New Roman" w:eastAsia="宋体" w:cs="Times New Roman"/>
                <w:sz w:val="21"/>
                <w:szCs w:val="21"/>
                <w14:ligatures w14:val="none"/>
              </w:rPr>
              <w:t>20</w:t>
            </w:r>
          </w:p>
        </w:tc>
        <w:tc>
          <w:tcPr>
            <w:tcW w:w="1403" w:type="pct"/>
            <w:vAlign w:val="center"/>
          </w:tcPr>
          <w:p w14:paraId="06A6D719">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《危险化学品安全管理条例》第</w:t>
            </w:r>
            <w:r>
              <w:rPr>
                <w:rFonts w:hint="eastAsia" w:ascii="Times New Roman" w:hAnsi="Times New Roman" w:eastAsia="宋体" w:cs="Times New Roman"/>
                <w:sz w:val="21"/>
                <w:szCs w:val="21"/>
                <w14:ligatures w14:val="none"/>
              </w:rPr>
              <w:t>三十四</w:t>
            </w:r>
            <w:r>
              <w:rPr>
                <w:rFonts w:ascii="Times New Roman" w:hAnsi="Times New Roman" w:eastAsia="宋体" w:cs="Times New Roman"/>
                <w:sz w:val="21"/>
                <w:szCs w:val="21"/>
                <w14:ligatures w14:val="none"/>
              </w:rPr>
              <w:t>条</w:t>
            </w:r>
          </w:p>
        </w:tc>
        <w:tc>
          <w:tcPr>
            <w:tcW w:w="1084" w:type="pct"/>
            <w:vAlign w:val="center"/>
          </w:tcPr>
          <w:p w14:paraId="49967C19">
            <w:pPr>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企业已编制应急预案</w:t>
            </w:r>
          </w:p>
        </w:tc>
        <w:tc>
          <w:tcPr>
            <w:tcW w:w="543" w:type="pct"/>
            <w:vAlign w:val="center"/>
          </w:tcPr>
          <w:p w14:paraId="2D23B6C1">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8544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451DB826">
            <w:pPr>
              <w:spacing w:after="0" w:line="240" w:lineRule="auto"/>
              <w:jc w:val="center"/>
              <w:rPr>
                <w:rFonts w:ascii="Times New Roman" w:hAnsi="Times New Roman" w:eastAsia="宋体" w:cs="Times New Roman"/>
                <w:sz w:val="21"/>
                <w:szCs w:val="21"/>
                <w14:ligatures w14:val="none"/>
              </w:rPr>
            </w:pPr>
          </w:p>
        </w:tc>
        <w:tc>
          <w:tcPr>
            <w:tcW w:w="1546" w:type="pct"/>
            <w:vAlign w:val="center"/>
          </w:tcPr>
          <w:p w14:paraId="202E6478">
            <w:pPr>
              <w:numPr>
                <w:ilvl w:val="0"/>
                <w:numId w:val="7"/>
              </w:numPr>
              <w:adjustRightInd w:val="0"/>
              <w:snapToGrid w:val="0"/>
              <w:spacing w:after="0" w:line="240" w:lineRule="auto"/>
              <w:ind w:left="0" w:firstLine="0"/>
              <w:jc w:val="both"/>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定期组织预案演练并进行记录。</w:t>
            </w:r>
          </w:p>
        </w:tc>
        <w:tc>
          <w:tcPr>
            <w:tcW w:w="1403" w:type="pct"/>
            <w:vAlign w:val="center"/>
          </w:tcPr>
          <w:p w14:paraId="2ED12131">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《危险化学品安全管理条例》第</w:t>
            </w:r>
            <w:r>
              <w:rPr>
                <w:rFonts w:hint="eastAsia" w:ascii="Times New Roman" w:hAnsi="Times New Roman" w:eastAsia="宋体" w:cs="Times New Roman"/>
                <w:sz w:val="21"/>
                <w:szCs w:val="21"/>
                <w14:ligatures w14:val="none"/>
              </w:rPr>
              <w:t>三十四</w:t>
            </w:r>
            <w:r>
              <w:rPr>
                <w:rFonts w:ascii="Times New Roman" w:hAnsi="Times New Roman" w:eastAsia="宋体" w:cs="Times New Roman"/>
                <w:sz w:val="21"/>
                <w:szCs w:val="21"/>
                <w14:ligatures w14:val="none"/>
              </w:rPr>
              <w:t>条</w:t>
            </w:r>
          </w:p>
        </w:tc>
        <w:tc>
          <w:tcPr>
            <w:tcW w:w="1084" w:type="pct"/>
            <w:vAlign w:val="center"/>
          </w:tcPr>
          <w:p w14:paraId="27F32739">
            <w:pPr>
              <w:spacing w:after="0" w:line="240" w:lineRule="auto"/>
              <w:jc w:val="both"/>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有演练记录</w:t>
            </w:r>
          </w:p>
        </w:tc>
        <w:tc>
          <w:tcPr>
            <w:tcW w:w="543" w:type="pct"/>
            <w:vAlign w:val="center"/>
          </w:tcPr>
          <w:p w14:paraId="3634880E">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7721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restart"/>
            <w:vAlign w:val="center"/>
          </w:tcPr>
          <w:p w14:paraId="750640BA">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从业</w:t>
            </w:r>
          </w:p>
          <w:p w14:paraId="0BEE1510">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人员</w:t>
            </w:r>
          </w:p>
          <w:p w14:paraId="47AAB318">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资格</w:t>
            </w:r>
          </w:p>
        </w:tc>
        <w:tc>
          <w:tcPr>
            <w:tcW w:w="1546" w:type="pct"/>
            <w:vAlign w:val="center"/>
          </w:tcPr>
          <w:p w14:paraId="7AA586F7">
            <w:pPr>
              <w:numPr>
                <w:ilvl w:val="0"/>
                <w:numId w:val="7"/>
              </w:numPr>
              <w:adjustRightInd w:val="0"/>
              <w:snapToGrid w:val="0"/>
              <w:spacing w:after="0" w:line="240" w:lineRule="auto"/>
              <w:ind w:left="0" w:firstLine="0"/>
              <w:jc w:val="both"/>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主要负责人安全资格证书。</w:t>
            </w:r>
          </w:p>
        </w:tc>
        <w:tc>
          <w:tcPr>
            <w:tcW w:w="1403" w:type="pct"/>
            <w:vAlign w:val="center"/>
          </w:tcPr>
          <w:p w14:paraId="3B37BD79">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六</w:t>
            </w:r>
            <w:r>
              <w:rPr>
                <w:rFonts w:ascii="Times New Roman" w:hAnsi="Times New Roman" w:eastAsia="宋体" w:cs="Times New Roman"/>
                <w:sz w:val="21"/>
                <w:szCs w:val="21"/>
                <w14:ligatures w14:val="none"/>
              </w:rPr>
              <w:t>条</w:t>
            </w:r>
          </w:p>
        </w:tc>
        <w:tc>
          <w:tcPr>
            <w:tcW w:w="1084" w:type="pct"/>
            <w:vAlign w:val="center"/>
          </w:tcPr>
          <w:p w14:paraId="646C9BA7">
            <w:pPr>
              <w:spacing w:after="0" w:line="240" w:lineRule="auto"/>
              <w:jc w:val="both"/>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取得安全资格证书</w:t>
            </w:r>
          </w:p>
        </w:tc>
        <w:tc>
          <w:tcPr>
            <w:tcW w:w="543" w:type="pct"/>
            <w:vAlign w:val="center"/>
          </w:tcPr>
          <w:p w14:paraId="359C478F">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75D5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7ED19AD8">
            <w:pPr>
              <w:spacing w:after="0" w:line="240" w:lineRule="auto"/>
              <w:jc w:val="center"/>
              <w:rPr>
                <w:rFonts w:ascii="Times New Roman" w:hAnsi="Times New Roman" w:eastAsia="宋体" w:cs="Times New Roman"/>
                <w:sz w:val="21"/>
                <w:szCs w:val="21"/>
                <w14:ligatures w14:val="none"/>
              </w:rPr>
            </w:pPr>
          </w:p>
        </w:tc>
        <w:tc>
          <w:tcPr>
            <w:tcW w:w="1546" w:type="pct"/>
            <w:vAlign w:val="center"/>
          </w:tcPr>
          <w:p w14:paraId="4A2E4A3A">
            <w:pPr>
              <w:numPr>
                <w:ilvl w:val="0"/>
                <w:numId w:val="7"/>
              </w:numPr>
              <w:adjustRightInd w:val="0"/>
              <w:snapToGrid w:val="0"/>
              <w:spacing w:after="0" w:line="240" w:lineRule="auto"/>
              <w:ind w:left="0" w:firstLine="0"/>
              <w:jc w:val="both"/>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安全管理人员安全资格证书。</w:t>
            </w:r>
          </w:p>
        </w:tc>
        <w:tc>
          <w:tcPr>
            <w:tcW w:w="1403" w:type="pct"/>
            <w:vAlign w:val="center"/>
          </w:tcPr>
          <w:p w14:paraId="6CE2735A">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六</w:t>
            </w:r>
            <w:r>
              <w:rPr>
                <w:rFonts w:ascii="Times New Roman" w:hAnsi="Times New Roman" w:eastAsia="宋体" w:cs="Times New Roman"/>
                <w:sz w:val="21"/>
                <w:szCs w:val="21"/>
                <w14:ligatures w14:val="none"/>
              </w:rPr>
              <w:t>条</w:t>
            </w:r>
          </w:p>
        </w:tc>
        <w:tc>
          <w:tcPr>
            <w:tcW w:w="1084" w:type="pct"/>
            <w:vAlign w:val="center"/>
          </w:tcPr>
          <w:p w14:paraId="46702D32">
            <w:pPr>
              <w:spacing w:after="0" w:line="240" w:lineRule="auto"/>
              <w:jc w:val="both"/>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取得安全资格证书</w:t>
            </w:r>
          </w:p>
        </w:tc>
        <w:tc>
          <w:tcPr>
            <w:tcW w:w="543" w:type="pct"/>
            <w:vAlign w:val="center"/>
          </w:tcPr>
          <w:p w14:paraId="5882A769">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0137F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42A951A7">
            <w:pPr>
              <w:spacing w:after="0" w:line="240" w:lineRule="auto"/>
              <w:jc w:val="center"/>
              <w:rPr>
                <w:rFonts w:ascii="Times New Roman" w:hAnsi="Times New Roman" w:eastAsia="宋体" w:cs="Times New Roman"/>
                <w:sz w:val="21"/>
                <w:szCs w:val="21"/>
                <w14:ligatures w14:val="none"/>
              </w:rPr>
            </w:pPr>
          </w:p>
        </w:tc>
        <w:tc>
          <w:tcPr>
            <w:tcW w:w="1546" w:type="pct"/>
            <w:vAlign w:val="center"/>
          </w:tcPr>
          <w:p w14:paraId="74AE5EAA">
            <w:pPr>
              <w:numPr>
                <w:ilvl w:val="0"/>
                <w:numId w:val="7"/>
              </w:numPr>
              <w:adjustRightInd w:val="0"/>
              <w:snapToGrid w:val="0"/>
              <w:spacing w:after="0" w:line="240" w:lineRule="auto"/>
              <w:ind w:left="0" w:firstLine="0"/>
              <w:jc w:val="both"/>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特种作业人员操作资格证书。</w:t>
            </w:r>
          </w:p>
        </w:tc>
        <w:tc>
          <w:tcPr>
            <w:tcW w:w="1403" w:type="pct"/>
            <w:vAlign w:val="center"/>
          </w:tcPr>
          <w:p w14:paraId="60728848">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六</w:t>
            </w:r>
            <w:r>
              <w:rPr>
                <w:rFonts w:ascii="Times New Roman" w:hAnsi="Times New Roman" w:eastAsia="宋体" w:cs="Times New Roman"/>
                <w:sz w:val="21"/>
                <w:szCs w:val="21"/>
                <w14:ligatures w14:val="none"/>
              </w:rPr>
              <w:t>条</w:t>
            </w:r>
          </w:p>
        </w:tc>
        <w:tc>
          <w:tcPr>
            <w:tcW w:w="1084" w:type="pct"/>
            <w:vAlign w:val="center"/>
          </w:tcPr>
          <w:p w14:paraId="24E31AFC">
            <w:pPr>
              <w:spacing w:after="0" w:line="240" w:lineRule="auto"/>
              <w:jc w:val="both"/>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特种作业人员已取得资格证书</w:t>
            </w:r>
          </w:p>
        </w:tc>
        <w:tc>
          <w:tcPr>
            <w:tcW w:w="543" w:type="pct"/>
            <w:vAlign w:val="center"/>
          </w:tcPr>
          <w:p w14:paraId="378EED72">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0CAE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5AC75822">
            <w:pPr>
              <w:spacing w:after="0" w:line="240" w:lineRule="auto"/>
              <w:jc w:val="center"/>
              <w:rPr>
                <w:rFonts w:ascii="Times New Roman" w:hAnsi="Times New Roman" w:eastAsia="宋体" w:cs="Times New Roman"/>
                <w:sz w:val="21"/>
                <w:szCs w:val="21"/>
                <w14:ligatures w14:val="none"/>
              </w:rPr>
            </w:pPr>
          </w:p>
        </w:tc>
        <w:tc>
          <w:tcPr>
            <w:tcW w:w="1546" w:type="pct"/>
            <w:vAlign w:val="center"/>
          </w:tcPr>
          <w:p w14:paraId="2C8CF4AF">
            <w:pPr>
              <w:numPr>
                <w:ilvl w:val="0"/>
                <w:numId w:val="7"/>
              </w:numPr>
              <w:adjustRightInd w:val="0"/>
              <w:snapToGrid w:val="0"/>
              <w:spacing w:after="0" w:line="240" w:lineRule="auto"/>
              <w:ind w:left="0" w:firstLine="0"/>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其他从业人员依照有关规定经安全生产教育和专业技术培训合格</w:t>
            </w:r>
            <w:r>
              <w:rPr>
                <w:rFonts w:hint="eastAsia" w:ascii="Times New Roman" w:hAnsi="Times New Roman" w:eastAsia="宋体" w:cs="Times New Roman"/>
                <w:sz w:val="21"/>
                <w:szCs w:val="21"/>
                <w:lang w:eastAsia="zh-CN"/>
                <w14:ligatures w14:val="none"/>
              </w:rPr>
              <w:t>。</w:t>
            </w:r>
          </w:p>
        </w:tc>
        <w:tc>
          <w:tcPr>
            <w:tcW w:w="1403" w:type="pct"/>
            <w:vAlign w:val="center"/>
          </w:tcPr>
          <w:p w14:paraId="3693A4D5">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《危险化学品经营许可证管理办法》第</w:t>
            </w:r>
            <w:r>
              <w:rPr>
                <w:rFonts w:hint="eastAsia" w:ascii="Times New Roman" w:hAnsi="Times New Roman" w:eastAsia="宋体" w:cs="Times New Roman"/>
                <w:sz w:val="21"/>
                <w:szCs w:val="21"/>
                <w14:ligatures w14:val="none"/>
              </w:rPr>
              <w:t>六</w:t>
            </w:r>
            <w:r>
              <w:rPr>
                <w:rFonts w:ascii="Times New Roman" w:hAnsi="Times New Roman" w:eastAsia="宋体" w:cs="Times New Roman"/>
                <w:sz w:val="21"/>
                <w:szCs w:val="21"/>
                <w14:ligatures w14:val="none"/>
              </w:rPr>
              <w:t>条</w:t>
            </w:r>
          </w:p>
        </w:tc>
        <w:tc>
          <w:tcPr>
            <w:tcW w:w="1084" w:type="pct"/>
            <w:vAlign w:val="center"/>
          </w:tcPr>
          <w:p w14:paraId="59274F40">
            <w:pPr>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定期对</w:t>
            </w:r>
            <w:r>
              <w:rPr>
                <w:rFonts w:hint="default" w:ascii="Times New Roman" w:hAnsi="Times New Roman" w:eastAsia="宋体" w:cs="Times New Roman"/>
                <w:sz w:val="21"/>
                <w:szCs w:val="21"/>
                <w14:ligatures w14:val="none"/>
              </w:rPr>
              <w:t>从业人员</w:t>
            </w:r>
            <w:r>
              <w:rPr>
                <w:rFonts w:hint="eastAsia" w:ascii="Times New Roman" w:hAnsi="Times New Roman" w:eastAsia="宋体" w:cs="Times New Roman"/>
                <w:sz w:val="21"/>
                <w:szCs w:val="21"/>
                <w:lang w:val="en-US" w:eastAsia="zh-CN"/>
                <w14:ligatures w14:val="none"/>
              </w:rPr>
              <w:t>进行内部培训</w:t>
            </w:r>
          </w:p>
        </w:tc>
        <w:tc>
          <w:tcPr>
            <w:tcW w:w="543" w:type="pct"/>
            <w:vAlign w:val="center"/>
          </w:tcPr>
          <w:p w14:paraId="54183C37">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9CE7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Align w:val="center"/>
          </w:tcPr>
          <w:p w14:paraId="2AFDF210">
            <w:pPr>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劳动防护用品</w:t>
            </w:r>
          </w:p>
        </w:tc>
        <w:tc>
          <w:tcPr>
            <w:tcW w:w="1546" w:type="pct"/>
            <w:vAlign w:val="center"/>
          </w:tcPr>
          <w:p w14:paraId="173AFEED">
            <w:pPr>
              <w:numPr>
                <w:ilvl w:val="0"/>
                <w:numId w:val="7"/>
              </w:numPr>
              <w:adjustRightInd w:val="0"/>
              <w:snapToGrid w:val="0"/>
              <w:spacing w:after="0" w:line="240" w:lineRule="auto"/>
              <w:ind w:left="0" w:firstLine="0"/>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生产经营单位必须为从业人员提供符合国家标准或者行业标准的劳动防护用品，并监督、教育从业人员按照使用规则佩戴、使用。</w:t>
            </w:r>
          </w:p>
        </w:tc>
        <w:tc>
          <w:tcPr>
            <w:tcW w:w="1403" w:type="pct"/>
            <w:vAlign w:val="center"/>
          </w:tcPr>
          <w:p w14:paraId="1E6EDEB2">
            <w:pPr>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《安全生产法》</w:t>
            </w:r>
          </w:p>
          <w:p w14:paraId="47B28646">
            <w:pPr>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第四十五条</w:t>
            </w:r>
          </w:p>
        </w:tc>
        <w:tc>
          <w:tcPr>
            <w:tcW w:w="1084" w:type="pct"/>
            <w:vAlign w:val="center"/>
          </w:tcPr>
          <w:p w14:paraId="49C07702">
            <w:pPr>
              <w:spacing w:after="0" w:line="240" w:lineRule="auto"/>
              <w:jc w:val="both"/>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14:ligatures w14:val="none"/>
              </w:rPr>
              <w:t>企业为员工提供防静电工作服、防冻手套、防砸鞋、安全帽、护目镜、耳塞等劳动防护用品</w:t>
            </w:r>
          </w:p>
        </w:tc>
        <w:tc>
          <w:tcPr>
            <w:tcW w:w="543" w:type="pct"/>
            <w:vAlign w:val="center"/>
          </w:tcPr>
          <w:p w14:paraId="4ADFEAB8">
            <w:pPr>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433D8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restart"/>
            <w:vAlign w:val="center"/>
          </w:tcPr>
          <w:p w14:paraId="6238B29B">
            <w:pPr>
              <w:spacing w:after="0" w:line="240" w:lineRule="auto"/>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安全管理</w:t>
            </w:r>
          </w:p>
        </w:tc>
        <w:tc>
          <w:tcPr>
            <w:tcW w:w="1546" w:type="pct"/>
            <w:shd w:val="clear" w:color="auto" w:fill="auto"/>
            <w:vAlign w:val="center"/>
          </w:tcPr>
          <w:p w14:paraId="7D7FC0CF">
            <w:pPr>
              <w:numPr>
                <w:ilvl w:val="0"/>
                <w:numId w:val="7"/>
              </w:numPr>
              <w:adjustRightInd w:val="0"/>
              <w:snapToGrid w:val="0"/>
              <w:spacing w:after="0" w:line="240" w:lineRule="auto"/>
              <w:ind w:left="0" w:leftChars="0" w:firstLine="0" w:firstLineChars="0"/>
              <w:jc w:val="both"/>
              <w:rPr>
                <w:rFonts w:hint="eastAsia" w:ascii="Times New Roman" w:hAnsi="Times New Roman" w:eastAsia="宋体" w:cs="Times New Roman"/>
                <w:kern w:val="2"/>
                <w:sz w:val="21"/>
                <w:szCs w:val="21"/>
                <w:lang w:val="en-US" w:eastAsia="zh-CN" w:bidi="ar-SA"/>
                <w14:ligatures w14:val="none"/>
              </w:rPr>
            </w:pPr>
            <w:r>
              <w:rPr>
                <w:rFonts w:ascii="Times New Roman" w:hAnsi="Times New Roman" w:eastAsia="宋体" w:cs="Times New Roman"/>
                <w:sz w:val="21"/>
                <w:szCs w:val="21"/>
                <w14:ligatures w14:val="none"/>
              </w:rPr>
              <w:t>设立安全管理机构或配备专职安全管理人员。</w:t>
            </w:r>
          </w:p>
        </w:tc>
        <w:tc>
          <w:tcPr>
            <w:tcW w:w="1403" w:type="pct"/>
            <w:shd w:val="clear" w:color="auto" w:fill="auto"/>
            <w:vAlign w:val="center"/>
          </w:tcPr>
          <w:p w14:paraId="07474A98">
            <w:pPr>
              <w:spacing w:after="0" w:line="240" w:lineRule="auto"/>
              <w:jc w:val="center"/>
              <w:rPr>
                <w:rFonts w:hint="eastAsia" w:ascii="Times New Roman" w:hAnsi="Times New Roman" w:eastAsia="宋体" w:cs="Times New Roman"/>
                <w:kern w:val="2"/>
                <w:sz w:val="21"/>
                <w:szCs w:val="21"/>
                <w:lang w:val="en-US" w:eastAsia="zh-CN" w:bidi="ar-SA"/>
                <w14:ligatures w14:val="none"/>
              </w:rPr>
            </w:pPr>
            <w:r>
              <w:rPr>
                <w:rFonts w:ascii="Times New Roman" w:hAnsi="Times New Roman" w:eastAsia="宋体" w:cs="Times New Roman"/>
                <w:sz w:val="21"/>
                <w:szCs w:val="21"/>
                <w14:ligatures w14:val="none"/>
              </w:rPr>
              <w:t>《中华人民共和国安全生产法》第</w:t>
            </w:r>
            <w:r>
              <w:rPr>
                <w:rFonts w:hint="eastAsia" w:ascii="Times New Roman" w:hAnsi="Times New Roman" w:eastAsia="宋体" w:cs="Times New Roman"/>
                <w:sz w:val="21"/>
                <w:szCs w:val="21"/>
                <w14:ligatures w14:val="none"/>
              </w:rPr>
              <w:t>二十一</w:t>
            </w:r>
            <w:r>
              <w:rPr>
                <w:rFonts w:ascii="Times New Roman" w:hAnsi="Times New Roman" w:eastAsia="宋体" w:cs="Times New Roman"/>
                <w:sz w:val="21"/>
                <w:szCs w:val="21"/>
                <w14:ligatures w14:val="none"/>
              </w:rPr>
              <w:t>条</w:t>
            </w:r>
          </w:p>
        </w:tc>
        <w:tc>
          <w:tcPr>
            <w:tcW w:w="1084" w:type="pct"/>
            <w:shd w:val="clear" w:color="auto" w:fill="auto"/>
            <w:vAlign w:val="center"/>
          </w:tcPr>
          <w:p w14:paraId="73640E7A">
            <w:pPr>
              <w:spacing w:after="0" w:line="240" w:lineRule="auto"/>
              <w:jc w:val="both"/>
              <w:rPr>
                <w:rFonts w:hint="eastAsia" w:ascii="Times New Roman" w:hAnsi="Times New Roman" w:eastAsia="宋体" w:cs="Times New Roman"/>
                <w:kern w:val="2"/>
                <w:sz w:val="21"/>
                <w:szCs w:val="21"/>
                <w:lang w:val="en-US" w:eastAsia="zh-CN" w:bidi="ar-SA"/>
                <w14:ligatures w14:val="none"/>
              </w:rPr>
            </w:pPr>
            <w:r>
              <w:rPr>
                <w:rFonts w:ascii="Times New Roman" w:hAnsi="Times New Roman" w:eastAsia="宋体" w:cs="Times New Roman"/>
                <w:sz w:val="21"/>
                <w:szCs w:val="21"/>
                <w14:ligatures w14:val="none"/>
              </w:rPr>
              <w:t>配备有专职安全管理人员</w:t>
            </w:r>
          </w:p>
        </w:tc>
        <w:tc>
          <w:tcPr>
            <w:tcW w:w="543" w:type="pct"/>
            <w:shd w:val="clear" w:color="auto" w:fill="auto"/>
            <w:vAlign w:val="center"/>
          </w:tcPr>
          <w:p w14:paraId="1F6170B5">
            <w:pPr>
              <w:spacing w:after="0" w:line="240" w:lineRule="auto"/>
              <w:jc w:val="center"/>
              <w:rPr>
                <w:rFonts w:hint="eastAsia" w:ascii="Times New Roman" w:hAnsi="Times New Roman" w:eastAsia="宋体" w:cs="Times New Roman"/>
                <w:kern w:val="2"/>
                <w:sz w:val="21"/>
                <w:szCs w:val="21"/>
                <w:lang w:val="en-US" w:eastAsia="zh-CN" w:bidi="ar-SA"/>
                <w14:ligatures w14:val="none"/>
              </w:rPr>
            </w:pPr>
            <w:r>
              <w:rPr>
                <w:rFonts w:ascii="Times New Roman" w:hAnsi="Times New Roman" w:eastAsia="宋体" w:cs="Times New Roman"/>
                <w:sz w:val="21"/>
                <w:szCs w:val="21"/>
                <w14:ligatures w14:val="none"/>
              </w:rPr>
              <w:t>符合</w:t>
            </w:r>
          </w:p>
        </w:tc>
      </w:tr>
      <w:tr w14:paraId="30981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65FB7C59">
            <w:pPr>
              <w:spacing w:after="0" w:line="240" w:lineRule="auto"/>
              <w:jc w:val="center"/>
              <w:rPr>
                <w:rFonts w:hint="eastAsia" w:ascii="Times New Roman" w:hAnsi="Times New Roman" w:eastAsia="宋体" w:cs="Times New Roman"/>
                <w:sz w:val="21"/>
                <w:szCs w:val="21"/>
                <w:lang w:val="en-US" w:eastAsia="zh-CN"/>
                <w14:ligatures w14:val="none"/>
              </w:rPr>
            </w:pPr>
          </w:p>
        </w:tc>
        <w:tc>
          <w:tcPr>
            <w:tcW w:w="1546" w:type="pct"/>
            <w:shd w:val="clear" w:color="auto" w:fill="auto"/>
            <w:vAlign w:val="center"/>
          </w:tcPr>
          <w:p w14:paraId="49B13620">
            <w:pPr>
              <w:numPr>
                <w:ilvl w:val="0"/>
                <w:numId w:val="7"/>
              </w:numPr>
              <w:adjustRightInd w:val="0"/>
              <w:snapToGrid w:val="0"/>
              <w:spacing w:after="0" w:line="240" w:lineRule="auto"/>
              <w:ind w:left="0" w:leftChars="0" w:firstLine="0" w:firstLineChars="0"/>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危险化学品单位应当按照《危险化学品重大危险源辨识》标准，对本单位的危险化学品生产、经营、储存和使用装置、设施或者场所进行重大危险源辨识，并记录辨识过程与结果。</w:t>
            </w:r>
          </w:p>
        </w:tc>
        <w:tc>
          <w:tcPr>
            <w:tcW w:w="1403" w:type="pct"/>
            <w:shd w:val="clear" w:color="auto" w:fill="auto"/>
            <w:vAlign w:val="center"/>
          </w:tcPr>
          <w:p w14:paraId="1F2DD46F">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安监总局令第40 号</w:t>
            </w:r>
          </w:p>
          <w:p w14:paraId="01993E46">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七</w:t>
            </w:r>
            <w:r>
              <w:rPr>
                <w:rFonts w:ascii="Times New Roman" w:hAnsi="Times New Roman" w:eastAsia="宋体" w:cs="Times New Roman"/>
                <w:sz w:val="21"/>
                <w:szCs w:val="21"/>
                <w14:ligatures w14:val="none"/>
              </w:rPr>
              <w:t>条</w:t>
            </w:r>
          </w:p>
        </w:tc>
        <w:tc>
          <w:tcPr>
            <w:tcW w:w="1084" w:type="pct"/>
            <w:shd w:val="clear" w:color="auto" w:fill="auto"/>
            <w:vAlign w:val="center"/>
          </w:tcPr>
          <w:p w14:paraId="36558DC7">
            <w:pPr>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按标准辨识，储存单元罐区构成四级重大危险源</w:t>
            </w:r>
          </w:p>
        </w:tc>
        <w:tc>
          <w:tcPr>
            <w:tcW w:w="543" w:type="pct"/>
            <w:shd w:val="clear" w:color="auto" w:fill="auto"/>
            <w:vAlign w:val="center"/>
          </w:tcPr>
          <w:p w14:paraId="45D24A07">
            <w:pPr>
              <w:spacing w:after="0" w:line="240" w:lineRule="auto"/>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2CA82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634F4167">
            <w:pPr>
              <w:spacing w:after="0" w:line="240" w:lineRule="auto"/>
              <w:jc w:val="center"/>
              <w:rPr>
                <w:rFonts w:hint="eastAsia" w:ascii="Times New Roman" w:hAnsi="Times New Roman" w:eastAsia="宋体" w:cs="Times New Roman"/>
                <w:sz w:val="21"/>
                <w:szCs w:val="21"/>
                <w:lang w:val="en-US" w:eastAsia="zh-CN"/>
                <w14:ligatures w14:val="none"/>
              </w:rPr>
            </w:pPr>
          </w:p>
        </w:tc>
        <w:tc>
          <w:tcPr>
            <w:tcW w:w="1546" w:type="pct"/>
            <w:shd w:val="clear" w:color="auto" w:fill="auto"/>
            <w:vAlign w:val="center"/>
          </w:tcPr>
          <w:p w14:paraId="2548F347">
            <w:pPr>
              <w:numPr>
                <w:ilvl w:val="0"/>
                <w:numId w:val="7"/>
              </w:numPr>
              <w:adjustRightInd w:val="0"/>
              <w:snapToGrid w:val="0"/>
              <w:spacing w:after="0" w:line="240" w:lineRule="auto"/>
              <w:ind w:left="0" w:leftChars="0" w:firstLine="0" w:firstLineChars="0"/>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危险化学品单位是本单位重大危险源安全管理的责任主体，其主要负责人对本单位的重大危险源安全管理工作负责，并保证重大危险源安全生产所必需的安全投入</w:t>
            </w:r>
          </w:p>
        </w:tc>
        <w:tc>
          <w:tcPr>
            <w:tcW w:w="1403" w:type="pct"/>
            <w:shd w:val="clear" w:color="auto" w:fill="auto"/>
            <w:vAlign w:val="center"/>
          </w:tcPr>
          <w:p w14:paraId="7E839A52">
            <w:pPr>
              <w:spacing w:after="0" w:line="240" w:lineRule="auto"/>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《危险化学品重大危险源监督管理暂行规定》</w:t>
            </w:r>
          </w:p>
          <w:p w14:paraId="4591E050">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四</w:t>
            </w:r>
            <w:r>
              <w:rPr>
                <w:rFonts w:ascii="Times New Roman" w:hAnsi="Times New Roman" w:eastAsia="宋体" w:cs="Times New Roman"/>
                <w:sz w:val="21"/>
                <w:szCs w:val="21"/>
                <w14:ligatures w14:val="none"/>
              </w:rPr>
              <w:t>条</w:t>
            </w:r>
          </w:p>
        </w:tc>
        <w:tc>
          <w:tcPr>
            <w:tcW w:w="1084" w:type="pct"/>
            <w:shd w:val="clear" w:color="auto" w:fill="auto"/>
            <w:vAlign w:val="center"/>
          </w:tcPr>
          <w:p w14:paraId="1A3A1DA7">
            <w:pPr>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公司明确主要负责人是安全管理工作第一负责人，并保证必须的安全投入。</w:t>
            </w:r>
          </w:p>
        </w:tc>
        <w:tc>
          <w:tcPr>
            <w:tcW w:w="543" w:type="pct"/>
            <w:shd w:val="clear" w:color="auto" w:fill="auto"/>
            <w:vAlign w:val="center"/>
          </w:tcPr>
          <w:p w14:paraId="30AFE1BB">
            <w:pPr>
              <w:spacing w:after="0" w:line="240" w:lineRule="auto"/>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45D6B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3189D614">
            <w:pPr>
              <w:spacing w:after="0" w:line="240" w:lineRule="auto"/>
              <w:jc w:val="center"/>
              <w:rPr>
                <w:rFonts w:hint="eastAsia" w:ascii="Times New Roman" w:hAnsi="Times New Roman" w:eastAsia="宋体" w:cs="Times New Roman"/>
                <w:sz w:val="21"/>
                <w:szCs w:val="21"/>
                <w:lang w:val="en-US" w:eastAsia="zh-CN"/>
                <w14:ligatures w14:val="none"/>
              </w:rPr>
            </w:pPr>
          </w:p>
        </w:tc>
        <w:tc>
          <w:tcPr>
            <w:tcW w:w="1546" w:type="pct"/>
            <w:shd w:val="clear" w:color="auto" w:fill="auto"/>
            <w:vAlign w:val="center"/>
          </w:tcPr>
          <w:p w14:paraId="6AE53C8C">
            <w:pPr>
              <w:numPr>
                <w:ilvl w:val="0"/>
                <w:numId w:val="7"/>
              </w:numPr>
              <w:adjustRightInd w:val="0"/>
              <w:snapToGrid w:val="0"/>
              <w:spacing w:after="0" w:line="240" w:lineRule="auto"/>
              <w:ind w:left="0" w:leftChars="0" w:firstLine="0" w:firstLineChars="0"/>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危险化学品单位应当建立完善重大危险源安全管理规章制度和安全操作规程，并采取有效措施保证其得到执行。</w:t>
            </w:r>
          </w:p>
        </w:tc>
        <w:tc>
          <w:tcPr>
            <w:tcW w:w="1403" w:type="pct"/>
            <w:shd w:val="clear" w:color="auto" w:fill="auto"/>
            <w:vAlign w:val="center"/>
          </w:tcPr>
          <w:p w14:paraId="7DF2F8B0">
            <w:pPr>
              <w:spacing w:after="0" w:line="240" w:lineRule="auto"/>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《危险化学品重大危险源监督管理暂行规定》</w:t>
            </w:r>
          </w:p>
          <w:p w14:paraId="0B36F987">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十二</w:t>
            </w:r>
            <w:r>
              <w:rPr>
                <w:rFonts w:ascii="Times New Roman" w:hAnsi="Times New Roman" w:eastAsia="宋体" w:cs="Times New Roman"/>
                <w:sz w:val="21"/>
                <w:szCs w:val="21"/>
                <w14:ligatures w14:val="none"/>
              </w:rPr>
              <w:t>条</w:t>
            </w:r>
          </w:p>
        </w:tc>
        <w:tc>
          <w:tcPr>
            <w:tcW w:w="1084" w:type="pct"/>
            <w:shd w:val="clear" w:color="auto" w:fill="auto"/>
            <w:vAlign w:val="center"/>
          </w:tcPr>
          <w:p w14:paraId="5DF2CAEF">
            <w:pPr>
              <w:spacing w:after="0" w:line="240" w:lineRule="auto"/>
              <w:jc w:val="both"/>
              <w:rPr>
                <w:rFonts w:hint="eastAsia" w:ascii="Times New Roman" w:hAnsi="Times New Roman" w:eastAsia="宋体" w:cs="Times New Roman"/>
                <w:sz w:val="21"/>
                <w:szCs w:val="21"/>
                <w14:ligatures w14:val="none"/>
              </w:rPr>
            </w:pPr>
            <w:r>
              <w:rPr>
                <w:rFonts w:ascii="宋体" w:hAnsi="宋体" w:eastAsia="宋体" w:cs="宋体"/>
                <w:spacing w:val="11"/>
                <w:sz w:val="21"/>
                <w:szCs w:val="21"/>
              </w:rPr>
              <w:t>有完善的管理制度</w:t>
            </w:r>
            <w:r>
              <w:rPr>
                <w:rFonts w:ascii="宋体" w:hAnsi="宋体" w:eastAsia="宋体" w:cs="宋体"/>
                <w:spacing w:val="-2"/>
                <w:sz w:val="21"/>
                <w:szCs w:val="21"/>
              </w:rPr>
              <w:t>和安全操作规程</w:t>
            </w:r>
          </w:p>
        </w:tc>
        <w:tc>
          <w:tcPr>
            <w:tcW w:w="543" w:type="pct"/>
            <w:shd w:val="clear" w:color="auto" w:fill="auto"/>
            <w:vAlign w:val="center"/>
          </w:tcPr>
          <w:p w14:paraId="7E73067B">
            <w:pPr>
              <w:spacing w:after="0" w:line="240" w:lineRule="auto"/>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6BFF9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1D124263">
            <w:pPr>
              <w:spacing w:after="0" w:line="240" w:lineRule="auto"/>
              <w:jc w:val="center"/>
              <w:rPr>
                <w:rFonts w:hint="eastAsia" w:ascii="Times New Roman" w:hAnsi="Times New Roman" w:eastAsia="宋体" w:cs="Times New Roman"/>
                <w:sz w:val="21"/>
                <w:szCs w:val="21"/>
                <w:lang w:val="en-US" w:eastAsia="zh-CN"/>
                <w14:ligatures w14:val="none"/>
              </w:rPr>
            </w:pPr>
          </w:p>
        </w:tc>
        <w:tc>
          <w:tcPr>
            <w:tcW w:w="1546" w:type="pct"/>
            <w:shd w:val="clear" w:color="auto" w:fill="auto"/>
            <w:vAlign w:val="center"/>
          </w:tcPr>
          <w:p w14:paraId="404FB784">
            <w:pPr>
              <w:numPr>
                <w:ilvl w:val="0"/>
                <w:numId w:val="7"/>
              </w:numPr>
              <w:adjustRightInd w:val="0"/>
              <w:snapToGrid w:val="0"/>
              <w:spacing w:after="0" w:line="240" w:lineRule="auto"/>
              <w:ind w:left="0" w:leftChars="0" w:firstLine="0" w:firstLineChars="0"/>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危险化学品单位应当根据构成重大危险源的危险化学品种类、数量、生产、使用工艺（方式）或者相关设备、设施等实际情况，按照下列要求建立健全安全监测监控体系，完善控制措施：</w:t>
            </w:r>
          </w:p>
          <w:p w14:paraId="084CA5D5">
            <w:pPr>
              <w:numPr>
                <w:ilvl w:val="0"/>
                <w:numId w:val="0"/>
              </w:numPr>
              <w:adjustRightInd w:val="0"/>
              <w:snapToGrid w:val="0"/>
              <w:spacing w:after="0" w:line="240" w:lineRule="auto"/>
              <w:ind w:leftChars="0"/>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一）重大危险源配备温度、压力、液位、流量、组份等信息的不间断采集和监测系统以及可燃气体和有毒有害气体泄漏检测报警装置，并具备信息远传、连续记录、事故预警、信息存储等功能；一级或者二级重大危险源，具备紧急停车功能。记录的电子数据的保存时间不少于30 天；</w:t>
            </w:r>
          </w:p>
          <w:p w14:paraId="5A34CCD6">
            <w:pPr>
              <w:numPr>
                <w:ilvl w:val="0"/>
                <w:numId w:val="0"/>
              </w:numPr>
              <w:adjustRightInd w:val="0"/>
              <w:snapToGrid w:val="0"/>
              <w:spacing w:after="0" w:line="240" w:lineRule="auto"/>
              <w:ind w:leftChars="0"/>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（二）重大危险源的化工生产装置装备满足安全生产要求的自动化控制系统；一级或者二级重大危险源，装备紧急停车系统；</w:t>
            </w:r>
          </w:p>
          <w:p w14:paraId="55D12154">
            <w:pPr>
              <w:numPr>
                <w:ilvl w:val="0"/>
                <w:numId w:val="0"/>
              </w:numPr>
              <w:adjustRightInd w:val="0"/>
              <w:snapToGrid w:val="0"/>
              <w:spacing w:after="0" w:line="240" w:lineRule="auto"/>
              <w:ind w:leftChars="0"/>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三）对重大危险源中的毒性气体、剧毒液体和易燃气体等重点设施，设置紧急切断装置；毒性气体的设施，设置泄漏物紧急处置装置。涉及毒性气体、液化气体、剧毒液体的一级或者二级重大危险源，配备独立的安全仪表系统（SIS）；</w:t>
            </w:r>
          </w:p>
          <w:p w14:paraId="720AEAEA">
            <w:pPr>
              <w:numPr>
                <w:ilvl w:val="0"/>
                <w:numId w:val="0"/>
              </w:numPr>
              <w:adjustRightInd w:val="0"/>
              <w:snapToGrid w:val="0"/>
              <w:spacing w:after="0" w:line="240" w:lineRule="auto"/>
              <w:ind w:leftChars="0"/>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（四）重大危险源中储存剧毒物质的场所或者设施，设置视频监控系统；</w:t>
            </w:r>
          </w:p>
          <w:p w14:paraId="1A5AF952">
            <w:pPr>
              <w:numPr>
                <w:ilvl w:val="0"/>
                <w:numId w:val="0"/>
              </w:numPr>
              <w:adjustRightInd w:val="0"/>
              <w:snapToGrid w:val="0"/>
              <w:spacing w:after="0" w:line="240" w:lineRule="auto"/>
              <w:ind w:leftChars="0"/>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（五）安全监测监控系统符合国家标准或者行业标准的规定。</w:t>
            </w:r>
          </w:p>
        </w:tc>
        <w:tc>
          <w:tcPr>
            <w:tcW w:w="1403" w:type="pct"/>
            <w:shd w:val="clear" w:color="auto" w:fill="auto"/>
            <w:vAlign w:val="center"/>
          </w:tcPr>
          <w:p w14:paraId="73A7E255">
            <w:pPr>
              <w:spacing w:after="0" w:line="240" w:lineRule="auto"/>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《危险化学品重大危险源监督管理暂行规定》</w:t>
            </w:r>
          </w:p>
          <w:p w14:paraId="512B52F9">
            <w:pPr>
              <w:spacing w:after="0" w:line="240" w:lineRule="auto"/>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十三</w:t>
            </w:r>
            <w:r>
              <w:rPr>
                <w:rFonts w:ascii="Times New Roman" w:hAnsi="Times New Roman" w:eastAsia="宋体" w:cs="Times New Roman"/>
                <w:sz w:val="21"/>
                <w:szCs w:val="21"/>
                <w14:ligatures w14:val="none"/>
              </w:rPr>
              <w:t>条</w:t>
            </w:r>
          </w:p>
        </w:tc>
        <w:tc>
          <w:tcPr>
            <w:tcW w:w="1084" w:type="pct"/>
            <w:shd w:val="clear" w:color="auto" w:fill="auto"/>
            <w:vAlign w:val="center"/>
          </w:tcPr>
          <w:p w14:paraId="13C202E8">
            <w:pPr>
              <w:spacing w:after="0" w:line="240" w:lineRule="auto"/>
              <w:jc w:val="both"/>
              <w:rPr>
                <w:rFonts w:ascii="宋体" w:hAnsi="宋体" w:eastAsia="宋体" w:cs="宋体"/>
                <w:spacing w:val="11"/>
                <w:sz w:val="21"/>
                <w:szCs w:val="21"/>
              </w:rPr>
            </w:pPr>
            <w:r>
              <w:rPr>
                <w:rFonts w:hint="eastAsia" w:ascii="Times New Roman" w:hAnsi="Times New Roman" w:eastAsia="宋体" w:cs="Times New Roman"/>
                <w:sz w:val="21"/>
                <w:szCs w:val="21"/>
                <w14:ligatures w14:val="none"/>
              </w:rPr>
              <w:t>该公司罐区构成四级重大危险源，库区设置了视频监控系统，储罐设有温度、液位监测系统，配备可燃气体泄漏检测报警装置。</w:t>
            </w:r>
          </w:p>
        </w:tc>
        <w:tc>
          <w:tcPr>
            <w:tcW w:w="543" w:type="pct"/>
            <w:shd w:val="clear" w:color="auto" w:fill="auto"/>
            <w:vAlign w:val="center"/>
          </w:tcPr>
          <w:p w14:paraId="311D6ABA">
            <w:pPr>
              <w:spacing w:after="0" w:line="240" w:lineRule="auto"/>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0FDE8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2F0C3F01">
            <w:pPr>
              <w:spacing w:after="0" w:line="240" w:lineRule="auto"/>
              <w:jc w:val="center"/>
              <w:rPr>
                <w:rFonts w:hint="eastAsia" w:ascii="Times New Roman" w:hAnsi="Times New Roman" w:eastAsia="宋体" w:cs="Times New Roman"/>
                <w:sz w:val="21"/>
                <w:szCs w:val="21"/>
                <w:lang w:val="en-US" w:eastAsia="zh-CN"/>
                <w14:ligatures w14:val="none"/>
              </w:rPr>
            </w:pPr>
          </w:p>
        </w:tc>
        <w:tc>
          <w:tcPr>
            <w:tcW w:w="1546" w:type="pct"/>
            <w:shd w:val="clear" w:color="auto" w:fill="auto"/>
            <w:vAlign w:val="top"/>
          </w:tcPr>
          <w:p w14:paraId="531CDB50">
            <w:pPr>
              <w:numPr>
                <w:ilvl w:val="0"/>
                <w:numId w:val="7"/>
              </w:numPr>
              <w:adjustRightInd w:val="0"/>
              <w:snapToGrid w:val="0"/>
              <w:spacing w:after="0" w:line="240" w:lineRule="auto"/>
              <w:ind w:left="0" w:leftChars="0" w:firstLine="0" w:firstLineChars="0"/>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单位应当按照国家有关规定，定期对重大危险源的安全设施和安全监测监控系统进行检测、检验，并进行经常性维护、保养，保证重大危险源的安全设施和安全监测监控系统有效、可靠运行。维护、保养、检测应当作好记录，并由有关人员签字。</w:t>
            </w:r>
          </w:p>
        </w:tc>
        <w:tc>
          <w:tcPr>
            <w:tcW w:w="1403" w:type="pct"/>
            <w:shd w:val="clear" w:color="auto" w:fill="auto"/>
            <w:vAlign w:val="center"/>
          </w:tcPr>
          <w:p w14:paraId="5E174831">
            <w:pPr>
              <w:spacing w:after="0" w:line="240" w:lineRule="auto"/>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eastAsia="zh-CN"/>
                <w14:ligatures w14:val="none"/>
              </w:rPr>
              <w:t>《危险化学品重大危险源监督管理暂行规定》</w:t>
            </w:r>
            <w:r>
              <w:rPr>
                <w:rFonts w:hint="eastAsia" w:ascii="Times New Roman" w:hAnsi="Times New Roman" w:eastAsia="宋体" w:cs="Times New Roman"/>
                <w:sz w:val="21"/>
                <w:szCs w:val="21"/>
                <w:lang w:val="en-US" w:eastAsia="zh-CN"/>
                <w14:ligatures w14:val="none"/>
              </w:rPr>
              <w:t>第十五条</w:t>
            </w:r>
          </w:p>
        </w:tc>
        <w:tc>
          <w:tcPr>
            <w:tcW w:w="1084" w:type="pct"/>
            <w:shd w:val="clear" w:color="auto" w:fill="auto"/>
            <w:vAlign w:val="center"/>
          </w:tcPr>
          <w:p w14:paraId="4DCF7FA1">
            <w:pPr>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进行经常性维护、保养，维护、保养、检测有记录。</w:t>
            </w:r>
          </w:p>
        </w:tc>
        <w:tc>
          <w:tcPr>
            <w:tcW w:w="543" w:type="pct"/>
            <w:shd w:val="clear" w:color="auto" w:fill="auto"/>
            <w:vAlign w:val="center"/>
          </w:tcPr>
          <w:p w14:paraId="477CCC71">
            <w:pPr>
              <w:spacing w:after="0" w:line="240" w:lineRule="auto"/>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14:ligatures w14:val="none"/>
              </w:rPr>
              <w:t>符合</w:t>
            </w:r>
          </w:p>
        </w:tc>
      </w:tr>
      <w:tr w14:paraId="2BCF5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1AB4E078">
            <w:pPr>
              <w:spacing w:after="0" w:line="240" w:lineRule="auto"/>
              <w:jc w:val="center"/>
              <w:rPr>
                <w:rFonts w:hint="eastAsia" w:ascii="Times New Roman" w:hAnsi="Times New Roman" w:eastAsia="宋体" w:cs="Times New Roman"/>
                <w:sz w:val="21"/>
                <w:szCs w:val="21"/>
                <w:lang w:val="en-US" w:eastAsia="zh-CN"/>
                <w14:ligatures w14:val="none"/>
              </w:rPr>
            </w:pPr>
          </w:p>
        </w:tc>
        <w:tc>
          <w:tcPr>
            <w:tcW w:w="1546" w:type="pct"/>
            <w:shd w:val="clear" w:color="auto" w:fill="auto"/>
            <w:vAlign w:val="top"/>
          </w:tcPr>
          <w:p w14:paraId="6E6247A8">
            <w:pPr>
              <w:numPr>
                <w:ilvl w:val="0"/>
                <w:numId w:val="7"/>
              </w:numPr>
              <w:adjustRightInd w:val="0"/>
              <w:snapToGrid w:val="0"/>
              <w:spacing w:after="0" w:line="240" w:lineRule="auto"/>
              <w:ind w:left="0" w:leftChars="0" w:firstLine="0" w:firstLineChars="0"/>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单位应当明确重大危险源中关键装置、重点部位的责任人或者责任机构，并对重大危险源的安全生产状况进行定期检查，及时采取措施消除事故隐患。事故隐患难以立即排除的，应当及时制定治理方案，落实整改措施、责任、资金、时限和预案。</w:t>
            </w:r>
          </w:p>
        </w:tc>
        <w:tc>
          <w:tcPr>
            <w:tcW w:w="1403" w:type="pct"/>
            <w:shd w:val="clear" w:color="auto" w:fill="auto"/>
            <w:vAlign w:val="center"/>
          </w:tcPr>
          <w:p w14:paraId="1AE0054E">
            <w:pPr>
              <w:spacing w:after="0" w:line="240" w:lineRule="auto"/>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《危险化学品重大危险源监督管理暂行规定》</w:t>
            </w:r>
          </w:p>
          <w:p w14:paraId="0DD5ADF8">
            <w:pPr>
              <w:spacing w:before="78" w:line="219" w:lineRule="auto"/>
              <w:jc w:val="center"/>
              <w:rPr>
                <w:rFonts w:hint="eastAsia" w:ascii="Times New Roman" w:hAnsi="Times New Roman" w:eastAsia="宋体" w:cs="Times New Roman"/>
                <w:kern w:val="2"/>
                <w:sz w:val="21"/>
                <w:szCs w:val="21"/>
                <w:lang w:val="en-US" w:eastAsia="zh-CN" w:bidi="ar-SA"/>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十六</w:t>
            </w:r>
            <w:r>
              <w:rPr>
                <w:rFonts w:ascii="Times New Roman" w:hAnsi="Times New Roman" w:eastAsia="宋体" w:cs="Times New Roman"/>
                <w:sz w:val="21"/>
                <w:szCs w:val="21"/>
                <w14:ligatures w14:val="none"/>
              </w:rPr>
              <w:t>条</w:t>
            </w:r>
          </w:p>
        </w:tc>
        <w:tc>
          <w:tcPr>
            <w:tcW w:w="1084" w:type="pct"/>
            <w:shd w:val="clear" w:color="auto" w:fill="auto"/>
            <w:vAlign w:val="center"/>
          </w:tcPr>
          <w:p w14:paraId="62745D50">
            <w:pPr>
              <w:spacing w:after="0" w:line="240" w:lineRule="auto"/>
              <w:jc w:val="both"/>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设置重大危险源中关键装置、重点部位的责任人或者责任机构。</w:t>
            </w:r>
          </w:p>
        </w:tc>
        <w:tc>
          <w:tcPr>
            <w:tcW w:w="543" w:type="pct"/>
            <w:shd w:val="clear" w:color="auto" w:fill="auto"/>
            <w:vAlign w:val="center"/>
          </w:tcPr>
          <w:p w14:paraId="6E9E4601">
            <w:pPr>
              <w:spacing w:after="0" w:line="240" w:lineRule="auto"/>
              <w:jc w:val="center"/>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z w:val="21"/>
                <w:szCs w:val="21"/>
                <w14:ligatures w14:val="none"/>
              </w:rPr>
              <w:t>符合</w:t>
            </w:r>
          </w:p>
        </w:tc>
      </w:tr>
      <w:tr w14:paraId="73A2F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77562541">
            <w:pPr>
              <w:spacing w:after="0" w:line="240" w:lineRule="auto"/>
              <w:jc w:val="center"/>
              <w:rPr>
                <w:rFonts w:hint="eastAsia" w:ascii="Times New Roman" w:hAnsi="Times New Roman" w:eastAsia="宋体" w:cs="Times New Roman"/>
                <w:sz w:val="21"/>
                <w:szCs w:val="21"/>
                <w:lang w:val="en-US" w:eastAsia="zh-CN"/>
                <w14:ligatures w14:val="none"/>
              </w:rPr>
            </w:pPr>
          </w:p>
        </w:tc>
        <w:tc>
          <w:tcPr>
            <w:tcW w:w="1546" w:type="pct"/>
            <w:shd w:val="clear" w:color="auto" w:fill="auto"/>
            <w:vAlign w:val="top"/>
          </w:tcPr>
          <w:p w14:paraId="47EA3782">
            <w:pPr>
              <w:numPr>
                <w:ilvl w:val="0"/>
                <w:numId w:val="7"/>
              </w:numPr>
              <w:adjustRightInd w:val="0"/>
              <w:snapToGrid w:val="0"/>
              <w:spacing w:after="0" w:line="240" w:lineRule="auto"/>
              <w:ind w:left="0" w:leftChars="0" w:firstLine="0" w:firstLineChars="0"/>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危险化学品单位应当对重大危险源的管理和操作岗位人员进行安全操作技能培训，使其了解重大危险源的危险特性，熟悉重大危险源安全管理规章制度和安全操作规程，掌握本岗位的安全操作技能和应急措施。</w:t>
            </w:r>
          </w:p>
        </w:tc>
        <w:tc>
          <w:tcPr>
            <w:tcW w:w="1403" w:type="pct"/>
            <w:shd w:val="clear" w:color="auto" w:fill="auto"/>
            <w:vAlign w:val="center"/>
          </w:tcPr>
          <w:p w14:paraId="21FB4671">
            <w:pPr>
              <w:spacing w:after="0" w:line="240" w:lineRule="auto"/>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《危险化学品重大危险源监督管理暂行规定》</w:t>
            </w:r>
          </w:p>
          <w:p w14:paraId="18B73743">
            <w:pPr>
              <w:spacing w:before="25" w:line="219" w:lineRule="auto"/>
              <w:jc w:val="center"/>
              <w:rPr>
                <w:rFonts w:hint="eastAsia" w:ascii="Times New Roman" w:hAnsi="Times New Roman" w:eastAsia="宋体" w:cs="Times New Roman"/>
                <w:kern w:val="2"/>
                <w:sz w:val="21"/>
                <w:szCs w:val="21"/>
                <w:lang w:val="en-US" w:eastAsia="zh-CN" w:bidi="ar-SA"/>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十七</w:t>
            </w:r>
            <w:r>
              <w:rPr>
                <w:rFonts w:ascii="Times New Roman" w:hAnsi="Times New Roman" w:eastAsia="宋体" w:cs="Times New Roman"/>
                <w:sz w:val="21"/>
                <w:szCs w:val="21"/>
                <w14:ligatures w14:val="none"/>
              </w:rPr>
              <w:t>条</w:t>
            </w:r>
          </w:p>
        </w:tc>
        <w:tc>
          <w:tcPr>
            <w:tcW w:w="1084" w:type="pct"/>
            <w:shd w:val="clear" w:color="auto" w:fill="auto"/>
            <w:vAlign w:val="center"/>
          </w:tcPr>
          <w:p w14:paraId="09553C48">
            <w:pPr>
              <w:spacing w:after="0" w:line="240" w:lineRule="auto"/>
              <w:jc w:val="both"/>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对重大危险源的管理和操作岗位人员进行了安全操作技能培训，符合要求。</w:t>
            </w:r>
          </w:p>
        </w:tc>
        <w:tc>
          <w:tcPr>
            <w:tcW w:w="543" w:type="pct"/>
            <w:shd w:val="clear" w:color="auto" w:fill="auto"/>
            <w:vAlign w:val="center"/>
          </w:tcPr>
          <w:p w14:paraId="3AE432D1">
            <w:pPr>
              <w:spacing w:after="0" w:line="240" w:lineRule="auto"/>
              <w:jc w:val="center"/>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z w:val="21"/>
                <w:szCs w:val="21"/>
                <w14:ligatures w14:val="none"/>
              </w:rPr>
              <w:t>符合</w:t>
            </w:r>
          </w:p>
        </w:tc>
      </w:tr>
      <w:tr w14:paraId="06A81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33970700">
            <w:pPr>
              <w:spacing w:after="0" w:line="240" w:lineRule="auto"/>
              <w:jc w:val="center"/>
              <w:rPr>
                <w:rFonts w:hint="eastAsia" w:ascii="Times New Roman" w:hAnsi="Times New Roman" w:eastAsia="宋体" w:cs="Times New Roman"/>
                <w:sz w:val="21"/>
                <w:szCs w:val="21"/>
                <w:lang w:val="en-US" w:eastAsia="zh-CN"/>
                <w14:ligatures w14:val="none"/>
              </w:rPr>
            </w:pPr>
          </w:p>
        </w:tc>
        <w:tc>
          <w:tcPr>
            <w:tcW w:w="1546" w:type="pct"/>
            <w:shd w:val="clear" w:color="auto" w:fill="auto"/>
            <w:vAlign w:val="top"/>
          </w:tcPr>
          <w:p w14:paraId="4635DCBF">
            <w:pPr>
              <w:numPr>
                <w:ilvl w:val="0"/>
                <w:numId w:val="7"/>
              </w:numPr>
              <w:adjustRightInd w:val="0"/>
              <w:snapToGrid w:val="0"/>
              <w:spacing w:after="0" w:line="240" w:lineRule="auto"/>
              <w:ind w:left="0" w:leftChars="0" w:firstLine="0" w:firstLineChars="0"/>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危险化学品单位应当在重大危险源所在场所设置明显的安全警示标志，写明紧急情况下的应急处置办法。</w:t>
            </w:r>
          </w:p>
        </w:tc>
        <w:tc>
          <w:tcPr>
            <w:tcW w:w="1403" w:type="pct"/>
            <w:shd w:val="clear" w:color="auto" w:fill="auto"/>
            <w:vAlign w:val="center"/>
          </w:tcPr>
          <w:p w14:paraId="0FAB9EA1">
            <w:pPr>
              <w:spacing w:after="0" w:line="240" w:lineRule="auto"/>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《危险化学品重大危险源监督管理暂行规定》</w:t>
            </w:r>
          </w:p>
          <w:p w14:paraId="416A4F40">
            <w:pPr>
              <w:spacing w:after="0" w:line="240" w:lineRule="auto"/>
              <w:jc w:val="center"/>
              <w:rPr>
                <w:rFonts w:hint="eastAsia" w:ascii="Times New Roman" w:hAnsi="Times New Roman" w:eastAsia="宋体" w:cs="Times New Roman"/>
                <w:kern w:val="2"/>
                <w:sz w:val="21"/>
                <w:szCs w:val="21"/>
                <w:lang w:val="en-US" w:eastAsia="zh-CN" w:bidi="ar-SA"/>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十八</w:t>
            </w:r>
            <w:r>
              <w:rPr>
                <w:rFonts w:ascii="Times New Roman" w:hAnsi="Times New Roman" w:eastAsia="宋体" w:cs="Times New Roman"/>
                <w:sz w:val="21"/>
                <w:szCs w:val="21"/>
                <w14:ligatures w14:val="none"/>
              </w:rPr>
              <w:t>条</w:t>
            </w:r>
          </w:p>
        </w:tc>
        <w:tc>
          <w:tcPr>
            <w:tcW w:w="1084" w:type="pct"/>
            <w:shd w:val="clear" w:color="auto" w:fill="auto"/>
            <w:vAlign w:val="center"/>
          </w:tcPr>
          <w:p w14:paraId="590C36E2">
            <w:pPr>
              <w:spacing w:after="0" w:line="240" w:lineRule="auto"/>
              <w:jc w:val="both"/>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重大危险源场所设置警示标志。</w:t>
            </w:r>
          </w:p>
        </w:tc>
        <w:tc>
          <w:tcPr>
            <w:tcW w:w="543" w:type="pct"/>
            <w:shd w:val="clear" w:color="auto" w:fill="auto"/>
            <w:vAlign w:val="center"/>
          </w:tcPr>
          <w:p w14:paraId="4F7A37C3">
            <w:pPr>
              <w:spacing w:after="0" w:line="240" w:lineRule="auto"/>
              <w:jc w:val="center"/>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z w:val="21"/>
                <w:szCs w:val="21"/>
                <w14:ligatures w14:val="none"/>
              </w:rPr>
              <w:t>符合</w:t>
            </w:r>
          </w:p>
        </w:tc>
      </w:tr>
      <w:tr w14:paraId="7B488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08B1C627">
            <w:pPr>
              <w:spacing w:after="0" w:line="240" w:lineRule="auto"/>
              <w:jc w:val="center"/>
              <w:rPr>
                <w:rFonts w:hint="eastAsia" w:ascii="Times New Roman" w:hAnsi="Times New Roman" w:eastAsia="宋体" w:cs="Times New Roman"/>
                <w:sz w:val="21"/>
                <w:szCs w:val="21"/>
                <w:lang w:val="en-US" w:eastAsia="zh-CN"/>
                <w14:ligatures w14:val="none"/>
              </w:rPr>
            </w:pPr>
          </w:p>
        </w:tc>
        <w:tc>
          <w:tcPr>
            <w:tcW w:w="1546" w:type="pct"/>
            <w:shd w:val="clear" w:color="auto" w:fill="auto"/>
            <w:vAlign w:val="top"/>
          </w:tcPr>
          <w:p w14:paraId="37004D02">
            <w:pPr>
              <w:numPr>
                <w:ilvl w:val="0"/>
                <w:numId w:val="7"/>
              </w:numPr>
              <w:adjustRightInd w:val="0"/>
              <w:snapToGrid w:val="0"/>
              <w:spacing w:after="0" w:line="240" w:lineRule="auto"/>
              <w:ind w:left="0" w:leftChars="0" w:firstLine="0" w:firstLineChars="0"/>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危险化学品单位应当将重大危险源可能发生的事故后果和应急措施等信息，以适当方式告知可能受影响的单位、区域及人员。</w:t>
            </w:r>
          </w:p>
        </w:tc>
        <w:tc>
          <w:tcPr>
            <w:tcW w:w="1403" w:type="pct"/>
            <w:shd w:val="clear" w:color="auto" w:fill="auto"/>
            <w:vAlign w:val="center"/>
          </w:tcPr>
          <w:p w14:paraId="7CE1A354">
            <w:pPr>
              <w:spacing w:after="0" w:line="240" w:lineRule="auto"/>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《危险化学品重大危险源监督管理暂行规定》</w:t>
            </w:r>
          </w:p>
          <w:p w14:paraId="48664676">
            <w:pPr>
              <w:spacing w:after="0" w:line="240" w:lineRule="auto"/>
              <w:jc w:val="center"/>
              <w:rPr>
                <w:rFonts w:hint="eastAsia" w:ascii="Times New Roman" w:hAnsi="Times New Roman" w:eastAsia="宋体" w:cs="Times New Roman"/>
                <w:kern w:val="2"/>
                <w:sz w:val="21"/>
                <w:szCs w:val="21"/>
                <w:lang w:val="en-US" w:eastAsia="zh-CN" w:bidi="ar-SA"/>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十九</w:t>
            </w:r>
            <w:r>
              <w:rPr>
                <w:rFonts w:ascii="Times New Roman" w:hAnsi="Times New Roman" w:eastAsia="宋体" w:cs="Times New Roman"/>
                <w:sz w:val="21"/>
                <w:szCs w:val="21"/>
                <w14:ligatures w14:val="none"/>
              </w:rPr>
              <w:t>条</w:t>
            </w:r>
          </w:p>
        </w:tc>
        <w:tc>
          <w:tcPr>
            <w:tcW w:w="1084" w:type="pct"/>
            <w:shd w:val="clear" w:color="auto" w:fill="auto"/>
            <w:vAlign w:val="center"/>
          </w:tcPr>
          <w:p w14:paraId="395CAC59">
            <w:pPr>
              <w:spacing w:after="0" w:line="240" w:lineRule="auto"/>
              <w:jc w:val="both"/>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已告知周边居住区居民。</w:t>
            </w:r>
          </w:p>
        </w:tc>
        <w:tc>
          <w:tcPr>
            <w:tcW w:w="543" w:type="pct"/>
            <w:shd w:val="clear" w:color="auto" w:fill="auto"/>
            <w:vAlign w:val="center"/>
          </w:tcPr>
          <w:p w14:paraId="4EB2F025">
            <w:pPr>
              <w:spacing w:after="0" w:line="240" w:lineRule="auto"/>
              <w:jc w:val="center"/>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z w:val="21"/>
                <w:szCs w:val="21"/>
                <w14:ligatures w14:val="none"/>
              </w:rPr>
              <w:t>符合</w:t>
            </w:r>
          </w:p>
        </w:tc>
      </w:tr>
      <w:tr w14:paraId="162D8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15AC7400">
            <w:pPr>
              <w:spacing w:after="0" w:line="240" w:lineRule="auto"/>
              <w:jc w:val="center"/>
              <w:rPr>
                <w:rFonts w:hint="eastAsia" w:ascii="Times New Roman" w:hAnsi="Times New Roman" w:eastAsia="宋体" w:cs="Times New Roman"/>
                <w:sz w:val="21"/>
                <w:szCs w:val="21"/>
                <w:lang w:val="en-US" w:eastAsia="zh-CN"/>
                <w14:ligatures w14:val="none"/>
              </w:rPr>
            </w:pPr>
          </w:p>
        </w:tc>
        <w:tc>
          <w:tcPr>
            <w:tcW w:w="1546" w:type="pct"/>
            <w:shd w:val="clear" w:color="auto" w:fill="auto"/>
            <w:vAlign w:val="top"/>
          </w:tcPr>
          <w:p w14:paraId="2E4974B8">
            <w:pPr>
              <w:numPr>
                <w:ilvl w:val="0"/>
                <w:numId w:val="7"/>
              </w:numPr>
              <w:adjustRightInd w:val="0"/>
              <w:snapToGrid w:val="0"/>
              <w:spacing w:after="0" w:line="240" w:lineRule="auto"/>
              <w:ind w:left="0" w:leftChars="0" w:firstLine="0" w:firstLineChars="0"/>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依法制定重大危险源事故应急预案，建立应急救援组织或者配备应急救援人员，配备必要的防护装备及应急救援器材、设备、物资，并保障其完好和方便使用</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配合地方人民政府安全生产监督管理部门制定所在地区涉及本单位的危险化学品事故应急预案</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对存在吸入性有毒、有害气体的重大危险源，危险化学品单位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配备便携式浓度检测设备、空气呼吸器、化学防护服、堵漏器材等应急器材和设备；涉及易燃易爆气体或者易燃液体蒸气的重大危险源，</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配备一定数量的便携式可燃气体检测设备</w:t>
            </w:r>
          </w:p>
        </w:tc>
        <w:tc>
          <w:tcPr>
            <w:tcW w:w="1403" w:type="pct"/>
            <w:shd w:val="clear" w:color="auto" w:fill="auto"/>
            <w:vAlign w:val="center"/>
          </w:tcPr>
          <w:p w14:paraId="3DB8E7E0">
            <w:pPr>
              <w:adjustRightInd w:val="0"/>
              <w:snapToGrid w:val="0"/>
              <w:spacing w:after="0" w:line="240" w:lineRule="auto"/>
              <w:jc w:val="center"/>
              <w:rPr>
                <w:rFonts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pacing w:val="12"/>
                <w:sz w:val="21"/>
                <w:szCs w:val="21"/>
                <w14:ligatures w14:val="none"/>
              </w:rPr>
              <w:t>《危险化学品重大危险源监督管理暂行规定》第二十条</w:t>
            </w:r>
          </w:p>
        </w:tc>
        <w:tc>
          <w:tcPr>
            <w:tcW w:w="1084" w:type="pct"/>
            <w:shd w:val="clear" w:color="auto" w:fill="auto"/>
            <w:vAlign w:val="center"/>
          </w:tcPr>
          <w:p w14:paraId="19A517A9">
            <w:pPr>
              <w:adjustRightInd w:val="0"/>
              <w:snapToGrid w:val="0"/>
              <w:spacing w:after="0" w:line="240" w:lineRule="auto"/>
              <w:jc w:val="both"/>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pacing w:val="12"/>
                <w:sz w:val="21"/>
                <w:szCs w:val="21"/>
                <w14:ligatures w14:val="none"/>
              </w:rPr>
              <w:t>依法制定了重大危险源事故应急预案，建立了应急救援组织，配备了必要的防护装备及应急救援器材、设备、物资，并保障其完好和方便使用；已配合地方人民政府安全生产监督管理部门制定所在地区涉及本单位的危险化学品事故应急预案；已配备一定数量的便携式可燃气体检测设备</w:t>
            </w:r>
          </w:p>
        </w:tc>
        <w:tc>
          <w:tcPr>
            <w:tcW w:w="543" w:type="pct"/>
            <w:shd w:val="clear" w:color="auto" w:fill="auto"/>
            <w:vAlign w:val="center"/>
          </w:tcPr>
          <w:p w14:paraId="50168931">
            <w:pPr>
              <w:adjustRightInd w:val="0"/>
              <w:snapToGrid w:val="0"/>
              <w:spacing w:after="0" w:line="240" w:lineRule="auto"/>
              <w:jc w:val="center"/>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pacing w:val="12"/>
                <w:sz w:val="21"/>
                <w:szCs w:val="21"/>
                <w14:ligatures w14:val="none"/>
              </w:rPr>
              <w:t>符合</w:t>
            </w:r>
          </w:p>
        </w:tc>
      </w:tr>
      <w:tr w14:paraId="7C407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7A13333A">
            <w:pPr>
              <w:spacing w:after="0" w:line="240" w:lineRule="auto"/>
              <w:jc w:val="center"/>
              <w:rPr>
                <w:rFonts w:hint="eastAsia" w:ascii="Times New Roman" w:hAnsi="Times New Roman" w:eastAsia="宋体" w:cs="Times New Roman"/>
                <w:sz w:val="21"/>
                <w:szCs w:val="21"/>
                <w:lang w:val="en-US" w:eastAsia="zh-CN"/>
                <w14:ligatures w14:val="none"/>
              </w:rPr>
            </w:pPr>
          </w:p>
        </w:tc>
        <w:tc>
          <w:tcPr>
            <w:tcW w:w="1546" w:type="pct"/>
            <w:shd w:val="clear" w:color="auto" w:fill="auto"/>
            <w:vAlign w:val="center"/>
          </w:tcPr>
          <w:p w14:paraId="421121AD">
            <w:pPr>
              <w:numPr>
                <w:ilvl w:val="0"/>
                <w:numId w:val="7"/>
              </w:numPr>
              <w:adjustRightInd w:val="0"/>
              <w:snapToGrid w:val="0"/>
              <w:spacing w:after="0" w:line="240" w:lineRule="auto"/>
              <w:ind w:left="0" w:leftChars="0" w:firstLine="0" w:firstLineChars="0"/>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制定重大危险源事故应急预案演练计划，并按照要求进行事故应急预案演练</w:t>
            </w:r>
          </w:p>
        </w:tc>
        <w:tc>
          <w:tcPr>
            <w:tcW w:w="1403" w:type="pct"/>
            <w:shd w:val="clear" w:color="auto" w:fill="auto"/>
            <w:vAlign w:val="center"/>
          </w:tcPr>
          <w:p w14:paraId="7D4A8B70">
            <w:pPr>
              <w:adjustRightInd w:val="0"/>
              <w:snapToGrid w:val="0"/>
              <w:spacing w:after="0" w:line="240" w:lineRule="auto"/>
              <w:jc w:val="center"/>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pacing w:val="12"/>
                <w:sz w:val="21"/>
                <w:szCs w:val="21"/>
                <w14:ligatures w14:val="none"/>
              </w:rPr>
              <w:t>《危险化学品重大危险源监督管理暂行规定》第二十一条</w:t>
            </w:r>
          </w:p>
        </w:tc>
        <w:tc>
          <w:tcPr>
            <w:tcW w:w="1084" w:type="pct"/>
            <w:shd w:val="clear" w:color="auto" w:fill="auto"/>
            <w:vAlign w:val="center"/>
          </w:tcPr>
          <w:p w14:paraId="33B91526">
            <w:pPr>
              <w:adjustRightInd w:val="0"/>
              <w:snapToGrid w:val="0"/>
              <w:spacing w:after="0" w:line="240" w:lineRule="auto"/>
              <w:jc w:val="both"/>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pacing w:val="12"/>
                <w:sz w:val="21"/>
                <w:szCs w:val="21"/>
                <w14:ligatures w14:val="none"/>
              </w:rPr>
              <w:t>制定了重大危险源事故应急预案演练计划，并按照要求进行事故应急预案演练</w:t>
            </w:r>
          </w:p>
        </w:tc>
        <w:tc>
          <w:tcPr>
            <w:tcW w:w="543" w:type="pct"/>
            <w:shd w:val="clear" w:color="auto" w:fill="auto"/>
            <w:vAlign w:val="center"/>
          </w:tcPr>
          <w:p w14:paraId="12993CDF">
            <w:pPr>
              <w:adjustRightInd w:val="0"/>
              <w:snapToGrid w:val="0"/>
              <w:spacing w:after="0" w:line="240" w:lineRule="auto"/>
              <w:jc w:val="center"/>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pacing w:val="12"/>
                <w:sz w:val="21"/>
                <w:szCs w:val="21"/>
                <w14:ligatures w14:val="none"/>
              </w:rPr>
              <w:t>符合</w:t>
            </w:r>
          </w:p>
        </w:tc>
      </w:tr>
      <w:tr w14:paraId="276E3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192A0165">
            <w:pPr>
              <w:spacing w:after="0" w:line="240" w:lineRule="auto"/>
              <w:jc w:val="center"/>
              <w:rPr>
                <w:rFonts w:hint="eastAsia" w:ascii="Times New Roman" w:hAnsi="Times New Roman" w:eastAsia="宋体" w:cs="Times New Roman"/>
                <w:sz w:val="21"/>
                <w:szCs w:val="21"/>
                <w:lang w:val="en-US" w:eastAsia="zh-CN"/>
                <w14:ligatures w14:val="none"/>
              </w:rPr>
            </w:pPr>
          </w:p>
        </w:tc>
        <w:tc>
          <w:tcPr>
            <w:tcW w:w="1546" w:type="pct"/>
            <w:shd w:val="clear" w:color="auto" w:fill="auto"/>
            <w:vAlign w:val="center"/>
          </w:tcPr>
          <w:p w14:paraId="2A173931">
            <w:pPr>
              <w:numPr>
                <w:ilvl w:val="0"/>
                <w:numId w:val="7"/>
              </w:numPr>
              <w:adjustRightInd w:val="0"/>
              <w:snapToGrid w:val="0"/>
              <w:spacing w:after="0" w:line="240" w:lineRule="auto"/>
              <w:ind w:left="0" w:leftChars="0" w:firstLine="0" w:firstLineChars="0"/>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对辨识确认的重大危险源及时、逐项进行登记建档</w:t>
            </w:r>
          </w:p>
        </w:tc>
        <w:tc>
          <w:tcPr>
            <w:tcW w:w="1403" w:type="pct"/>
            <w:shd w:val="clear" w:color="auto" w:fill="auto"/>
            <w:vAlign w:val="center"/>
          </w:tcPr>
          <w:p w14:paraId="3C72F2F3">
            <w:pPr>
              <w:adjustRightInd w:val="0"/>
              <w:snapToGrid w:val="0"/>
              <w:spacing w:after="0" w:line="240" w:lineRule="auto"/>
              <w:jc w:val="center"/>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pacing w:val="12"/>
                <w:sz w:val="21"/>
                <w:szCs w:val="21"/>
                <w14:ligatures w14:val="none"/>
              </w:rPr>
              <w:t>《危险化学品重大危险源监督管理暂行规定》第二十二条</w:t>
            </w:r>
          </w:p>
        </w:tc>
        <w:tc>
          <w:tcPr>
            <w:tcW w:w="1084" w:type="pct"/>
            <w:shd w:val="clear" w:color="auto" w:fill="auto"/>
            <w:vAlign w:val="center"/>
          </w:tcPr>
          <w:p w14:paraId="52742F71">
            <w:pPr>
              <w:adjustRightInd w:val="0"/>
              <w:snapToGrid w:val="0"/>
              <w:spacing w:after="0" w:line="240" w:lineRule="auto"/>
              <w:jc w:val="both"/>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pacing w:val="12"/>
                <w:sz w:val="21"/>
                <w:szCs w:val="21"/>
                <w14:ligatures w14:val="none"/>
              </w:rPr>
              <w:t>已对辨识确认的重大危险源及时、逐项进行登记建档</w:t>
            </w:r>
          </w:p>
        </w:tc>
        <w:tc>
          <w:tcPr>
            <w:tcW w:w="543" w:type="pct"/>
            <w:shd w:val="clear" w:color="auto" w:fill="auto"/>
            <w:vAlign w:val="center"/>
          </w:tcPr>
          <w:p w14:paraId="2431BCBB">
            <w:pPr>
              <w:adjustRightInd w:val="0"/>
              <w:snapToGrid w:val="0"/>
              <w:spacing w:after="0" w:line="240" w:lineRule="auto"/>
              <w:jc w:val="center"/>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pacing w:val="12"/>
                <w:sz w:val="21"/>
                <w:szCs w:val="21"/>
                <w14:ligatures w14:val="none"/>
              </w:rPr>
              <w:t>符合</w:t>
            </w:r>
          </w:p>
        </w:tc>
      </w:tr>
      <w:tr w14:paraId="077C1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57C2C63C">
            <w:pPr>
              <w:spacing w:after="0" w:line="240" w:lineRule="auto"/>
              <w:jc w:val="center"/>
              <w:rPr>
                <w:rFonts w:hint="eastAsia" w:ascii="Times New Roman" w:hAnsi="Times New Roman" w:eastAsia="宋体" w:cs="Times New Roman"/>
                <w:sz w:val="21"/>
                <w:szCs w:val="21"/>
                <w:lang w:val="en-US" w:eastAsia="zh-CN"/>
                <w14:ligatures w14:val="none"/>
              </w:rPr>
            </w:pPr>
          </w:p>
        </w:tc>
        <w:tc>
          <w:tcPr>
            <w:tcW w:w="1546" w:type="pct"/>
            <w:shd w:val="clear" w:color="auto" w:fill="auto"/>
            <w:vAlign w:val="center"/>
          </w:tcPr>
          <w:p w14:paraId="3C8029A3">
            <w:pPr>
              <w:numPr>
                <w:ilvl w:val="0"/>
                <w:numId w:val="7"/>
              </w:numPr>
              <w:adjustRightInd w:val="0"/>
              <w:snapToGrid w:val="0"/>
              <w:spacing w:after="0" w:line="240" w:lineRule="auto"/>
              <w:ind w:left="0" w:leftChars="0" w:firstLine="0" w:firstLineChars="0"/>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重大危险源的主要负责人督促、检查重大危险源安全生产工作。</w:t>
            </w:r>
          </w:p>
        </w:tc>
        <w:tc>
          <w:tcPr>
            <w:tcW w:w="1403" w:type="pct"/>
            <w:shd w:val="clear" w:color="auto" w:fill="auto"/>
            <w:vAlign w:val="center"/>
          </w:tcPr>
          <w:p w14:paraId="299F036D">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w:t>
            </w:r>
          </w:p>
          <w:p w14:paraId="6D2B096A">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危险源企业安全</w:t>
            </w:r>
          </w:p>
          <w:p w14:paraId="24FF2A1E">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专项检查细则</w:t>
            </w:r>
          </w:p>
          <w:p w14:paraId="1745515B">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（试行）</w:t>
            </w:r>
          </w:p>
        </w:tc>
        <w:tc>
          <w:tcPr>
            <w:tcW w:w="1084" w:type="pct"/>
            <w:shd w:val="clear" w:color="auto" w:fill="auto"/>
            <w:vAlign w:val="center"/>
          </w:tcPr>
          <w:p w14:paraId="51BC9AEC">
            <w:pPr>
              <w:adjustRightInd w:val="0"/>
              <w:snapToGrid w:val="0"/>
              <w:spacing w:after="0" w:line="240" w:lineRule="auto"/>
              <w:jc w:val="both"/>
              <w:rPr>
                <w:rFonts w:hint="eastAsia" w:ascii="Times New Roman" w:hAnsi="Times New Roman" w:eastAsia="宋体" w:cs="Times New Roman"/>
                <w:spacing w:val="12"/>
                <w:sz w:val="21"/>
                <w:szCs w:val="21"/>
                <w:lang w:val="en-US" w:eastAsia="zh-CN"/>
                <w14:ligatures w14:val="none"/>
              </w:rPr>
            </w:pPr>
            <w:r>
              <w:rPr>
                <w:rFonts w:hint="eastAsia" w:ascii="Times New Roman" w:hAnsi="Times New Roman" w:eastAsia="宋体" w:cs="Times New Roman"/>
                <w:spacing w:val="12"/>
                <w:sz w:val="21"/>
                <w:szCs w:val="21"/>
                <w14:ligatures w14:val="none"/>
              </w:rPr>
              <w:t>主要负责人督促、检查重大危险源安全生产工作。</w:t>
            </w:r>
          </w:p>
        </w:tc>
        <w:tc>
          <w:tcPr>
            <w:tcW w:w="543" w:type="pct"/>
            <w:shd w:val="clear" w:color="auto" w:fill="auto"/>
            <w:vAlign w:val="center"/>
          </w:tcPr>
          <w:p w14:paraId="0CFCBAD2">
            <w:pPr>
              <w:adjustRightInd w:val="0"/>
              <w:snapToGrid w:val="0"/>
              <w:spacing w:after="0" w:line="240" w:lineRule="auto"/>
              <w:jc w:val="center"/>
              <w:rPr>
                <w:rFonts w:hint="eastAsia" w:ascii="Times New Roman" w:hAnsi="Times New Roman" w:eastAsia="宋体" w:cs="Times New Roman"/>
                <w:spacing w:val="12"/>
                <w:sz w:val="21"/>
                <w:szCs w:val="21"/>
                <w:lang w:val="en-US" w:eastAsia="zh-CN"/>
                <w14:ligatures w14:val="none"/>
              </w:rPr>
            </w:pPr>
            <w:r>
              <w:rPr>
                <w:rFonts w:hint="eastAsia" w:ascii="Times New Roman" w:hAnsi="Times New Roman" w:eastAsia="宋体" w:cs="Times New Roman"/>
                <w:spacing w:val="12"/>
                <w:sz w:val="21"/>
                <w:szCs w:val="21"/>
                <w14:ligatures w14:val="none"/>
              </w:rPr>
              <w:t>符合</w:t>
            </w:r>
          </w:p>
        </w:tc>
      </w:tr>
      <w:tr w14:paraId="722EC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421" w:type="pct"/>
            <w:vMerge w:val="continue"/>
            <w:vAlign w:val="center"/>
          </w:tcPr>
          <w:p w14:paraId="2C485A9C">
            <w:pPr>
              <w:spacing w:after="0" w:line="240" w:lineRule="auto"/>
              <w:jc w:val="center"/>
              <w:rPr>
                <w:rFonts w:hint="eastAsia" w:ascii="Times New Roman" w:hAnsi="Times New Roman" w:eastAsia="宋体" w:cs="Times New Roman"/>
                <w:sz w:val="21"/>
                <w:szCs w:val="21"/>
                <w:lang w:val="en-US" w:eastAsia="zh-CN"/>
                <w14:ligatures w14:val="none"/>
              </w:rPr>
            </w:pPr>
          </w:p>
        </w:tc>
        <w:tc>
          <w:tcPr>
            <w:tcW w:w="1546" w:type="pct"/>
            <w:shd w:val="clear" w:color="auto" w:fill="auto"/>
            <w:vAlign w:val="center"/>
          </w:tcPr>
          <w:p w14:paraId="1E25B0C0">
            <w:pPr>
              <w:numPr>
                <w:ilvl w:val="0"/>
                <w:numId w:val="7"/>
              </w:numPr>
              <w:adjustRightInd w:val="0"/>
              <w:snapToGrid w:val="0"/>
              <w:spacing w:after="0" w:line="240" w:lineRule="auto"/>
              <w:ind w:left="0" w:leftChars="0" w:firstLine="0" w:firstLineChars="0"/>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建立重大危险源主要负责人、技术负责人、操作负责人的安全包保履职记录，安全管理机构应当对包保责任人履职情况进行评估，纳入企业安全生产责任制考核与绩效管理。</w:t>
            </w:r>
          </w:p>
        </w:tc>
        <w:tc>
          <w:tcPr>
            <w:tcW w:w="1403" w:type="pct"/>
            <w:shd w:val="clear" w:color="auto" w:fill="auto"/>
            <w:vAlign w:val="center"/>
          </w:tcPr>
          <w:p w14:paraId="7F13DC0B">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eastAsia" w:ascii="Times New Roman" w:hAnsi="Times New Roman" w:eastAsia="宋体" w:cs="Times New Roman"/>
                <w:spacing w:val="12"/>
                <w:kern w:val="2"/>
                <w:sz w:val="21"/>
                <w:szCs w:val="21"/>
                <w:lang w:val="en-US" w:eastAsia="zh-CN" w:bidi="ar-SA"/>
                <w14:ligatures w14:val="none"/>
              </w:rPr>
            </w:pPr>
          </w:p>
          <w:p w14:paraId="739F75F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eastAsia" w:ascii="Times New Roman" w:hAnsi="Times New Roman" w:eastAsia="宋体" w:cs="Times New Roman"/>
                <w:spacing w:val="12"/>
                <w:kern w:val="2"/>
                <w:sz w:val="21"/>
                <w:szCs w:val="21"/>
                <w:lang w:val="en-US" w:eastAsia="zh-CN" w:bidi="ar-SA"/>
                <w14:ligatures w14:val="none"/>
              </w:rPr>
            </w:pPr>
            <w:r>
              <w:rPr>
                <w:rFonts w:hint="eastAsia" w:ascii="Times New Roman" w:hAnsi="Times New Roman" w:eastAsia="宋体" w:cs="Times New Roman"/>
                <w:spacing w:val="12"/>
                <w:kern w:val="2"/>
                <w:sz w:val="21"/>
                <w:szCs w:val="21"/>
                <w:lang w:val="en-US" w:eastAsia="zh-CN" w:bidi="ar-SA"/>
                <w14:ligatures w14:val="none"/>
              </w:rPr>
              <w:t>危险化学品重大</w:t>
            </w:r>
          </w:p>
          <w:p w14:paraId="50C53EC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eastAsia" w:ascii="Times New Roman" w:hAnsi="Times New Roman" w:eastAsia="宋体" w:cs="Times New Roman"/>
                <w:spacing w:val="12"/>
                <w:kern w:val="2"/>
                <w:sz w:val="21"/>
                <w:szCs w:val="21"/>
                <w:lang w:val="en-US" w:eastAsia="zh-CN" w:bidi="ar-SA"/>
                <w14:ligatures w14:val="none"/>
              </w:rPr>
            </w:pPr>
            <w:r>
              <w:rPr>
                <w:rFonts w:hint="eastAsia" w:ascii="Times New Roman" w:hAnsi="Times New Roman" w:eastAsia="宋体" w:cs="Times New Roman"/>
                <w:spacing w:val="12"/>
                <w:kern w:val="2"/>
                <w:sz w:val="21"/>
                <w:szCs w:val="21"/>
                <w:lang w:val="en-US" w:eastAsia="zh-CN" w:bidi="ar-SA"/>
                <w14:ligatures w14:val="none"/>
              </w:rPr>
              <w:t>危险源企业安全</w:t>
            </w:r>
          </w:p>
          <w:p w14:paraId="3EB770D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eastAsia" w:ascii="Times New Roman" w:hAnsi="Times New Roman" w:eastAsia="宋体" w:cs="Times New Roman"/>
                <w:spacing w:val="12"/>
                <w:kern w:val="2"/>
                <w:sz w:val="21"/>
                <w:szCs w:val="21"/>
                <w:lang w:val="en-US" w:eastAsia="zh-CN" w:bidi="ar-SA"/>
                <w14:ligatures w14:val="none"/>
              </w:rPr>
            </w:pPr>
            <w:r>
              <w:rPr>
                <w:rFonts w:hint="eastAsia" w:ascii="Times New Roman" w:hAnsi="Times New Roman" w:eastAsia="宋体" w:cs="Times New Roman"/>
                <w:spacing w:val="12"/>
                <w:kern w:val="2"/>
                <w:sz w:val="21"/>
                <w:szCs w:val="21"/>
                <w:lang w:val="en-US" w:eastAsia="zh-CN" w:bidi="ar-SA"/>
                <w14:ligatures w14:val="none"/>
              </w:rPr>
              <w:t>专项检查细则</w:t>
            </w:r>
          </w:p>
          <w:p w14:paraId="6550681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12"/>
                <w:kern w:val="2"/>
                <w:sz w:val="21"/>
                <w:szCs w:val="21"/>
                <w:lang w:val="en-US" w:eastAsia="zh-CN" w:bidi="ar-SA"/>
                <w14:ligatures w14:val="none"/>
              </w:rPr>
            </w:pPr>
            <w:r>
              <w:rPr>
                <w:rFonts w:hint="eastAsia" w:ascii="Times New Roman" w:hAnsi="Times New Roman" w:eastAsia="宋体" w:cs="Times New Roman"/>
                <w:spacing w:val="12"/>
                <w:kern w:val="2"/>
                <w:sz w:val="21"/>
                <w:szCs w:val="21"/>
                <w:lang w:val="en-US" w:eastAsia="zh-CN" w:bidi="ar-SA"/>
                <w14:ligatures w14:val="none"/>
              </w:rPr>
              <w:t>（试行）</w:t>
            </w:r>
          </w:p>
        </w:tc>
        <w:tc>
          <w:tcPr>
            <w:tcW w:w="1084" w:type="pct"/>
            <w:shd w:val="clear" w:color="auto" w:fill="auto"/>
            <w:vAlign w:val="center"/>
          </w:tcPr>
          <w:p w14:paraId="168C622D">
            <w:pPr>
              <w:adjustRightInd w:val="0"/>
              <w:snapToGrid w:val="0"/>
              <w:spacing w:after="0" w:line="240" w:lineRule="auto"/>
              <w:jc w:val="center"/>
              <w:rPr>
                <w:rFonts w:hint="eastAsia" w:ascii="Times New Roman" w:hAnsi="Times New Roman" w:eastAsia="宋体" w:cs="Times New Roman"/>
                <w:spacing w:val="12"/>
                <w:sz w:val="21"/>
                <w:szCs w:val="21"/>
                <w:lang w:val="en-US" w:eastAsia="zh-CN"/>
                <w14:ligatures w14:val="none"/>
              </w:rPr>
            </w:pPr>
            <w:r>
              <w:rPr>
                <w:rFonts w:hint="eastAsia" w:ascii="Times New Roman" w:hAnsi="Times New Roman" w:eastAsia="宋体" w:cs="Times New Roman"/>
                <w:spacing w:val="12"/>
                <w:sz w:val="21"/>
                <w:szCs w:val="21"/>
                <w14:ligatures w14:val="none"/>
              </w:rPr>
              <w:t>已明确主要负责人、技术负责人、操作负责人的安全包保职责，进行考核。</w:t>
            </w:r>
          </w:p>
        </w:tc>
        <w:tc>
          <w:tcPr>
            <w:tcW w:w="543" w:type="pct"/>
            <w:shd w:val="clear" w:color="auto" w:fill="auto"/>
            <w:vAlign w:val="center"/>
          </w:tcPr>
          <w:p w14:paraId="6754A7B9">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bl>
    <w:p w14:paraId="078C49A7">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小结：通过对</w:t>
      </w:r>
      <w:r>
        <w:rPr>
          <w:rFonts w:hint="eastAsia" w:ascii="Times New Roman" w:hAnsi="Times New Roman" w:eastAsia="宋体" w:cs="Times New Roman"/>
          <w:sz w:val="28"/>
          <w:szCs w:val="28"/>
          <w:lang w:eastAsia="zh-CN"/>
          <w14:ligatures w14:val="none"/>
        </w:rPr>
        <w:t>国能安储（东港）燃料供应有限公司</w:t>
      </w:r>
      <w:r>
        <w:rPr>
          <w:rFonts w:hint="eastAsia" w:ascii="Times New Roman" w:hAnsi="Times New Roman" w:eastAsia="宋体" w:cs="Times New Roman"/>
          <w:sz w:val="28"/>
          <w:szCs w:val="28"/>
          <w14:ligatures w14:val="none"/>
        </w:rPr>
        <w:t>经营危险化学品的</w:t>
      </w:r>
      <w:r>
        <w:rPr>
          <w:rFonts w:hint="eastAsia" w:ascii="Times New Roman" w:hAnsi="Times New Roman" w:eastAsia="宋体" w:cs="Times New Roman"/>
          <w:sz w:val="28"/>
          <w:szCs w:val="28"/>
          <w:lang w:val="en-US" w:eastAsia="zh-CN"/>
          <w14:ligatures w14:val="none"/>
        </w:rPr>
        <w:t>基本</w:t>
      </w:r>
      <w:r>
        <w:rPr>
          <w:rFonts w:hint="eastAsia" w:ascii="Times New Roman" w:hAnsi="Times New Roman" w:eastAsia="宋体" w:cs="Times New Roman"/>
          <w:sz w:val="28"/>
          <w:szCs w:val="28"/>
          <w14:ligatures w14:val="none"/>
        </w:rPr>
        <w:t>条件、安全管理、从业人员资格</w:t>
      </w:r>
      <w:r>
        <w:rPr>
          <w:rFonts w:hint="eastAsia" w:ascii="Times New Roman" w:hAnsi="Times New Roman" w:eastAsia="宋体" w:cs="Times New Roman"/>
          <w:sz w:val="28"/>
          <w:szCs w:val="28"/>
          <w:lang w:eastAsia="zh-CN"/>
          <w14:ligatures w14:val="none"/>
        </w:rPr>
        <w:t>、应急救援措施、</w:t>
      </w:r>
      <w:r>
        <w:rPr>
          <w:rFonts w:hint="eastAsia" w:ascii="Times New Roman" w:hAnsi="Times New Roman" w:eastAsia="宋体" w:cs="Times New Roman"/>
          <w:sz w:val="28"/>
          <w:szCs w:val="28"/>
          <w:lang w:val="en-US" w:eastAsia="zh-CN"/>
          <w14:ligatures w14:val="none"/>
        </w:rPr>
        <w:t>劳动防护用品</w:t>
      </w:r>
      <w:r>
        <w:rPr>
          <w:rFonts w:hint="eastAsia" w:ascii="Times New Roman" w:hAnsi="Times New Roman" w:eastAsia="宋体" w:cs="Times New Roman"/>
          <w:sz w:val="28"/>
          <w:szCs w:val="28"/>
          <w14:ligatures w14:val="none"/>
        </w:rPr>
        <w:t>等经营条件进行安全评价，共检查</w:t>
      </w:r>
      <w:r>
        <w:rPr>
          <w:rFonts w:hint="eastAsia" w:ascii="Times New Roman" w:hAnsi="Times New Roman" w:eastAsia="宋体" w:cs="Times New Roman"/>
          <w:sz w:val="28"/>
          <w:szCs w:val="28"/>
          <w:lang w:val="en-US" w:eastAsia="zh-CN"/>
          <w14:ligatures w14:val="none"/>
        </w:rPr>
        <w:t>25</w:t>
      </w:r>
      <w:r>
        <w:rPr>
          <w:rFonts w:hint="eastAsia" w:ascii="Times New Roman" w:hAnsi="Times New Roman" w:eastAsia="宋体" w:cs="Times New Roman"/>
          <w:sz w:val="28"/>
          <w:szCs w:val="28"/>
          <w14:ligatures w14:val="none"/>
        </w:rPr>
        <w:t>项，检查结果均为符合。</w:t>
      </w:r>
    </w:p>
    <w:p w14:paraId="38C474BA">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32" w:name="_Toc991"/>
      <w:r>
        <w:rPr>
          <w:rFonts w:hint="eastAsia" w:ascii="Times New Roman" w:hAnsi="Times New Roman" w:eastAsia="楷体" w:cs="黑体"/>
          <w:b/>
          <w:sz w:val="32"/>
          <w:szCs w:val="32"/>
          <w14:ligatures w14:val="none"/>
        </w:rPr>
        <w:t>5.2周边环境及平面布置单元</w:t>
      </w:r>
      <w:bookmarkEnd w:id="132"/>
    </w:p>
    <w:p w14:paraId="63BEE799">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采用安全检查表法对周边环境及平面布置单元进行评价，见表5.2-1。</w:t>
      </w:r>
    </w:p>
    <w:p w14:paraId="547CBB27">
      <w:pPr>
        <w:keepNext/>
        <w:adjustRightInd w:val="0"/>
        <w:snapToGrid w:val="0"/>
        <w:spacing w:before="156" w:beforeLines="50" w:after="156" w:afterLines="50" w:line="240" w:lineRule="auto"/>
        <w:jc w:val="center"/>
        <w:rPr>
          <w:rFonts w:ascii="Times New Roman" w:hAnsi="Times New Roman" w:eastAsia="黑体" w:cs="Times New Roman"/>
          <w:sz w:val="24"/>
          <w14:ligatures w14:val="none"/>
        </w:rPr>
      </w:pPr>
      <w:r>
        <w:rPr>
          <w:rFonts w:hint="eastAsia" w:ascii="Times New Roman" w:hAnsi="Times New Roman" w:eastAsia="黑体" w:cs="Times New Roman"/>
          <w:sz w:val="24"/>
          <w14:ligatures w14:val="none"/>
        </w:rPr>
        <w:t>表5.2-1  周边环境及平面布置单元安全检查表</w:t>
      </w:r>
    </w:p>
    <w:tbl>
      <w:tblPr>
        <w:tblStyle w:val="1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663"/>
        <w:gridCol w:w="4225"/>
        <w:gridCol w:w="1783"/>
        <w:gridCol w:w="1892"/>
        <w:gridCol w:w="677"/>
      </w:tblGrid>
      <w:tr w14:paraId="01CD6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tblHeader/>
          <w:jc w:val="center"/>
        </w:trPr>
        <w:tc>
          <w:tcPr>
            <w:tcW w:w="359" w:type="pct"/>
            <w:vAlign w:val="center"/>
          </w:tcPr>
          <w:p w14:paraId="27EE99E5">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kern w:val="28"/>
                <w:sz w:val="21"/>
                <w:szCs w:val="21"/>
                <w:lang w:eastAsia="zh-CN"/>
                <w14:ligatures w14:val="none"/>
              </w:rPr>
              <w:t>序号</w:t>
            </w:r>
          </w:p>
        </w:tc>
        <w:tc>
          <w:tcPr>
            <w:tcW w:w="2285" w:type="pct"/>
            <w:vAlign w:val="center"/>
          </w:tcPr>
          <w:p w14:paraId="0792A150">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kern w:val="28"/>
                <w:sz w:val="21"/>
                <w:szCs w:val="21"/>
                <w:lang w:eastAsia="zh-CN"/>
                <w14:ligatures w14:val="none"/>
              </w:rPr>
              <w:t>检查内容</w:t>
            </w:r>
          </w:p>
        </w:tc>
        <w:tc>
          <w:tcPr>
            <w:tcW w:w="964" w:type="pct"/>
            <w:vAlign w:val="center"/>
          </w:tcPr>
          <w:p w14:paraId="1F43399B">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kern w:val="28"/>
                <w:sz w:val="21"/>
                <w:szCs w:val="21"/>
                <w:lang w:eastAsia="zh-CN"/>
                <w14:ligatures w14:val="none"/>
              </w:rPr>
              <w:t>检查依据</w:t>
            </w:r>
          </w:p>
        </w:tc>
        <w:tc>
          <w:tcPr>
            <w:tcW w:w="1023" w:type="pct"/>
            <w:vAlign w:val="center"/>
          </w:tcPr>
          <w:p w14:paraId="7105A3FB">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kern w:val="28"/>
                <w:sz w:val="21"/>
                <w:szCs w:val="21"/>
                <w:lang w:eastAsia="zh-CN"/>
                <w14:ligatures w14:val="none"/>
              </w:rPr>
              <w:t>实际情况</w:t>
            </w:r>
          </w:p>
        </w:tc>
        <w:tc>
          <w:tcPr>
            <w:tcW w:w="366" w:type="pct"/>
            <w:vAlign w:val="center"/>
          </w:tcPr>
          <w:p w14:paraId="0070C8A0">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kern w:val="28"/>
                <w:sz w:val="21"/>
                <w:szCs w:val="21"/>
                <w:lang w:eastAsia="zh-CN"/>
                <w14:ligatures w14:val="none"/>
              </w:rPr>
              <w:t>结论</w:t>
            </w:r>
          </w:p>
        </w:tc>
      </w:tr>
      <w:tr w14:paraId="5A848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3EEC3483">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kern w:val="28"/>
                <w:sz w:val="21"/>
                <w:szCs w:val="21"/>
                <w:lang w:eastAsia="zh-CN"/>
                <w14:ligatures w14:val="none"/>
              </w:rPr>
              <w:t>1</w:t>
            </w:r>
          </w:p>
        </w:tc>
        <w:tc>
          <w:tcPr>
            <w:tcW w:w="4192" w:type="dxa"/>
            <w:vAlign w:val="center"/>
          </w:tcPr>
          <w:p w14:paraId="016DC58C">
            <w:pPr>
              <w:pStyle w:val="37"/>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sz w:val="21"/>
                <w:szCs w:val="21"/>
              </w:rPr>
            </w:pPr>
          </w:p>
          <w:p w14:paraId="77BAF35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Times New Roman" w:cs="Times New Roman"/>
                <w:spacing w:val="-1"/>
                <w:sz w:val="21"/>
                <w:szCs w:val="21"/>
              </w:rPr>
              <w:t>1</w:t>
            </w:r>
            <w:r>
              <w:rPr>
                <w:rFonts w:hint="default" w:ascii="Times New Roman" w:hAnsi="Times New Roman" w:eastAsia="宋体" w:cs="Times New Roman"/>
                <w:spacing w:val="-1"/>
                <w:sz w:val="21"/>
                <w:szCs w:val="21"/>
              </w:rPr>
              <w:t>石油库的库址应具备良好的地</w:t>
            </w:r>
            <w:r>
              <w:rPr>
                <w:rFonts w:hint="default" w:ascii="Times New Roman" w:hAnsi="Times New Roman" w:eastAsia="宋体" w:cs="Times New Roman"/>
                <w:spacing w:val="-16"/>
                <w:sz w:val="21"/>
                <w:szCs w:val="21"/>
              </w:rPr>
              <w:t>质条件，不得选择在有土崩、断层、</w:t>
            </w:r>
            <w:r>
              <w:rPr>
                <w:rFonts w:hint="default" w:ascii="Times New Roman" w:hAnsi="Times New Roman" w:eastAsia="宋体" w:cs="Times New Roman"/>
                <w:spacing w:val="-6"/>
                <w:sz w:val="21"/>
                <w:szCs w:val="21"/>
              </w:rPr>
              <w:t>滑坡、沼泽、流沙及泥石流的地区</w:t>
            </w:r>
            <w:r>
              <w:rPr>
                <w:rFonts w:hint="default" w:ascii="Times New Roman" w:hAnsi="Times New Roman" w:eastAsia="宋体" w:cs="Times New Roman"/>
                <w:spacing w:val="11"/>
                <w:sz w:val="21"/>
                <w:szCs w:val="21"/>
              </w:rPr>
              <w:t>和地下矿藏开采后有可能塌陷的</w:t>
            </w:r>
            <w:r>
              <w:rPr>
                <w:rFonts w:hint="default" w:ascii="Times New Roman" w:hAnsi="Times New Roman" w:eastAsia="宋体" w:cs="Times New Roman"/>
                <w:spacing w:val="-4"/>
                <w:sz w:val="21"/>
                <w:szCs w:val="21"/>
              </w:rPr>
              <w:t>地区。</w:t>
            </w:r>
          </w:p>
        </w:tc>
        <w:tc>
          <w:tcPr>
            <w:tcW w:w="1783" w:type="dxa"/>
            <w:vAlign w:val="center"/>
          </w:tcPr>
          <w:p w14:paraId="3C3D70CE">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21320D6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2"/>
                <w:sz w:val="21"/>
                <w:szCs w:val="21"/>
              </w:rPr>
              <w:t>第</w:t>
            </w:r>
            <w:r>
              <w:rPr>
                <w:rFonts w:hint="default" w:ascii="Times New Roman" w:hAnsi="Times New Roman" w:eastAsia="宋体" w:cs="Times New Roman"/>
                <w:spacing w:val="-57"/>
                <w:sz w:val="21"/>
                <w:szCs w:val="21"/>
              </w:rPr>
              <w:t xml:space="preserve"> </w:t>
            </w:r>
            <w:r>
              <w:rPr>
                <w:rFonts w:hint="default" w:ascii="Times New Roman" w:hAnsi="Times New Roman" w:eastAsia="Times New Roman" w:cs="Times New Roman"/>
                <w:spacing w:val="-2"/>
                <w:sz w:val="21"/>
                <w:szCs w:val="21"/>
              </w:rPr>
              <w:t>4.0.3</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2"/>
                <w:sz w:val="21"/>
                <w:szCs w:val="21"/>
              </w:rPr>
              <w:t>条</w:t>
            </w:r>
          </w:p>
        </w:tc>
        <w:tc>
          <w:tcPr>
            <w:tcW w:w="1875" w:type="dxa"/>
            <w:vAlign w:val="center"/>
          </w:tcPr>
          <w:p w14:paraId="66DE331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1"/>
                <w:sz w:val="21"/>
                <w:szCs w:val="21"/>
              </w:rPr>
              <w:t>该油库所在地不</w:t>
            </w:r>
            <w:r>
              <w:rPr>
                <w:rFonts w:hint="default" w:ascii="Times New Roman" w:hAnsi="Times New Roman" w:eastAsia="宋体" w:cs="Times New Roman"/>
                <w:sz w:val="21"/>
                <w:szCs w:val="21"/>
              </w:rPr>
              <w:t>属于有土崩、断</w:t>
            </w:r>
            <w:r>
              <w:rPr>
                <w:rFonts w:hint="default" w:ascii="Times New Roman" w:hAnsi="Times New Roman" w:eastAsia="宋体" w:cs="Times New Roman"/>
                <w:spacing w:val="-20"/>
                <w:sz w:val="21"/>
                <w:szCs w:val="21"/>
              </w:rPr>
              <w:t>层、滑坡、沼泽、</w:t>
            </w:r>
            <w:r>
              <w:rPr>
                <w:rFonts w:hint="default" w:ascii="Times New Roman" w:hAnsi="Times New Roman" w:eastAsia="宋体" w:cs="Times New Roman"/>
                <w:sz w:val="21"/>
                <w:szCs w:val="21"/>
              </w:rPr>
              <w:t>流沙及泥石流的地区和地下矿藏开采后有可能塌陷的地区，油库</w:t>
            </w:r>
            <w:r>
              <w:rPr>
                <w:rFonts w:hint="default" w:ascii="Times New Roman" w:hAnsi="Times New Roman" w:eastAsia="宋体" w:cs="Times New Roman"/>
                <w:spacing w:val="-2"/>
                <w:sz w:val="21"/>
                <w:szCs w:val="21"/>
              </w:rPr>
              <w:t>库址符合要求。</w:t>
            </w:r>
          </w:p>
        </w:tc>
        <w:tc>
          <w:tcPr>
            <w:tcW w:w="669" w:type="dxa"/>
            <w:vAlign w:val="center"/>
          </w:tcPr>
          <w:p w14:paraId="755BB6E6">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0AA15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2A4152EF">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kern w:val="28"/>
                <w:sz w:val="21"/>
                <w:szCs w:val="21"/>
                <w:lang w:eastAsia="zh-CN"/>
                <w14:ligatures w14:val="none"/>
              </w:rPr>
              <w:t>2</w:t>
            </w:r>
          </w:p>
        </w:tc>
        <w:tc>
          <w:tcPr>
            <w:tcW w:w="4192" w:type="dxa"/>
            <w:vAlign w:val="center"/>
          </w:tcPr>
          <w:p w14:paraId="271763A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z w:val="21"/>
                <w:szCs w:val="21"/>
              </w:rPr>
              <w:t>一、二、三级油库的库址不选</w:t>
            </w:r>
            <w:r>
              <w:rPr>
                <w:rFonts w:hint="default" w:ascii="Times New Roman" w:hAnsi="Times New Roman" w:eastAsia="宋体" w:cs="Times New Roman"/>
                <w:spacing w:val="8"/>
                <w:sz w:val="21"/>
                <w:szCs w:val="21"/>
              </w:rPr>
              <w:t>在地震基本烈度为</w:t>
            </w:r>
            <w:r>
              <w:rPr>
                <w:rFonts w:hint="default" w:ascii="Times New Roman" w:hAnsi="Times New Roman" w:eastAsia="宋体" w:cs="Times New Roman"/>
                <w:spacing w:val="-39"/>
                <w:sz w:val="21"/>
                <w:szCs w:val="21"/>
              </w:rPr>
              <w:t xml:space="preserve"> </w:t>
            </w:r>
            <w:r>
              <w:rPr>
                <w:rFonts w:hint="default" w:ascii="Times New Roman" w:hAnsi="Times New Roman" w:eastAsia="Times New Roman" w:cs="Times New Roman"/>
                <w:spacing w:val="8"/>
                <w:sz w:val="21"/>
                <w:szCs w:val="21"/>
              </w:rPr>
              <w:t>9</w:t>
            </w:r>
            <w:r>
              <w:rPr>
                <w:rFonts w:hint="default" w:ascii="Times New Roman" w:hAnsi="Times New Roman" w:eastAsia="Times New Roman" w:cs="Times New Roman"/>
                <w:spacing w:val="20"/>
                <w:w w:val="101"/>
                <w:sz w:val="21"/>
                <w:szCs w:val="21"/>
              </w:rPr>
              <w:t xml:space="preserve"> </w:t>
            </w:r>
            <w:r>
              <w:rPr>
                <w:rFonts w:hint="default" w:ascii="Times New Roman" w:hAnsi="Times New Roman" w:eastAsia="宋体" w:cs="Times New Roman"/>
                <w:spacing w:val="8"/>
                <w:sz w:val="21"/>
                <w:szCs w:val="21"/>
              </w:rPr>
              <w:t>度及以上的</w:t>
            </w:r>
            <w:r>
              <w:rPr>
                <w:rFonts w:hint="default" w:ascii="Times New Roman" w:hAnsi="Times New Roman" w:eastAsia="宋体" w:cs="Times New Roman"/>
                <w:spacing w:val="-3"/>
                <w:sz w:val="21"/>
                <w:szCs w:val="21"/>
              </w:rPr>
              <w:t>地区。</w:t>
            </w:r>
          </w:p>
        </w:tc>
        <w:tc>
          <w:tcPr>
            <w:tcW w:w="1783" w:type="dxa"/>
            <w:vAlign w:val="center"/>
          </w:tcPr>
          <w:p w14:paraId="4DA1D2AC">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30582BB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2"/>
                <w:sz w:val="21"/>
                <w:szCs w:val="21"/>
              </w:rPr>
              <w:t>第</w:t>
            </w:r>
            <w:r>
              <w:rPr>
                <w:rFonts w:hint="default" w:ascii="Times New Roman" w:hAnsi="Times New Roman" w:eastAsia="宋体" w:cs="Times New Roman"/>
                <w:spacing w:val="-57"/>
                <w:sz w:val="21"/>
                <w:szCs w:val="21"/>
              </w:rPr>
              <w:t xml:space="preserve"> </w:t>
            </w:r>
            <w:r>
              <w:rPr>
                <w:rFonts w:hint="default" w:ascii="Times New Roman" w:hAnsi="Times New Roman" w:eastAsia="Times New Roman" w:cs="Times New Roman"/>
                <w:spacing w:val="-2"/>
                <w:sz w:val="21"/>
                <w:szCs w:val="21"/>
              </w:rPr>
              <w:t>4.0.4</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2"/>
                <w:sz w:val="21"/>
                <w:szCs w:val="21"/>
              </w:rPr>
              <w:t>条</w:t>
            </w:r>
          </w:p>
        </w:tc>
        <w:tc>
          <w:tcPr>
            <w:tcW w:w="1875" w:type="dxa"/>
            <w:vAlign w:val="center"/>
          </w:tcPr>
          <w:p w14:paraId="203A34E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z w:val="21"/>
                <w:szCs w:val="21"/>
              </w:rPr>
              <w:t>本油库为四级油库，所在地地震</w:t>
            </w:r>
            <w:r>
              <w:rPr>
                <w:rFonts w:hint="default" w:ascii="Times New Roman" w:hAnsi="Times New Roman" w:eastAsia="宋体" w:cs="Times New Roman"/>
                <w:spacing w:val="-12"/>
                <w:sz w:val="21"/>
                <w:szCs w:val="21"/>
              </w:rPr>
              <w:t>基</w:t>
            </w:r>
            <w:r>
              <w:rPr>
                <w:rFonts w:hint="default" w:ascii="Times New Roman" w:hAnsi="Times New Roman" w:eastAsia="宋体" w:cs="Times New Roman"/>
                <w:spacing w:val="-44"/>
                <w:sz w:val="21"/>
                <w:szCs w:val="21"/>
              </w:rPr>
              <w:t xml:space="preserve"> </w:t>
            </w:r>
            <w:r>
              <w:rPr>
                <w:rFonts w:hint="default" w:ascii="Times New Roman" w:hAnsi="Times New Roman" w:eastAsia="宋体" w:cs="Times New Roman"/>
                <w:spacing w:val="-12"/>
                <w:sz w:val="21"/>
                <w:szCs w:val="21"/>
              </w:rPr>
              <w:t>本</w:t>
            </w:r>
            <w:r>
              <w:rPr>
                <w:rFonts w:hint="default" w:ascii="Times New Roman" w:hAnsi="Times New Roman" w:eastAsia="宋体" w:cs="Times New Roman"/>
                <w:spacing w:val="-44"/>
                <w:sz w:val="21"/>
                <w:szCs w:val="21"/>
              </w:rPr>
              <w:t xml:space="preserve"> </w:t>
            </w:r>
            <w:r>
              <w:rPr>
                <w:rFonts w:hint="default" w:ascii="Times New Roman" w:hAnsi="Times New Roman" w:eastAsia="宋体" w:cs="Times New Roman"/>
                <w:spacing w:val="-12"/>
                <w:sz w:val="21"/>
                <w:szCs w:val="21"/>
              </w:rPr>
              <w:t>烈</w:t>
            </w:r>
            <w:r>
              <w:rPr>
                <w:rFonts w:hint="default" w:ascii="Times New Roman" w:hAnsi="Times New Roman" w:eastAsia="宋体" w:cs="Times New Roman"/>
                <w:spacing w:val="-50"/>
                <w:sz w:val="21"/>
                <w:szCs w:val="21"/>
              </w:rPr>
              <w:t xml:space="preserve"> </w:t>
            </w:r>
            <w:r>
              <w:rPr>
                <w:rFonts w:hint="default" w:ascii="Times New Roman" w:hAnsi="Times New Roman" w:eastAsia="宋体" w:cs="Times New Roman"/>
                <w:spacing w:val="-12"/>
                <w:sz w:val="21"/>
                <w:szCs w:val="21"/>
              </w:rPr>
              <w:t>度</w:t>
            </w:r>
            <w:r>
              <w:rPr>
                <w:rFonts w:hint="default" w:ascii="Times New Roman" w:hAnsi="Times New Roman" w:eastAsia="宋体" w:cs="Times New Roman"/>
                <w:spacing w:val="-45"/>
                <w:sz w:val="21"/>
                <w:szCs w:val="21"/>
              </w:rPr>
              <w:t xml:space="preserve"> </w:t>
            </w:r>
            <w:r>
              <w:rPr>
                <w:rFonts w:hint="default" w:ascii="Times New Roman" w:hAnsi="Times New Roman" w:eastAsia="宋体" w:cs="Times New Roman"/>
                <w:spacing w:val="-12"/>
                <w:sz w:val="21"/>
                <w:szCs w:val="21"/>
              </w:rPr>
              <w:t>为</w:t>
            </w:r>
            <w:r>
              <w:rPr>
                <w:rFonts w:hint="default" w:ascii="Times New Roman" w:hAnsi="Times New Roman" w:eastAsia="Times New Roman" w:cs="Times New Roman"/>
                <w:spacing w:val="-12"/>
                <w:sz w:val="21"/>
                <w:szCs w:val="21"/>
              </w:rPr>
              <w:t>8</w:t>
            </w:r>
            <w:r>
              <w:rPr>
                <w:rFonts w:hint="default" w:ascii="Times New Roman" w:hAnsi="Times New Roman" w:eastAsia="宋体" w:cs="Times New Roman"/>
                <w:spacing w:val="-5"/>
                <w:sz w:val="21"/>
                <w:szCs w:val="21"/>
              </w:rPr>
              <w:t>度。</w:t>
            </w:r>
          </w:p>
        </w:tc>
        <w:tc>
          <w:tcPr>
            <w:tcW w:w="669" w:type="dxa"/>
            <w:vAlign w:val="center"/>
          </w:tcPr>
          <w:p w14:paraId="740BFAC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235E4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6B1993AC">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kern w:val="28"/>
                <w:sz w:val="21"/>
                <w:szCs w:val="21"/>
                <w:lang w:eastAsia="zh-CN"/>
                <w14:ligatures w14:val="none"/>
              </w:rPr>
              <w:t>3</w:t>
            </w:r>
          </w:p>
        </w:tc>
        <w:tc>
          <w:tcPr>
            <w:tcW w:w="4192" w:type="dxa"/>
            <w:vAlign w:val="center"/>
          </w:tcPr>
          <w:p w14:paraId="45897565">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Times New Roman" w:cs="Times New Roman"/>
                <w:sz w:val="21"/>
                <w:szCs w:val="21"/>
              </w:rPr>
            </w:pPr>
            <w:r>
              <w:rPr>
                <w:rFonts w:hint="default" w:ascii="Times New Roman" w:hAnsi="Times New Roman" w:eastAsia="宋体" w:cs="Times New Roman"/>
                <w:sz w:val="21"/>
                <w:szCs w:val="21"/>
              </w:rPr>
              <w:t>石油库与库外居住区、共公建</w:t>
            </w:r>
            <w:r>
              <w:rPr>
                <w:rFonts w:hint="default" w:ascii="Times New Roman" w:hAnsi="Times New Roman" w:eastAsia="宋体" w:cs="Times New Roman"/>
                <w:spacing w:val="-6"/>
                <w:sz w:val="21"/>
                <w:szCs w:val="21"/>
              </w:rPr>
              <w:t>筑物、工矿企业、交通线的安全距</w:t>
            </w:r>
            <w:r>
              <w:rPr>
                <w:rFonts w:hint="default" w:ascii="Times New Roman" w:hAnsi="Times New Roman" w:eastAsia="宋体" w:cs="Times New Roman"/>
                <w:spacing w:val="-2"/>
                <w:sz w:val="21"/>
                <w:szCs w:val="21"/>
              </w:rPr>
              <w:t>离，不得小于</w:t>
            </w:r>
            <w:r>
              <w:rPr>
                <w:rFonts w:hint="default" w:ascii="Times New Roman" w:hAnsi="Times New Roman" w:eastAsia="宋体" w:cs="Times New Roman"/>
                <w:spacing w:val="-37"/>
                <w:sz w:val="21"/>
                <w:szCs w:val="21"/>
              </w:rPr>
              <w:t xml:space="preserve"> </w:t>
            </w:r>
            <w:r>
              <w:rPr>
                <w:rFonts w:hint="default" w:ascii="Times New Roman" w:hAnsi="Times New Roman" w:eastAsia="Times New Roman" w:cs="Times New Roman"/>
                <w:spacing w:val="-2"/>
                <w:sz w:val="21"/>
                <w:szCs w:val="21"/>
              </w:rPr>
              <w:t>GB50074-2014</w:t>
            </w:r>
          </w:p>
          <w:p w14:paraId="3E7BF26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4"/>
                <w:sz w:val="21"/>
                <w:szCs w:val="21"/>
              </w:rPr>
              <w:t>表</w:t>
            </w:r>
            <w:r>
              <w:rPr>
                <w:rFonts w:hint="default" w:ascii="Times New Roman" w:hAnsi="Times New Roman" w:eastAsia="宋体" w:cs="Times New Roman"/>
                <w:spacing w:val="-55"/>
                <w:sz w:val="21"/>
                <w:szCs w:val="21"/>
              </w:rPr>
              <w:t xml:space="preserve"> </w:t>
            </w:r>
            <w:r>
              <w:rPr>
                <w:rFonts w:hint="default" w:ascii="Times New Roman" w:hAnsi="Times New Roman" w:eastAsia="Times New Roman" w:cs="Times New Roman"/>
                <w:spacing w:val="-4"/>
                <w:sz w:val="21"/>
                <w:szCs w:val="21"/>
              </w:rPr>
              <w:t>4.0.10</w:t>
            </w:r>
            <w:r>
              <w:rPr>
                <w:rFonts w:hint="default" w:ascii="Times New Roman" w:hAnsi="Times New Roman" w:eastAsia="Times New Roman" w:cs="Times New Roman"/>
                <w:spacing w:val="29"/>
                <w:w w:val="101"/>
                <w:sz w:val="21"/>
                <w:szCs w:val="21"/>
              </w:rPr>
              <w:t xml:space="preserve"> </w:t>
            </w:r>
            <w:r>
              <w:rPr>
                <w:rFonts w:hint="default" w:ascii="Times New Roman" w:hAnsi="Times New Roman" w:eastAsia="宋体" w:cs="Times New Roman"/>
                <w:spacing w:val="-4"/>
                <w:sz w:val="21"/>
                <w:szCs w:val="21"/>
              </w:rPr>
              <w:t>的规定。</w:t>
            </w:r>
          </w:p>
        </w:tc>
        <w:tc>
          <w:tcPr>
            <w:tcW w:w="1783" w:type="dxa"/>
            <w:vAlign w:val="center"/>
          </w:tcPr>
          <w:p w14:paraId="3D9964FE">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07C8C6B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6"/>
                <w:sz w:val="21"/>
                <w:szCs w:val="21"/>
              </w:rPr>
              <w:t>第</w:t>
            </w:r>
            <w:r>
              <w:rPr>
                <w:rFonts w:hint="default" w:ascii="Times New Roman" w:hAnsi="Times New Roman" w:eastAsia="宋体" w:cs="Times New Roman"/>
                <w:spacing w:val="-51"/>
                <w:sz w:val="21"/>
                <w:szCs w:val="21"/>
              </w:rPr>
              <w:t xml:space="preserve"> </w:t>
            </w:r>
            <w:r>
              <w:rPr>
                <w:rFonts w:hint="default" w:ascii="Times New Roman" w:hAnsi="Times New Roman" w:eastAsia="Times New Roman" w:cs="Times New Roman"/>
                <w:spacing w:val="-6"/>
                <w:sz w:val="21"/>
                <w:szCs w:val="21"/>
              </w:rPr>
              <w:t>4.0.</w:t>
            </w:r>
            <w:r>
              <w:rPr>
                <w:rFonts w:hint="default" w:ascii="Times New Roman" w:hAnsi="Times New Roman" w:eastAsia="Times New Roman" w:cs="Times New Roman"/>
                <w:spacing w:val="-32"/>
                <w:sz w:val="21"/>
                <w:szCs w:val="21"/>
              </w:rPr>
              <w:t xml:space="preserve"> </w:t>
            </w:r>
            <w:r>
              <w:rPr>
                <w:rFonts w:hint="default" w:ascii="Times New Roman" w:hAnsi="Times New Roman" w:eastAsia="Times New Roman" w:cs="Times New Roman"/>
                <w:spacing w:val="-6"/>
                <w:sz w:val="21"/>
                <w:szCs w:val="21"/>
              </w:rPr>
              <w:t>10</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6"/>
                <w:sz w:val="21"/>
                <w:szCs w:val="21"/>
              </w:rPr>
              <w:t>条</w:t>
            </w:r>
          </w:p>
        </w:tc>
        <w:tc>
          <w:tcPr>
            <w:tcW w:w="1875" w:type="dxa"/>
            <w:vAlign w:val="center"/>
          </w:tcPr>
          <w:p w14:paraId="09092A1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1"/>
                <w:sz w:val="21"/>
                <w:szCs w:val="21"/>
              </w:rPr>
              <w:t>油库与周围居住</w:t>
            </w:r>
            <w:r>
              <w:rPr>
                <w:rFonts w:hint="default" w:ascii="Times New Roman" w:hAnsi="Times New Roman" w:eastAsia="宋体" w:cs="Times New Roman"/>
                <w:sz w:val="21"/>
                <w:szCs w:val="21"/>
              </w:rPr>
              <w:t>区、工矿企业、交通线等的安全</w:t>
            </w:r>
            <w:r>
              <w:rPr>
                <w:rFonts w:hint="default" w:ascii="Times New Roman" w:hAnsi="Times New Roman" w:eastAsia="宋体" w:cs="Times New Roman"/>
                <w:spacing w:val="-2"/>
                <w:sz w:val="21"/>
                <w:szCs w:val="21"/>
              </w:rPr>
              <w:t>距离符合规定。</w:t>
            </w:r>
          </w:p>
        </w:tc>
        <w:tc>
          <w:tcPr>
            <w:tcW w:w="669" w:type="dxa"/>
            <w:vAlign w:val="center"/>
          </w:tcPr>
          <w:p w14:paraId="3FA1203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6942B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73414908">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kern w:val="28"/>
                <w:sz w:val="21"/>
                <w:szCs w:val="21"/>
                <w:lang w:eastAsia="zh-CN"/>
                <w14:ligatures w14:val="none"/>
              </w:rPr>
              <w:t>4</w:t>
            </w:r>
          </w:p>
        </w:tc>
        <w:tc>
          <w:tcPr>
            <w:tcW w:w="4192" w:type="dxa"/>
            <w:vAlign w:val="center"/>
          </w:tcPr>
          <w:p w14:paraId="2A9BADC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z w:val="21"/>
                <w:szCs w:val="21"/>
              </w:rPr>
              <w:t>石油库的储罐区、水运装卸码</w:t>
            </w:r>
            <w:r>
              <w:rPr>
                <w:rFonts w:hint="default" w:ascii="Times New Roman" w:hAnsi="Times New Roman" w:eastAsia="宋体" w:cs="Times New Roman"/>
                <w:spacing w:val="11"/>
                <w:sz w:val="21"/>
                <w:szCs w:val="21"/>
              </w:rPr>
              <w:t>头与架空通信线路（或通信发射</w:t>
            </w:r>
            <w:r>
              <w:rPr>
                <w:rFonts w:hint="default" w:ascii="Times New Roman" w:hAnsi="Times New Roman" w:eastAsia="宋体" w:cs="Times New Roman"/>
                <w:spacing w:val="-5"/>
                <w:sz w:val="21"/>
                <w:szCs w:val="21"/>
              </w:rPr>
              <w:t>塔）、架空电力线路的安全距离，</w:t>
            </w:r>
            <w:r>
              <w:rPr>
                <w:rFonts w:hint="default" w:ascii="Times New Roman" w:hAnsi="Times New Roman" w:eastAsia="宋体" w:cs="Times New Roman"/>
                <w:spacing w:val="-3"/>
                <w:sz w:val="21"/>
                <w:szCs w:val="21"/>
              </w:rPr>
              <w:t>不应小于</w:t>
            </w:r>
            <w:r>
              <w:rPr>
                <w:rFonts w:hint="default" w:ascii="Times New Roman" w:hAnsi="Times New Roman" w:eastAsia="宋体" w:cs="Times New Roman"/>
                <w:spacing w:val="-32"/>
                <w:sz w:val="21"/>
                <w:szCs w:val="21"/>
              </w:rPr>
              <w:t xml:space="preserve"> </w:t>
            </w:r>
            <w:r>
              <w:rPr>
                <w:rFonts w:hint="default" w:ascii="Times New Roman" w:hAnsi="Times New Roman" w:eastAsia="Times New Roman" w:cs="Times New Roman"/>
                <w:spacing w:val="-3"/>
                <w:sz w:val="21"/>
                <w:szCs w:val="21"/>
              </w:rPr>
              <w:t xml:space="preserve">1.5 </w:t>
            </w:r>
            <w:r>
              <w:rPr>
                <w:rFonts w:hint="default" w:ascii="Times New Roman" w:hAnsi="Times New Roman" w:eastAsia="宋体" w:cs="Times New Roman"/>
                <w:spacing w:val="-3"/>
                <w:sz w:val="21"/>
                <w:szCs w:val="21"/>
              </w:rPr>
              <w:t>倍杆（塔）高；石油</w:t>
            </w:r>
            <w:r>
              <w:rPr>
                <w:rFonts w:hint="default" w:ascii="Times New Roman" w:hAnsi="Times New Roman" w:eastAsia="宋体" w:cs="Times New Roman"/>
                <w:spacing w:val="11"/>
                <w:sz w:val="21"/>
                <w:szCs w:val="21"/>
              </w:rPr>
              <w:t>库的铁路罐车和汽车罐车装卸设</w:t>
            </w:r>
            <w:r>
              <w:rPr>
                <w:rFonts w:hint="default" w:ascii="Times New Roman" w:hAnsi="Times New Roman" w:eastAsia="宋体" w:cs="Times New Roman"/>
                <w:spacing w:val="-6"/>
                <w:sz w:val="21"/>
                <w:szCs w:val="21"/>
              </w:rPr>
              <w:t>施、其他易燃可燃液体设施与架空通信线路（或通信发射塔）、架空</w:t>
            </w:r>
            <w:r>
              <w:rPr>
                <w:rFonts w:hint="default" w:ascii="Times New Roman" w:hAnsi="Times New Roman" w:eastAsia="宋体" w:cs="Times New Roman"/>
                <w:spacing w:val="11"/>
                <w:sz w:val="21"/>
                <w:szCs w:val="21"/>
              </w:rPr>
              <w:t>电力线路的安全距离，不应小于</w:t>
            </w:r>
            <w:r>
              <w:rPr>
                <w:rFonts w:hint="default" w:ascii="Times New Roman" w:hAnsi="Times New Roman" w:eastAsia="Times New Roman" w:cs="Times New Roman"/>
                <w:spacing w:val="2"/>
                <w:sz w:val="21"/>
                <w:szCs w:val="21"/>
              </w:rPr>
              <w:t xml:space="preserve">1.0 </w:t>
            </w:r>
            <w:r>
              <w:rPr>
                <w:rFonts w:hint="default" w:ascii="Times New Roman" w:hAnsi="Times New Roman" w:eastAsia="宋体" w:cs="Times New Roman"/>
                <w:spacing w:val="2"/>
                <w:sz w:val="21"/>
                <w:szCs w:val="21"/>
              </w:rPr>
              <w:t>倍杆（塔）高；以上各设施与</w:t>
            </w:r>
            <w:r>
              <w:rPr>
                <w:rFonts w:hint="default" w:ascii="Times New Roman" w:hAnsi="Times New Roman" w:eastAsia="宋体" w:cs="Times New Roman"/>
                <w:spacing w:val="-1"/>
                <w:sz w:val="21"/>
                <w:szCs w:val="21"/>
              </w:rPr>
              <w:t>电压不小于</w:t>
            </w:r>
            <w:r>
              <w:rPr>
                <w:rFonts w:hint="default" w:ascii="Times New Roman" w:hAnsi="Times New Roman" w:eastAsia="宋体" w:cs="Times New Roman"/>
                <w:spacing w:val="-45"/>
                <w:sz w:val="21"/>
                <w:szCs w:val="21"/>
              </w:rPr>
              <w:t xml:space="preserve"> </w:t>
            </w:r>
            <w:r>
              <w:rPr>
                <w:rFonts w:hint="default" w:ascii="Times New Roman" w:hAnsi="Times New Roman" w:eastAsia="Times New Roman" w:cs="Times New Roman"/>
                <w:spacing w:val="-1"/>
                <w:sz w:val="21"/>
                <w:szCs w:val="21"/>
              </w:rPr>
              <w:t>35kv</w:t>
            </w:r>
            <w:r>
              <w:rPr>
                <w:rFonts w:hint="default" w:ascii="Times New Roman" w:hAnsi="Times New Roman" w:eastAsia="Times New Roman" w:cs="Times New Roman"/>
                <w:spacing w:val="34"/>
                <w:w w:val="101"/>
                <w:sz w:val="21"/>
                <w:szCs w:val="21"/>
              </w:rPr>
              <w:t xml:space="preserve"> </w:t>
            </w:r>
            <w:r>
              <w:rPr>
                <w:rFonts w:hint="default" w:ascii="Times New Roman" w:hAnsi="Times New Roman" w:eastAsia="宋体" w:cs="Times New Roman"/>
                <w:spacing w:val="-1"/>
                <w:sz w:val="21"/>
                <w:szCs w:val="21"/>
              </w:rPr>
              <w:t>的架空电力线路</w:t>
            </w:r>
            <w:r>
              <w:rPr>
                <w:rFonts w:hint="default" w:ascii="Times New Roman" w:hAnsi="Times New Roman" w:eastAsia="宋体" w:cs="Times New Roman"/>
                <w:spacing w:val="-2"/>
                <w:sz w:val="21"/>
                <w:szCs w:val="21"/>
              </w:rPr>
              <w:t>的安全距离不应小于</w:t>
            </w:r>
            <w:r>
              <w:rPr>
                <w:rFonts w:hint="default" w:ascii="Times New Roman" w:hAnsi="Times New Roman" w:eastAsia="宋体" w:cs="Times New Roman"/>
                <w:spacing w:val="-44"/>
                <w:sz w:val="21"/>
                <w:szCs w:val="21"/>
              </w:rPr>
              <w:t xml:space="preserve"> </w:t>
            </w:r>
            <w:r>
              <w:rPr>
                <w:rFonts w:hint="default" w:ascii="Times New Roman" w:hAnsi="Times New Roman" w:eastAsia="Times New Roman" w:cs="Times New Roman"/>
                <w:spacing w:val="-2"/>
                <w:sz w:val="21"/>
                <w:szCs w:val="21"/>
              </w:rPr>
              <w:t>30m</w:t>
            </w:r>
            <w:r>
              <w:rPr>
                <w:rFonts w:hint="default" w:ascii="Times New Roman" w:hAnsi="Times New Roman" w:eastAsia="宋体" w:cs="Times New Roman"/>
                <w:spacing w:val="-2"/>
                <w:sz w:val="21"/>
                <w:szCs w:val="21"/>
              </w:rPr>
              <w:t>。</w:t>
            </w:r>
          </w:p>
        </w:tc>
        <w:tc>
          <w:tcPr>
            <w:tcW w:w="1783" w:type="dxa"/>
            <w:vAlign w:val="center"/>
          </w:tcPr>
          <w:p w14:paraId="2805A4C3">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655E6E4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2"/>
                <w:sz w:val="21"/>
                <w:szCs w:val="21"/>
              </w:rPr>
              <w:t>第</w:t>
            </w:r>
            <w:r>
              <w:rPr>
                <w:rFonts w:hint="default" w:ascii="Times New Roman" w:hAnsi="Times New Roman" w:eastAsia="宋体" w:cs="Times New Roman"/>
                <w:spacing w:val="-51"/>
                <w:sz w:val="21"/>
                <w:szCs w:val="21"/>
              </w:rPr>
              <w:t xml:space="preserve"> </w:t>
            </w:r>
            <w:r>
              <w:rPr>
                <w:rFonts w:hint="default" w:ascii="Times New Roman" w:hAnsi="Times New Roman" w:eastAsia="Times New Roman" w:cs="Times New Roman"/>
                <w:spacing w:val="-2"/>
                <w:sz w:val="21"/>
                <w:szCs w:val="21"/>
              </w:rPr>
              <w:t xml:space="preserve">4.0.11 </w:t>
            </w:r>
            <w:r>
              <w:rPr>
                <w:rFonts w:hint="default" w:ascii="Times New Roman" w:hAnsi="Times New Roman" w:eastAsia="宋体" w:cs="Times New Roman"/>
                <w:spacing w:val="-2"/>
                <w:sz w:val="21"/>
                <w:szCs w:val="21"/>
              </w:rPr>
              <w:t>条</w:t>
            </w:r>
          </w:p>
        </w:tc>
        <w:tc>
          <w:tcPr>
            <w:tcW w:w="1875" w:type="dxa"/>
            <w:vAlign w:val="center"/>
          </w:tcPr>
          <w:p w14:paraId="3DC31B1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z w:val="21"/>
                <w:szCs w:val="21"/>
              </w:rPr>
              <w:t>储罐区东侧、南侧架空电力线</w:t>
            </w:r>
            <w:r>
              <w:rPr>
                <w:rFonts w:hint="eastAsia" w:ascii="Times New Roman" w:hAnsi="Times New Roman" w:eastAsia="宋体" w:cs="Times New Roman"/>
                <w:sz w:val="21"/>
                <w:szCs w:val="21"/>
                <w:lang w:val="en-US" w:eastAsia="zh-CN"/>
              </w:rPr>
              <w:t>以及北侧的架空通讯线</w:t>
            </w:r>
            <w:r>
              <w:rPr>
                <w:rFonts w:hint="default" w:ascii="Times New Roman" w:hAnsi="Times New Roman" w:eastAsia="宋体" w:cs="Times New Roman"/>
                <w:sz w:val="21"/>
                <w:szCs w:val="21"/>
              </w:rPr>
              <w:t>满</w:t>
            </w:r>
            <w:r>
              <w:rPr>
                <w:rFonts w:hint="default" w:ascii="Times New Roman" w:hAnsi="Times New Roman" w:eastAsia="宋体" w:cs="Times New Roman"/>
                <w:spacing w:val="-2"/>
                <w:sz w:val="21"/>
                <w:szCs w:val="21"/>
              </w:rPr>
              <w:t>足要求。</w:t>
            </w:r>
          </w:p>
        </w:tc>
        <w:tc>
          <w:tcPr>
            <w:tcW w:w="669" w:type="dxa"/>
            <w:vAlign w:val="center"/>
          </w:tcPr>
          <w:p w14:paraId="32A118D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01F1F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40617092">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kern w:val="28"/>
                <w:sz w:val="21"/>
                <w:szCs w:val="21"/>
                <w:lang w:eastAsia="zh-CN"/>
                <w14:ligatures w14:val="none"/>
              </w:rPr>
              <w:t>5</w:t>
            </w:r>
          </w:p>
        </w:tc>
        <w:tc>
          <w:tcPr>
            <w:tcW w:w="4192" w:type="dxa"/>
            <w:vAlign w:val="center"/>
          </w:tcPr>
          <w:p w14:paraId="7528747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z w:val="21"/>
                <w:szCs w:val="21"/>
              </w:rPr>
              <w:t>石油库的围墙与爆破作业场地</w:t>
            </w:r>
            <w:r>
              <w:rPr>
                <w:rFonts w:hint="default" w:ascii="Times New Roman" w:hAnsi="Times New Roman" w:eastAsia="宋体" w:cs="Times New Roman"/>
                <w:spacing w:val="-6"/>
                <w:sz w:val="21"/>
                <w:szCs w:val="21"/>
              </w:rPr>
              <w:t>（如采石场）的安全距离，不应小</w:t>
            </w:r>
            <w:r>
              <w:rPr>
                <w:rFonts w:hint="default" w:ascii="Times New Roman" w:hAnsi="Times New Roman" w:eastAsia="宋体" w:cs="Times New Roman"/>
                <w:spacing w:val="-4"/>
                <w:sz w:val="21"/>
                <w:szCs w:val="21"/>
              </w:rPr>
              <w:t>于</w:t>
            </w:r>
            <w:r>
              <w:rPr>
                <w:rFonts w:hint="default" w:ascii="Times New Roman" w:hAnsi="Times New Roman" w:eastAsia="宋体" w:cs="Times New Roman"/>
                <w:spacing w:val="-51"/>
                <w:sz w:val="21"/>
                <w:szCs w:val="21"/>
              </w:rPr>
              <w:t xml:space="preserve"> </w:t>
            </w:r>
            <w:r>
              <w:rPr>
                <w:rFonts w:hint="default" w:ascii="Times New Roman" w:hAnsi="Times New Roman" w:eastAsia="Times New Roman" w:cs="Times New Roman"/>
                <w:spacing w:val="-4"/>
                <w:sz w:val="21"/>
                <w:szCs w:val="21"/>
              </w:rPr>
              <w:t>300m</w:t>
            </w:r>
            <w:r>
              <w:rPr>
                <w:rFonts w:hint="default" w:ascii="Times New Roman" w:hAnsi="Times New Roman" w:eastAsia="宋体" w:cs="Times New Roman"/>
                <w:spacing w:val="-4"/>
                <w:sz w:val="21"/>
                <w:szCs w:val="21"/>
              </w:rPr>
              <w:t>。</w:t>
            </w:r>
          </w:p>
        </w:tc>
        <w:tc>
          <w:tcPr>
            <w:tcW w:w="1783" w:type="dxa"/>
            <w:vAlign w:val="center"/>
          </w:tcPr>
          <w:p w14:paraId="280306E1">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47CA92F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6"/>
                <w:sz w:val="21"/>
                <w:szCs w:val="21"/>
              </w:rPr>
              <w:t>第</w:t>
            </w:r>
            <w:r>
              <w:rPr>
                <w:rFonts w:hint="default" w:ascii="Times New Roman" w:hAnsi="Times New Roman" w:eastAsia="宋体" w:cs="Times New Roman"/>
                <w:spacing w:val="-51"/>
                <w:sz w:val="21"/>
                <w:szCs w:val="21"/>
              </w:rPr>
              <w:t xml:space="preserve"> </w:t>
            </w:r>
            <w:r>
              <w:rPr>
                <w:rFonts w:hint="default" w:ascii="Times New Roman" w:hAnsi="Times New Roman" w:eastAsia="Times New Roman" w:cs="Times New Roman"/>
                <w:spacing w:val="-6"/>
                <w:sz w:val="21"/>
                <w:szCs w:val="21"/>
              </w:rPr>
              <w:t>4.0.</w:t>
            </w:r>
            <w:r>
              <w:rPr>
                <w:rFonts w:hint="default" w:ascii="Times New Roman" w:hAnsi="Times New Roman" w:eastAsia="Times New Roman" w:cs="Times New Roman"/>
                <w:spacing w:val="-32"/>
                <w:sz w:val="21"/>
                <w:szCs w:val="21"/>
              </w:rPr>
              <w:t xml:space="preserve"> </w:t>
            </w:r>
            <w:r>
              <w:rPr>
                <w:rFonts w:hint="default" w:ascii="Times New Roman" w:hAnsi="Times New Roman" w:eastAsia="Times New Roman" w:cs="Times New Roman"/>
                <w:spacing w:val="-6"/>
                <w:sz w:val="21"/>
                <w:szCs w:val="21"/>
              </w:rPr>
              <w:t>12</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6"/>
                <w:sz w:val="21"/>
                <w:szCs w:val="21"/>
              </w:rPr>
              <w:t>条</w:t>
            </w:r>
          </w:p>
        </w:tc>
        <w:tc>
          <w:tcPr>
            <w:tcW w:w="1875" w:type="dxa"/>
            <w:vAlign w:val="center"/>
          </w:tcPr>
          <w:p w14:paraId="7D17F3B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11"/>
                <w:sz w:val="21"/>
                <w:szCs w:val="21"/>
              </w:rPr>
              <w:t>石油库周边</w:t>
            </w:r>
            <w:r>
              <w:rPr>
                <w:rFonts w:hint="default" w:ascii="Times New Roman" w:hAnsi="Times New Roman" w:eastAsia="Times New Roman" w:cs="Times New Roman"/>
                <w:spacing w:val="5"/>
                <w:sz w:val="21"/>
                <w:szCs w:val="21"/>
              </w:rPr>
              <w:t xml:space="preserve">300m  </w:t>
            </w:r>
            <w:r>
              <w:rPr>
                <w:rFonts w:hint="default" w:ascii="Times New Roman" w:hAnsi="Times New Roman" w:eastAsia="宋体" w:cs="Times New Roman"/>
                <w:spacing w:val="5"/>
                <w:sz w:val="21"/>
                <w:szCs w:val="21"/>
              </w:rPr>
              <w:t>内无爆破</w:t>
            </w:r>
            <w:r>
              <w:rPr>
                <w:rFonts w:hint="default" w:ascii="Times New Roman" w:hAnsi="Times New Roman" w:eastAsia="宋体" w:cs="Times New Roman"/>
                <w:spacing w:val="-2"/>
                <w:sz w:val="21"/>
                <w:szCs w:val="21"/>
              </w:rPr>
              <w:t>作业场地。</w:t>
            </w:r>
          </w:p>
        </w:tc>
        <w:tc>
          <w:tcPr>
            <w:tcW w:w="669" w:type="dxa"/>
            <w:vAlign w:val="center"/>
          </w:tcPr>
          <w:p w14:paraId="1AEC9A8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25974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3F9ABDA3">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default" w:ascii="Times New Roman" w:hAnsi="Times New Roman" w:eastAsia="宋体" w:cs="Times New Roman"/>
                <w:kern w:val="28"/>
                <w:sz w:val="21"/>
                <w:szCs w:val="21"/>
                <w:lang w:val="en-US" w:eastAsia="zh-CN"/>
                <w14:ligatures w14:val="none"/>
              </w:rPr>
              <w:t>6</w:t>
            </w:r>
          </w:p>
        </w:tc>
        <w:tc>
          <w:tcPr>
            <w:tcW w:w="4192" w:type="dxa"/>
            <w:vAlign w:val="center"/>
          </w:tcPr>
          <w:p w14:paraId="5584BA2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1"/>
                <w:sz w:val="21"/>
                <w:szCs w:val="21"/>
              </w:rPr>
              <w:t>油库内建（构）筑物、设施之</w:t>
            </w:r>
            <w:r>
              <w:rPr>
                <w:rFonts w:hint="default" w:ascii="Times New Roman" w:hAnsi="Times New Roman" w:eastAsia="宋体" w:cs="Times New Roman"/>
                <w:spacing w:val="-6"/>
                <w:sz w:val="21"/>
                <w:szCs w:val="21"/>
              </w:rPr>
              <w:t>间的防火距离（储罐与储罐之间的</w:t>
            </w:r>
            <w:r>
              <w:rPr>
                <w:rFonts w:hint="default" w:ascii="Times New Roman" w:hAnsi="Times New Roman" w:eastAsia="宋体" w:cs="Times New Roman"/>
                <w:spacing w:val="-14"/>
                <w:sz w:val="21"/>
                <w:szCs w:val="21"/>
              </w:rPr>
              <w:t>距离除外</w:t>
            </w:r>
            <w:r>
              <w:rPr>
                <w:rFonts w:hint="default" w:ascii="Times New Roman" w:hAnsi="Times New Roman" w:eastAsia="宋体" w:cs="Times New Roman"/>
                <w:spacing w:val="-32"/>
                <w:sz w:val="21"/>
                <w:szCs w:val="21"/>
              </w:rPr>
              <w:t>）</w:t>
            </w:r>
            <w:r>
              <w:rPr>
                <w:rFonts w:hint="eastAsia" w:ascii="Times New Roman" w:hAnsi="Times New Roman" w:eastAsia="宋体" w:cs="Times New Roman"/>
                <w:spacing w:val="33"/>
                <w:sz w:val="21"/>
                <w:szCs w:val="21"/>
                <w:lang w:eastAsia="zh-CN"/>
              </w:rPr>
              <w:t>，</w:t>
            </w:r>
            <w:r>
              <w:rPr>
                <w:rFonts w:hint="default" w:ascii="Times New Roman" w:hAnsi="Times New Roman" w:eastAsia="宋体" w:cs="Times New Roman"/>
                <w:spacing w:val="-14"/>
                <w:sz w:val="21"/>
                <w:szCs w:val="21"/>
              </w:rPr>
              <w:t>不应小于</w:t>
            </w:r>
            <w:r>
              <w:rPr>
                <w:rFonts w:hint="default" w:ascii="Times New Roman" w:hAnsi="Times New Roman" w:eastAsia="Times New Roman" w:cs="Times New Roman"/>
                <w:spacing w:val="-3"/>
                <w:sz w:val="21"/>
                <w:szCs w:val="21"/>
              </w:rPr>
              <w:t xml:space="preserve">GB50074-2014 </w:t>
            </w:r>
            <w:r>
              <w:rPr>
                <w:rFonts w:hint="default" w:ascii="Times New Roman" w:hAnsi="Times New Roman" w:eastAsia="宋体" w:cs="Times New Roman"/>
                <w:spacing w:val="-3"/>
                <w:sz w:val="21"/>
                <w:szCs w:val="21"/>
              </w:rPr>
              <w:t>表</w:t>
            </w:r>
            <w:r>
              <w:rPr>
                <w:rFonts w:hint="default" w:ascii="Times New Roman" w:hAnsi="Times New Roman" w:eastAsia="宋体" w:cs="Times New Roman"/>
                <w:spacing w:val="-30"/>
                <w:sz w:val="21"/>
                <w:szCs w:val="21"/>
              </w:rPr>
              <w:t xml:space="preserve"> </w:t>
            </w:r>
            <w:r>
              <w:rPr>
                <w:rFonts w:hint="default" w:ascii="Times New Roman" w:hAnsi="Times New Roman" w:eastAsia="Times New Roman" w:cs="Times New Roman"/>
                <w:spacing w:val="-3"/>
                <w:sz w:val="21"/>
                <w:szCs w:val="21"/>
              </w:rPr>
              <w:t>5.1.3</w:t>
            </w:r>
            <w:r>
              <w:rPr>
                <w:rFonts w:hint="default" w:ascii="Times New Roman" w:hAnsi="Times New Roman" w:eastAsia="宋体" w:cs="Times New Roman"/>
                <w:spacing w:val="-3"/>
                <w:sz w:val="21"/>
                <w:szCs w:val="21"/>
              </w:rPr>
              <w:t>的规定。</w:t>
            </w:r>
          </w:p>
        </w:tc>
        <w:tc>
          <w:tcPr>
            <w:tcW w:w="1783" w:type="dxa"/>
            <w:vAlign w:val="center"/>
          </w:tcPr>
          <w:p w14:paraId="484C3365">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304FCFF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3"/>
                <w:sz w:val="21"/>
                <w:szCs w:val="21"/>
              </w:rPr>
              <w:t>第</w:t>
            </w:r>
            <w:r>
              <w:rPr>
                <w:rFonts w:hint="default" w:ascii="Times New Roman" w:hAnsi="Times New Roman" w:eastAsia="宋体" w:cs="Times New Roman"/>
                <w:spacing w:val="-49"/>
                <w:sz w:val="21"/>
                <w:szCs w:val="21"/>
              </w:rPr>
              <w:t xml:space="preserve"> </w:t>
            </w:r>
            <w:r>
              <w:rPr>
                <w:rFonts w:hint="default" w:ascii="Times New Roman" w:hAnsi="Times New Roman" w:eastAsia="Times New Roman" w:cs="Times New Roman"/>
                <w:spacing w:val="-3"/>
                <w:sz w:val="21"/>
                <w:szCs w:val="21"/>
              </w:rPr>
              <w:t>5.1.3</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3"/>
                <w:sz w:val="21"/>
                <w:szCs w:val="21"/>
              </w:rPr>
              <w:t>条</w:t>
            </w:r>
          </w:p>
        </w:tc>
        <w:tc>
          <w:tcPr>
            <w:tcW w:w="1875" w:type="dxa"/>
            <w:vAlign w:val="center"/>
          </w:tcPr>
          <w:p w14:paraId="218FBC6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1"/>
                <w:sz w:val="21"/>
                <w:szCs w:val="21"/>
              </w:rPr>
              <w:t>油库内建、构筑</w:t>
            </w:r>
            <w:r>
              <w:rPr>
                <w:rFonts w:hint="default" w:ascii="Times New Roman" w:hAnsi="Times New Roman" w:eastAsia="宋体" w:cs="Times New Roman"/>
                <w:sz w:val="21"/>
                <w:szCs w:val="21"/>
              </w:rPr>
              <w:t>物间防火距离符</w:t>
            </w:r>
            <w:r>
              <w:rPr>
                <w:rFonts w:hint="default" w:ascii="Times New Roman" w:hAnsi="Times New Roman" w:eastAsia="宋体" w:cs="Times New Roman"/>
                <w:spacing w:val="17"/>
                <w:sz w:val="21"/>
                <w:szCs w:val="21"/>
              </w:rPr>
              <w:t>合规定</w:t>
            </w:r>
            <w:r>
              <w:rPr>
                <w:rFonts w:hint="default" w:ascii="Times New Roman" w:hAnsi="Times New Roman" w:eastAsia="宋体" w:cs="Times New Roman"/>
                <w:spacing w:val="-40"/>
                <w:sz w:val="21"/>
                <w:szCs w:val="21"/>
              </w:rPr>
              <w:t xml:space="preserve"> </w:t>
            </w:r>
            <w:r>
              <w:rPr>
                <w:rFonts w:hint="default" w:ascii="Times New Roman" w:hAnsi="Times New Roman" w:eastAsia="宋体" w:cs="Times New Roman"/>
                <w:spacing w:val="17"/>
                <w:sz w:val="21"/>
                <w:szCs w:val="21"/>
              </w:rPr>
              <w:t>，</w:t>
            </w:r>
            <w:r>
              <w:rPr>
                <w:rFonts w:hint="default" w:ascii="Times New Roman" w:hAnsi="Times New Roman" w:eastAsia="宋体" w:cs="Times New Roman"/>
                <w:spacing w:val="-57"/>
                <w:sz w:val="21"/>
                <w:szCs w:val="21"/>
              </w:rPr>
              <w:t xml:space="preserve"> </w:t>
            </w:r>
            <w:r>
              <w:rPr>
                <w:rFonts w:hint="default" w:ascii="Times New Roman" w:hAnsi="Times New Roman" w:eastAsia="宋体" w:cs="Times New Roman"/>
                <w:spacing w:val="17"/>
                <w:sz w:val="21"/>
                <w:szCs w:val="21"/>
              </w:rPr>
              <w:t>见表</w:t>
            </w:r>
            <w:r>
              <w:rPr>
                <w:rFonts w:hint="eastAsia" w:ascii="Times New Roman" w:hAnsi="Times New Roman" w:eastAsia="宋体" w:cs="Times New Roman"/>
                <w:spacing w:val="-2"/>
                <w:sz w:val="21"/>
                <w:szCs w:val="21"/>
                <w:lang w:val="en-US" w:eastAsia="zh-CN"/>
              </w:rPr>
              <w:t>2.1-2</w:t>
            </w:r>
            <w:r>
              <w:rPr>
                <w:rFonts w:hint="default" w:ascii="Times New Roman" w:hAnsi="Times New Roman" w:eastAsia="宋体" w:cs="Times New Roman"/>
                <w:spacing w:val="-2"/>
                <w:sz w:val="21"/>
                <w:szCs w:val="21"/>
              </w:rPr>
              <w:t>。</w:t>
            </w:r>
          </w:p>
        </w:tc>
        <w:tc>
          <w:tcPr>
            <w:tcW w:w="669" w:type="dxa"/>
            <w:vAlign w:val="center"/>
          </w:tcPr>
          <w:p w14:paraId="5359FB5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41493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3884AB2F">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default" w:ascii="Times New Roman" w:hAnsi="Times New Roman" w:eastAsia="宋体" w:cs="Times New Roman"/>
                <w:kern w:val="28"/>
                <w:sz w:val="21"/>
                <w:szCs w:val="21"/>
                <w:lang w:val="en-US" w:eastAsia="zh-CN"/>
                <w14:ligatures w14:val="none"/>
              </w:rPr>
              <w:t>7</w:t>
            </w:r>
          </w:p>
        </w:tc>
        <w:tc>
          <w:tcPr>
            <w:tcW w:w="4192" w:type="dxa"/>
            <w:vAlign w:val="center"/>
          </w:tcPr>
          <w:p w14:paraId="6E0162FD">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Times New Roman" w:cs="Times New Roman"/>
                <w:sz w:val="21"/>
                <w:szCs w:val="21"/>
              </w:rPr>
            </w:pPr>
            <w:r>
              <w:rPr>
                <w:rFonts w:hint="default" w:ascii="Times New Roman" w:hAnsi="Times New Roman" w:eastAsia="宋体" w:cs="Times New Roman"/>
                <w:sz w:val="21"/>
                <w:szCs w:val="21"/>
              </w:rPr>
              <w:t>同一个地上储罐区内，相邻罐</w:t>
            </w:r>
            <w:r>
              <w:rPr>
                <w:rFonts w:hint="default" w:ascii="Times New Roman" w:hAnsi="Times New Roman" w:eastAsia="宋体" w:cs="Times New Roman"/>
                <w:spacing w:val="-6"/>
                <w:sz w:val="21"/>
                <w:szCs w:val="21"/>
              </w:rPr>
              <w:t>组储罐之间的防火距离，应符合下</w:t>
            </w:r>
            <w:r>
              <w:rPr>
                <w:rFonts w:hint="default" w:ascii="Times New Roman" w:hAnsi="Times New Roman" w:eastAsia="宋体" w:cs="Times New Roman"/>
                <w:spacing w:val="-4"/>
                <w:sz w:val="21"/>
                <w:szCs w:val="21"/>
              </w:rPr>
              <w:t>列规定</w:t>
            </w:r>
            <w:r>
              <w:rPr>
                <w:rFonts w:hint="default" w:ascii="Times New Roman" w:hAnsi="Times New Roman" w:eastAsia="Times New Roman" w:cs="Times New Roman"/>
                <w:spacing w:val="-4"/>
                <w:sz w:val="21"/>
                <w:szCs w:val="21"/>
              </w:rPr>
              <w:t>:</w:t>
            </w:r>
          </w:p>
          <w:p w14:paraId="0AB65256">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1"/>
                <w:sz w:val="21"/>
                <w:szCs w:val="21"/>
              </w:rPr>
              <w:t xml:space="preserve">1 </w:t>
            </w:r>
            <w:r>
              <w:rPr>
                <w:rFonts w:hint="default" w:ascii="Times New Roman" w:hAnsi="Times New Roman" w:eastAsia="宋体" w:cs="Times New Roman"/>
                <w:spacing w:val="-1"/>
                <w:sz w:val="21"/>
                <w:szCs w:val="21"/>
              </w:rPr>
              <w:t>储存甲</w:t>
            </w:r>
            <w:r>
              <w:rPr>
                <w:rFonts w:hint="default" w:ascii="Times New Roman" w:hAnsi="Times New Roman" w:eastAsia="宋体" w:cs="Times New Roman"/>
                <w:spacing w:val="-38"/>
                <w:sz w:val="21"/>
                <w:szCs w:val="21"/>
              </w:rPr>
              <w:t xml:space="preserve"> </w:t>
            </w:r>
            <w:r>
              <w:rPr>
                <w:rFonts w:hint="default" w:ascii="Times New Roman" w:hAnsi="Times New Roman" w:eastAsia="Times New Roman" w:cs="Times New Roman"/>
                <w:spacing w:val="-1"/>
                <w:position w:val="-1"/>
                <w:sz w:val="21"/>
                <w:szCs w:val="21"/>
              </w:rPr>
              <w:t>B</w:t>
            </w:r>
            <w:r>
              <w:rPr>
                <w:rFonts w:hint="default" w:ascii="Times New Roman" w:hAnsi="Times New Roman" w:eastAsia="Times New Roman" w:cs="Times New Roman"/>
                <w:spacing w:val="-8"/>
                <w:position w:val="-1"/>
                <w:sz w:val="21"/>
                <w:szCs w:val="21"/>
              </w:rPr>
              <w:t xml:space="preserve"> </w:t>
            </w:r>
            <w:r>
              <w:rPr>
                <w:rFonts w:hint="default" w:ascii="Times New Roman" w:hAnsi="Times New Roman" w:eastAsia="宋体" w:cs="Times New Roman"/>
                <w:spacing w:val="-1"/>
                <w:sz w:val="21"/>
                <w:szCs w:val="21"/>
              </w:rPr>
              <w:t>、乙类液体的固定顶储</w:t>
            </w:r>
            <w:r>
              <w:rPr>
                <w:rFonts w:hint="default" w:ascii="Times New Roman" w:hAnsi="Times New Roman" w:eastAsia="宋体" w:cs="Times New Roman"/>
                <w:spacing w:val="11"/>
                <w:sz w:val="21"/>
                <w:szCs w:val="21"/>
              </w:rPr>
              <w:t>罐和浮顶采用易熔材料制作的内浮顶储罐与其他罐组相邻储罐之</w:t>
            </w:r>
            <w:r>
              <w:rPr>
                <w:rFonts w:hint="default" w:ascii="Times New Roman" w:hAnsi="Times New Roman" w:eastAsia="宋体" w:cs="Times New Roman"/>
                <w:spacing w:val="-6"/>
                <w:sz w:val="21"/>
                <w:szCs w:val="21"/>
              </w:rPr>
              <w:t>间的防火距离，不应小于相邻储罐</w:t>
            </w:r>
            <w:r>
              <w:rPr>
                <w:rFonts w:hint="default" w:ascii="Times New Roman" w:hAnsi="Times New Roman" w:eastAsia="宋体" w:cs="Times New Roman"/>
                <w:spacing w:val="-4"/>
                <w:sz w:val="21"/>
                <w:szCs w:val="21"/>
              </w:rPr>
              <w:t>中较大罐直径的</w:t>
            </w:r>
            <w:r>
              <w:rPr>
                <w:rFonts w:hint="default" w:ascii="Times New Roman" w:hAnsi="Times New Roman" w:eastAsia="宋体" w:cs="Times New Roman"/>
                <w:spacing w:val="-21"/>
                <w:sz w:val="21"/>
                <w:szCs w:val="21"/>
              </w:rPr>
              <w:t xml:space="preserve"> </w:t>
            </w:r>
            <w:r>
              <w:rPr>
                <w:rFonts w:hint="default" w:ascii="Times New Roman" w:hAnsi="Times New Roman" w:eastAsia="Times New Roman" w:cs="Times New Roman"/>
                <w:spacing w:val="-4"/>
                <w:sz w:val="21"/>
                <w:szCs w:val="21"/>
              </w:rPr>
              <w:t xml:space="preserve">1.0 </w:t>
            </w:r>
            <w:r>
              <w:rPr>
                <w:rFonts w:hint="default" w:ascii="Times New Roman" w:hAnsi="Times New Roman" w:eastAsia="宋体" w:cs="Times New Roman"/>
                <w:spacing w:val="-4"/>
                <w:sz w:val="21"/>
                <w:szCs w:val="21"/>
              </w:rPr>
              <w:t>倍；</w:t>
            </w:r>
          </w:p>
          <w:p w14:paraId="7F1D10E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Times New Roman" w:cs="Times New Roman"/>
                <w:spacing w:val="-2"/>
                <w:sz w:val="21"/>
                <w:szCs w:val="21"/>
              </w:rPr>
              <w:t xml:space="preserve">2 </w:t>
            </w:r>
            <w:r>
              <w:rPr>
                <w:rFonts w:hint="default" w:ascii="Times New Roman" w:hAnsi="Times New Roman" w:eastAsia="宋体" w:cs="Times New Roman"/>
                <w:spacing w:val="-2"/>
                <w:sz w:val="21"/>
                <w:szCs w:val="21"/>
              </w:rPr>
              <w:t>外浮顶储罐、采用钢制浮顶的内</w:t>
            </w:r>
            <w:r>
              <w:rPr>
                <w:rFonts w:hint="default" w:ascii="Times New Roman" w:hAnsi="Times New Roman" w:eastAsia="宋体" w:cs="Times New Roman"/>
                <w:spacing w:val="-6"/>
                <w:sz w:val="21"/>
                <w:szCs w:val="21"/>
              </w:rPr>
              <w:t>浮顶储罐、储存丙类液体的固定顶</w:t>
            </w:r>
            <w:r>
              <w:rPr>
                <w:rFonts w:hint="default" w:ascii="Times New Roman" w:hAnsi="Times New Roman" w:eastAsia="宋体" w:cs="Times New Roman"/>
                <w:spacing w:val="11"/>
                <w:sz w:val="21"/>
                <w:szCs w:val="21"/>
              </w:rPr>
              <w:t>储罐与其他罐组储罐之间的防火</w:t>
            </w:r>
            <w:r>
              <w:rPr>
                <w:rFonts w:hint="default" w:ascii="Times New Roman" w:hAnsi="Times New Roman" w:eastAsia="宋体" w:cs="Times New Roman"/>
                <w:spacing w:val="-6"/>
                <w:sz w:val="21"/>
                <w:szCs w:val="21"/>
              </w:rPr>
              <w:t>距离，不应小于相邻储罐中较大罐</w:t>
            </w:r>
            <w:r>
              <w:rPr>
                <w:rFonts w:hint="default" w:ascii="Times New Roman" w:hAnsi="Times New Roman" w:eastAsia="宋体" w:cs="Times New Roman"/>
                <w:spacing w:val="-2"/>
                <w:sz w:val="21"/>
                <w:szCs w:val="21"/>
              </w:rPr>
              <w:t>直径的</w:t>
            </w:r>
            <w:r>
              <w:rPr>
                <w:rFonts w:hint="default" w:ascii="Times New Roman" w:hAnsi="Times New Roman" w:eastAsia="宋体" w:cs="Times New Roman"/>
                <w:spacing w:val="-52"/>
                <w:sz w:val="21"/>
                <w:szCs w:val="21"/>
              </w:rPr>
              <w:t xml:space="preserve"> </w:t>
            </w:r>
            <w:r>
              <w:rPr>
                <w:rFonts w:hint="default" w:ascii="Times New Roman" w:hAnsi="Times New Roman" w:eastAsia="Times New Roman" w:cs="Times New Roman"/>
                <w:spacing w:val="-2"/>
                <w:sz w:val="21"/>
                <w:szCs w:val="21"/>
              </w:rPr>
              <w:t xml:space="preserve">0.8 </w:t>
            </w:r>
            <w:r>
              <w:rPr>
                <w:rFonts w:hint="default" w:ascii="Times New Roman" w:hAnsi="Times New Roman" w:eastAsia="宋体" w:cs="Times New Roman"/>
                <w:spacing w:val="-2"/>
                <w:sz w:val="21"/>
                <w:szCs w:val="21"/>
              </w:rPr>
              <w:t>倍。</w:t>
            </w:r>
          </w:p>
        </w:tc>
        <w:tc>
          <w:tcPr>
            <w:tcW w:w="1783" w:type="dxa"/>
            <w:vAlign w:val="center"/>
          </w:tcPr>
          <w:p w14:paraId="13B520D2">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0860B4B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3"/>
                <w:sz w:val="21"/>
                <w:szCs w:val="21"/>
              </w:rPr>
              <w:t>第</w:t>
            </w:r>
            <w:r>
              <w:rPr>
                <w:rFonts w:hint="default" w:ascii="Times New Roman" w:hAnsi="Times New Roman" w:eastAsia="宋体" w:cs="Times New Roman"/>
                <w:spacing w:val="-49"/>
                <w:sz w:val="21"/>
                <w:szCs w:val="21"/>
              </w:rPr>
              <w:t xml:space="preserve"> </w:t>
            </w:r>
            <w:r>
              <w:rPr>
                <w:rFonts w:hint="default" w:ascii="Times New Roman" w:hAnsi="Times New Roman" w:eastAsia="Times New Roman" w:cs="Times New Roman"/>
                <w:spacing w:val="-3"/>
                <w:sz w:val="21"/>
                <w:szCs w:val="21"/>
              </w:rPr>
              <w:t>5.1.8</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3"/>
                <w:sz w:val="21"/>
                <w:szCs w:val="21"/>
              </w:rPr>
              <w:t>条</w:t>
            </w:r>
          </w:p>
        </w:tc>
        <w:tc>
          <w:tcPr>
            <w:tcW w:w="1875" w:type="dxa"/>
            <w:vAlign w:val="center"/>
          </w:tcPr>
          <w:p w14:paraId="2525B33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z w:val="21"/>
                <w:szCs w:val="21"/>
              </w:rPr>
              <w:t>罐组间距离满足</w:t>
            </w:r>
            <w:r>
              <w:rPr>
                <w:rFonts w:hint="default" w:ascii="Times New Roman" w:hAnsi="Times New Roman" w:eastAsia="宋体" w:cs="Times New Roman"/>
                <w:spacing w:val="-4"/>
                <w:sz w:val="21"/>
                <w:szCs w:val="21"/>
              </w:rPr>
              <w:t>要求。</w:t>
            </w:r>
          </w:p>
        </w:tc>
        <w:tc>
          <w:tcPr>
            <w:tcW w:w="669" w:type="dxa"/>
            <w:vAlign w:val="center"/>
          </w:tcPr>
          <w:p w14:paraId="5BAE44D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4B34B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2FBBC270">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default" w:ascii="Times New Roman" w:hAnsi="Times New Roman" w:eastAsia="宋体" w:cs="Times New Roman"/>
                <w:kern w:val="28"/>
                <w:sz w:val="21"/>
                <w:szCs w:val="21"/>
                <w:lang w:val="en-US" w:eastAsia="zh-CN"/>
                <w14:ligatures w14:val="none"/>
              </w:rPr>
              <w:t>8</w:t>
            </w:r>
          </w:p>
        </w:tc>
        <w:tc>
          <w:tcPr>
            <w:tcW w:w="4192" w:type="dxa"/>
            <w:vAlign w:val="center"/>
          </w:tcPr>
          <w:p w14:paraId="5DA255B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z w:val="21"/>
                <w:szCs w:val="21"/>
              </w:rPr>
              <w:t>公路装卸区应布置在石油库临</w:t>
            </w:r>
            <w:r>
              <w:rPr>
                <w:rFonts w:hint="default" w:ascii="Times New Roman" w:hAnsi="Times New Roman" w:eastAsia="宋体" w:cs="Times New Roman"/>
                <w:spacing w:val="-6"/>
                <w:sz w:val="21"/>
                <w:szCs w:val="21"/>
              </w:rPr>
              <w:t>近库外道路的一侧，并宜设围墙与</w:t>
            </w:r>
            <w:r>
              <w:rPr>
                <w:rFonts w:hint="default" w:ascii="Times New Roman" w:hAnsi="Times New Roman" w:eastAsia="宋体" w:cs="Times New Roman"/>
                <w:spacing w:val="-2"/>
                <w:sz w:val="21"/>
                <w:szCs w:val="21"/>
              </w:rPr>
              <w:t>其他各区隔开。</w:t>
            </w:r>
          </w:p>
        </w:tc>
        <w:tc>
          <w:tcPr>
            <w:tcW w:w="1783" w:type="dxa"/>
            <w:vAlign w:val="center"/>
          </w:tcPr>
          <w:p w14:paraId="36F8BA05">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6A4C614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3"/>
                <w:sz w:val="21"/>
                <w:szCs w:val="21"/>
              </w:rPr>
              <w:t>第</w:t>
            </w:r>
            <w:r>
              <w:rPr>
                <w:rFonts w:hint="default" w:ascii="Times New Roman" w:hAnsi="Times New Roman" w:eastAsia="宋体" w:cs="Times New Roman"/>
                <w:spacing w:val="-42"/>
                <w:sz w:val="21"/>
                <w:szCs w:val="21"/>
              </w:rPr>
              <w:t xml:space="preserve"> </w:t>
            </w:r>
            <w:r>
              <w:rPr>
                <w:rFonts w:hint="default" w:ascii="Times New Roman" w:hAnsi="Times New Roman" w:eastAsia="Times New Roman" w:cs="Times New Roman"/>
                <w:spacing w:val="-3"/>
                <w:sz w:val="21"/>
                <w:szCs w:val="21"/>
              </w:rPr>
              <w:t xml:space="preserve">5.1.11 </w:t>
            </w:r>
            <w:r>
              <w:rPr>
                <w:rFonts w:hint="default" w:ascii="Times New Roman" w:hAnsi="Times New Roman" w:eastAsia="宋体" w:cs="Times New Roman"/>
                <w:spacing w:val="-3"/>
                <w:sz w:val="21"/>
                <w:szCs w:val="21"/>
              </w:rPr>
              <w:t>条</w:t>
            </w:r>
          </w:p>
        </w:tc>
        <w:tc>
          <w:tcPr>
            <w:tcW w:w="1875" w:type="dxa"/>
            <w:vAlign w:val="center"/>
          </w:tcPr>
          <w:p w14:paraId="46B0DD4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1"/>
                <w:sz w:val="21"/>
                <w:szCs w:val="21"/>
              </w:rPr>
              <w:t>公路装卸区布置</w:t>
            </w:r>
            <w:r>
              <w:rPr>
                <w:rFonts w:hint="default" w:ascii="Times New Roman" w:hAnsi="Times New Roman" w:eastAsia="宋体" w:cs="Times New Roman"/>
                <w:sz w:val="21"/>
                <w:szCs w:val="21"/>
              </w:rPr>
              <w:t>在库区中部，邻</w:t>
            </w:r>
            <w:r>
              <w:rPr>
                <w:rFonts w:hint="default" w:ascii="Times New Roman" w:hAnsi="Times New Roman" w:eastAsia="宋体" w:cs="Times New Roman"/>
                <w:spacing w:val="-2"/>
                <w:sz w:val="21"/>
                <w:szCs w:val="21"/>
              </w:rPr>
              <w:t>近库外道路。</w:t>
            </w:r>
          </w:p>
        </w:tc>
        <w:tc>
          <w:tcPr>
            <w:tcW w:w="669" w:type="dxa"/>
            <w:vAlign w:val="center"/>
          </w:tcPr>
          <w:p w14:paraId="5839442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00648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0F9F096D">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default" w:ascii="Times New Roman" w:hAnsi="Times New Roman" w:eastAsia="宋体" w:cs="Times New Roman"/>
                <w:kern w:val="28"/>
                <w:sz w:val="21"/>
                <w:szCs w:val="21"/>
                <w:lang w:val="en-US" w:eastAsia="zh-CN"/>
                <w14:ligatures w14:val="none"/>
              </w:rPr>
              <w:t>9</w:t>
            </w:r>
          </w:p>
        </w:tc>
        <w:tc>
          <w:tcPr>
            <w:tcW w:w="4192" w:type="dxa"/>
            <w:vAlign w:val="center"/>
          </w:tcPr>
          <w:p w14:paraId="580A9B9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z w:val="21"/>
                <w:szCs w:val="21"/>
              </w:rPr>
              <w:t>储罐区泡沫站应布置在罐组防</w:t>
            </w:r>
            <w:r>
              <w:rPr>
                <w:rFonts w:hint="default" w:ascii="Times New Roman" w:hAnsi="Times New Roman" w:eastAsia="宋体" w:cs="Times New Roman"/>
                <w:spacing w:val="-6"/>
                <w:sz w:val="21"/>
                <w:szCs w:val="21"/>
              </w:rPr>
              <w:t>火堤外的非防爆区，与储罐的防火</w:t>
            </w:r>
            <w:r>
              <w:rPr>
                <w:rFonts w:hint="default" w:ascii="Times New Roman" w:hAnsi="Times New Roman" w:eastAsia="宋体" w:cs="Times New Roman"/>
                <w:spacing w:val="-2"/>
                <w:sz w:val="21"/>
                <w:szCs w:val="21"/>
              </w:rPr>
              <w:t>间距不应小于</w:t>
            </w:r>
            <w:r>
              <w:rPr>
                <w:rFonts w:hint="default" w:ascii="Times New Roman" w:hAnsi="Times New Roman" w:eastAsia="宋体" w:cs="Times New Roman"/>
                <w:spacing w:val="-53"/>
                <w:sz w:val="21"/>
                <w:szCs w:val="21"/>
              </w:rPr>
              <w:t xml:space="preserve"> </w:t>
            </w:r>
            <w:r>
              <w:rPr>
                <w:rFonts w:hint="default" w:ascii="Times New Roman" w:hAnsi="Times New Roman" w:eastAsia="Times New Roman" w:cs="Times New Roman"/>
                <w:spacing w:val="-2"/>
                <w:sz w:val="21"/>
                <w:szCs w:val="21"/>
              </w:rPr>
              <w:t>20m</w:t>
            </w:r>
            <w:r>
              <w:rPr>
                <w:rFonts w:hint="default" w:ascii="Times New Roman" w:hAnsi="Times New Roman" w:eastAsia="宋体" w:cs="Times New Roman"/>
                <w:spacing w:val="-2"/>
                <w:sz w:val="21"/>
                <w:szCs w:val="21"/>
              </w:rPr>
              <w:t>。</w:t>
            </w:r>
          </w:p>
        </w:tc>
        <w:tc>
          <w:tcPr>
            <w:tcW w:w="1783" w:type="dxa"/>
            <w:vAlign w:val="center"/>
          </w:tcPr>
          <w:p w14:paraId="620FA77A">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35F1D04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3"/>
                <w:sz w:val="21"/>
                <w:szCs w:val="21"/>
              </w:rPr>
              <w:t>第</w:t>
            </w:r>
            <w:r>
              <w:rPr>
                <w:rFonts w:hint="default" w:ascii="Times New Roman" w:hAnsi="Times New Roman" w:eastAsia="宋体" w:cs="Times New Roman"/>
                <w:spacing w:val="-47"/>
                <w:sz w:val="21"/>
                <w:szCs w:val="21"/>
              </w:rPr>
              <w:t xml:space="preserve"> </w:t>
            </w:r>
            <w:r>
              <w:rPr>
                <w:rFonts w:hint="default" w:ascii="Times New Roman" w:hAnsi="Times New Roman" w:eastAsia="Times New Roman" w:cs="Times New Roman"/>
                <w:spacing w:val="-3"/>
                <w:sz w:val="21"/>
                <w:szCs w:val="21"/>
              </w:rPr>
              <w:t>5.1.13</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3"/>
                <w:sz w:val="21"/>
                <w:szCs w:val="21"/>
              </w:rPr>
              <w:t>条</w:t>
            </w:r>
          </w:p>
        </w:tc>
        <w:tc>
          <w:tcPr>
            <w:tcW w:w="1875" w:type="dxa"/>
            <w:vAlign w:val="center"/>
          </w:tcPr>
          <w:p w14:paraId="7478551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1"/>
                <w:sz w:val="21"/>
                <w:szCs w:val="21"/>
              </w:rPr>
              <w:t>消防泵房设置在</w:t>
            </w:r>
            <w:r>
              <w:rPr>
                <w:rFonts w:hint="default" w:ascii="Times New Roman" w:hAnsi="Times New Roman" w:eastAsia="宋体" w:cs="Times New Roman"/>
                <w:sz w:val="21"/>
                <w:szCs w:val="21"/>
              </w:rPr>
              <w:t>罐组防火堤外的</w:t>
            </w:r>
            <w:r>
              <w:rPr>
                <w:rFonts w:hint="default" w:ascii="Times New Roman" w:hAnsi="Times New Roman" w:eastAsia="宋体" w:cs="Times New Roman"/>
                <w:spacing w:val="-3"/>
                <w:sz w:val="21"/>
                <w:szCs w:val="21"/>
              </w:rPr>
              <w:t>非防爆区。</w:t>
            </w:r>
          </w:p>
        </w:tc>
        <w:tc>
          <w:tcPr>
            <w:tcW w:w="669" w:type="dxa"/>
            <w:vAlign w:val="center"/>
          </w:tcPr>
          <w:p w14:paraId="41382DB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6CA93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30760E99">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default" w:ascii="Times New Roman" w:hAnsi="Times New Roman" w:eastAsia="宋体" w:cs="Times New Roman"/>
                <w:kern w:val="28"/>
                <w:sz w:val="21"/>
                <w:szCs w:val="21"/>
                <w:lang w:val="en-US" w:eastAsia="zh-CN"/>
                <w14:ligatures w14:val="none"/>
              </w:rPr>
              <w:t>10</w:t>
            </w:r>
          </w:p>
        </w:tc>
        <w:tc>
          <w:tcPr>
            <w:tcW w:w="4192" w:type="dxa"/>
            <w:vAlign w:val="center"/>
          </w:tcPr>
          <w:p w14:paraId="45C65087">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Times New Roman" w:cs="Times New Roman"/>
                <w:sz w:val="21"/>
                <w:szCs w:val="21"/>
              </w:rPr>
            </w:pPr>
            <w:r>
              <w:rPr>
                <w:rFonts w:hint="default" w:ascii="Times New Roman" w:hAnsi="Times New Roman" w:eastAsia="宋体" w:cs="Times New Roman"/>
                <w:sz w:val="21"/>
                <w:szCs w:val="21"/>
              </w:rPr>
              <w:t>储罐区易燃和可燃液体泵站的</w:t>
            </w:r>
            <w:r>
              <w:rPr>
                <w:rFonts w:hint="default" w:ascii="Times New Roman" w:hAnsi="Times New Roman" w:eastAsia="宋体" w:cs="Times New Roman"/>
                <w:spacing w:val="-1"/>
                <w:sz w:val="21"/>
                <w:szCs w:val="21"/>
              </w:rPr>
              <w:t>布置，应符合下列规定</w:t>
            </w:r>
            <w:r>
              <w:rPr>
                <w:rFonts w:hint="default" w:ascii="Times New Roman" w:hAnsi="Times New Roman" w:eastAsia="Times New Roman" w:cs="Times New Roman"/>
                <w:spacing w:val="-1"/>
                <w:sz w:val="21"/>
                <w:szCs w:val="21"/>
              </w:rPr>
              <w:t>:</w:t>
            </w:r>
          </w:p>
          <w:p w14:paraId="5EB1FE2B">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5"/>
                <w:sz w:val="21"/>
                <w:szCs w:val="21"/>
              </w:rPr>
              <w:t>1</w:t>
            </w:r>
            <w:r>
              <w:rPr>
                <w:rFonts w:hint="default" w:ascii="Times New Roman" w:hAnsi="Times New Roman" w:eastAsia="Times New Roman" w:cs="Times New Roman"/>
                <w:spacing w:val="51"/>
                <w:sz w:val="21"/>
                <w:szCs w:val="21"/>
              </w:rPr>
              <w:t xml:space="preserve"> </w:t>
            </w:r>
            <w:r>
              <w:rPr>
                <w:rFonts w:hint="default" w:ascii="Times New Roman" w:hAnsi="Times New Roman" w:eastAsia="宋体" w:cs="Times New Roman"/>
                <w:spacing w:val="-5"/>
                <w:sz w:val="21"/>
                <w:szCs w:val="21"/>
              </w:rPr>
              <w:t>甲、乙、丙</w:t>
            </w:r>
            <w:r>
              <w:rPr>
                <w:rFonts w:hint="default" w:ascii="Times New Roman" w:hAnsi="Times New Roman" w:eastAsia="宋体" w:cs="Times New Roman"/>
                <w:spacing w:val="-59"/>
                <w:sz w:val="21"/>
                <w:szCs w:val="21"/>
              </w:rPr>
              <w:t xml:space="preserve"> </w:t>
            </w:r>
            <w:r>
              <w:rPr>
                <w:rFonts w:hint="default" w:ascii="Times New Roman" w:hAnsi="Times New Roman" w:eastAsia="Times New Roman" w:cs="Times New Roman"/>
                <w:spacing w:val="-5"/>
                <w:position w:val="-1"/>
                <w:sz w:val="21"/>
                <w:szCs w:val="21"/>
              </w:rPr>
              <w:t>A</w:t>
            </w:r>
            <w:r>
              <w:rPr>
                <w:rFonts w:hint="default" w:ascii="Times New Roman" w:hAnsi="Times New Roman" w:eastAsia="Times New Roman" w:cs="Times New Roman"/>
                <w:spacing w:val="11"/>
                <w:position w:val="-1"/>
                <w:sz w:val="21"/>
                <w:szCs w:val="21"/>
              </w:rPr>
              <w:t xml:space="preserve"> </w:t>
            </w:r>
            <w:r>
              <w:rPr>
                <w:rFonts w:hint="default" w:ascii="Times New Roman" w:hAnsi="Times New Roman" w:eastAsia="宋体" w:cs="Times New Roman"/>
                <w:spacing w:val="-5"/>
                <w:sz w:val="21"/>
                <w:szCs w:val="21"/>
              </w:rPr>
              <w:t>类液体泵站应布置</w:t>
            </w:r>
            <w:r>
              <w:rPr>
                <w:rFonts w:hint="default" w:ascii="Times New Roman" w:hAnsi="Times New Roman" w:eastAsia="宋体" w:cs="Times New Roman"/>
                <w:spacing w:val="-1"/>
                <w:sz w:val="21"/>
                <w:szCs w:val="21"/>
              </w:rPr>
              <w:t>在地上立式储罐的防火堤外</w:t>
            </w:r>
            <w:r>
              <w:rPr>
                <w:rFonts w:hint="default" w:ascii="Times New Roman" w:hAnsi="Times New Roman" w:eastAsia="Times New Roman" w:cs="Times New Roman"/>
                <w:spacing w:val="-1"/>
                <w:sz w:val="21"/>
                <w:szCs w:val="21"/>
              </w:rPr>
              <w:t>;</w:t>
            </w:r>
          </w:p>
          <w:p w14:paraId="3DBF4E31">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z w:val="21"/>
                <w:szCs w:val="21"/>
              </w:rPr>
              <w:t xml:space="preserve">2 </w:t>
            </w:r>
            <w:r>
              <w:rPr>
                <w:rFonts w:hint="default" w:ascii="Times New Roman" w:hAnsi="Times New Roman" w:eastAsia="宋体" w:cs="Times New Roman"/>
                <w:sz w:val="21"/>
                <w:szCs w:val="21"/>
              </w:rPr>
              <w:t>丙</w:t>
            </w:r>
            <w:r>
              <w:rPr>
                <w:rFonts w:hint="default" w:ascii="Times New Roman" w:hAnsi="Times New Roman" w:eastAsia="宋体" w:cs="Times New Roman"/>
                <w:spacing w:val="-51"/>
                <w:sz w:val="21"/>
                <w:szCs w:val="21"/>
              </w:rPr>
              <w:t xml:space="preserve"> </w:t>
            </w:r>
            <w:r>
              <w:rPr>
                <w:rFonts w:hint="default" w:ascii="Times New Roman" w:hAnsi="Times New Roman" w:eastAsia="Times New Roman" w:cs="Times New Roman"/>
                <w:position w:val="-1"/>
                <w:sz w:val="21"/>
                <w:szCs w:val="21"/>
              </w:rPr>
              <w:t>B</w:t>
            </w:r>
            <w:r>
              <w:rPr>
                <w:rFonts w:hint="default" w:ascii="Times New Roman" w:hAnsi="Times New Roman" w:eastAsia="Times New Roman" w:cs="Times New Roman"/>
                <w:spacing w:val="12"/>
                <w:w w:val="102"/>
                <w:position w:val="-1"/>
                <w:sz w:val="21"/>
                <w:szCs w:val="21"/>
              </w:rPr>
              <w:t xml:space="preserve"> </w:t>
            </w:r>
            <w:r>
              <w:rPr>
                <w:rFonts w:hint="default" w:ascii="Times New Roman" w:hAnsi="Times New Roman" w:eastAsia="宋体" w:cs="Times New Roman"/>
                <w:sz w:val="21"/>
                <w:szCs w:val="21"/>
              </w:rPr>
              <w:t>类液体泵、抽底油泵、卧式</w:t>
            </w:r>
            <w:r>
              <w:rPr>
                <w:rFonts w:hint="default" w:ascii="Times New Roman" w:hAnsi="Times New Roman" w:eastAsia="宋体" w:cs="Times New Roman"/>
                <w:spacing w:val="-6"/>
                <w:sz w:val="21"/>
                <w:szCs w:val="21"/>
              </w:rPr>
              <w:t>储罐输送泵和储罐油品测用泵，可与储罐露天布置在同一防火堤内；</w:t>
            </w:r>
          </w:p>
          <w:p w14:paraId="66471A8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Times New Roman" w:cs="Times New Roman"/>
                <w:spacing w:val="-2"/>
                <w:sz w:val="21"/>
                <w:szCs w:val="21"/>
              </w:rPr>
              <w:t xml:space="preserve">3 </w:t>
            </w:r>
            <w:r>
              <w:rPr>
                <w:rFonts w:hint="default" w:ascii="Times New Roman" w:hAnsi="Times New Roman" w:eastAsia="宋体" w:cs="Times New Roman"/>
                <w:spacing w:val="-2"/>
                <w:sz w:val="21"/>
                <w:szCs w:val="21"/>
              </w:rPr>
              <w:t>当易燃和可燃液体泵站采用棚式</w:t>
            </w:r>
            <w:r>
              <w:rPr>
                <w:rFonts w:hint="default" w:ascii="Times New Roman" w:hAnsi="Times New Roman" w:eastAsia="宋体" w:cs="Times New Roman"/>
                <w:spacing w:val="-6"/>
                <w:sz w:val="21"/>
                <w:szCs w:val="21"/>
              </w:rPr>
              <w:t>或露天式时，其与储罐的间距可不</w:t>
            </w:r>
            <w:r>
              <w:rPr>
                <w:rFonts w:hint="default" w:ascii="Times New Roman" w:hAnsi="Times New Roman" w:eastAsia="宋体" w:cs="Times New Roman"/>
                <w:spacing w:val="-1"/>
                <w:sz w:val="21"/>
                <w:szCs w:val="21"/>
              </w:rPr>
              <w:t>受限制，与其他建</w:t>
            </w:r>
            <w:r>
              <w:rPr>
                <w:rFonts w:hint="default" w:ascii="Times New Roman" w:hAnsi="Times New Roman" w:eastAsia="Times New Roman" w:cs="Times New Roman"/>
                <w:spacing w:val="-1"/>
                <w:sz w:val="21"/>
                <w:szCs w:val="21"/>
              </w:rPr>
              <w:t>(</w:t>
            </w:r>
            <w:r>
              <w:rPr>
                <w:rFonts w:hint="default" w:ascii="Times New Roman" w:hAnsi="Times New Roman" w:eastAsia="宋体" w:cs="Times New Roman"/>
                <w:spacing w:val="-1"/>
                <w:sz w:val="21"/>
                <w:szCs w:val="21"/>
              </w:rPr>
              <w:t>构</w:t>
            </w:r>
            <w:r>
              <w:rPr>
                <w:rFonts w:hint="default" w:ascii="Times New Roman" w:hAnsi="Times New Roman" w:eastAsia="Times New Roman" w:cs="Times New Roman"/>
                <w:spacing w:val="-1"/>
                <w:sz w:val="21"/>
                <w:szCs w:val="21"/>
              </w:rPr>
              <w:t>)</w:t>
            </w:r>
            <w:r>
              <w:rPr>
                <w:rFonts w:hint="default" w:ascii="Times New Roman" w:hAnsi="Times New Roman" w:eastAsia="宋体" w:cs="Times New Roman"/>
                <w:spacing w:val="-1"/>
                <w:sz w:val="21"/>
                <w:szCs w:val="21"/>
              </w:rPr>
              <w:t>筑物或设施</w:t>
            </w:r>
            <w:r>
              <w:rPr>
                <w:rFonts w:hint="default" w:ascii="Times New Roman" w:hAnsi="Times New Roman" w:eastAsia="宋体" w:cs="Times New Roman"/>
                <w:spacing w:val="11"/>
                <w:sz w:val="21"/>
                <w:szCs w:val="21"/>
              </w:rPr>
              <w:t>的问距，应以泵外缘按本规范表</w:t>
            </w:r>
            <w:r>
              <w:rPr>
                <w:rFonts w:hint="default" w:ascii="Times New Roman" w:hAnsi="Times New Roman" w:eastAsia="Times New Roman" w:cs="Times New Roman"/>
                <w:spacing w:val="3"/>
                <w:sz w:val="21"/>
                <w:szCs w:val="21"/>
              </w:rPr>
              <w:t>5.1.3</w:t>
            </w:r>
            <w:r>
              <w:rPr>
                <w:rFonts w:hint="default" w:ascii="Times New Roman" w:hAnsi="Times New Roman" w:eastAsia="Times New Roman" w:cs="Times New Roman"/>
                <w:spacing w:val="41"/>
                <w:w w:val="101"/>
                <w:sz w:val="21"/>
                <w:szCs w:val="21"/>
              </w:rPr>
              <w:t xml:space="preserve"> </w:t>
            </w:r>
            <w:r>
              <w:rPr>
                <w:rFonts w:hint="default" w:ascii="Times New Roman" w:hAnsi="Times New Roman" w:eastAsia="宋体" w:cs="Times New Roman"/>
                <w:spacing w:val="3"/>
                <w:sz w:val="21"/>
                <w:szCs w:val="21"/>
              </w:rPr>
              <w:t>中易燃和可燃液体泵房与其</w:t>
            </w:r>
            <w:r>
              <w:rPr>
                <w:rFonts w:hint="default" w:ascii="Times New Roman" w:hAnsi="Times New Roman" w:eastAsia="宋体" w:cs="Times New Roman"/>
                <w:spacing w:val="-1"/>
                <w:sz w:val="21"/>
                <w:szCs w:val="21"/>
              </w:rPr>
              <w:t>他建</w:t>
            </w:r>
            <w:r>
              <w:rPr>
                <w:rFonts w:hint="default" w:ascii="Times New Roman" w:hAnsi="Times New Roman" w:eastAsia="Times New Roman" w:cs="Times New Roman"/>
                <w:spacing w:val="-1"/>
                <w:sz w:val="21"/>
                <w:szCs w:val="21"/>
              </w:rPr>
              <w:t>(</w:t>
            </w:r>
            <w:r>
              <w:rPr>
                <w:rFonts w:hint="default" w:ascii="Times New Roman" w:hAnsi="Times New Roman" w:eastAsia="宋体" w:cs="Times New Roman"/>
                <w:spacing w:val="-1"/>
                <w:sz w:val="21"/>
                <w:szCs w:val="21"/>
              </w:rPr>
              <w:t>构</w:t>
            </w:r>
            <w:r>
              <w:rPr>
                <w:rFonts w:hint="default" w:ascii="Times New Roman" w:hAnsi="Times New Roman" w:eastAsia="Times New Roman" w:cs="Times New Roman"/>
                <w:spacing w:val="-1"/>
                <w:sz w:val="21"/>
                <w:szCs w:val="21"/>
              </w:rPr>
              <w:t>)</w:t>
            </w:r>
            <w:r>
              <w:rPr>
                <w:rFonts w:hint="default" w:ascii="Times New Roman" w:hAnsi="Times New Roman" w:eastAsia="宋体" w:cs="Times New Roman"/>
                <w:spacing w:val="-1"/>
                <w:sz w:val="21"/>
                <w:szCs w:val="21"/>
              </w:rPr>
              <w:t>筑物、设施的间距确定。</w:t>
            </w:r>
          </w:p>
        </w:tc>
        <w:tc>
          <w:tcPr>
            <w:tcW w:w="1783" w:type="dxa"/>
            <w:vAlign w:val="center"/>
          </w:tcPr>
          <w:p w14:paraId="5000C658">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694E276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7"/>
                <w:sz w:val="21"/>
                <w:szCs w:val="21"/>
              </w:rPr>
              <w:t>第</w:t>
            </w:r>
            <w:r>
              <w:rPr>
                <w:rFonts w:hint="default" w:ascii="Times New Roman" w:hAnsi="Times New Roman" w:eastAsia="宋体" w:cs="Times New Roman"/>
                <w:spacing w:val="-43"/>
                <w:sz w:val="21"/>
                <w:szCs w:val="21"/>
              </w:rPr>
              <w:t xml:space="preserve"> </w:t>
            </w:r>
            <w:r>
              <w:rPr>
                <w:rFonts w:hint="default" w:ascii="Times New Roman" w:hAnsi="Times New Roman" w:eastAsia="Times New Roman" w:cs="Times New Roman"/>
                <w:spacing w:val="-7"/>
                <w:sz w:val="21"/>
                <w:szCs w:val="21"/>
              </w:rPr>
              <w:t>5.1.</w:t>
            </w:r>
            <w:r>
              <w:rPr>
                <w:rFonts w:hint="default" w:ascii="Times New Roman" w:hAnsi="Times New Roman" w:eastAsia="Times New Roman" w:cs="Times New Roman"/>
                <w:spacing w:val="-32"/>
                <w:sz w:val="21"/>
                <w:szCs w:val="21"/>
              </w:rPr>
              <w:t xml:space="preserve"> </w:t>
            </w:r>
            <w:r>
              <w:rPr>
                <w:rFonts w:hint="default" w:ascii="Times New Roman" w:hAnsi="Times New Roman" w:eastAsia="Times New Roman" w:cs="Times New Roman"/>
                <w:spacing w:val="-7"/>
                <w:sz w:val="21"/>
                <w:szCs w:val="21"/>
              </w:rPr>
              <w:t>14</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7"/>
                <w:sz w:val="21"/>
                <w:szCs w:val="21"/>
              </w:rPr>
              <w:t>条</w:t>
            </w:r>
          </w:p>
        </w:tc>
        <w:tc>
          <w:tcPr>
            <w:tcW w:w="1875" w:type="dxa"/>
            <w:vAlign w:val="center"/>
          </w:tcPr>
          <w:p w14:paraId="55EEEC4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z w:val="21"/>
                <w:szCs w:val="21"/>
              </w:rPr>
              <w:t>可燃液体泵布置在储罐区的防火堤外，与其他建构筑物距离符合</w:t>
            </w:r>
            <w:r>
              <w:rPr>
                <w:rFonts w:hint="default" w:ascii="Times New Roman" w:hAnsi="Times New Roman" w:eastAsia="宋体" w:cs="Times New Roman"/>
                <w:spacing w:val="-3"/>
                <w:sz w:val="21"/>
                <w:szCs w:val="21"/>
              </w:rPr>
              <w:t>要求。</w:t>
            </w:r>
          </w:p>
        </w:tc>
        <w:tc>
          <w:tcPr>
            <w:tcW w:w="669" w:type="dxa"/>
            <w:vAlign w:val="center"/>
          </w:tcPr>
          <w:p w14:paraId="1337A19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7144F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78B7A689">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default" w:ascii="Times New Roman" w:hAnsi="Times New Roman" w:eastAsia="宋体" w:cs="Times New Roman"/>
                <w:kern w:val="28"/>
                <w:sz w:val="21"/>
                <w:szCs w:val="21"/>
                <w:lang w:val="en-US" w:eastAsia="zh-CN"/>
                <w14:ligatures w14:val="none"/>
              </w:rPr>
              <w:t>11</w:t>
            </w:r>
          </w:p>
        </w:tc>
        <w:tc>
          <w:tcPr>
            <w:tcW w:w="4192" w:type="dxa"/>
            <w:vAlign w:val="center"/>
          </w:tcPr>
          <w:p w14:paraId="48BE8E7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z w:val="21"/>
                <w:szCs w:val="21"/>
              </w:rPr>
              <w:t>与储罐区无关的管道、埋地输</w:t>
            </w:r>
            <w:r>
              <w:rPr>
                <w:rFonts w:hint="default" w:ascii="Times New Roman" w:hAnsi="Times New Roman" w:eastAsia="宋体" w:cs="Times New Roman"/>
                <w:spacing w:val="-4"/>
                <w:sz w:val="21"/>
                <w:szCs w:val="21"/>
              </w:rPr>
              <w:t>电线不得穿越防火堤。</w:t>
            </w:r>
          </w:p>
        </w:tc>
        <w:tc>
          <w:tcPr>
            <w:tcW w:w="1783" w:type="dxa"/>
            <w:vAlign w:val="center"/>
          </w:tcPr>
          <w:p w14:paraId="2C55B7B9">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2721D2A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7"/>
                <w:sz w:val="21"/>
                <w:szCs w:val="21"/>
              </w:rPr>
              <w:t>第</w:t>
            </w:r>
            <w:r>
              <w:rPr>
                <w:rFonts w:hint="default" w:ascii="Times New Roman" w:hAnsi="Times New Roman" w:eastAsia="宋体" w:cs="Times New Roman"/>
                <w:spacing w:val="-43"/>
                <w:sz w:val="21"/>
                <w:szCs w:val="21"/>
              </w:rPr>
              <w:t xml:space="preserve"> </w:t>
            </w:r>
            <w:r>
              <w:rPr>
                <w:rFonts w:hint="default" w:ascii="Times New Roman" w:hAnsi="Times New Roman" w:eastAsia="Times New Roman" w:cs="Times New Roman"/>
                <w:spacing w:val="-7"/>
                <w:sz w:val="21"/>
                <w:szCs w:val="21"/>
              </w:rPr>
              <w:t>5.1.</w:t>
            </w:r>
            <w:r>
              <w:rPr>
                <w:rFonts w:hint="default" w:ascii="Times New Roman" w:hAnsi="Times New Roman" w:eastAsia="Times New Roman" w:cs="Times New Roman"/>
                <w:spacing w:val="-32"/>
                <w:sz w:val="21"/>
                <w:szCs w:val="21"/>
              </w:rPr>
              <w:t xml:space="preserve"> </w:t>
            </w:r>
            <w:r>
              <w:rPr>
                <w:rFonts w:hint="default" w:ascii="Times New Roman" w:hAnsi="Times New Roman" w:eastAsia="Times New Roman" w:cs="Times New Roman"/>
                <w:spacing w:val="-7"/>
                <w:sz w:val="21"/>
                <w:szCs w:val="21"/>
              </w:rPr>
              <w:t>15</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7"/>
                <w:sz w:val="21"/>
                <w:szCs w:val="21"/>
              </w:rPr>
              <w:t>条</w:t>
            </w:r>
          </w:p>
        </w:tc>
        <w:tc>
          <w:tcPr>
            <w:tcW w:w="1875" w:type="dxa"/>
            <w:vAlign w:val="center"/>
          </w:tcPr>
          <w:p w14:paraId="296D2D8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1"/>
                <w:sz w:val="21"/>
                <w:szCs w:val="21"/>
              </w:rPr>
              <w:t>无关管道未穿越</w:t>
            </w:r>
            <w:r>
              <w:rPr>
                <w:rFonts w:hint="default" w:ascii="Times New Roman" w:hAnsi="Times New Roman" w:eastAsia="宋体" w:cs="Times New Roman"/>
                <w:spacing w:val="-9"/>
                <w:sz w:val="21"/>
                <w:szCs w:val="21"/>
              </w:rPr>
              <w:t>防火堤</w:t>
            </w:r>
          </w:p>
        </w:tc>
        <w:tc>
          <w:tcPr>
            <w:tcW w:w="669" w:type="dxa"/>
            <w:vAlign w:val="center"/>
          </w:tcPr>
          <w:p w14:paraId="749D202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kern w:val="28"/>
                <w:sz w:val="21"/>
                <w:szCs w:val="21"/>
                <w:lang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080C6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359" w:type="pct"/>
            <w:vAlign w:val="center"/>
          </w:tcPr>
          <w:p w14:paraId="2F787188">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default" w:ascii="Times New Roman" w:hAnsi="Times New Roman" w:eastAsia="宋体" w:cs="Times New Roman"/>
                <w:kern w:val="28"/>
                <w:sz w:val="21"/>
                <w:szCs w:val="21"/>
                <w:lang w:val="en-US" w:eastAsia="zh-CN"/>
                <w14:ligatures w14:val="none"/>
              </w:rPr>
              <w:t>12</w:t>
            </w:r>
          </w:p>
        </w:tc>
        <w:tc>
          <w:tcPr>
            <w:tcW w:w="4223" w:type="dxa"/>
            <w:vAlign w:val="center"/>
          </w:tcPr>
          <w:p w14:paraId="6D14334A">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石油库储罐区应设环行消防车</w:t>
            </w:r>
            <w:r>
              <w:rPr>
                <w:rFonts w:hint="default" w:ascii="Times New Roman" w:hAnsi="Times New Roman" w:eastAsia="宋体" w:cs="Times New Roman"/>
                <w:spacing w:val="-6"/>
                <w:sz w:val="21"/>
                <w:szCs w:val="21"/>
              </w:rPr>
              <w:t>道。位于山区或丘陵地带设置环形</w:t>
            </w:r>
            <w:r>
              <w:rPr>
                <w:rFonts w:hint="default" w:ascii="Times New Roman" w:hAnsi="Times New Roman" w:eastAsia="宋体" w:cs="Times New Roman"/>
                <w:spacing w:val="11"/>
                <w:sz w:val="21"/>
                <w:szCs w:val="21"/>
              </w:rPr>
              <w:t>消防车道有困难的下列罐区或罐</w:t>
            </w:r>
            <w:r>
              <w:rPr>
                <w:rFonts w:hint="default" w:ascii="Times New Roman" w:hAnsi="Times New Roman" w:eastAsia="宋体" w:cs="Times New Roman"/>
                <w:spacing w:val="-1"/>
                <w:sz w:val="21"/>
                <w:szCs w:val="21"/>
              </w:rPr>
              <w:t>组，可设尽头式消防车道：</w:t>
            </w:r>
          </w:p>
          <w:p w14:paraId="1008F393">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4"/>
                <w:sz w:val="21"/>
                <w:szCs w:val="21"/>
              </w:rPr>
              <w:t xml:space="preserve">1 </w:t>
            </w:r>
            <w:r>
              <w:rPr>
                <w:rFonts w:hint="default" w:ascii="Times New Roman" w:hAnsi="Times New Roman" w:eastAsia="宋体" w:cs="Times New Roman"/>
                <w:spacing w:val="-4"/>
                <w:sz w:val="21"/>
                <w:szCs w:val="21"/>
              </w:rPr>
              <w:t>覆土油罐区；</w:t>
            </w:r>
          </w:p>
          <w:p w14:paraId="5A710FC6">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2"/>
                <w:sz w:val="21"/>
                <w:szCs w:val="21"/>
              </w:rPr>
              <w:t xml:space="preserve">2 </w:t>
            </w:r>
            <w:r>
              <w:rPr>
                <w:rFonts w:hint="default" w:ascii="Times New Roman" w:hAnsi="Times New Roman" w:eastAsia="宋体" w:cs="Times New Roman"/>
                <w:spacing w:val="-2"/>
                <w:sz w:val="21"/>
                <w:szCs w:val="21"/>
              </w:rPr>
              <w:t>储罐单排布置，且储罐单罐容量</w:t>
            </w:r>
            <w:r>
              <w:rPr>
                <w:rFonts w:hint="default" w:ascii="Times New Roman" w:hAnsi="Times New Roman" w:eastAsia="宋体" w:cs="Times New Roman"/>
                <w:spacing w:val="-4"/>
                <w:sz w:val="21"/>
                <w:szCs w:val="21"/>
              </w:rPr>
              <w:t>不大于</w:t>
            </w:r>
            <w:r>
              <w:rPr>
                <w:rFonts w:hint="default" w:ascii="Times New Roman" w:hAnsi="Times New Roman" w:eastAsia="宋体" w:cs="Times New Roman"/>
                <w:spacing w:val="-43"/>
                <w:sz w:val="21"/>
                <w:szCs w:val="21"/>
              </w:rPr>
              <w:t xml:space="preserve"> </w:t>
            </w:r>
            <w:r>
              <w:rPr>
                <w:rFonts w:hint="default" w:ascii="Times New Roman" w:hAnsi="Times New Roman" w:eastAsia="Times New Roman" w:cs="Times New Roman"/>
                <w:spacing w:val="-4"/>
                <w:sz w:val="21"/>
                <w:szCs w:val="21"/>
              </w:rPr>
              <w:t>5000m</w:t>
            </w:r>
            <w:r>
              <w:rPr>
                <w:rFonts w:hint="default" w:ascii="Times New Roman" w:hAnsi="Times New Roman" w:eastAsia="Times New Roman" w:cs="Times New Roman"/>
                <w:spacing w:val="-4"/>
                <w:position w:val="8"/>
                <w:sz w:val="21"/>
                <w:szCs w:val="21"/>
              </w:rPr>
              <w:t>3</w:t>
            </w:r>
            <w:r>
              <w:rPr>
                <w:rFonts w:hint="default" w:ascii="Times New Roman" w:hAnsi="Times New Roman" w:eastAsia="Times New Roman" w:cs="Times New Roman"/>
                <w:spacing w:val="32"/>
                <w:position w:val="8"/>
                <w:sz w:val="21"/>
                <w:szCs w:val="21"/>
              </w:rPr>
              <w:t xml:space="preserve"> </w:t>
            </w:r>
            <w:r>
              <w:rPr>
                <w:rFonts w:hint="default" w:ascii="Times New Roman" w:hAnsi="Times New Roman" w:eastAsia="宋体" w:cs="Times New Roman"/>
                <w:spacing w:val="-4"/>
                <w:sz w:val="21"/>
                <w:szCs w:val="21"/>
              </w:rPr>
              <w:t>的地上罐组</w:t>
            </w:r>
            <w:r>
              <w:rPr>
                <w:rFonts w:hint="default" w:ascii="Times New Roman" w:hAnsi="Times New Roman" w:eastAsia="Times New Roman" w:cs="Times New Roman"/>
                <w:spacing w:val="-4"/>
                <w:sz w:val="21"/>
                <w:szCs w:val="21"/>
              </w:rPr>
              <w:t>;</w:t>
            </w:r>
          </w:p>
          <w:p w14:paraId="2DFC25A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both"/>
              <w:textAlignment w:val="auto"/>
              <w:rPr>
                <w:rFonts w:hint="default" w:ascii="Times New Roman" w:hAnsi="Times New Roman" w:eastAsia="宋体" w:cs="Times New Roman"/>
                <w:kern w:val="28"/>
                <w:sz w:val="21"/>
                <w:szCs w:val="21"/>
                <w14:ligatures w14:val="none"/>
              </w:rPr>
            </w:pPr>
            <w:r>
              <w:rPr>
                <w:rFonts w:hint="default" w:ascii="Times New Roman" w:hAnsi="Times New Roman" w:eastAsia="Times New Roman" w:cs="Times New Roman"/>
                <w:spacing w:val="-4"/>
                <w:sz w:val="21"/>
                <w:szCs w:val="21"/>
              </w:rPr>
              <w:t>3</w:t>
            </w:r>
            <w:r>
              <w:rPr>
                <w:rFonts w:hint="default" w:ascii="Times New Roman" w:hAnsi="Times New Roman" w:eastAsia="Times New Roman" w:cs="Times New Roman"/>
                <w:spacing w:val="37"/>
                <w:sz w:val="21"/>
                <w:szCs w:val="21"/>
              </w:rPr>
              <w:t xml:space="preserve"> </w:t>
            </w:r>
            <w:r>
              <w:rPr>
                <w:rFonts w:hint="default" w:ascii="Times New Roman" w:hAnsi="Times New Roman" w:eastAsia="宋体" w:cs="Times New Roman"/>
                <w:spacing w:val="-4"/>
                <w:sz w:val="21"/>
                <w:szCs w:val="21"/>
              </w:rPr>
              <w:t>四、五级石油库储罐区。</w:t>
            </w:r>
          </w:p>
        </w:tc>
        <w:tc>
          <w:tcPr>
            <w:tcW w:w="1783" w:type="dxa"/>
            <w:vAlign w:val="center"/>
          </w:tcPr>
          <w:p w14:paraId="61169875">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0D65BD2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pacing w:val="-3"/>
                <w:sz w:val="21"/>
                <w:szCs w:val="21"/>
              </w:rPr>
              <w:t>第</w:t>
            </w:r>
            <w:r>
              <w:rPr>
                <w:rFonts w:hint="default" w:ascii="Times New Roman" w:hAnsi="Times New Roman" w:eastAsia="宋体" w:cs="Times New Roman"/>
                <w:spacing w:val="-49"/>
                <w:sz w:val="21"/>
                <w:szCs w:val="21"/>
              </w:rPr>
              <w:t xml:space="preserve"> </w:t>
            </w:r>
            <w:r>
              <w:rPr>
                <w:rFonts w:hint="default" w:ascii="Times New Roman" w:hAnsi="Times New Roman" w:eastAsia="Times New Roman" w:cs="Times New Roman"/>
                <w:spacing w:val="-3"/>
                <w:sz w:val="21"/>
                <w:szCs w:val="21"/>
              </w:rPr>
              <w:t>5.2.1</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3"/>
                <w:sz w:val="21"/>
                <w:szCs w:val="21"/>
              </w:rPr>
              <w:t>条</w:t>
            </w:r>
          </w:p>
        </w:tc>
        <w:tc>
          <w:tcPr>
            <w:tcW w:w="1892" w:type="dxa"/>
            <w:vAlign w:val="center"/>
          </w:tcPr>
          <w:p w14:paraId="0B3ABBF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bCs/>
                <w:sz w:val="21"/>
                <w:szCs w:val="21"/>
                <w14:ligatures w14:val="none"/>
              </w:rPr>
            </w:pPr>
            <w:r>
              <w:rPr>
                <w:rFonts w:hint="default" w:ascii="Times New Roman" w:hAnsi="Times New Roman" w:eastAsia="宋体" w:cs="Times New Roman"/>
                <w:spacing w:val="-1"/>
                <w:sz w:val="21"/>
                <w:szCs w:val="21"/>
              </w:rPr>
              <w:t>设置了环形消防</w:t>
            </w:r>
            <w:r>
              <w:rPr>
                <w:rFonts w:hint="default" w:ascii="Times New Roman" w:hAnsi="Times New Roman" w:eastAsia="宋体" w:cs="Times New Roman"/>
                <w:spacing w:val="-6"/>
                <w:sz w:val="21"/>
                <w:szCs w:val="21"/>
              </w:rPr>
              <w:t>车道</w:t>
            </w:r>
          </w:p>
        </w:tc>
        <w:tc>
          <w:tcPr>
            <w:tcW w:w="677" w:type="dxa"/>
            <w:vAlign w:val="center"/>
          </w:tcPr>
          <w:p w14:paraId="16E063CC">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66ECF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0B1DB4F5">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13</w:t>
            </w:r>
          </w:p>
        </w:tc>
        <w:tc>
          <w:tcPr>
            <w:tcW w:w="4223" w:type="dxa"/>
            <w:vAlign w:val="center"/>
          </w:tcPr>
          <w:p w14:paraId="19BA01BE">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4"/>
                <w:sz w:val="21"/>
                <w:szCs w:val="21"/>
              </w:rPr>
              <w:t>地上储罐组消防车道的设置，</w:t>
            </w:r>
            <w:r>
              <w:rPr>
                <w:rFonts w:hint="default" w:ascii="Times New Roman" w:hAnsi="Times New Roman" w:eastAsia="宋体" w:cs="Times New Roman"/>
                <w:spacing w:val="-2"/>
                <w:sz w:val="21"/>
                <w:szCs w:val="21"/>
              </w:rPr>
              <w:t>应符合下列规定 ：</w:t>
            </w:r>
          </w:p>
          <w:p w14:paraId="767302BB">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14"/>
                <w:sz w:val="21"/>
                <w:szCs w:val="21"/>
              </w:rPr>
              <w:t>1</w:t>
            </w:r>
            <w:r>
              <w:rPr>
                <w:rFonts w:hint="default" w:ascii="Times New Roman" w:hAnsi="Times New Roman" w:eastAsia="Times New Roman" w:cs="Times New Roman"/>
                <w:spacing w:val="25"/>
                <w:sz w:val="21"/>
                <w:szCs w:val="21"/>
              </w:rPr>
              <w:t xml:space="preserve">  </w:t>
            </w:r>
            <w:r>
              <w:rPr>
                <w:rFonts w:hint="default" w:ascii="Times New Roman" w:hAnsi="Times New Roman" w:eastAsia="宋体" w:cs="Times New Roman"/>
                <w:spacing w:val="-14"/>
                <w:sz w:val="21"/>
                <w:szCs w:val="21"/>
              </w:rPr>
              <w:t>储 罐 总</w:t>
            </w:r>
            <w:r>
              <w:rPr>
                <w:rFonts w:hint="default" w:ascii="Times New Roman" w:hAnsi="Times New Roman" w:eastAsia="宋体" w:cs="Times New Roman"/>
                <w:spacing w:val="-16"/>
                <w:sz w:val="21"/>
                <w:szCs w:val="21"/>
              </w:rPr>
              <w:t xml:space="preserve"> </w:t>
            </w:r>
            <w:r>
              <w:rPr>
                <w:rFonts w:hint="default" w:ascii="Times New Roman" w:hAnsi="Times New Roman" w:eastAsia="宋体" w:cs="Times New Roman"/>
                <w:spacing w:val="-14"/>
                <w:sz w:val="21"/>
                <w:szCs w:val="21"/>
              </w:rPr>
              <w:t>容</w:t>
            </w:r>
            <w:r>
              <w:rPr>
                <w:rFonts w:hint="default" w:ascii="Times New Roman" w:hAnsi="Times New Roman" w:eastAsia="宋体" w:cs="Times New Roman"/>
                <w:spacing w:val="-17"/>
                <w:sz w:val="21"/>
                <w:szCs w:val="21"/>
              </w:rPr>
              <w:t xml:space="preserve"> </w:t>
            </w:r>
            <w:r>
              <w:rPr>
                <w:rFonts w:hint="default" w:ascii="Times New Roman" w:hAnsi="Times New Roman" w:eastAsia="宋体" w:cs="Times New Roman"/>
                <w:spacing w:val="-14"/>
                <w:sz w:val="21"/>
                <w:szCs w:val="21"/>
              </w:rPr>
              <w:t>量 大 于 或</w:t>
            </w:r>
            <w:r>
              <w:rPr>
                <w:rFonts w:hint="default" w:ascii="Times New Roman" w:hAnsi="Times New Roman" w:eastAsia="宋体" w:cs="Times New Roman"/>
                <w:spacing w:val="-17"/>
                <w:sz w:val="21"/>
                <w:szCs w:val="21"/>
              </w:rPr>
              <w:t xml:space="preserve"> </w:t>
            </w:r>
            <w:r>
              <w:rPr>
                <w:rFonts w:hint="default" w:ascii="Times New Roman" w:hAnsi="Times New Roman" w:eastAsia="宋体" w:cs="Times New Roman"/>
                <w:spacing w:val="-14"/>
                <w:sz w:val="21"/>
                <w:szCs w:val="21"/>
              </w:rPr>
              <w:t>等 于</w:t>
            </w:r>
            <w:r>
              <w:rPr>
                <w:rFonts w:hint="default" w:ascii="Times New Roman" w:hAnsi="Times New Roman" w:eastAsia="Times New Roman" w:cs="Times New Roman"/>
                <w:spacing w:val="1"/>
                <w:sz w:val="21"/>
                <w:szCs w:val="21"/>
              </w:rPr>
              <w:t>120000m</w:t>
            </w:r>
            <w:r>
              <w:rPr>
                <w:rFonts w:hint="default" w:ascii="Times New Roman" w:hAnsi="Times New Roman" w:eastAsia="Times New Roman" w:cs="Times New Roman"/>
                <w:spacing w:val="1"/>
                <w:position w:val="7"/>
                <w:sz w:val="21"/>
                <w:szCs w:val="21"/>
              </w:rPr>
              <w:t xml:space="preserve">3  </w:t>
            </w:r>
            <w:r>
              <w:rPr>
                <w:rFonts w:hint="default" w:ascii="Times New Roman" w:hAnsi="Times New Roman" w:eastAsia="宋体" w:cs="Times New Roman"/>
                <w:spacing w:val="1"/>
                <w:sz w:val="21"/>
                <w:szCs w:val="21"/>
              </w:rPr>
              <w:t>的单个罐组应设环行消</w:t>
            </w:r>
            <w:r>
              <w:rPr>
                <w:rFonts w:hint="default" w:ascii="Times New Roman" w:hAnsi="Times New Roman" w:eastAsia="宋体" w:cs="Times New Roman"/>
                <w:spacing w:val="-7"/>
                <w:sz w:val="21"/>
                <w:szCs w:val="21"/>
              </w:rPr>
              <w:t>防车道。</w:t>
            </w:r>
          </w:p>
          <w:p w14:paraId="01004A8E">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6"/>
                <w:sz w:val="21"/>
                <w:szCs w:val="21"/>
              </w:rPr>
              <w:t>2</w:t>
            </w:r>
            <w:r>
              <w:rPr>
                <w:rFonts w:hint="default" w:ascii="Times New Roman" w:hAnsi="Times New Roman" w:eastAsia="Times New Roman" w:cs="Times New Roman"/>
                <w:spacing w:val="40"/>
                <w:w w:val="101"/>
                <w:sz w:val="21"/>
                <w:szCs w:val="21"/>
              </w:rPr>
              <w:t xml:space="preserve"> </w:t>
            </w:r>
            <w:r>
              <w:rPr>
                <w:rFonts w:hint="default" w:ascii="Times New Roman" w:hAnsi="Times New Roman" w:eastAsia="宋体" w:cs="Times New Roman"/>
                <w:spacing w:val="6"/>
                <w:sz w:val="21"/>
                <w:szCs w:val="21"/>
              </w:rPr>
              <w:t xml:space="preserve">多个罐组共用 </w:t>
            </w:r>
            <w:r>
              <w:rPr>
                <w:rFonts w:hint="default" w:ascii="Times New Roman" w:hAnsi="Times New Roman" w:eastAsia="Times New Roman" w:cs="Times New Roman"/>
                <w:spacing w:val="6"/>
                <w:sz w:val="21"/>
                <w:szCs w:val="21"/>
              </w:rPr>
              <w:t>1</w:t>
            </w:r>
            <w:r>
              <w:rPr>
                <w:rFonts w:hint="default" w:ascii="Times New Roman" w:hAnsi="Times New Roman" w:eastAsia="Times New Roman" w:cs="Times New Roman"/>
                <w:spacing w:val="26"/>
                <w:sz w:val="21"/>
                <w:szCs w:val="21"/>
              </w:rPr>
              <w:t xml:space="preserve"> </w:t>
            </w:r>
            <w:r>
              <w:rPr>
                <w:rFonts w:hint="default" w:ascii="Times New Roman" w:hAnsi="Times New Roman" w:eastAsia="宋体" w:cs="Times New Roman"/>
                <w:spacing w:val="6"/>
                <w:sz w:val="21"/>
                <w:szCs w:val="21"/>
              </w:rPr>
              <w:t>个环行消防车</w:t>
            </w:r>
            <w:r>
              <w:rPr>
                <w:rFonts w:hint="default" w:ascii="Times New Roman" w:hAnsi="Times New Roman" w:eastAsia="宋体" w:cs="Times New Roman"/>
                <w:spacing w:val="-6"/>
                <w:sz w:val="21"/>
                <w:szCs w:val="21"/>
              </w:rPr>
              <w:t>道，环行消防车道内的罐组储罐总</w:t>
            </w:r>
            <w:r>
              <w:rPr>
                <w:rFonts w:hint="default" w:ascii="Times New Roman" w:hAnsi="Times New Roman" w:eastAsia="宋体" w:cs="Times New Roman"/>
                <w:spacing w:val="-3"/>
                <w:sz w:val="21"/>
                <w:szCs w:val="21"/>
              </w:rPr>
              <w:t>容量不应大于</w:t>
            </w:r>
            <w:r>
              <w:rPr>
                <w:rFonts w:hint="default" w:ascii="Times New Roman" w:hAnsi="Times New Roman" w:eastAsia="宋体" w:cs="Times New Roman"/>
                <w:spacing w:val="-24"/>
                <w:sz w:val="21"/>
                <w:szCs w:val="21"/>
              </w:rPr>
              <w:t xml:space="preserve"> </w:t>
            </w:r>
            <w:r>
              <w:rPr>
                <w:rFonts w:hint="default" w:ascii="Times New Roman" w:hAnsi="Times New Roman" w:eastAsia="Times New Roman" w:cs="Times New Roman"/>
                <w:spacing w:val="-3"/>
                <w:sz w:val="21"/>
                <w:szCs w:val="21"/>
              </w:rPr>
              <w:t>120000m</w:t>
            </w:r>
            <w:r>
              <w:rPr>
                <w:rFonts w:hint="default" w:ascii="Times New Roman" w:hAnsi="Times New Roman" w:eastAsia="Times New Roman" w:cs="Times New Roman"/>
                <w:spacing w:val="-3"/>
                <w:position w:val="7"/>
                <w:sz w:val="21"/>
                <w:szCs w:val="21"/>
              </w:rPr>
              <w:t>3</w:t>
            </w:r>
            <w:r>
              <w:rPr>
                <w:rFonts w:hint="default" w:ascii="Times New Roman" w:hAnsi="Times New Roman" w:eastAsia="宋体" w:cs="Times New Roman"/>
                <w:spacing w:val="-3"/>
                <w:sz w:val="21"/>
                <w:szCs w:val="21"/>
              </w:rPr>
              <w:t>，</w:t>
            </w:r>
          </w:p>
          <w:p w14:paraId="4B79F2D3">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10"/>
                <w:sz w:val="21"/>
                <w:szCs w:val="21"/>
              </w:rPr>
              <w:t>3</w:t>
            </w:r>
            <w:r>
              <w:rPr>
                <w:rFonts w:hint="default" w:ascii="Times New Roman" w:hAnsi="Times New Roman" w:eastAsia="Times New Roman" w:cs="Times New Roman"/>
                <w:spacing w:val="50"/>
                <w:w w:val="101"/>
                <w:sz w:val="21"/>
                <w:szCs w:val="21"/>
              </w:rPr>
              <w:t xml:space="preserve"> </w:t>
            </w:r>
            <w:r>
              <w:rPr>
                <w:rFonts w:hint="default" w:ascii="Times New Roman" w:hAnsi="Times New Roman" w:eastAsia="宋体" w:cs="Times New Roman"/>
                <w:spacing w:val="10"/>
                <w:sz w:val="21"/>
                <w:szCs w:val="21"/>
              </w:rPr>
              <w:t>同一个环行消防车道内相邻罐</w:t>
            </w:r>
            <w:r>
              <w:rPr>
                <w:rFonts w:hint="default" w:ascii="Times New Roman" w:hAnsi="Times New Roman" w:eastAsia="宋体" w:cs="Times New Roman"/>
                <w:spacing w:val="9"/>
                <w:sz w:val="21"/>
                <w:szCs w:val="21"/>
              </w:rPr>
              <w:t>组防火堤外堤脚线之间应留有宽</w:t>
            </w:r>
            <w:r>
              <w:rPr>
                <w:rFonts w:hint="default" w:ascii="Times New Roman" w:hAnsi="Times New Roman" w:eastAsia="宋体" w:cs="Times New Roman"/>
                <w:spacing w:val="-4"/>
                <w:sz w:val="21"/>
                <w:szCs w:val="21"/>
              </w:rPr>
              <w:t>度不小于</w:t>
            </w:r>
            <w:r>
              <w:rPr>
                <w:rFonts w:hint="default" w:ascii="Times New Roman" w:hAnsi="Times New Roman" w:eastAsia="宋体" w:cs="Times New Roman"/>
                <w:spacing w:val="-51"/>
                <w:sz w:val="21"/>
                <w:szCs w:val="21"/>
              </w:rPr>
              <w:t xml:space="preserve"> </w:t>
            </w:r>
            <w:r>
              <w:rPr>
                <w:rFonts w:hint="default" w:ascii="Times New Roman" w:hAnsi="Times New Roman" w:eastAsia="Times New Roman" w:cs="Times New Roman"/>
                <w:spacing w:val="-4"/>
                <w:sz w:val="21"/>
                <w:szCs w:val="21"/>
              </w:rPr>
              <w:t>7m</w:t>
            </w:r>
            <w:r>
              <w:rPr>
                <w:rFonts w:hint="default" w:ascii="Times New Roman" w:hAnsi="Times New Roman" w:eastAsia="Times New Roman" w:cs="Times New Roman"/>
                <w:spacing w:val="27"/>
                <w:w w:val="101"/>
                <w:sz w:val="21"/>
                <w:szCs w:val="21"/>
              </w:rPr>
              <w:t xml:space="preserve"> </w:t>
            </w:r>
            <w:r>
              <w:rPr>
                <w:rFonts w:hint="default" w:ascii="Times New Roman" w:hAnsi="Times New Roman" w:eastAsia="宋体" w:cs="Times New Roman"/>
                <w:spacing w:val="-4"/>
                <w:sz w:val="21"/>
                <w:szCs w:val="21"/>
              </w:rPr>
              <w:t>的消防空地。</w:t>
            </w:r>
          </w:p>
          <w:p w14:paraId="313F86F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Times New Roman" w:cs="Times New Roman"/>
                <w:spacing w:val="-1"/>
                <w:sz w:val="21"/>
                <w:szCs w:val="21"/>
              </w:rPr>
              <w:t>4</w:t>
            </w:r>
            <w:r>
              <w:rPr>
                <w:rFonts w:hint="default" w:ascii="Times New Roman" w:hAnsi="Times New Roman" w:eastAsia="Times New Roman" w:cs="Times New Roman"/>
                <w:spacing w:val="43"/>
                <w:w w:val="101"/>
                <w:sz w:val="21"/>
                <w:szCs w:val="21"/>
              </w:rPr>
              <w:t xml:space="preserve"> </w:t>
            </w:r>
            <w:r>
              <w:rPr>
                <w:rFonts w:hint="default" w:ascii="Times New Roman" w:hAnsi="Times New Roman" w:eastAsia="宋体" w:cs="Times New Roman"/>
                <w:spacing w:val="-1"/>
                <w:sz w:val="21"/>
                <w:szCs w:val="21"/>
              </w:rPr>
              <w:t>总容量大于或等于</w:t>
            </w:r>
            <w:r>
              <w:rPr>
                <w:rFonts w:hint="default" w:ascii="Times New Roman" w:hAnsi="Times New Roman" w:eastAsia="宋体" w:cs="Times New Roman"/>
                <w:spacing w:val="-22"/>
                <w:sz w:val="21"/>
                <w:szCs w:val="21"/>
              </w:rPr>
              <w:t xml:space="preserve"> </w:t>
            </w:r>
            <w:r>
              <w:rPr>
                <w:rFonts w:hint="default" w:ascii="Times New Roman" w:hAnsi="Times New Roman" w:eastAsia="Times New Roman" w:cs="Times New Roman"/>
                <w:spacing w:val="-1"/>
                <w:sz w:val="21"/>
                <w:szCs w:val="21"/>
              </w:rPr>
              <w:t>120000m</w:t>
            </w:r>
            <w:r>
              <w:rPr>
                <w:rFonts w:hint="default" w:ascii="Times New Roman" w:hAnsi="Times New Roman" w:eastAsia="Times New Roman" w:cs="Times New Roman"/>
                <w:spacing w:val="-1"/>
                <w:position w:val="8"/>
                <w:sz w:val="21"/>
                <w:szCs w:val="21"/>
              </w:rPr>
              <w:t xml:space="preserve">3  </w:t>
            </w:r>
            <w:r>
              <w:rPr>
                <w:rFonts w:hint="default" w:ascii="Times New Roman" w:hAnsi="Times New Roman" w:eastAsia="宋体" w:cs="Times New Roman"/>
                <w:spacing w:val="-1"/>
                <w:sz w:val="21"/>
                <w:szCs w:val="21"/>
              </w:rPr>
              <w:t>的</w:t>
            </w:r>
            <w:r>
              <w:rPr>
                <w:rFonts w:hint="default" w:ascii="Times New Roman" w:hAnsi="Times New Roman" w:eastAsia="宋体" w:cs="Times New Roman"/>
                <w:spacing w:val="-6"/>
                <w:sz w:val="21"/>
                <w:szCs w:val="21"/>
              </w:rPr>
              <w:t>罐组，至少应有</w:t>
            </w:r>
            <w:r>
              <w:rPr>
                <w:rFonts w:hint="default" w:ascii="Times New Roman" w:hAnsi="Times New Roman" w:eastAsia="宋体" w:cs="Times New Roman"/>
                <w:spacing w:val="-51"/>
                <w:sz w:val="21"/>
                <w:szCs w:val="21"/>
              </w:rPr>
              <w:t xml:space="preserve"> </w:t>
            </w:r>
            <w:r>
              <w:rPr>
                <w:rFonts w:hint="default" w:ascii="Times New Roman" w:hAnsi="Times New Roman" w:eastAsia="Times New Roman" w:cs="Times New Roman"/>
                <w:spacing w:val="-6"/>
                <w:sz w:val="21"/>
                <w:szCs w:val="21"/>
              </w:rPr>
              <w:t xml:space="preserve">2 </w:t>
            </w:r>
            <w:r>
              <w:rPr>
                <w:rFonts w:hint="default" w:ascii="Times New Roman" w:hAnsi="Times New Roman" w:eastAsia="宋体" w:cs="Times New Roman"/>
                <w:spacing w:val="-6"/>
                <w:sz w:val="21"/>
                <w:szCs w:val="21"/>
              </w:rPr>
              <w:t>个路口能使消防车辆进入环形消防车道，并宜设在</w:t>
            </w:r>
            <w:r>
              <w:rPr>
                <w:rFonts w:hint="default" w:ascii="Times New Roman" w:hAnsi="Times New Roman" w:eastAsia="宋体" w:cs="Times New Roman"/>
                <w:spacing w:val="-2"/>
                <w:sz w:val="21"/>
                <w:szCs w:val="21"/>
              </w:rPr>
              <w:t>不同的方位上。</w:t>
            </w:r>
          </w:p>
        </w:tc>
        <w:tc>
          <w:tcPr>
            <w:tcW w:w="1783" w:type="dxa"/>
            <w:vAlign w:val="center"/>
          </w:tcPr>
          <w:p w14:paraId="10F3C751">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55D450B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kern w:val="28"/>
                <w:sz w:val="21"/>
                <w:szCs w:val="21"/>
                <w14:ligatures w14:val="none"/>
              </w:rPr>
            </w:pPr>
            <w:r>
              <w:rPr>
                <w:rFonts w:hint="default" w:ascii="Times New Roman" w:hAnsi="Times New Roman" w:eastAsia="宋体" w:cs="Times New Roman"/>
                <w:spacing w:val="-3"/>
                <w:sz w:val="21"/>
                <w:szCs w:val="21"/>
              </w:rPr>
              <w:t>第</w:t>
            </w:r>
            <w:r>
              <w:rPr>
                <w:rFonts w:hint="default" w:ascii="Times New Roman" w:hAnsi="Times New Roman" w:eastAsia="宋体" w:cs="Times New Roman"/>
                <w:spacing w:val="-49"/>
                <w:sz w:val="21"/>
                <w:szCs w:val="21"/>
              </w:rPr>
              <w:t xml:space="preserve"> </w:t>
            </w:r>
            <w:r>
              <w:rPr>
                <w:rFonts w:hint="default" w:ascii="Times New Roman" w:hAnsi="Times New Roman" w:eastAsia="Times New Roman" w:cs="Times New Roman"/>
                <w:spacing w:val="-3"/>
                <w:sz w:val="21"/>
                <w:szCs w:val="21"/>
              </w:rPr>
              <w:t>5.2.2</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3"/>
                <w:sz w:val="21"/>
                <w:szCs w:val="21"/>
              </w:rPr>
              <w:t>条</w:t>
            </w:r>
          </w:p>
        </w:tc>
        <w:tc>
          <w:tcPr>
            <w:tcW w:w="1892" w:type="dxa"/>
            <w:vAlign w:val="center"/>
          </w:tcPr>
          <w:p w14:paraId="60A0D80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z w:val="21"/>
                <w:szCs w:val="21"/>
              </w:rPr>
              <w:t>罐组周边设有环形消防通道，罐</w:t>
            </w:r>
            <w:r>
              <w:rPr>
                <w:rFonts w:hint="default" w:ascii="Times New Roman" w:hAnsi="Times New Roman" w:eastAsia="宋体" w:cs="Times New Roman"/>
                <w:spacing w:val="-12"/>
                <w:sz w:val="21"/>
                <w:szCs w:val="21"/>
              </w:rPr>
              <w:t>区总</w:t>
            </w:r>
            <w:r>
              <w:rPr>
                <w:rFonts w:hint="default" w:ascii="Times New Roman" w:hAnsi="Times New Roman" w:eastAsia="宋体" w:cs="Times New Roman"/>
                <w:spacing w:val="14"/>
                <w:sz w:val="21"/>
                <w:szCs w:val="21"/>
              </w:rPr>
              <w:t xml:space="preserve"> </w:t>
            </w:r>
            <w:r>
              <w:rPr>
                <w:rFonts w:hint="default" w:ascii="Times New Roman" w:hAnsi="Times New Roman" w:eastAsia="宋体" w:cs="Times New Roman"/>
                <w:spacing w:val="-12"/>
                <w:sz w:val="21"/>
                <w:szCs w:val="21"/>
              </w:rPr>
              <w:t>容积为</w:t>
            </w:r>
            <w:r>
              <w:rPr>
                <w:rFonts w:hint="default" w:ascii="Times New Roman" w:hAnsi="Times New Roman" w:eastAsia="Times New Roman" w:cs="Times New Roman"/>
                <w:spacing w:val="-2"/>
                <w:sz w:val="21"/>
                <w:szCs w:val="21"/>
              </w:rPr>
              <w:t>9900m</w:t>
            </w:r>
            <w:r>
              <w:rPr>
                <w:rFonts w:hint="default" w:ascii="Times New Roman" w:hAnsi="Times New Roman" w:eastAsia="Times New Roman" w:cs="Times New Roman"/>
                <w:spacing w:val="-2"/>
                <w:position w:val="7"/>
                <w:sz w:val="21"/>
                <w:szCs w:val="21"/>
              </w:rPr>
              <w:t>3</w:t>
            </w:r>
            <w:r>
              <w:rPr>
                <w:rFonts w:hint="default" w:ascii="Times New Roman" w:hAnsi="Times New Roman" w:eastAsia="宋体" w:cs="Times New Roman"/>
                <w:spacing w:val="-2"/>
                <w:sz w:val="21"/>
                <w:szCs w:val="21"/>
              </w:rPr>
              <w:t>。</w:t>
            </w:r>
          </w:p>
        </w:tc>
        <w:tc>
          <w:tcPr>
            <w:tcW w:w="677" w:type="dxa"/>
            <w:vAlign w:val="center"/>
          </w:tcPr>
          <w:p w14:paraId="7B5E1FC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2B76C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12802DA4">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14</w:t>
            </w:r>
          </w:p>
        </w:tc>
        <w:tc>
          <w:tcPr>
            <w:tcW w:w="4223" w:type="dxa"/>
            <w:vAlign w:val="center"/>
          </w:tcPr>
          <w:p w14:paraId="343773C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pacing w:val="1"/>
                <w:sz w:val="21"/>
                <w:szCs w:val="21"/>
              </w:rPr>
              <w:t>除丙</w:t>
            </w:r>
            <w:r>
              <w:rPr>
                <w:rFonts w:hint="default" w:ascii="Times New Roman" w:hAnsi="Times New Roman" w:eastAsia="宋体" w:cs="Times New Roman"/>
                <w:spacing w:val="-52"/>
                <w:sz w:val="21"/>
                <w:szCs w:val="21"/>
              </w:rPr>
              <w:t xml:space="preserve"> </w:t>
            </w:r>
            <w:r>
              <w:rPr>
                <w:rFonts w:hint="default" w:ascii="Times New Roman" w:hAnsi="Times New Roman" w:eastAsia="Times New Roman" w:cs="Times New Roman"/>
                <w:spacing w:val="1"/>
                <w:position w:val="-1"/>
                <w:sz w:val="21"/>
                <w:szCs w:val="21"/>
              </w:rPr>
              <w:t>B</w:t>
            </w:r>
            <w:r>
              <w:rPr>
                <w:rFonts w:hint="default" w:ascii="Times New Roman" w:hAnsi="Times New Roman" w:eastAsia="Times New Roman" w:cs="Times New Roman"/>
                <w:spacing w:val="16"/>
                <w:w w:val="102"/>
                <w:position w:val="-1"/>
                <w:sz w:val="21"/>
                <w:szCs w:val="21"/>
              </w:rPr>
              <w:t xml:space="preserve"> </w:t>
            </w:r>
            <w:r>
              <w:rPr>
                <w:rFonts w:hint="default" w:ascii="Times New Roman" w:hAnsi="Times New Roman" w:eastAsia="宋体" w:cs="Times New Roman"/>
                <w:spacing w:val="1"/>
                <w:sz w:val="21"/>
                <w:szCs w:val="21"/>
              </w:rPr>
              <w:t>类液体储罐和单罐容量</w:t>
            </w:r>
            <w:r>
              <w:rPr>
                <w:rFonts w:hint="default" w:ascii="Times New Roman" w:hAnsi="Times New Roman" w:eastAsia="宋体" w:cs="Times New Roman"/>
                <w:spacing w:val="-9"/>
                <w:sz w:val="21"/>
                <w:szCs w:val="21"/>
              </w:rPr>
              <w:t>小于或等于</w:t>
            </w:r>
            <w:r>
              <w:rPr>
                <w:rFonts w:hint="default" w:ascii="Times New Roman" w:hAnsi="Times New Roman" w:eastAsia="宋体" w:cs="Times New Roman"/>
                <w:spacing w:val="-22"/>
                <w:sz w:val="21"/>
                <w:szCs w:val="21"/>
              </w:rPr>
              <w:t xml:space="preserve"> </w:t>
            </w:r>
            <w:r>
              <w:rPr>
                <w:rFonts w:hint="default" w:ascii="Times New Roman" w:hAnsi="Times New Roman" w:eastAsia="Times New Roman" w:cs="Times New Roman"/>
                <w:spacing w:val="-9"/>
                <w:sz w:val="21"/>
                <w:szCs w:val="21"/>
              </w:rPr>
              <w:t>100m</w:t>
            </w:r>
            <w:r>
              <w:rPr>
                <w:rFonts w:hint="default" w:ascii="Times New Roman" w:hAnsi="Times New Roman" w:eastAsia="Times New Roman" w:cs="Times New Roman"/>
                <w:spacing w:val="-9"/>
                <w:position w:val="8"/>
                <w:sz w:val="21"/>
                <w:szCs w:val="21"/>
              </w:rPr>
              <w:t>3</w:t>
            </w:r>
            <w:r>
              <w:rPr>
                <w:rFonts w:hint="default" w:ascii="Times New Roman" w:hAnsi="Times New Roman" w:eastAsia="Times New Roman" w:cs="Times New Roman"/>
                <w:spacing w:val="32"/>
                <w:position w:val="8"/>
                <w:sz w:val="21"/>
                <w:szCs w:val="21"/>
              </w:rPr>
              <w:t xml:space="preserve"> </w:t>
            </w:r>
            <w:r>
              <w:rPr>
                <w:rFonts w:hint="default" w:ascii="Times New Roman" w:hAnsi="Times New Roman" w:eastAsia="宋体" w:cs="Times New Roman"/>
                <w:spacing w:val="-9"/>
                <w:sz w:val="21"/>
                <w:szCs w:val="21"/>
              </w:rPr>
              <w:t>的储罐外，储罐</w:t>
            </w:r>
            <w:r>
              <w:rPr>
                <w:rFonts w:hint="default" w:ascii="Times New Roman" w:hAnsi="Times New Roman" w:eastAsia="宋体" w:cs="Times New Roman"/>
                <w:spacing w:val="-7"/>
                <w:sz w:val="21"/>
                <w:szCs w:val="21"/>
              </w:rPr>
              <w:t>至少应与</w:t>
            </w:r>
            <w:r>
              <w:rPr>
                <w:rFonts w:hint="default" w:ascii="Times New Roman" w:hAnsi="Times New Roman" w:eastAsia="宋体" w:cs="Times New Roman"/>
                <w:spacing w:val="-32"/>
                <w:sz w:val="21"/>
                <w:szCs w:val="21"/>
              </w:rPr>
              <w:t xml:space="preserve"> </w:t>
            </w:r>
            <w:r>
              <w:rPr>
                <w:rFonts w:hint="default" w:ascii="Times New Roman" w:hAnsi="Times New Roman" w:eastAsia="Times New Roman" w:cs="Times New Roman"/>
                <w:spacing w:val="-7"/>
                <w:sz w:val="21"/>
                <w:szCs w:val="21"/>
              </w:rPr>
              <w:t xml:space="preserve">1 </w:t>
            </w:r>
            <w:r>
              <w:rPr>
                <w:rFonts w:hint="default" w:ascii="Times New Roman" w:hAnsi="Times New Roman" w:eastAsia="宋体" w:cs="Times New Roman"/>
                <w:spacing w:val="-7"/>
                <w:sz w:val="21"/>
                <w:szCs w:val="21"/>
              </w:rPr>
              <w:t>条消防车道相邻。储罐</w:t>
            </w:r>
            <w:r>
              <w:rPr>
                <w:rFonts w:hint="default" w:ascii="Times New Roman" w:hAnsi="Times New Roman" w:eastAsia="宋体" w:cs="Times New Roman"/>
                <w:spacing w:val="8"/>
                <w:sz w:val="21"/>
                <w:szCs w:val="21"/>
              </w:rPr>
              <w:t>中心至少与</w:t>
            </w:r>
            <w:r>
              <w:rPr>
                <w:rFonts w:hint="default" w:ascii="Times New Roman" w:hAnsi="Times New Roman" w:eastAsia="宋体" w:cs="Times New Roman"/>
                <w:spacing w:val="-42"/>
                <w:sz w:val="21"/>
                <w:szCs w:val="21"/>
              </w:rPr>
              <w:t xml:space="preserve"> </w:t>
            </w:r>
            <w:r>
              <w:rPr>
                <w:rFonts w:hint="default" w:ascii="Times New Roman" w:hAnsi="Times New Roman" w:eastAsia="Times New Roman" w:cs="Times New Roman"/>
                <w:spacing w:val="8"/>
                <w:sz w:val="21"/>
                <w:szCs w:val="21"/>
              </w:rPr>
              <w:t>2</w:t>
            </w:r>
            <w:r>
              <w:rPr>
                <w:rFonts w:hint="default" w:ascii="Times New Roman" w:hAnsi="Times New Roman" w:eastAsia="Times New Roman" w:cs="Times New Roman"/>
                <w:spacing w:val="23"/>
                <w:w w:val="101"/>
                <w:sz w:val="21"/>
                <w:szCs w:val="21"/>
              </w:rPr>
              <w:t xml:space="preserve"> </w:t>
            </w:r>
            <w:r>
              <w:rPr>
                <w:rFonts w:hint="default" w:ascii="Times New Roman" w:hAnsi="Times New Roman" w:eastAsia="宋体" w:cs="Times New Roman"/>
                <w:spacing w:val="8"/>
                <w:sz w:val="21"/>
                <w:szCs w:val="21"/>
              </w:rPr>
              <w:t>条消防车道的距离</w:t>
            </w:r>
            <w:r>
              <w:rPr>
                <w:rFonts w:hint="default" w:ascii="Times New Roman" w:hAnsi="Times New Roman" w:eastAsia="宋体" w:cs="Times New Roman"/>
                <w:sz w:val="21"/>
                <w:szCs w:val="21"/>
              </w:rPr>
              <w:t>均不应大于</w:t>
            </w:r>
            <w:r>
              <w:rPr>
                <w:rFonts w:hint="default" w:ascii="Times New Roman" w:hAnsi="Times New Roman" w:eastAsia="宋体" w:cs="Times New Roman"/>
                <w:spacing w:val="-30"/>
                <w:sz w:val="21"/>
                <w:szCs w:val="21"/>
              </w:rPr>
              <w:t xml:space="preserve"> </w:t>
            </w:r>
            <w:r>
              <w:rPr>
                <w:rFonts w:hint="default" w:ascii="Times New Roman" w:hAnsi="Times New Roman" w:eastAsia="Times New Roman" w:cs="Times New Roman"/>
                <w:sz w:val="21"/>
                <w:szCs w:val="21"/>
              </w:rPr>
              <w:t>120m</w:t>
            </w:r>
            <w:r>
              <w:rPr>
                <w:rFonts w:hint="default" w:ascii="Times New Roman" w:hAnsi="Times New Roman" w:eastAsia="宋体" w:cs="Times New Roman"/>
                <w:sz w:val="21"/>
                <w:szCs w:val="21"/>
              </w:rPr>
              <w:t>；条件受限时，</w:t>
            </w:r>
            <w:r>
              <w:rPr>
                <w:rFonts w:hint="default" w:ascii="Times New Roman" w:hAnsi="Times New Roman" w:eastAsia="宋体" w:cs="Times New Roman"/>
                <w:spacing w:val="11"/>
                <w:sz w:val="21"/>
                <w:szCs w:val="21"/>
              </w:rPr>
              <w:t>储罐中心与最近一条消防车道之</w:t>
            </w:r>
            <w:r>
              <w:rPr>
                <w:rFonts w:hint="default" w:ascii="Times New Roman" w:hAnsi="Times New Roman" w:eastAsia="宋体" w:cs="Times New Roman"/>
                <w:spacing w:val="-2"/>
                <w:sz w:val="21"/>
                <w:szCs w:val="21"/>
              </w:rPr>
              <w:t>间的距离不应大于</w:t>
            </w:r>
            <w:r>
              <w:rPr>
                <w:rFonts w:hint="default" w:ascii="Times New Roman" w:hAnsi="Times New Roman" w:eastAsia="宋体" w:cs="Times New Roman"/>
                <w:spacing w:val="-46"/>
                <w:sz w:val="21"/>
                <w:szCs w:val="21"/>
              </w:rPr>
              <w:t xml:space="preserve"> </w:t>
            </w:r>
            <w:r>
              <w:rPr>
                <w:rFonts w:hint="default" w:ascii="Times New Roman" w:hAnsi="Times New Roman" w:eastAsia="Times New Roman" w:cs="Times New Roman"/>
                <w:spacing w:val="-2"/>
                <w:sz w:val="21"/>
                <w:szCs w:val="21"/>
              </w:rPr>
              <w:t>80m</w:t>
            </w:r>
            <w:r>
              <w:rPr>
                <w:rFonts w:hint="default" w:ascii="Times New Roman" w:hAnsi="Times New Roman" w:eastAsia="宋体" w:cs="Times New Roman"/>
                <w:spacing w:val="-2"/>
                <w:sz w:val="21"/>
                <w:szCs w:val="21"/>
              </w:rPr>
              <w:t>。</w:t>
            </w:r>
          </w:p>
        </w:tc>
        <w:tc>
          <w:tcPr>
            <w:tcW w:w="1783" w:type="dxa"/>
            <w:vAlign w:val="center"/>
          </w:tcPr>
          <w:p w14:paraId="72CBFAE1">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32E7FED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kern w:val="28"/>
                <w:sz w:val="21"/>
                <w:szCs w:val="21"/>
                <w14:ligatures w14:val="none"/>
              </w:rPr>
            </w:pPr>
            <w:r>
              <w:rPr>
                <w:rFonts w:hint="default" w:ascii="Times New Roman" w:hAnsi="Times New Roman" w:eastAsia="宋体" w:cs="Times New Roman"/>
                <w:spacing w:val="-3"/>
                <w:sz w:val="21"/>
                <w:szCs w:val="21"/>
              </w:rPr>
              <w:t>第</w:t>
            </w:r>
            <w:r>
              <w:rPr>
                <w:rFonts w:hint="default" w:ascii="Times New Roman" w:hAnsi="Times New Roman" w:eastAsia="宋体" w:cs="Times New Roman"/>
                <w:spacing w:val="-49"/>
                <w:sz w:val="21"/>
                <w:szCs w:val="21"/>
              </w:rPr>
              <w:t xml:space="preserve"> </w:t>
            </w:r>
            <w:r>
              <w:rPr>
                <w:rFonts w:hint="default" w:ascii="Times New Roman" w:hAnsi="Times New Roman" w:eastAsia="Times New Roman" w:cs="Times New Roman"/>
                <w:spacing w:val="-3"/>
                <w:sz w:val="21"/>
                <w:szCs w:val="21"/>
              </w:rPr>
              <w:t>5.2.3</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3"/>
                <w:sz w:val="21"/>
                <w:szCs w:val="21"/>
              </w:rPr>
              <w:t>条</w:t>
            </w:r>
          </w:p>
        </w:tc>
        <w:tc>
          <w:tcPr>
            <w:tcW w:w="1892" w:type="dxa"/>
            <w:vAlign w:val="center"/>
          </w:tcPr>
          <w:p w14:paraId="1F9B73F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both"/>
              <w:textAlignment w:val="auto"/>
              <w:rPr>
                <w:rFonts w:hint="default" w:ascii="Times New Roman" w:hAnsi="Times New Roman" w:eastAsia="宋体" w:cs="Times New Roman"/>
                <w:kern w:val="28"/>
                <w:sz w:val="21"/>
                <w:szCs w:val="21"/>
                <w:lang w:eastAsia="zh-CN"/>
                <w14:ligatures w14:val="none"/>
              </w:rPr>
            </w:pPr>
            <w:r>
              <w:rPr>
                <w:rFonts w:hint="default" w:ascii="Times New Roman" w:hAnsi="Times New Roman" w:eastAsia="宋体" w:cs="Times New Roman"/>
                <w:sz w:val="21"/>
                <w:szCs w:val="21"/>
              </w:rPr>
              <w:t>储罐中心与消防</w:t>
            </w:r>
            <w:r>
              <w:rPr>
                <w:rFonts w:hint="default" w:ascii="Times New Roman" w:hAnsi="Times New Roman" w:eastAsia="宋体" w:cs="Times New Roman"/>
                <w:spacing w:val="-1"/>
                <w:sz w:val="21"/>
                <w:szCs w:val="21"/>
              </w:rPr>
              <w:t>道</w:t>
            </w:r>
            <w:r>
              <w:rPr>
                <w:rFonts w:hint="default" w:ascii="Times New Roman" w:hAnsi="Times New Roman" w:eastAsia="宋体" w:cs="Times New Roman"/>
                <w:spacing w:val="-58"/>
                <w:sz w:val="21"/>
                <w:szCs w:val="21"/>
              </w:rPr>
              <w:t xml:space="preserve"> </w:t>
            </w:r>
            <w:r>
              <w:rPr>
                <w:rFonts w:hint="default" w:ascii="Times New Roman" w:hAnsi="Times New Roman" w:eastAsia="宋体" w:cs="Times New Roman"/>
                <w:spacing w:val="-1"/>
                <w:sz w:val="21"/>
                <w:szCs w:val="21"/>
              </w:rPr>
              <w:t>路</w:t>
            </w:r>
            <w:r>
              <w:rPr>
                <w:rFonts w:hint="default" w:ascii="Times New Roman" w:hAnsi="Times New Roman" w:eastAsia="宋体" w:cs="Times New Roman"/>
                <w:spacing w:val="-61"/>
                <w:sz w:val="21"/>
                <w:szCs w:val="21"/>
              </w:rPr>
              <w:t xml:space="preserve"> </w:t>
            </w:r>
            <w:r>
              <w:rPr>
                <w:rFonts w:hint="default" w:ascii="Times New Roman" w:hAnsi="Times New Roman" w:eastAsia="宋体" w:cs="Times New Roman"/>
                <w:spacing w:val="-1"/>
                <w:sz w:val="21"/>
                <w:szCs w:val="21"/>
              </w:rPr>
              <w:t>距</w:t>
            </w:r>
            <w:r>
              <w:rPr>
                <w:rFonts w:hint="default" w:ascii="Times New Roman" w:hAnsi="Times New Roman" w:eastAsia="宋体" w:cs="Times New Roman"/>
                <w:spacing w:val="-57"/>
                <w:sz w:val="21"/>
                <w:szCs w:val="21"/>
              </w:rPr>
              <w:t xml:space="preserve"> </w:t>
            </w:r>
            <w:r>
              <w:rPr>
                <w:rFonts w:hint="default" w:ascii="Times New Roman" w:hAnsi="Times New Roman" w:eastAsia="宋体" w:cs="Times New Roman"/>
                <w:spacing w:val="-1"/>
                <w:sz w:val="21"/>
                <w:szCs w:val="21"/>
              </w:rPr>
              <w:t>离</w:t>
            </w:r>
            <w:r>
              <w:rPr>
                <w:rFonts w:hint="default" w:ascii="Times New Roman" w:hAnsi="Times New Roman" w:eastAsia="宋体" w:cs="Times New Roman"/>
                <w:spacing w:val="-56"/>
                <w:sz w:val="21"/>
                <w:szCs w:val="21"/>
              </w:rPr>
              <w:t xml:space="preserve"> </w:t>
            </w:r>
            <w:r>
              <w:rPr>
                <w:rFonts w:hint="default" w:ascii="Times New Roman" w:hAnsi="Times New Roman" w:eastAsia="宋体" w:cs="Times New Roman"/>
                <w:spacing w:val="-1"/>
                <w:sz w:val="21"/>
                <w:szCs w:val="21"/>
              </w:rPr>
              <w:t>小于</w:t>
            </w:r>
            <w:r>
              <w:rPr>
                <w:rFonts w:hint="default" w:ascii="Times New Roman" w:hAnsi="Times New Roman" w:eastAsia="Times New Roman" w:cs="Times New Roman"/>
                <w:spacing w:val="-3"/>
                <w:sz w:val="21"/>
                <w:szCs w:val="21"/>
              </w:rPr>
              <w:t>80m</w:t>
            </w:r>
            <w:r>
              <w:rPr>
                <w:rFonts w:hint="default" w:ascii="Times New Roman" w:hAnsi="Times New Roman" w:eastAsia="宋体" w:cs="Times New Roman"/>
                <w:spacing w:val="-3"/>
                <w:sz w:val="21"/>
                <w:szCs w:val="21"/>
              </w:rPr>
              <w:t>。</w:t>
            </w:r>
          </w:p>
        </w:tc>
        <w:tc>
          <w:tcPr>
            <w:tcW w:w="677" w:type="dxa"/>
            <w:vAlign w:val="center"/>
          </w:tcPr>
          <w:p w14:paraId="3EC6481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符合</w:t>
            </w:r>
          </w:p>
        </w:tc>
      </w:tr>
      <w:tr w14:paraId="093B8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71529BF6">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15</w:t>
            </w:r>
          </w:p>
        </w:tc>
        <w:tc>
          <w:tcPr>
            <w:tcW w:w="4223" w:type="dxa"/>
            <w:vAlign w:val="center"/>
          </w:tcPr>
          <w:p w14:paraId="086F5B5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Times New Roman" w:cs="Times New Roman"/>
                <w:spacing w:val="1"/>
                <w:sz w:val="21"/>
                <w:szCs w:val="21"/>
              </w:rPr>
            </w:pPr>
            <w:r>
              <w:rPr>
                <w:rFonts w:hint="default" w:ascii="Times New Roman" w:hAnsi="Times New Roman" w:eastAsia="宋体" w:cs="Times New Roman"/>
                <w:spacing w:val="6"/>
                <w:sz w:val="21"/>
                <w:szCs w:val="21"/>
              </w:rPr>
              <w:t>汽车罐车装卸设施和灌桶设</w:t>
            </w:r>
            <w:r>
              <w:rPr>
                <w:rFonts w:hint="default" w:ascii="Times New Roman" w:hAnsi="Times New Roman" w:eastAsia="宋体" w:cs="Times New Roman"/>
                <w:spacing w:val="-6"/>
                <w:sz w:val="21"/>
                <w:szCs w:val="21"/>
              </w:rPr>
              <w:t>施，应设置能保证消防车辆顺利接</w:t>
            </w:r>
            <w:r>
              <w:rPr>
                <w:rFonts w:hint="default" w:ascii="Times New Roman" w:hAnsi="Times New Roman" w:eastAsia="宋体" w:cs="Times New Roman"/>
                <w:spacing w:val="-1"/>
                <w:sz w:val="21"/>
                <w:szCs w:val="21"/>
              </w:rPr>
              <w:t>近火灾场地的消防车道。</w:t>
            </w:r>
          </w:p>
        </w:tc>
        <w:tc>
          <w:tcPr>
            <w:tcW w:w="1783" w:type="dxa"/>
            <w:vAlign w:val="center"/>
          </w:tcPr>
          <w:p w14:paraId="37FBB2FA">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0802EEF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第</w:t>
            </w:r>
            <w:r>
              <w:rPr>
                <w:rFonts w:hint="default" w:ascii="Times New Roman" w:hAnsi="Times New Roman" w:eastAsia="宋体" w:cs="Times New Roman"/>
                <w:spacing w:val="-49"/>
                <w:sz w:val="21"/>
                <w:szCs w:val="21"/>
              </w:rPr>
              <w:t xml:space="preserve"> </w:t>
            </w:r>
            <w:r>
              <w:rPr>
                <w:rFonts w:hint="default" w:ascii="Times New Roman" w:hAnsi="Times New Roman" w:eastAsia="Times New Roman" w:cs="Times New Roman"/>
                <w:spacing w:val="-3"/>
                <w:sz w:val="21"/>
                <w:szCs w:val="21"/>
              </w:rPr>
              <w:t>5.2.5</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3"/>
                <w:sz w:val="21"/>
                <w:szCs w:val="21"/>
              </w:rPr>
              <w:t>条</w:t>
            </w:r>
          </w:p>
        </w:tc>
        <w:tc>
          <w:tcPr>
            <w:tcW w:w="1892" w:type="dxa"/>
            <w:vAlign w:val="center"/>
          </w:tcPr>
          <w:p w14:paraId="3616F81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汽车装卸设施旁</w:t>
            </w:r>
            <w:r>
              <w:rPr>
                <w:rFonts w:hint="default" w:ascii="Times New Roman" w:hAnsi="Times New Roman" w:eastAsia="宋体" w:cs="Times New Roman"/>
                <w:spacing w:val="-2"/>
                <w:sz w:val="21"/>
                <w:szCs w:val="21"/>
              </w:rPr>
              <w:t>设有消防车道。</w:t>
            </w:r>
          </w:p>
        </w:tc>
        <w:tc>
          <w:tcPr>
            <w:tcW w:w="677" w:type="dxa"/>
            <w:vAlign w:val="center"/>
          </w:tcPr>
          <w:p w14:paraId="1342F62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spacing w:val="35"/>
                <w:sz w:val="21"/>
                <w:szCs w:val="21"/>
              </w:rPr>
            </w:pPr>
            <w:r>
              <w:rPr>
                <w:rFonts w:hint="eastAsia" w:ascii="Times New Roman" w:hAnsi="Times New Roman" w:eastAsia="宋体" w:cs="Times New Roman"/>
                <w:kern w:val="28"/>
                <w:sz w:val="21"/>
                <w:szCs w:val="21"/>
                <w:lang w:val="en-US" w:eastAsia="zh-CN"/>
                <w14:ligatures w14:val="none"/>
              </w:rPr>
              <w:t>符合</w:t>
            </w:r>
          </w:p>
        </w:tc>
      </w:tr>
      <w:tr w14:paraId="09970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7F7D9F87">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16</w:t>
            </w:r>
          </w:p>
        </w:tc>
        <w:tc>
          <w:tcPr>
            <w:tcW w:w="4223" w:type="dxa"/>
            <w:vAlign w:val="center"/>
          </w:tcPr>
          <w:p w14:paraId="474C85D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both"/>
              <w:textAlignment w:val="auto"/>
              <w:rPr>
                <w:rFonts w:hint="default" w:ascii="Times New Roman" w:hAnsi="Times New Roman" w:eastAsia="Times New Roman" w:cs="Times New Roman"/>
                <w:spacing w:val="6"/>
                <w:sz w:val="21"/>
                <w:szCs w:val="21"/>
              </w:rPr>
            </w:pPr>
            <w:r>
              <w:rPr>
                <w:rFonts w:hint="default" w:ascii="Times New Roman" w:hAnsi="Times New Roman" w:eastAsia="宋体" w:cs="Times New Roman"/>
                <w:spacing w:val="-7"/>
                <w:sz w:val="21"/>
                <w:szCs w:val="21"/>
              </w:rPr>
              <w:t>消防车道与防火堤外堤脚线之</w:t>
            </w:r>
            <w:r>
              <w:rPr>
                <w:rFonts w:hint="default" w:ascii="Times New Roman" w:hAnsi="Times New Roman" w:eastAsia="宋体" w:cs="Times New Roman"/>
                <w:spacing w:val="-4"/>
                <w:sz w:val="21"/>
                <w:szCs w:val="21"/>
              </w:rPr>
              <w:t>间的距离，不应小于</w:t>
            </w:r>
            <w:r>
              <w:rPr>
                <w:rFonts w:hint="default" w:ascii="Times New Roman" w:hAnsi="Times New Roman" w:eastAsia="宋体" w:cs="Times New Roman"/>
                <w:spacing w:val="-42"/>
                <w:sz w:val="21"/>
                <w:szCs w:val="21"/>
              </w:rPr>
              <w:t xml:space="preserve"> </w:t>
            </w:r>
            <w:r>
              <w:rPr>
                <w:rFonts w:hint="default" w:ascii="Times New Roman" w:hAnsi="Times New Roman" w:eastAsia="Times New Roman" w:cs="Times New Roman"/>
                <w:spacing w:val="-4"/>
                <w:sz w:val="21"/>
                <w:szCs w:val="21"/>
              </w:rPr>
              <w:t>3m</w:t>
            </w:r>
            <w:r>
              <w:rPr>
                <w:rFonts w:hint="default" w:ascii="Times New Roman" w:hAnsi="Times New Roman" w:eastAsia="宋体" w:cs="Times New Roman"/>
                <w:spacing w:val="-4"/>
                <w:sz w:val="21"/>
                <w:szCs w:val="21"/>
              </w:rPr>
              <w:t>。</w:t>
            </w:r>
          </w:p>
        </w:tc>
        <w:tc>
          <w:tcPr>
            <w:tcW w:w="1783" w:type="dxa"/>
            <w:vAlign w:val="center"/>
          </w:tcPr>
          <w:p w14:paraId="179AF2E5">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07446A0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第</w:t>
            </w:r>
            <w:r>
              <w:rPr>
                <w:rFonts w:hint="default" w:ascii="Times New Roman" w:hAnsi="Times New Roman" w:eastAsia="宋体" w:cs="Times New Roman"/>
                <w:spacing w:val="-49"/>
                <w:sz w:val="21"/>
                <w:szCs w:val="21"/>
              </w:rPr>
              <w:t xml:space="preserve"> </w:t>
            </w:r>
            <w:r>
              <w:rPr>
                <w:rFonts w:hint="default" w:ascii="Times New Roman" w:hAnsi="Times New Roman" w:eastAsia="Times New Roman" w:cs="Times New Roman"/>
                <w:spacing w:val="-3"/>
                <w:sz w:val="21"/>
                <w:szCs w:val="21"/>
              </w:rPr>
              <w:t>5.2.7</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3"/>
                <w:sz w:val="21"/>
                <w:szCs w:val="21"/>
              </w:rPr>
              <w:t>条</w:t>
            </w:r>
          </w:p>
        </w:tc>
        <w:tc>
          <w:tcPr>
            <w:tcW w:w="1892" w:type="dxa"/>
            <w:vAlign w:val="center"/>
          </w:tcPr>
          <w:p w14:paraId="5B3E06C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1"/>
                <w:sz w:val="21"/>
                <w:szCs w:val="21"/>
              </w:rPr>
              <w:t>消防车道与防火</w:t>
            </w:r>
            <w:r>
              <w:rPr>
                <w:rFonts w:hint="default" w:ascii="Times New Roman" w:hAnsi="Times New Roman" w:eastAsia="宋体" w:cs="Times New Roman"/>
                <w:sz w:val="21"/>
                <w:szCs w:val="21"/>
              </w:rPr>
              <w:t>堤外堤脚线之间</w:t>
            </w:r>
            <w:r>
              <w:rPr>
                <w:rFonts w:hint="default" w:ascii="Times New Roman" w:hAnsi="Times New Roman" w:eastAsia="宋体" w:cs="Times New Roman"/>
                <w:spacing w:val="-8"/>
                <w:sz w:val="21"/>
                <w:szCs w:val="21"/>
              </w:rPr>
              <w:t>的距离大于</w:t>
            </w:r>
            <w:r>
              <w:rPr>
                <w:rFonts w:hint="default" w:ascii="Times New Roman" w:hAnsi="Times New Roman" w:eastAsia="宋体" w:cs="Times New Roman"/>
                <w:spacing w:val="-49"/>
                <w:sz w:val="21"/>
                <w:szCs w:val="21"/>
              </w:rPr>
              <w:t xml:space="preserve"> </w:t>
            </w:r>
            <w:r>
              <w:rPr>
                <w:rFonts w:hint="default" w:ascii="Times New Roman" w:hAnsi="Times New Roman" w:eastAsia="Times New Roman" w:cs="Times New Roman"/>
                <w:spacing w:val="-8"/>
                <w:sz w:val="21"/>
                <w:szCs w:val="21"/>
              </w:rPr>
              <w:t>3m</w:t>
            </w:r>
            <w:r>
              <w:rPr>
                <w:rFonts w:hint="default" w:ascii="Times New Roman" w:hAnsi="Times New Roman" w:eastAsia="宋体" w:cs="Times New Roman"/>
                <w:spacing w:val="-8"/>
                <w:sz w:val="21"/>
                <w:szCs w:val="21"/>
              </w:rPr>
              <w:t>。</w:t>
            </w:r>
          </w:p>
        </w:tc>
        <w:tc>
          <w:tcPr>
            <w:tcW w:w="677" w:type="dxa"/>
            <w:vAlign w:val="center"/>
          </w:tcPr>
          <w:p w14:paraId="0356B5CE">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spacing w:val="34"/>
                <w:sz w:val="21"/>
                <w:szCs w:val="21"/>
              </w:rPr>
            </w:pPr>
            <w:r>
              <w:rPr>
                <w:rFonts w:hint="eastAsia" w:ascii="Times New Roman" w:hAnsi="Times New Roman" w:eastAsia="宋体" w:cs="Times New Roman"/>
                <w:kern w:val="28"/>
                <w:sz w:val="21"/>
                <w:szCs w:val="21"/>
                <w:lang w:val="en-US" w:eastAsia="zh-CN"/>
                <w14:ligatures w14:val="none"/>
              </w:rPr>
              <w:t>符合</w:t>
            </w:r>
          </w:p>
        </w:tc>
      </w:tr>
      <w:tr w14:paraId="23CF9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0C8B59E2">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17</w:t>
            </w:r>
          </w:p>
        </w:tc>
        <w:tc>
          <w:tcPr>
            <w:tcW w:w="4223" w:type="dxa"/>
            <w:vAlign w:val="center"/>
          </w:tcPr>
          <w:p w14:paraId="0D60FA0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Times New Roman" w:cs="Times New Roman"/>
                <w:spacing w:val="6"/>
                <w:sz w:val="21"/>
                <w:szCs w:val="21"/>
              </w:rPr>
            </w:pPr>
            <w:r>
              <w:rPr>
                <w:rFonts w:hint="default" w:ascii="Times New Roman" w:hAnsi="Times New Roman" w:eastAsia="宋体" w:cs="Times New Roman"/>
                <w:spacing w:val="-7"/>
                <w:sz w:val="21"/>
                <w:szCs w:val="21"/>
              </w:rPr>
              <w:t>消防车道的净空高度不应小于</w:t>
            </w:r>
            <w:r>
              <w:rPr>
                <w:rFonts w:hint="default" w:ascii="Times New Roman" w:hAnsi="Times New Roman" w:eastAsia="Times New Roman" w:cs="Times New Roman"/>
                <w:spacing w:val="-5"/>
                <w:sz w:val="21"/>
                <w:szCs w:val="21"/>
              </w:rPr>
              <w:t>5.0m</w:t>
            </w:r>
            <w:r>
              <w:rPr>
                <w:rFonts w:hint="default" w:ascii="Times New Roman" w:hAnsi="Times New Roman" w:eastAsia="Times New Roman" w:cs="Times New Roman"/>
                <w:spacing w:val="-18"/>
                <w:sz w:val="21"/>
                <w:szCs w:val="21"/>
              </w:rPr>
              <w:t xml:space="preserve"> </w:t>
            </w:r>
            <w:r>
              <w:rPr>
                <w:rFonts w:hint="default" w:ascii="Times New Roman" w:hAnsi="Times New Roman" w:eastAsia="宋体" w:cs="Times New Roman"/>
                <w:spacing w:val="-5"/>
                <w:sz w:val="21"/>
                <w:szCs w:val="21"/>
              </w:rPr>
              <w:t>，转弯半径不宜小于</w:t>
            </w:r>
            <w:r>
              <w:rPr>
                <w:rFonts w:hint="default" w:ascii="Times New Roman" w:hAnsi="Times New Roman" w:eastAsia="宋体" w:cs="Times New Roman"/>
                <w:spacing w:val="-32"/>
                <w:sz w:val="21"/>
                <w:szCs w:val="21"/>
              </w:rPr>
              <w:t xml:space="preserve"> </w:t>
            </w:r>
            <w:r>
              <w:rPr>
                <w:rFonts w:hint="default" w:ascii="Times New Roman" w:hAnsi="Times New Roman" w:eastAsia="Times New Roman" w:cs="Times New Roman"/>
                <w:spacing w:val="-5"/>
                <w:sz w:val="21"/>
                <w:szCs w:val="21"/>
              </w:rPr>
              <w:t>12m</w:t>
            </w:r>
            <w:r>
              <w:rPr>
                <w:rFonts w:hint="default" w:ascii="Times New Roman" w:hAnsi="Times New Roman" w:eastAsia="宋体" w:cs="Times New Roman"/>
                <w:spacing w:val="-5"/>
                <w:sz w:val="21"/>
                <w:szCs w:val="21"/>
              </w:rPr>
              <w:t>。</w:t>
            </w:r>
          </w:p>
        </w:tc>
        <w:tc>
          <w:tcPr>
            <w:tcW w:w="1783" w:type="dxa"/>
            <w:vAlign w:val="center"/>
          </w:tcPr>
          <w:p w14:paraId="63E93840">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38DED01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第</w:t>
            </w:r>
            <w:r>
              <w:rPr>
                <w:rFonts w:hint="default" w:ascii="Times New Roman" w:hAnsi="Times New Roman" w:eastAsia="宋体" w:cs="Times New Roman"/>
                <w:spacing w:val="-49"/>
                <w:sz w:val="21"/>
                <w:szCs w:val="21"/>
              </w:rPr>
              <w:t xml:space="preserve"> </w:t>
            </w:r>
            <w:r>
              <w:rPr>
                <w:rFonts w:hint="default" w:ascii="Times New Roman" w:hAnsi="Times New Roman" w:eastAsia="Times New Roman" w:cs="Times New Roman"/>
                <w:spacing w:val="-3"/>
                <w:sz w:val="21"/>
                <w:szCs w:val="21"/>
              </w:rPr>
              <w:t>5.2.9</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3"/>
                <w:sz w:val="21"/>
                <w:szCs w:val="21"/>
              </w:rPr>
              <w:t>条</w:t>
            </w:r>
          </w:p>
        </w:tc>
        <w:tc>
          <w:tcPr>
            <w:tcW w:w="1892" w:type="dxa"/>
            <w:vAlign w:val="center"/>
          </w:tcPr>
          <w:p w14:paraId="63CBA71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1"/>
                <w:sz w:val="21"/>
                <w:szCs w:val="21"/>
              </w:rPr>
              <w:t>消防车道的净空</w:t>
            </w:r>
            <w:r>
              <w:rPr>
                <w:rFonts w:hint="default" w:ascii="Times New Roman" w:hAnsi="Times New Roman" w:eastAsia="宋体" w:cs="Times New Roman"/>
                <w:spacing w:val="-18"/>
                <w:sz w:val="21"/>
                <w:szCs w:val="21"/>
              </w:rPr>
              <w:t>高不小于</w:t>
            </w:r>
            <w:r>
              <w:rPr>
                <w:rFonts w:hint="default" w:ascii="Times New Roman" w:hAnsi="Times New Roman" w:eastAsia="宋体" w:cs="Times New Roman"/>
                <w:spacing w:val="-47"/>
                <w:sz w:val="21"/>
                <w:szCs w:val="21"/>
              </w:rPr>
              <w:t xml:space="preserve"> </w:t>
            </w:r>
            <w:r>
              <w:rPr>
                <w:rFonts w:hint="default" w:ascii="Times New Roman" w:hAnsi="Times New Roman" w:eastAsia="Times New Roman" w:cs="Times New Roman"/>
                <w:spacing w:val="-18"/>
                <w:sz w:val="21"/>
                <w:szCs w:val="21"/>
              </w:rPr>
              <w:t>5m</w:t>
            </w:r>
            <w:r>
              <w:rPr>
                <w:rFonts w:hint="default" w:ascii="Times New Roman" w:hAnsi="Times New Roman" w:eastAsia="宋体" w:cs="Times New Roman"/>
                <w:spacing w:val="-18"/>
                <w:sz w:val="21"/>
                <w:szCs w:val="21"/>
              </w:rPr>
              <w:t>。转</w:t>
            </w:r>
            <w:r>
              <w:rPr>
                <w:rFonts w:hint="default" w:ascii="Times New Roman" w:hAnsi="Times New Roman" w:eastAsia="宋体" w:cs="Times New Roman"/>
                <w:spacing w:val="-6"/>
                <w:sz w:val="21"/>
                <w:szCs w:val="21"/>
              </w:rPr>
              <w:t>弯半径为</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6"/>
                <w:sz w:val="21"/>
                <w:szCs w:val="21"/>
              </w:rPr>
              <w:t>12m</w:t>
            </w:r>
            <w:r>
              <w:rPr>
                <w:rFonts w:hint="default" w:ascii="Times New Roman" w:hAnsi="Times New Roman" w:eastAsia="宋体" w:cs="Times New Roman"/>
                <w:spacing w:val="-6"/>
                <w:sz w:val="21"/>
                <w:szCs w:val="21"/>
              </w:rPr>
              <w:t>。</w:t>
            </w:r>
          </w:p>
        </w:tc>
        <w:tc>
          <w:tcPr>
            <w:tcW w:w="677" w:type="dxa"/>
            <w:vAlign w:val="center"/>
          </w:tcPr>
          <w:p w14:paraId="7AEB888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spacing w:val="34"/>
                <w:sz w:val="21"/>
                <w:szCs w:val="21"/>
              </w:rPr>
            </w:pPr>
            <w:r>
              <w:rPr>
                <w:rFonts w:hint="eastAsia" w:ascii="Times New Roman" w:hAnsi="Times New Roman" w:eastAsia="宋体" w:cs="Times New Roman"/>
                <w:kern w:val="28"/>
                <w:sz w:val="21"/>
                <w:szCs w:val="21"/>
                <w:lang w:val="en-US" w:eastAsia="zh-CN"/>
                <w14:ligatures w14:val="none"/>
              </w:rPr>
              <w:t>符合</w:t>
            </w:r>
          </w:p>
        </w:tc>
      </w:tr>
      <w:tr w14:paraId="3EEA4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2CE04CCE">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18</w:t>
            </w:r>
          </w:p>
        </w:tc>
        <w:tc>
          <w:tcPr>
            <w:tcW w:w="4223" w:type="dxa"/>
            <w:vAlign w:val="center"/>
          </w:tcPr>
          <w:p w14:paraId="2F70ADBA">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Times New Roman" w:cs="Times New Roman"/>
                <w:sz w:val="21"/>
                <w:szCs w:val="21"/>
              </w:rPr>
            </w:pPr>
            <w:r>
              <w:rPr>
                <w:rFonts w:hint="default" w:ascii="Times New Roman" w:hAnsi="Times New Roman" w:eastAsia="宋体" w:cs="Times New Roman"/>
                <w:spacing w:val="-7"/>
                <w:sz w:val="21"/>
                <w:szCs w:val="21"/>
              </w:rPr>
              <w:t>石油库通向公路的库外道路和</w:t>
            </w:r>
            <w:r>
              <w:rPr>
                <w:rFonts w:hint="default" w:ascii="Times New Roman" w:hAnsi="Times New Roman" w:eastAsia="宋体" w:cs="Times New Roman"/>
                <w:spacing w:val="6"/>
                <w:sz w:val="21"/>
                <w:szCs w:val="21"/>
              </w:rPr>
              <w:t>车辆出入口的设计</w:t>
            </w:r>
            <w:r>
              <w:rPr>
                <w:rFonts w:hint="default" w:ascii="Times New Roman" w:hAnsi="Times New Roman" w:eastAsia="Times New Roman" w:cs="Times New Roman"/>
                <w:spacing w:val="6"/>
                <w:sz w:val="21"/>
                <w:szCs w:val="21"/>
              </w:rPr>
              <w:t>,</w:t>
            </w:r>
            <w:r>
              <w:rPr>
                <w:rFonts w:hint="default" w:ascii="Times New Roman" w:hAnsi="Times New Roman" w:eastAsia="宋体" w:cs="Times New Roman"/>
                <w:spacing w:val="6"/>
                <w:sz w:val="21"/>
                <w:szCs w:val="21"/>
              </w:rPr>
              <w:t>应符合下列规</w:t>
            </w:r>
            <w:r>
              <w:rPr>
                <w:rFonts w:hint="default" w:ascii="Times New Roman" w:hAnsi="Times New Roman" w:eastAsia="宋体" w:cs="Times New Roman"/>
                <w:spacing w:val="-6"/>
                <w:sz w:val="21"/>
                <w:szCs w:val="21"/>
              </w:rPr>
              <w:t>定</w:t>
            </w:r>
            <w:r>
              <w:rPr>
                <w:rFonts w:hint="default" w:ascii="Times New Roman" w:hAnsi="Times New Roman" w:eastAsia="Times New Roman" w:cs="Times New Roman"/>
                <w:spacing w:val="-6"/>
                <w:sz w:val="21"/>
                <w:szCs w:val="21"/>
              </w:rPr>
              <w:t>:</w:t>
            </w:r>
          </w:p>
          <w:p w14:paraId="3D6798CC">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3"/>
                <w:sz w:val="21"/>
                <w:szCs w:val="21"/>
              </w:rPr>
              <w:t xml:space="preserve">1 </w:t>
            </w:r>
            <w:r>
              <w:rPr>
                <w:rFonts w:hint="default" w:ascii="Times New Roman" w:hAnsi="Times New Roman" w:eastAsia="宋体" w:cs="Times New Roman"/>
                <w:spacing w:val="-3"/>
                <w:sz w:val="21"/>
                <w:szCs w:val="21"/>
              </w:rPr>
              <w:t>石油库应设与公路连接的库外道</w:t>
            </w:r>
            <w:r>
              <w:rPr>
                <w:rFonts w:hint="default" w:ascii="Times New Roman" w:hAnsi="Times New Roman" w:eastAsia="宋体" w:cs="Times New Roman"/>
                <w:spacing w:val="-6"/>
                <w:sz w:val="21"/>
                <w:szCs w:val="21"/>
              </w:rPr>
              <w:t>路，其路面宽度不应小于相应级别</w:t>
            </w:r>
            <w:r>
              <w:rPr>
                <w:rFonts w:hint="default" w:ascii="Times New Roman" w:hAnsi="Times New Roman" w:eastAsia="宋体" w:cs="Times New Roman"/>
                <w:spacing w:val="-1"/>
                <w:sz w:val="21"/>
                <w:szCs w:val="21"/>
              </w:rPr>
              <w:t>石油库储罐区的消防车道。</w:t>
            </w:r>
          </w:p>
          <w:p w14:paraId="58CF0ACD">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2"/>
                <w:sz w:val="21"/>
                <w:szCs w:val="21"/>
              </w:rPr>
              <w:t xml:space="preserve">2 </w:t>
            </w:r>
            <w:r>
              <w:rPr>
                <w:rFonts w:hint="default" w:ascii="Times New Roman" w:hAnsi="Times New Roman" w:eastAsia="宋体" w:cs="Times New Roman"/>
                <w:spacing w:val="-2"/>
                <w:sz w:val="21"/>
                <w:szCs w:val="21"/>
              </w:rPr>
              <w:t>石油库通向库外道路的车辆出入</w:t>
            </w:r>
            <w:r>
              <w:rPr>
                <w:rFonts w:hint="default" w:ascii="Times New Roman" w:hAnsi="Times New Roman" w:eastAsia="宋体" w:cs="Times New Roman"/>
                <w:spacing w:val="-7"/>
                <w:sz w:val="21"/>
                <w:szCs w:val="21"/>
              </w:rPr>
              <w:t>口不应少于</w:t>
            </w:r>
            <w:r>
              <w:rPr>
                <w:rFonts w:hint="default" w:ascii="Times New Roman" w:hAnsi="Times New Roman" w:eastAsia="宋体" w:cs="Times New Roman"/>
                <w:spacing w:val="-55"/>
                <w:sz w:val="21"/>
                <w:szCs w:val="21"/>
              </w:rPr>
              <w:t xml:space="preserve"> </w:t>
            </w:r>
            <w:r>
              <w:rPr>
                <w:rFonts w:hint="default" w:ascii="Times New Roman" w:hAnsi="Times New Roman" w:eastAsia="Times New Roman" w:cs="Times New Roman"/>
                <w:spacing w:val="-7"/>
                <w:sz w:val="21"/>
                <w:szCs w:val="21"/>
              </w:rPr>
              <w:t>2</w:t>
            </w:r>
            <w:r>
              <w:rPr>
                <w:rFonts w:hint="default" w:ascii="Times New Roman" w:hAnsi="Times New Roman" w:eastAsia="Times New Roman" w:cs="Times New Roman"/>
                <w:spacing w:val="14"/>
                <w:sz w:val="21"/>
                <w:szCs w:val="21"/>
              </w:rPr>
              <w:t xml:space="preserve"> </w:t>
            </w:r>
            <w:r>
              <w:rPr>
                <w:rFonts w:hint="default" w:ascii="Times New Roman" w:hAnsi="Times New Roman" w:eastAsia="宋体" w:cs="Times New Roman"/>
                <w:spacing w:val="-7"/>
                <w:sz w:val="21"/>
                <w:szCs w:val="21"/>
              </w:rPr>
              <w:t>处，且宜位于不同的</w:t>
            </w:r>
            <w:r>
              <w:rPr>
                <w:rFonts w:hint="default" w:ascii="Times New Roman" w:hAnsi="Times New Roman" w:eastAsia="宋体" w:cs="Times New Roman"/>
                <w:spacing w:val="-17"/>
                <w:sz w:val="21"/>
                <w:szCs w:val="21"/>
              </w:rPr>
              <w:t>方位。受地域、地形等条件限制时，</w:t>
            </w:r>
            <w:r>
              <w:rPr>
                <w:rFonts w:hint="default" w:ascii="Times New Roman" w:hAnsi="Times New Roman" w:eastAsia="宋体" w:cs="Times New Roman"/>
                <w:spacing w:val="-6"/>
                <w:sz w:val="21"/>
                <w:szCs w:val="21"/>
              </w:rPr>
              <w:t>覆土油罐区和四、五级石油库可只设</w:t>
            </w:r>
            <w:r>
              <w:rPr>
                <w:rFonts w:hint="default" w:ascii="Times New Roman" w:hAnsi="Times New Roman" w:eastAsia="宋体" w:cs="Times New Roman"/>
                <w:spacing w:val="-32"/>
                <w:sz w:val="21"/>
                <w:szCs w:val="21"/>
              </w:rPr>
              <w:t xml:space="preserve"> </w:t>
            </w:r>
            <w:r>
              <w:rPr>
                <w:rFonts w:hint="default" w:ascii="Times New Roman" w:hAnsi="Times New Roman" w:eastAsia="Times New Roman" w:cs="Times New Roman"/>
                <w:spacing w:val="-6"/>
                <w:sz w:val="21"/>
                <w:szCs w:val="21"/>
              </w:rPr>
              <w:t>1</w:t>
            </w:r>
            <w:r>
              <w:rPr>
                <w:rFonts w:hint="default" w:ascii="Times New Roman" w:hAnsi="Times New Roman" w:eastAsia="Times New Roman" w:cs="Times New Roman"/>
                <w:spacing w:val="14"/>
                <w:sz w:val="21"/>
                <w:szCs w:val="21"/>
              </w:rPr>
              <w:t xml:space="preserve"> </w:t>
            </w:r>
            <w:r>
              <w:rPr>
                <w:rFonts w:hint="default" w:ascii="Times New Roman" w:hAnsi="Times New Roman" w:eastAsia="宋体" w:cs="Times New Roman"/>
                <w:spacing w:val="-6"/>
                <w:sz w:val="21"/>
                <w:szCs w:val="21"/>
              </w:rPr>
              <w:t>处车辆出入口。</w:t>
            </w:r>
          </w:p>
          <w:p w14:paraId="26F63CA0">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1"/>
                <w:sz w:val="21"/>
                <w:szCs w:val="21"/>
              </w:rPr>
              <w:t xml:space="preserve">3 </w:t>
            </w:r>
            <w:r>
              <w:rPr>
                <w:rFonts w:hint="default" w:ascii="Times New Roman" w:hAnsi="Times New Roman" w:eastAsia="宋体" w:cs="Times New Roman"/>
                <w:spacing w:val="-1"/>
                <w:sz w:val="21"/>
                <w:szCs w:val="21"/>
              </w:rPr>
              <w:t>储罐区的车辆出入口不应少于</w:t>
            </w:r>
            <w:r>
              <w:rPr>
                <w:rFonts w:hint="default" w:ascii="Times New Roman" w:hAnsi="Times New Roman" w:eastAsia="宋体" w:cs="Times New Roman"/>
                <w:spacing w:val="-55"/>
                <w:sz w:val="21"/>
                <w:szCs w:val="21"/>
              </w:rPr>
              <w:t xml:space="preserve"> </w:t>
            </w:r>
            <w:r>
              <w:rPr>
                <w:rFonts w:hint="default" w:ascii="Times New Roman" w:hAnsi="Times New Roman" w:eastAsia="Times New Roman" w:cs="Times New Roman"/>
                <w:spacing w:val="-1"/>
                <w:sz w:val="21"/>
                <w:szCs w:val="21"/>
              </w:rPr>
              <w:t>2</w:t>
            </w:r>
            <w:r>
              <w:rPr>
                <w:rFonts w:hint="default" w:ascii="Times New Roman" w:hAnsi="Times New Roman" w:eastAsia="宋体" w:cs="Times New Roman"/>
                <w:spacing w:val="-16"/>
                <w:sz w:val="21"/>
                <w:szCs w:val="21"/>
              </w:rPr>
              <w:t>处，且应位于不同的方位。受地域、</w:t>
            </w:r>
            <w:r>
              <w:rPr>
                <w:rFonts w:hint="default" w:ascii="Times New Roman" w:hAnsi="Times New Roman" w:eastAsia="宋体" w:cs="Times New Roman"/>
                <w:spacing w:val="-6"/>
                <w:sz w:val="21"/>
                <w:szCs w:val="21"/>
              </w:rPr>
              <w:t>地形等条件限制时，覆土油罐区和</w:t>
            </w:r>
          </w:p>
          <w:p w14:paraId="4CB69F9D">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5"/>
                <w:sz w:val="21"/>
                <w:szCs w:val="21"/>
              </w:rPr>
              <w:t>四、五级石油库的储罐区可只设</w:t>
            </w:r>
            <w:r>
              <w:rPr>
                <w:rFonts w:hint="default" w:ascii="Times New Roman" w:hAnsi="Times New Roman" w:eastAsia="宋体" w:cs="Times New Roman"/>
                <w:spacing w:val="-32"/>
                <w:sz w:val="21"/>
                <w:szCs w:val="21"/>
              </w:rPr>
              <w:t xml:space="preserve"> </w:t>
            </w:r>
            <w:r>
              <w:rPr>
                <w:rFonts w:hint="default" w:ascii="Times New Roman" w:hAnsi="Times New Roman" w:eastAsia="Times New Roman" w:cs="Times New Roman"/>
                <w:spacing w:val="-5"/>
                <w:sz w:val="21"/>
                <w:szCs w:val="21"/>
              </w:rPr>
              <w:t>1</w:t>
            </w:r>
            <w:r>
              <w:rPr>
                <w:rFonts w:hint="default" w:ascii="Times New Roman" w:hAnsi="Times New Roman" w:eastAsia="宋体" w:cs="Times New Roman"/>
                <w:spacing w:val="-6"/>
                <w:sz w:val="21"/>
                <w:szCs w:val="21"/>
              </w:rPr>
              <w:t>处车辆出入口。储罐区的车辆出入</w:t>
            </w:r>
            <w:r>
              <w:rPr>
                <w:rFonts w:hint="default" w:ascii="Times New Roman" w:hAnsi="Times New Roman" w:eastAsia="宋体" w:cs="Times New Roman"/>
                <w:spacing w:val="5"/>
                <w:sz w:val="21"/>
                <w:szCs w:val="21"/>
              </w:rPr>
              <w:t>口宜直接通向库外道路</w:t>
            </w:r>
            <w:r>
              <w:rPr>
                <w:rFonts w:hint="default" w:ascii="Times New Roman" w:hAnsi="Times New Roman" w:eastAsia="Times New Roman" w:cs="Times New Roman"/>
                <w:spacing w:val="5"/>
                <w:sz w:val="21"/>
                <w:szCs w:val="21"/>
              </w:rPr>
              <w:t>,</w:t>
            </w:r>
            <w:r>
              <w:rPr>
                <w:rFonts w:hint="default" w:ascii="Times New Roman" w:hAnsi="Times New Roman" w:eastAsia="宋体" w:cs="Times New Roman"/>
                <w:spacing w:val="5"/>
                <w:sz w:val="21"/>
                <w:szCs w:val="21"/>
              </w:rPr>
              <w:t>也可通向</w:t>
            </w:r>
            <w:r>
              <w:rPr>
                <w:rFonts w:hint="default" w:ascii="Times New Roman" w:hAnsi="Times New Roman" w:eastAsia="宋体" w:cs="Times New Roman"/>
                <w:spacing w:val="-2"/>
                <w:sz w:val="21"/>
                <w:szCs w:val="21"/>
              </w:rPr>
              <w:t>行政管理区或公路装卸区。</w:t>
            </w:r>
          </w:p>
          <w:p w14:paraId="07B9FC4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Times New Roman" w:cs="Times New Roman"/>
                <w:spacing w:val="6"/>
                <w:sz w:val="21"/>
                <w:szCs w:val="21"/>
              </w:rPr>
            </w:pPr>
            <w:r>
              <w:rPr>
                <w:rFonts w:hint="default" w:ascii="Times New Roman" w:hAnsi="Times New Roman" w:eastAsia="Times New Roman" w:cs="Times New Roman"/>
                <w:spacing w:val="-2"/>
                <w:sz w:val="21"/>
                <w:szCs w:val="21"/>
              </w:rPr>
              <w:t xml:space="preserve">4 </w:t>
            </w:r>
            <w:r>
              <w:rPr>
                <w:rFonts w:hint="default" w:ascii="Times New Roman" w:hAnsi="Times New Roman" w:eastAsia="宋体" w:cs="Times New Roman"/>
                <w:spacing w:val="-2"/>
                <w:sz w:val="21"/>
                <w:szCs w:val="21"/>
              </w:rPr>
              <w:t>行政管理区、公路装卸区应设直</w:t>
            </w:r>
            <w:r>
              <w:rPr>
                <w:rFonts w:hint="default" w:ascii="Times New Roman" w:hAnsi="Times New Roman" w:eastAsia="宋体" w:cs="Times New Roman"/>
                <w:spacing w:val="-1"/>
                <w:sz w:val="21"/>
                <w:szCs w:val="21"/>
              </w:rPr>
              <w:t>接通往库外道路的车辆出入口。</w:t>
            </w:r>
          </w:p>
        </w:tc>
        <w:tc>
          <w:tcPr>
            <w:tcW w:w="1783" w:type="dxa"/>
            <w:vAlign w:val="center"/>
          </w:tcPr>
          <w:p w14:paraId="47CCB417">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3399413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第</w:t>
            </w:r>
            <w:r>
              <w:rPr>
                <w:rFonts w:hint="default" w:ascii="Times New Roman" w:hAnsi="Times New Roman" w:eastAsia="宋体" w:cs="Times New Roman"/>
                <w:spacing w:val="-42"/>
                <w:sz w:val="21"/>
                <w:szCs w:val="21"/>
              </w:rPr>
              <w:t xml:space="preserve"> </w:t>
            </w:r>
            <w:r>
              <w:rPr>
                <w:rFonts w:hint="default" w:ascii="Times New Roman" w:hAnsi="Times New Roman" w:eastAsia="Times New Roman" w:cs="Times New Roman"/>
                <w:spacing w:val="-3"/>
                <w:sz w:val="21"/>
                <w:szCs w:val="21"/>
              </w:rPr>
              <w:t xml:space="preserve">5.2.11 </w:t>
            </w:r>
            <w:r>
              <w:rPr>
                <w:rFonts w:hint="default" w:ascii="Times New Roman" w:hAnsi="Times New Roman" w:eastAsia="宋体" w:cs="Times New Roman"/>
                <w:spacing w:val="-3"/>
                <w:sz w:val="21"/>
                <w:szCs w:val="21"/>
              </w:rPr>
              <w:t>条</w:t>
            </w:r>
          </w:p>
        </w:tc>
        <w:tc>
          <w:tcPr>
            <w:tcW w:w="1892" w:type="dxa"/>
            <w:vAlign w:val="center"/>
          </w:tcPr>
          <w:p w14:paraId="74C3FD7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库外道路和车辆出入口设置符合</w:t>
            </w:r>
            <w:r>
              <w:rPr>
                <w:rFonts w:hint="default" w:ascii="Times New Roman" w:hAnsi="Times New Roman" w:eastAsia="宋体" w:cs="Times New Roman"/>
                <w:spacing w:val="-4"/>
                <w:sz w:val="21"/>
                <w:szCs w:val="21"/>
              </w:rPr>
              <w:t>要求。</w:t>
            </w:r>
          </w:p>
        </w:tc>
        <w:tc>
          <w:tcPr>
            <w:tcW w:w="677" w:type="dxa"/>
            <w:vAlign w:val="center"/>
          </w:tcPr>
          <w:p w14:paraId="417DF77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spacing w:val="34"/>
                <w:sz w:val="21"/>
                <w:szCs w:val="21"/>
              </w:rPr>
            </w:pPr>
            <w:r>
              <w:rPr>
                <w:rFonts w:hint="eastAsia" w:ascii="Times New Roman" w:hAnsi="Times New Roman" w:eastAsia="宋体" w:cs="Times New Roman"/>
                <w:kern w:val="28"/>
                <w:sz w:val="21"/>
                <w:szCs w:val="21"/>
                <w:lang w:val="en-US" w:eastAsia="zh-CN"/>
                <w14:ligatures w14:val="none"/>
              </w:rPr>
              <w:t>符合</w:t>
            </w:r>
          </w:p>
        </w:tc>
      </w:tr>
      <w:tr w14:paraId="48A51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7E9048C1">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19</w:t>
            </w:r>
          </w:p>
        </w:tc>
        <w:tc>
          <w:tcPr>
            <w:tcW w:w="4223" w:type="dxa"/>
            <w:vAlign w:val="center"/>
          </w:tcPr>
          <w:p w14:paraId="12270FA9">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7"/>
                <w:sz w:val="21"/>
                <w:szCs w:val="21"/>
              </w:rPr>
              <w:t>石油库的围墙设置，应符合下</w:t>
            </w:r>
            <w:r>
              <w:rPr>
                <w:rFonts w:hint="default" w:ascii="Times New Roman" w:hAnsi="Times New Roman" w:eastAsia="宋体" w:cs="Times New Roman"/>
                <w:spacing w:val="-4"/>
                <w:sz w:val="21"/>
                <w:szCs w:val="21"/>
              </w:rPr>
              <w:t>列规定：</w:t>
            </w:r>
          </w:p>
          <w:p w14:paraId="092E4BF7">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1"/>
                <w:sz w:val="21"/>
                <w:szCs w:val="21"/>
              </w:rPr>
              <w:t>（</w:t>
            </w:r>
            <w:r>
              <w:rPr>
                <w:rFonts w:hint="default" w:ascii="Times New Roman" w:hAnsi="Times New Roman" w:eastAsia="Times New Roman" w:cs="Times New Roman"/>
                <w:spacing w:val="1"/>
                <w:sz w:val="21"/>
                <w:szCs w:val="21"/>
              </w:rPr>
              <w:t>1</w:t>
            </w:r>
            <w:r>
              <w:rPr>
                <w:rFonts w:hint="default" w:ascii="Times New Roman" w:hAnsi="Times New Roman" w:eastAsia="宋体" w:cs="Times New Roman"/>
                <w:spacing w:val="1"/>
                <w:sz w:val="21"/>
                <w:szCs w:val="21"/>
              </w:rPr>
              <w:t>）石油库四周应设高度不低于</w:t>
            </w:r>
            <w:r>
              <w:rPr>
                <w:rFonts w:hint="default" w:ascii="Times New Roman" w:hAnsi="Times New Roman" w:eastAsia="Times New Roman" w:cs="Times New Roman"/>
                <w:spacing w:val="3"/>
                <w:sz w:val="21"/>
                <w:szCs w:val="21"/>
              </w:rPr>
              <w:t>2.5m</w:t>
            </w:r>
            <w:r>
              <w:rPr>
                <w:rFonts w:hint="default" w:ascii="Times New Roman" w:hAnsi="Times New Roman" w:eastAsia="Times New Roman" w:cs="Times New Roman"/>
                <w:spacing w:val="42"/>
                <w:sz w:val="21"/>
                <w:szCs w:val="21"/>
              </w:rPr>
              <w:t xml:space="preserve"> </w:t>
            </w:r>
            <w:r>
              <w:rPr>
                <w:rFonts w:hint="default" w:ascii="Times New Roman" w:hAnsi="Times New Roman" w:eastAsia="宋体" w:cs="Times New Roman"/>
                <w:spacing w:val="3"/>
                <w:sz w:val="21"/>
                <w:szCs w:val="21"/>
              </w:rPr>
              <w:t>的实体围墙。企业附属石油</w:t>
            </w:r>
            <w:r>
              <w:rPr>
                <w:rFonts w:hint="default" w:ascii="Times New Roman" w:hAnsi="Times New Roman" w:eastAsia="宋体" w:cs="Times New Roman"/>
                <w:spacing w:val="11"/>
                <w:sz w:val="21"/>
                <w:szCs w:val="21"/>
              </w:rPr>
              <w:t>库与本企业毗邻一侧的围墙高度</w:t>
            </w:r>
            <w:r>
              <w:rPr>
                <w:rFonts w:hint="default" w:ascii="Times New Roman" w:hAnsi="Times New Roman" w:eastAsia="宋体" w:cs="Times New Roman"/>
                <w:spacing w:val="-4"/>
                <w:sz w:val="21"/>
                <w:szCs w:val="21"/>
              </w:rPr>
              <w:t>可不低于</w:t>
            </w:r>
            <w:r>
              <w:rPr>
                <w:rFonts w:hint="default" w:ascii="Times New Roman" w:hAnsi="Times New Roman" w:eastAsia="宋体" w:cs="Times New Roman"/>
                <w:spacing w:val="-31"/>
                <w:sz w:val="21"/>
                <w:szCs w:val="21"/>
              </w:rPr>
              <w:t xml:space="preserve"> </w:t>
            </w:r>
            <w:r>
              <w:rPr>
                <w:rFonts w:hint="default" w:ascii="Times New Roman" w:hAnsi="Times New Roman" w:eastAsia="Times New Roman" w:cs="Times New Roman"/>
                <w:spacing w:val="-4"/>
                <w:sz w:val="21"/>
                <w:szCs w:val="21"/>
              </w:rPr>
              <w:t>1.8m</w:t>
            </w:r>
            <w:r>
              <w:rPr>
                <w:rFonts w:hint="default" w:ascii="Times New Roman" w:hAnsi="Times New Roman" w:eastAsia="宋体" w:cs="Times New Roman"/>
                <w:spacing w:val="-4"/>
                <w:sz w:val="21"/>
                <w:szCs w:val="21"/>
              </w:rPr>
              <w:t>。</w:t>
            </w:r>
          </w:p>
          <w:p w14:paraId="74937A31">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1"/>
                <w:sz w:val="21"/>
                <w:szCs w:val="21"/>
              </w:rPr>
              <w:t>（</w:t>
            </w:r>
            <w:r>
              <w:rPr>
                <w:rFonts w:hint="default" w:ascii="Times New Roman" w:hAnsi="Times New Roman" w:eastAsia="Times New Roman" w:cs="Times New Roman"/>
                <w:spacing w:val="1"/>
                <w:sz w:val="21"/>
                <w:szCs w:val="21"/>
              </w:rPr>
              <w:t>2</w:t>
            </w:r>
            <w:r>
              <w:rPr>
                <w:rFonts w:hint="default" w:ascii="Times New Roman" w:hAnsi="Times New Roman" w:eastAsia="宋体" w:cs="Times New Roman"/>
                <w:spacing w:val="1"/>
                <w:sz w:val="21"/>
                <w:szCs w:val="21"/>
              </w:rPr>
              <w:t>）山区或丘陵地带的石油库，</w:t>
            </w:r>
            <w:r>
              <w:rPr>
                <w:rFonts w:hint="default" w:ascii="Times New Roman" w:hAnsi="Times New Roman" w:eastAsia="宋体" w:cs="Times New Roman"/>
                <w:spacing w:val="-6"/>
                <w:sz w:val="21"/>
                <w:szCs w:val="21"/>
              </w:rPr>
              <w:t>当四周均设实体围墙有困难时，可</w:t>
            </w:r>
            <w:r>
              <w:rPr>
                <w:rFonts w:hint="default" w:ascii="Times New Roman" w:hAnsi="Times New Roman" w:eastAsia="宋体" w:cs="Times New Roman"/>
                <w:spacing w:val="11"/>
                <w:sz w:val="21"/>
                <w:szCs w:val="21"/>
              </w:rPr>
              <w:t>只在漏油可能流经的低洼处设实</w:t>
            </w:r>
            <w:r>
              <w:rPr>
                <w:rFonts w:hint="default" w:ascii="Times New Roman" w:hAnsi="Times New Roman" w:eastAsia="宋体" w:cs="Times New Roman"/>
                <w:spacing w:val="-6"/>
                <w:sz w:val="21"/>
                <w:szCs w:val="21"/>
              </w:rPr>
              <w:t>体围墙，在地势较高处可设置镀锌</w:t>
            </w:r>
            <w:r>
              <w:rPr>
                <w:rFonts w:hint="default" w:ascii="Times New Roman" w:hAnsi="Times New Roman" w:eastAsia="宋体" w:cs="Times New Roman"/>
                <w:spacing w:val="-1"/>
                <w:sz w:val="21"/>
                <w:szCs w:val="21"/>
              </w:rPr>
              <w:t>铁丝网等非实体围墙。</w:t>
            </w:r>
          </w:p>
          <w:p w14:paraId="6C0426EF">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10"/>
                <w:sz w:val="21"/>
                <w:szCs w:val="21"/>
              </w:rPr>
              <w:t>（</w:t>
            </w:r>
            <w:r>
              <w:rPr>
                <w:rFonts w:hint="default" w:ascii="Times New Roman" w:hAnsi="Times New Roman" w:eastAsia="Times New Roman" w:cs="Times New Roman"/>
                <w:spacing w:val="-10"/>
                <w:sz w:val="21"/>
                <w:szCs w:val="21"/>
              </w:rPr>
              <w:t>3</w:t>
            </w:r>
            <w:r>
              <w:rPr>
                <w:rFonts w:hint="default" w:ascii="Times New Roman" w:hAnsi="Times New Roman" w:eastAsia="宋体" w:cs="Times New Roman"/>
                <w:spacing w:val="-10"/>
                <w:sz w:val="21"/>
                <w:szCs w:val="21"/>
              </w:rPr>
              <w:t>）石油库临海、邻水侧的围墙，</w:t>
            </w:r>
            <w:r>
              <w:rPr>
                <w:rFonts w:hint="default" w:ascii="Times New Roman" w:hAnsi="Times New Roman" w:eastAsia="宋体" w:cs="Times New Roman"/>
                <w:spacing w:val="-4"/>
                <w:sz w:val="21"/>
                <w:szCs w:val="21"/>
              </w:rPr>
              <w:t>其</w:t>
            </w:r>
            <w:r>
              <w:rPr>
                <w:rFonts w:hint="default" w:ascii="Times New Roman" w:hAnsi="Times New Roman" w:eastAsia="宋体" w:cs="Times New Roman"/>
                <w:spacing w:val="-28"/>
                <w:sz w:val="21"/>
                <w:szCs w:val="21"/>
              </w:rPr>
              <w:t xml:space="preserve"> </w:t>
            </w:r>
            <w:r>
              <w:rPr>
                <w:rFonts w:hint="default" w:ascii="Times New Roman" w:hAnsi="Times New Roman" w:eastAsia="Times New Roman" w:cs="Times New Roman"/>
                <w:spacing w:val="-4"/>
                <w:sz w:val="21"/>
                <w:szCs w:val="21"/>
              </w:rPr>
              <w:t>1m</w:t>
            </w:r>
            <w:r>
              <w:rPr>
                <w:rFonts w:hint="default" w:ascii="Times New Roman" w:hAnsi="Times New Roman" w:eastAsia="Times New Roman" w:cs="Times New Roman"/>
                <w:spacing w:val="14"/>
                <w:sz w:val="21"/>
                <w:szCs w:val="21"/>
              </w:rPr>
              <w:t xml:space="preserve"> </w:t>
            </w:r>
            <w:r>
              <w:rPr>
                <w:rFonts w:hint="default" w:ascii="Times New Roman" w:hAnsi="Times New Roman" w:eastAsia="宋体" w:cs="Times New Roman"/>
                <w:spacing w:val="-4"/>
                <w:sz w:val="21"/>
                <w:szCs w:val="21"/>
              </w:rPr>
              <w:t>高度以上可为铁栅栏围墙。</w:t>
            </w:r>
          </w:p>
          <w:p w14:paraId="0EC0CCF6">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1"/>
                <w:sz w:val="21"/>
                <w:szCs w:val="21"/>
              </w:rPr>
              <w:t>（</w:t>
            </w:r>
            <w:r>
              <w:rPr>
                <w:rFonts w:hint="default" w:ascii="Times New Roman" w:hAnsi="Times New Roman" w:eastAsia="Times New Roman" w:cs="Times New Roman"/>
                <w:spacing w:val="1"/>
                <w:sz w:val="21"/>
                <w:szCs w:val="21"/>
              </w:rPr>
              <w:t>4</w:t>
            </w:r>
            <w:r>
              <w:rPr>
                <w:rFonts w:hint="default" w:ascii="Times New Roman" w:hAnsi="Times New Roman" w:eastAsia="宋体" w:cs="Times New Roman"/>
                <w:spacing w:val="1"/>
                <w:sz w:val="21"/>
                <w:szCs w:val="21"/>
              </w:rPr>
              <w:t>）行政管理区与储罐区、易燃</w:t>
            </w:r>
            <w:r>
              <w:rPr>
                <w:rFonts w:hint="default" w:ascii="Times New Roman" w:hAnsi="Times New Roman" w:eastAsia="宋体" w:cs="Times New Roman"/>
                <w:spacing w:val="-4"/>
                <w:sz w:val="21"/>
                <w:szCs w:val="21"/>
              </w:rPr>
              <w:t>和可燃液体装卸区之间应设围墙。</w:t>
            </w:r>
            <w:r>
              <w:rPr>
                <w:rFonts w:hint="default" w:ascii="Times New Roman" w:hAnsi="Times New Roman" w:eastAsia="宋体" w:cs="Times New Roman"/>
                <w:spacing w:val="10"/>
                <w:sz w:val="21"/>
                <w:szCs w:val="21"/>
              </w:rPr>
              <w:t>当采用非实体围墙时，围墙下部</w:t>
            </w:r>
            <w:r>
              <w:rPr>
                <w:rFonts w:hint="default" w:ascii="Times New Roman" w:hAnsi="Times New Roman" w:eastAsia="Times New Roman" w:cs="Times New Roman"/>
                <w:spacing w:val="-4"/>
                <w:sz w:val="21"/>
                <w:szCs w:val="21"/>
              </w:rPr>
              <w:t xml:space="preserve">0.5m </w:t>
            </w:r>
            <w:r>
              <w:rPr>
                <w:rFonts w:hint="default" w:ascii="Times New Roman" w:hAnsi="Times New Roman" w:eastAsia="宋体" w:cs="Times New Roman"/>
                <w:spacing w:val="-4"/>
                <w:sz w:val="21"/>
                <w:szCs w:val="21"/>
              </w:rPr>
              <w:t>高度以下范围内应为实体墙。</w:t>
            </w:r>
          </w:p>
          <w:p w14:paraId="0C12F26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Times New Roman" w:cs="Times New Roman"/>
                <w:spacing w:val="6"/>
                <w:sz w:val="21"/>
                <w:szCs w:val="21"/>
              </w:rPr>
            </w:pPr>
            <w:r>
              <w:rPr>
                <w:rFonts w:hint="default" w:ascii="Times New Roman" w:hAnsi="Times New Roman" w:eastAsia="宋体" w:cs="Times New Roman"/>
                <w:spacing w:val="-9"/>
                <w:sz w:val="21"/>
                <w:szCs w:val="21"/>
              </w:rPr>
              <w:t>（</w:t>
            </w:r>
            <w:r>
              <w:rPr>
                <w:rFonts w:hint="default" w:ascii="Times New Roman" w:hAnsi="Times New Roman" w:eastAsia="Times New Roman" w:cs="Times New Roman"/>
                <w:spacing w:val="-9"/>
                <w:sz w:val="21"/>
                <w:szCs w:val="21"/>
              </w:rPr>
              <w:t>5</w:t>
            </w:r>
            <w:r>
              <w:rPr>
                <w:rFonts w:hint="default" w:ascii="Times New Roman" w:hAnsi="Times New Roman" w:eastAsia="宋体" w:cs="Times New Roman"/>
                <w:spacing w:val="-9"/>
                <w:sz w:val="21"/>
                <w:szCs w:val="21"/>
              </w:rPr>
              <w:t>）围墙不得采用燃烧材料建造。</w:t>
            </w:r>
            <w:r>
              <w:rPr>
                <w:rFonts w:hint="default" w:ascii="Times New Roman" w:hAnsi="Times New Roman" w:eastAsia="宋体" w:cs="Times New Roman"/>
                <w:spacing w:val="11"/>
                <w:sz w:val="21"/>
                <w:szCs w:val="21"/>
              </w:rPr>
              <w:t>围墙实体部分的下部不应留有孔</w:t>
            </w:r>
            <w:r>
              <w:rPr>
                <w:rFonts w:hint="default" w:ascii="Times New Roman" w:hAnsi="Times New Roman" w:eastAsia="宋体" w:cs="Times New Roman"/>
                <w:spacing w:val="-2"/>
                <w:sz w:val="21"/>
                <w:szCs w:val="21"/>
              </w:rPr>
              <w:t>洞</w:t>
            </w:r>
            <w:r>
              <w:rPr>
                <w:rFonts w:hint="default" w:ascii="Times New Roman" w:hAnsi="Times New Roman" w:eastAsia="Times New Roman" w:cs="Times New Roman"/>
                <w:spacing w:val="-2"/>
                <w:sz w:val="21"/>
                <w:szCs w:val="21"/>
              </w:rPr>
              <w:t>(</w:t>
            </w:r>
            <w:r>
              <w:rPr>
                <w:rFonts w:hint="default" w:ascii="Times New Roman" w:hAnsi="Times New Roman" w:eastAsia="宋体" w:cs="Times New Roman"/>
                <w:spacing w:val="-2"/>
                <w:sz w:val="21"/>
                <w:szCs w:val="21"/>
              </w:rPr>
              <w:t>集中排水口除外</w:t>
            </w:r>
            <w:r>
              <w:rPr>
                <w:rFonts w:hint="default" w:ascii="Times New Roman" w:hAnsi="Times New Roman" w:eastAsia="Times New Roman" w:cs="Times New Roman"/>
                <w:spacing w:val="-2"/>
                <w:sz w:val="21"/>
                <w:szCs w:val="21"/>
              </w:rPr>
              <w:t>)</w:t>
            </w:r>
            <w:r>
              <w:rPr>
                <w:rFonts w:hint="default" w:ascii="Times New Roman" w:hAnsi="Times New Roman" w:eastAsia="宋体" w:cs="Times New Roman"/>
                <w:spacing w:val="-2"/>
                <w:sz w:val="21"/>
                <w:szCs w:val="21"/>
              </w:rPr>
              <w:t>。</w:t>
            </w:r>
          </w:p>
        </w:tc>
        <w:tc>
          <w:tcPr>
            <w:tcW w:w="1783" w:type="dxa"/>
            <w:vAlign w:val="center"/>
          </w:tcPr>
          <w:p w14:paraId="16CDD191">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61F84F7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第</w:t>
            </w:r>
            <w:r>
              <w:rPr>
                <w:rFonts w:hint="default" w:ascii="Times New Roman" w:hAnsi="Times New Roman" w:eastAsia="宋体" w:cs="Times New Roman"/>
                <w:spacing w:val="-49"/>
                <w:sz w:val="21"/>
                <w:szCs w:val="21"/>
              </w:rPr>
              <w:t xml:space="preserve"> </w:t>
            </w:r>
            <w:r>
              <w:rPr>
                <w:rFonts w:hint="default" w:ascii="Times New Roman" w:hAnsi="Times New Roman" w:eastAsia="Times New Roman" w:cs="Times New Roman"/>
                <w:spacing w:val="-3"/>
                <w:sz w:val="21"/>
                <w:szCs w:val="21"/>
              </w:rPr>
              <w:t>5.3.3</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3"/>
                <w:sz w:val="21"/>
                <w:szCs w:val="21"/>
              </w:rPr>
              <w:t>条</w:t>
            </w:r>
          </w:p>
        </w:tc>
        <w:tc>
          <w:tcPr>
            <w:tcW w:w="1892" w:type="dxa"/>
            <w:vAlign w:val="center"/>
          </w:tcPr>
          <w:p w14:paraId="01368EF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石油库四周设有</w:t>
            </w:r>
            <w:r>
              <w:rPr>
                <w:rFonts w:hint="default" w:ascii="Times New Roman" w:hAnsi="Times New Roman" w:eastAsia="宋体" w:cs="Times New Roman"/>
                <w:spacing w:val="2"/>
                <w:sz w:val="21"/>
                <w:szCs w:val="21"/>
              </w:rPr>
              <w:t>高度</w:t>
            </w:r>
            <w:r>
              <w:rPr>
                <w:rFonts w:hint="default" w:ascii="Times New Roman" w:hAnsi="Times New Roman" w:eastAsia="宋体" w:cs="Times New Roman"/>
                <w:spacing w:val="-25"/>
                <w:sz w:val="21"/>
                <w:szCs w:val="21"/>
              </w:rPr>
              <w:t xml:space="preserve"> </w:t>
            </w:r>
            <w:r>
              <w:rPr>
                <w:rFonts w:hint="default" w:ascii="Times New Roman" w:hAnsi="Times New Roman" w:eastAsia="Times New Roman" w:cs="Times New Roman"/>
                <w:spacing w:val="2"/>
                <w:sz w:val="21"/>
                <w:szCs w:val="21"/>
              </w:rPr>
              <w:t>2.5m</w:t>
            </w:r>
            <w:r>
              <w:rPr>
                <w:rFonts w:hint="default" w:ascii="Times New Roman" w:hAnsi="Times New Roman" w:eastAsia="Times New Roman" w:cs="Times New Roman"/>
                <w:sz w:val="21"/>
                <w:szCs w:val="21"/>
              </w:rPr>
              <w:t xml:space="preserve"> </w:t>
            </w:r>
            <w:r>
              <w:rPr>
                <w:rFonts w:hint="default" w:ascii="Times New Roman" w:hAnsi="Times New Roman" w:eastAsia="宋体" w:cs="Times New Roman"/>
                <w:spacing w:val="2"/>
                <w:sz w:val="21"/>
                <w:szCs w:val="21"/>
              </w:rPr>
              <w:t>的实</w:t>
            </w:r>
            <w:r>
              <w:rPr>
                <w:rFonts w:hint="default" w:ascii="Times New Roman" w:hAnsi="Times New Roman" w:eastAsia="宋体" w:cs="Times New Roman"/>
                <w:spacing w:val="-3"/>
                <w:sz w:val="21"/>
                <w:szCs w:val="21"/>
              </w:rPr>
              <w:t>体围墙。</w:t>
            </w:r>
          </w:p>
        </w:tc>
        <w:tc>
          <w:tcPr>
            <w:tcW w:w="677" w:type="dxa"/>
            <w:vAlign w:val="center"/>
          </w:tcPr>
          <w:p w14:paraId="43211BD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spacing w:val="34"/>
                <w:sz w:val="21"/>
                <w:szCs w:val="21"/>
              </w:rPr>
            </w:pPr>
            <w:r>
              <w:rPr>
                <w:rFonts w:hint="eastAsia" w:ascii="Times New Roman" w:hAnsi="Times New Roman" w:eastAsia="宋体" w:cs="Times New Roman"/>
                <w:kern w:val="28"/>
                <w:sz w:val="21"/>
                <w:szCs w:val="21"/>
                <w:lang w:val="en-US" w:eastAsia="zh-CN"/>
                <w14:ligatures w14:val="none"/>
              </w:rPr>
              <w:t>符合</w:t>
            </w:r>
          </w:p>
        </w:tc>
      </w:tr>
      <w:tr w14:paraId="28AA0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494B24D9">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20</w:t>
            </w:r>
          </w:p>
        </w:tc>
        <w:tc>
          <w:tcPr>
            <w:tcW w:w="4223" w:type="dxa"/>
            <w:vAlign w:val="center"/>
          </w:tcPr>
          <w:p w14:paraId="1FB0EF6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both"/>
              <w:textAlignment w:val="auto"/>
              <w:rPr>
                <w:rFonts w:hint="default" w:ascii="Times New Roman" w:hAnsi="Times New Roman" w:eastAsia="宋体" w:cs="Times New Roman"/>
                <w:spacing w:val="-9"/>
                <w:sz w:val="21"/>
                <w:szCs w:val="21"/>
              </w:rPr>
            </w:pPr>
            <w:r>
              <w:rPr>
                <w:rFonts w:hint="default" w:ascii="Times New Roman" w:hAnsi="Times New Roman" w:eastAsia="宋体" w:cs="Times New Roman"/>
                <w:spacing w:val="-7"/>
                <w:sz w:val="21"/>
                <w:szCs w:val="21"/>
              </w:rPr>
              <w:t>运输易燃、可燃液体等危险品</w:t>
            </w:r>
            <w:r>
              <w:rPr>
                <w:rFonts w:hint="default" w:ascii="Times New Roman" w:hAnsi="Times New Roman" w:eastAsia="宋体" w:cs="Times New Roman"/>
                <w:spacing w:val="-3"/>
                <w:sz w:val="21"/>
                <w:szCs w:val="21"/>
              </w:rPr>
              <w:t>的道路，其纵坡不应大于</w:t>
            </w:r>
            <w:r>
              <w:rPr>
                <w:rFonts w:hint="default" w:ascii="Times New Roman" w:hAnsi="Times New Roman" w:eastAsia="宋体" w:cs="Times New Roman"/>
                <w:spacing w:val="-43"/>
                <w:sz w:val="21"/>
                <w:szCs w:val="21"/>
              </w:rPr>
              <w:t xml:space="preserve"> </w:t>
            </w:r>
            <w:r>
              <w:rPr>
                <w:rFonts w:hint="default" w:ascii="Times New Roman" w:hAnsi="Times New Roman" w:eastAsia="Times New Roman" w:cs="Times New Roman"/>
                <w:spacing w:val="-3"/>
                <w:sz w:val="21"/>
                <w:szCs w:val="21"/>
              </w:rPr>
              <w:t xml:space="preserve">6%  </w:t>
            </w:r>
            <w:r>
              <w:rPr>
                <w:rFonts w:hint="default" w:ascii="Times New Roman" w:hAnsi="Times New Roman" w:eastAsia="宋体" w:cs="Times New Roman"/>
                <w:spacing w:val="-3"/>
                <w:sz w:val="21"/>
                <w:szCs w:val="21"/>
              </w:rPr>
              <w:t>。</w:t>
            </w:r>
          </w:p>
        </w:tc>
        <w:tc>
          <w:tcPr>
            <w:tcW w:w="1783" w:type="dxa"/>
            <w:vAlign w:val="center"/>
          </w:tcPr>
          <w:p w14:paraId="49D2FAC3">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76AE254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7"/>
                <w:sz w:val="21"/>
                <w:szCs w:val="21"/>
              </w:rPr>
              <w:t>第</w:t>
            </w:r>
            <w:r>
              <w:rPr>
                <w:rFonts w:hint="default" w:ascii="Times New Roman" w:hAnsi="Times New Roman" w:eastAsia="宋体" w:cs="Times New Roman"/>
                <w:spacing w:val="-43"/>
                <w:sz w:val="21"/>
                <w:szCs w:val="21"/>
              </w:rPr>
              <w:t xml:space="preserve"> </w:t>
            </w:r>
            <w:r>
              <w:rPr>
                <w:rFonts w:hint="default" w:ascii="Times New Roman" w:hAnsi="Times New Roman" w:eastAsia="Times New Roman" w:cs="Times New Roman"/>
                <w:spacing w:val="-7"/>
                <w:sz w:val="21"/>
                <w:szCs w:val="21"/>
              </w:rPr>
              <w:t>5.2.</w:t>
            </w:r>
            <w:r>
              <w:rPr>
                <w:rFonts w:hint="default" w:ascii="Times New Roman" w:hAnsi="Times New Roman" w:eastAsia="Times New Roman" w:cs="Times New Roman"/>
                <w:spacing w:val="-32"/>
                <w:sz w:val="21"/>
                <w:szCs w:val="21"/>
              </w:rPr>
              <w:t xml:space="preserve"> </w:t>
            </w:r>
            <w:r>
              <w:rPr>
                <w:rFonts w:hint="default" w:ascii="Times New Roman" w:hAnsi="Times New Roman" w:eastAsia="Times New Roman" w:cs="Times New Roman"/>
                <w:spacing w:val="-7"/>
                <w:sz w:val="21"/>
                <w:szCs w:val="21"/>
              </w:rPr>
              <w:t>12</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7"/>
                <w:sz w:val="21"/>
                <w:szCs w:val="21"/>
              </w:rPr>
              <w:t>条</w:t>
            </w:r>
          </w:p>
        </w:tc>
        <w:tc>
          <w:tcPr>
            <w:tcW w:w="1892" w:type="dxa"/>
            <w:vAlign w:val="center"/>
          </w:tcPr>
          <w:p w14:paraId="648F9B65">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2"/>
                <w:sz w:val="21"/>
                <w:szCs w:val="21"/>
              </w:rPr>
              <w:t>道</w:t>
            </w:r>
            <w:r>
              <w:rPr>
                <w:rFonts w:hint="default" w:ascii="Times New Roman" w:hAnsi="Times New Roman" w:eastAsia="宋体" w:cs="Times New Roman"/>
                <w:spacing w:val="-55"/>
                <w:sz w:val="21"/>
                <w:szCs w:val="21"/>
              </w:rPr>
              <w:t xml:space="preserve"> </w:t>
            </w:r>
            <w:r>
              <w:rPr>
                <w:rFonts w:hint="default" w:ascii="Times New Roman" w:hAnsi="Times New Roman" w:eastAsia="宋体" w:cs="Times New Roman"/>
                <w:spacing w:val="-2"/>
                <w:sz w:val="21"/>
                <w:szCs w:val="21"/>
              </w:rPr>
              <w:t>路</w:t>
            </w:r>
            <w:r>
              <w:rPr>
                <w:rFonts w:hint="default" w:ascii="Times New Roman" w:hAnsi="Times New Roman" w:eastAsia="宋体" w:cs="Times New Roman"/>
                <w:spacing w:val="-57"/>
                <w:sz w:val="21"/>
                <w:szCs w:val="21"/>
              </w:rPr>
              <w:t xml:space="preserve"> </w:t>
            </w:r>
            <w:r>
              <w:rPr>
                <w:rFonts w:hint="default" w:ascii="Times New Roman" w:hAnsi="Times New Roman" w:eastAsia="宋体" w:cs="Times New Roman"/>
                <w:spacing w:val="-2"/>
                <w:sz w:val="21"/>
                <w:szCs w:val="21"/>
              </w:rPr>
              <w:t>纵</w:t>
            </w:r>
            <w:r>
              <w:rPr>
                <w:rFonts w:hint="default" w:ascii="Times New Roman" w:hAnsi="Times New Roman" w:eastAsia="宋体" w:cs="Times New Roman"/>
                <w:spacing w:val="-60"/>
                <w:sz w:val="21"/>
                <w:szCs w:val="21"/>
              </w:rPr>
              <w:t xml:space="preserve"> </w:t>
            </w:r>
            <w:r>
              <w:rPr>
                <w:rFonts w:hint="default" w:ascii="Times New Roman" w:hAnsi="Times New Roman" w:eastAsia="宋体" w:cs="Times New Roman"/>
                <w:spacing w:val="-2"/>
                <w:sz w:val="21"/>
                <w:szCs w:val="21"/>
              </w:rPr>
              <w:t>坡</w:t>
            </w:r>
            <w:r>
              <w:rPr>
                <w:rFonts w:hint="default" w:ascii="Times New Roman" w:hAnsi="Times New Roman" w:eastAsia="宋体" w:cs="Times New Roman"/>
                <w:spacing w:val="-54"/>
                <w:sz w:val="21"/>
                <w:szCs w:val="21"/>
              </w:rPr>
              <w:t xml:space="preserve"> </w:t>
            </w:r>
            <w:r>
              <w:rPr>
                <w:rFonts w:hint="default" w:ascii="Times New Roman" w:hAnsi="Times New Roman" w:eastAsia="宋体" w:cs="Times New Roman"/>
                <w:spacing w:val="-2"/>
                <w:sz w:val="21"/>
                <w:szCs w:val="21"/>
              </w:rPr>
              <w:t>小于</w:t>
            </w:r>
            <w:r>
              <w:rPr>
                <w:rFonts w:hint="default" w:ascii="Times New Roman" w:hAnsi="Times New Roman" w:eastAsia="Times New Roman" w:cs="Times New Roman"/>
                <w:spacing w:val="-4"/>
                <w:sz w:val="21"/>
                <w:szCs w:val="21"/>
              </w:rPr>
              <w:t>6%</w:t>
            </w:r>
            <w:r>
              <w:rPr>
                <w:rFonts w:hint="default" w:ascii="Times New Roman" w:hAnsi="Times New Roman" w:eastAsia="宋体" w:cs="Times New Roman"/>
                <w:spacing w:val="-4"/>
                <w:sz w:val="21"/>
                <w:szCs w:val="21"/>
              </w:rPr>
              <w:t>。</w:t>
            </w:r>
          </w:p>
        </w:tc>
        <w:tc>
          <w:tcPr>
            <w:tcW w:w="677" w:type="dxa"/>
            <w:vAlign w:val="center"/>
          </w:tcPr>
          <w:p w14:paraId="423F0138">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spacing w:val="34"/>
                <w:sz w:val="21"/>
                <w:szCs w:val="21"/>
              </w:rPr>
            </w:pPr>
            <w:r>
              <w:rPr>
                <w:rFonts w:hint="eastAsia" w:ascii="Times New Roman" w:hAnsi="Times New Roman" w:eastAsia="宋体" w:cs="Times New Roman"/>
                <w:kern w:val="28"/>
                <w:sz w:val="21"/>
                <w:szCs w:val="21"/>
                <w:lang w:val="en-US" w:eastAsia="zh-CN"/>
                <w14:ligatures w14:val="none"/>
              </w:rPr>
              <w:t>符合</w:t>
            </w:r>
          </w:p>
        </w:tc>
      </w:tr>
      <w:tr w14:paraId="580E6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6126FE9C">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21</w:t>
            </w:r>
          </w:p>
        </w:tc>
        <w:tc>
          <w:tcPr>
            <w:tcW w:w="4223" w:type="dxa"/>
            <w:vAlign w:val="center"/>
          </w:tcPr>
          <w:p w14:paraId="4D403CB9">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6"/>
                <w:sz w:val="21"/>
                <w:szCs w:val="21"/>
              </w:rPr>
              <w:t>石油库的绿化应符合下列规</w:t>
            </w:r>
            <w:r>
              <w:rPr>
                <w:rFonts w:hint="default" w:ascii="Times New Roman" w:hAnsi="Times New Roman" w:eastAsia="宋体" w:cs="Times New Roman"/>
                <w:spacing w:val="-8"/>
                <w:sz w:val="21"/>
                <w:szCs w:val="21"/>
              </w:rPr>
              <w:t>定：</w:t>
            </w:r>
          </w:p>
          <w:p w14:paraId="4FEFE573">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2"/>
                <w:sz w:val="21"/>
                <w:szCs w:val="21"/>
              </w:rPr>
              <w:t>（</w:t>
            </w:r>
            <w:r>
              <w:rPr>
                <w:rFonts w:hint="default" w:ascii="Times New Roman" w:hAnsi="Times New Roman" w:eastAsia="Times New Roman" w:cs="Times New Roman"/>
                <w:spacing w:val="-2"/>
                <w:sz w:val="21"/>
                <w:szCs w:val="21"/>
              </w:rPr>
              <w:t>1</w:t>
            </w:r>
            <w:r>
              <w:rPr>
                <w:rFonts w:hint="default" w:ascii="Times New Roman" w:hAnsi="Times New Roman" w:eastAsia="宋体" w:cs="Times New Roman"/>
                <w:spacing w:val="-2"/>
                <w:sz w:val="21"/>
                <w:szCs w:val="21"/>
              </w:rPr>
              <w:t>）防火堤内不应植树；</w:t>
            </w:r>
          </w:p>
          <w:p w14:paraId="6B6E9FDA">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1"/>
                <w:sz w:val="21"/>
                <w:szCs w:val="21"/>
              </w:rPr>
              <w:t>（</w:t>
            </w:r>
            <w:r>
              <w:rPr>
                <w:rFonts w:hint="default" w:ascii="Times New Roman" w:hAnsi="Times New Roman" w:eastAsia="Times New Roman" w:cs="Times New Roman"/>
                <w:spacing w:val="1"/>
                <w:sz w:val="21"/>
                <w:szCs w:val="21"/>
              </w:rPr>
              <w:t>2</w:t>
            </w:r>
            <w:r>
              <w:rPr>
                <w:rFonts w:hint="default" w:ascii="Times New Roman" w:hAnsi="Times New Roman" w:eastAsia="宋体" w:cs="Times New Roman"/>
                <w:spacing w:val="1"/>
                <w:sz w:val="21"/>
                <w:szCs w:val="21"/>
              </w:rPr>
              <w:t>）消防车道与防火堤之间不宜</w:t>
            </w:r>
            <w:r>
              <w:rPr>
                <w:rFonts w:hint="default" w:ascii="Times New Roman" w:hAnsi="Times New Roman" w:eastAsia="宋体" w:cs="Times New Roman"/>
                <w:spacing w:val="-4"/>
                <w:sz w:val="21"/>
                <w:szCs w:val="21"/>
              </w:rPr>
              <w:t>植树；</w:t>
            </w:r>
          </w:p>
          <w:p w14:paraId="27A390F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both"/>
              <w:textAlignment w:val="auto"/>
              <w:rPr>
                <w:rFonts w:hint="default" w:ascii="Times New Roman" w:hAnsi="Times New Roman" w:eastAsia="宋体" w:cs="Times New Roman"/>
                <w:spacing w:val="-9"/>
                <w:sz w:val="21"/>
                <w:szCs w:val="21"/>
              </w:rPr>
            </w:pPr>
            <w:r>
              <w:rPr>
                <w:rFonts w:hint="default" w:ascii="Times New Roman" w:hAnsi="Times New Roman" w:eastAsia="宋体" w:cs="Times New Roman"/>
                <w:spacing w:val="-2"/>
                <w:sz w:val="21"/>
                <w:szCs w:val="21"/>
              </w:rPr>
              <w:t>（</w:t>
            </w:r>
            <w:r>
              <w:rPr>
                <w:rFonts w:hint="default" w:ascii="Times New Roman" w:hAnsi="Times New Roman" w:eastAsia="Times New Roman" w:cs="Times New Roman"/>
                <w:spacing w:val="-2"/>
                <w:sz w:val="21"/>
                <w:szCs w:val="21"/>
              </w:rPr>
              <w:t>3</w:t>
            </w:r>
            <w:r>
              <w:rPr>
                <w:rFonts w:hint="default" w:ascii="Times New Roman" w:hAnsi="Times New Roman" w:eastAsia="宋体" w:cs="Times New Roman"/>
                <w:spacing w:val="-2"/>
                <w:sz w:val="21"/>
                <w:szCs w:val="21"/>
              </w:rPr>
              <w:t>）绿化不应妨碍消防作业。</w:t>
            </w:r>
          </w:p>
        </w:tc>
        <w:tc>
          <w:tcPr>
            <w:tcW w:w="1783" w:type="dxa"/>
            <w:vAlign w:val="center"/>
          </w:tcPr>
          <w:p w14:paraId="2EB180E7">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GB50074-2014</w:t>
            </w:r>
          </w:p>
          <w:p w14:paraId="538B5DC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第</w:t>
            </w:r>
            <w:r>
              <w:rPr>
                <w:rFonts w:hint="default" w:ascii="Times New Roman" w:hAnsi="Times New Roman" w:eastAsia="宋体" w:cs="Times New Roman"/>
                <w:spacing w:val="-49"/>
                <w:sz w:val="21"/>
                <w:szCs w:val="21"/>
              </w:rPr>
              <w:t xml:space="preserve"> </w:t>
            </w:r>
            <w:r>
              <w:rPr>
                <w:rFonts w:hint="default" w:ascii="Times New Roman" w:hAnsi="Times New Roman" w:eastAsia="Times New Roman" w:cs="Times New Roman"/>
                <w:spacing w:val="-3"/>
                <w:sz w:val="21"/>
                <w:szCs w:val="21"/>
              </w:rPr>
              <w:t>5.3.4</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3"/>
                <w:sz w:val="21"/>
                <w:szCs w:val="21"/>
              </w:rPr>
              <w:t>条</w:t>
            </w:r>
          </w:p>
        </w:tc>
        <w:tc>
          <w:tcPr>
            <w:tcW w:w="1892" w:type="dxa"/>
            <w:vAlign w:val="center"/>
          </w:tcPr>
          <w:p w14:paraId="33F4F4E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库内未植树，防</w:t>
            </w:r>
            <w:r>
              <w:rPr>
                <w:rFonts w:hint="default" w:ascii="Times New Roman" w:hAnsi="Times New Roman" w:eastAsia="宋体" w:cs="Times New Roman"/>
                <w:spacing w:val="-2"/>
                <w:sz w:val="21"/>
                <w:szCs w:val="21"/>
              </w:rPr>
              <w:t>火堤未植树。</w:t>
            </w:r>
          </w:p>
        </w:tc>
        <w:tc>
          <w:tcPr>
            <w:tcW w:w="677" w:type="dxa"/>
            <w:vAlign w:val="center"/>
          </w:tcPr>
          <w:p w14:paraId="0C39BC6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spacing w:val="34"/>
                <w:sz w:val="21"/>
                <w:szCs w:val="21"/>
              </w:rPr>
            </w:pPr>
            <w:r>
              <w:rPr>
                <w:rFonts w:hint="eastAsia" w:ascii="Times New Roman" w:hAnsi="Times New Roman" w:eastAsia="宋体" w:cs="Times New Roman"/>
                <w:kern w:val="28"/>
                <w:sz w:val="21"/>
                <w:szCs w:val="21"/>
                <w:lang w:val="en-US" w:eastAsia="zh-CN"/>
                <w14:ligatures w14:val="none"/>
              </w:rPr>
              <w:t>符合</w:t>
            </w:r>
          </w:p>
        </w:tc>
      </w:tr>
      <w:tr w14:paraId="37F68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59" w:type="pct"/>
            <w:vAlign w:val="center"/>
          </w:tcPr>
          <w:p w14:paraId="43153F55">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8"/>
                <w:sz w:val="21"/>
                <w:szCs w:val="21"/>
                <w:lang w:val="en-US" w:eastAsia="zh-CN"/>
                <w14:ligatures w14:val="none"/>
              </w:rPr>
            </w:pPr>
            <w:r>
              <w:rPr>
                <w:rFonts w:hint="eastAsia" w:ascii="Times New Roman" w:hAnsi="Times New Roman" w:eastAsia="宋体" w:cs="Times New Roman"/>
                <w:kern w:val="28"/>
                <w:sz w:val="21"/>
                <w:szCs w:val="21"/>
                <w:lang w:val="en-US" w:eastAsia="zh-CN"/>
                <w14:ligatures w14:val="none"/>
              </w:rPr>
              <w:t>22</w:t>
            </w:r>
          </w:p>
        </w:tc>
        <w:tc>
          <w:tcPr>
            <w:tcW w:w="4223" w:type="dxa"/>
            <w:vAlign w:val="center"/>
          </w:tcPr>
          <w:p w14:paraId="4FA933B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spacing w:val="-9"/>
                <w:sz w:val="21"/>
                <w:szCs w:val="21"/>
              </w:rPr>
            </w:pPr>
            <w:r>
              <w:rPr>
                <w:rFonts w:hint="default" w:ascii="Times New Roman" w:hAnsi="Times New Roman" w:eastAsia="宋体" w:cs="Times New Roman"/>
                <w:spacing w:val="-1"/>
                <w:sz w:val="21"/>
                <w:szCs w:val="21"/>
              </w:rPr>
              <w:t>化工装置区、油库、罐区、化</w:t>
            </w:r>
            <w:r>
              <w:rPr>
                <w:rFonts w:hint="default" w:ascii="Times New Roman" w:hAnsi="Times New Roman" w:eastAsia="宋体" w:cs="Times New Roman"/>
                <w:spacing w:val="10"/>
                <w:sz w:val="21"/>
                <w:szCs w:val="21"/>
              </w:rPr>
              <w:t>学危险品仓库等危险区应设置永</w:t>
            </w:r>
            <w:r>
              <w:rPr>
                <w:rFonts w:hint="default" w:ascii="Times New Roman" w:hAnsi="Times New Roman" w:eastAsia="宋体" w:cs="Times New Roman"/>
                <w:spacing w:val="-2"/>
                <w:sz w:val="21"/>
                <w:szCs w:val="21"/>
              </w:rPr>
              <w:t>久性</w:t>
            </w:r>
            <w:r>
              <w:rPr>
                <w:rFonts w:hint="default" w:ascii="Times New Roman" w:hAnsi="Times New Roman" w:eastAsia="Times New Roman" w:cs="Times New Roman"/>
                <w:spacing w:val="-2"/>
                <w:sz w:val="21"/>
                <w:szCs w:val="21"/>
              </w:rPr>
              <w:t>“</w:t>
            </w:r>
            <w:r>
              <w:rPr>
                <w:rFonts w:hint="default" w:ascii="Times New Roman" w:hAnsi="Times New Roman" w:eastAsia="宋体" w:cs="Times New Roman"/>
                <w:spacing w:val="-2"/>
                <w:sz w:val="21"/>
                <w:szCs w:val="21"/>
              </w:rPr>
              <w:t>严禁烟火</w:t>
            </w:r>
            <w:r>
              <w:rPr>
                <w:rFonts w:hint="default" w:ascii="Times New Roman" w:hAnsi="Times New Roman" w:eastAsia="Times New Roman" w:cs="Times New Roman"/>
                <w:spacing w:val="-2"/>
                <w:sz w:val="21"/>
                <w:szCs w:val="21"/>
              </w:rPr>
              <w:t>”</w:t>
            </w:r>
            <w:r>
              <w:rPr>
                <w:rFonts w:hint="default" w:ascii="Times New Roman" w:hAnsi="Times New Roman" w:eastAsia="宋体" w:cs="Times New Roman"/>
                <w:spacing w:val="-2"/>
                <w:sz w:val="21"/>
                <w:szCs w:val="21"/>
              </w:rPr>
              <w:t>标志</w:t>
            </w:r>
          </w:p>
        </w:tc>
        <w:tc>
          <w:tcPr>
            <w:tcW w:w="1783" w:type="dxa"/>
            <w:vAlign w:val="center"/>
          </w:tcPr>
          <w:p w14:paraId="03F62E13">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1"/>
                <w:sz w:val="21"/>
                <w:szCs w:val="21"/>
              </w:rPr>
              <w:t>HG 20571-2014</w:t>
            </w:r>
          </w:p>
          <w:p w14:paraId="53C0184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第</w:t>
            </w:r>
            <w:r>
              <w:rPr>
                <w:rFonts w:hint="default" w:ascii="Times New Roman" w:hAnsi="Times New Roman" w:eastAsia="宋体" w:cs="Times New Roman"/>
                <w:spacing w:val="-50"/>
                <w:sz w:val="21"/>
                <w:szCs w:val="21"/>
              </w:rPr>
              <w:t xml:space="preserve"> </w:t>
            </w:r>
            <w:r>
              <w:rPr>
                <w:rFonts w:hint="default" w:ascii="Times New Roman" w:hAnsi="Times New Roman" w:eastAsia="Times New Roman" w:cs="Times New Roman"/>
                <w:spacing w:val="-3"/>
                <w:sz w:val="21"/>
                <w:szCs w:val="21"/>
              </w:rPr>
              <w:t>6.2.2</w:t>
            </w:r>
            <w:r>
              <w:rPr>
                <w:rFonts w:hint="default" w:ascii="Times New Roman" w:hAnsi="Times New Roman" w:eastAsia="Times New Roman" w:cs="Times New Roman"/>
                <w:spacing w:val="11"/>
                <w:sz w:val="21"/>
                <w:szCs w:val="21"/>
              </w:rPr>
              <w:t xml:space="preserve"> </w:t>
            </w:r>
            <w:r>
              <w:rPr>
                <w:rFonts w:hint="default" w:ascii="Times New Roman" w:hAnsi="Times New Roman" w:eastAsia="宋体" w:cs="Times New Roman"/>
                <w:spacing w:val="-3"/>
                <w:sz w:val="21"/>
                <w:szCs w:val="21"/>
              </w:rPr>
              <w:t>条</w:t>
            </w:r>
          </w:p>
        </w:tc>
        <w:tc>
          <w:tcPr>
            <w:tcW w:w="1892" w:type="dxa"/>
            <w:vAlign w:val="center"/>
          </w:tcPr>
          <w:p w14:paraId="652A036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1"/>
                <w:sz w:val="21"/>
                <w:szCs w:val="21"/>
              </w:rPr>
              <w:t>油库、罐区设置</w:t>
            </w:r>
            <w:r>
              <w:rPr>
                <w:rFonts w:hint="default" w:ascii="Times New Roman" w:hAnsi="Times New Roman" w:eastAsia="宋体" w:cs="Times New Roman"/>
                <w:spacing w:val="14"/>
                <w:sz w:val="21"/>
                <w:szCs w:val="21"/>
              </w:rPr>
              <w:t>永久性</w:t>
            </w:r>
            <w:r>
              <w:rPr>
                <w:rFonts w:hint="default" w:ascii="Times New Roman" w:hAnsi="Times New Roman" w:eastAsia="Times New Roman" w:cs="Times New Roman"/>
                <w:spacing w:val="14"/>
                <w:sz w:val="21"/>
                <w:szCs w:val="21"/>
              </w:rPr>
              <w:t>“</w:t>
            </w:r>
            <w:r>
              <w:rPr>
                <w:rFonts w:hint="default" w:ascii="Times New Roman" w:hAnsi="Times New Roman" w:eastAsia="Times New Roman" w:cs="Times New Roman"/>
                <w:spacing w:val="-27"/>
                <w:sz w:val="21"/>
                <w:szCs w:val="21"/>
              </w:rPr>
              <w:t xml:space="preserve"> </w:t>
            </w:r>
            <w:r>
              <w:rPr>
                <w:rFonts w:hint="default" w:ascii="Times New Roman" w:hAnsi="Times New Roman" w:eastAsia="宋体" w:cs="Times New Roman"/>
                <w:spacing w:val="14"/>
                <w:sz w:val="21"/>
                <w:szCs w:val="21"/>
              </w:rPr>
              <w:t>严禁烟</w:t>
            </w:r>
            <w:r>
              <w:rPr>
                <w:rFonts w:hint="default" w:ascii="Times New Roman" w:hAnsi="Times New Roman" w:eastAsia="宋体" w:cs="Times New Roman"/>
                <w:spacing w:val="-3"/>
                <w:sz w:val="21"/>
                <w:szCs w:val="21"/>
              </w:rPr>
              <w:t>火</w:t>
            </w:r>
            <w:r>
              <w:rPr>
                <w:rFonts w:hint="default" w:ascii="Times New Roman" w:hAnsi="Times New Roman" w:eastAsia="Times New Roman" w:cs="Times New Roman"/>
                <w:spacing w:val="-3"/>
                <w:sz w:val="21"/>
                <w:szCs w:val="21"/>
              </w:rPr>
              <w:t>”</w:t>
            </w:r>
            <w:r>
              <w:rPr>
                <w:rFonts w:hint="default" w:ascii="Times New Roman" w:hAnsi="Times New Roman" w:eastAsia="宋体" w:cs="Times New Roman"/>
                <w:spacing w:val="-3"/>
                <w:sz w:val="21"/>
                <w:szCs w:val="21"/>
              </w:rPr>
              <w:t>标志。</w:t>
            </w:r>
          </w:p>
        </w:tc>
        <w:tc>
          <w:tcPr>
            <w:tcW w:w="677" w:type="dxa"/>
            <w:vAlign w:val="center"/>
          </w:tcPr>
          <w:p w14:paraId="1E9ED311">
            <w:pPr>
              <w:keepNext w:val="0"/>
              <w:keepLines w:val="0"/>
              <w:pageBreakBefore w:val="0"/>
              <w:widowControl w:val="0"/>
              <w:kinsoku/>
              <w:wordWrap/>
              <w:overflowPunct/>
              <w:topLinePunct w:val="0"/>
              <w:autoSpaceDE/>
              <w:autoSpaceDN/>
              <w:bidi w:val="0"/>
              <w:adjustRightInd w:val="0"/>
              <w:snapToGrid w:val="0"/>
              <w:spacing w:line="240" w:lineRule="auto"/>
              <w:ind w:left="0" w:leftChars="0" w:right="0" w:firstLine="0"/>
              <w:jc w:val="center"/>
              <w:textAlignment w:val="auto"/>
              <w:rPr>
                <w:rFonts w:hint="default" w:ascii="Times New Roman" w:hAnsi="Times New Roman" w:eastAsia="宋体" w:cs="Times New Roman"/>
                <w:spacing w:val="34"/>
                <w:sz w:val="21"/>
                <w:szCs w:val="21"/>
              </w:rPr>
            </w:pPr>
            <w:r>
              <w:rPr>
                <w:rFonts w:hint="eastAsia" w:ascii="Times New Roman" w:hAnsi="Times New Roman" w:eastAsia="宋体" w:cs="Times New Roman"/>
                <w:kern w:val="28"/>
                <w:sz w:val="21"/>
                <w:szCs w:val="21"/>
                <w:lang w:val="en-US" w:eastAsia="zh-CN"/>
                <w14:ligatures w14:val="none"/>
              </w:rPr>
              <w:t>符合</w:t>
            </w:r>
          </w:p>
        </w:tc>
      </w:tr>
    </w:tbl>
    <w:p w14:paraId="3C683CC4">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小结：通过对周边环境及平面布置进行安全评价，共检查</w:t>
      </w:r>
      <w:r>
        <w:rPr>
          <w:rFonts w:hint="eastAsia" w:ascii="Times New Roman" w:hAnsi="Times New Roman" w:eastAsia="宋体" w:cs="Times New Roman"/>
          <w:sz w:val="28"/>
          <w:szCs w:val="28"/>
          <w:lang w:val="en-US" w:eastAsia="zh-CN"/>
          <w14:ligatures w14:val="none"/>
        </w:rPr>
        <w:t>22</w:t>
      </w:r>
      <w:r>
        <w:rPr>
          <w:rFonts w:hint="eastAsia" w:ascii="Times New Roman" w:hAnsi="Times New Roman" w:eastAsia="宋体" w:cs="Times New Roman"/>
          <w:sz w:val="28"/>
          <w:szCs w:val="28"/>
          <w14:ligatures w14:val="none"/>
        </w:rPr>
        <w:t>项，均符合相关要求。</w:t>
      </w:r>
    </w:p>
    <w:p w14:paraId="60B3C9F3">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33" w:name="_Toc8997"/>
      <w:r>
        <w:rPr>
          <w:rFonts w:hint="eastAsia" w:ascii="Times New Roman" w:hAnsi="Times New Roman" w:eastAsia="楷体" w:cs="黑体"/>
          <w:b/>
          <w:sz w:val="32"/>
          <w:szCs w:val="32"/>
          <w14:ligatures w14:val="none"/>
        </w:rPr>
        <w:t>5.3 工艺及设施单元</w:t>
      </w:r>
      <w:bookmarkEnd w:id="133"/>
    </w:p>
    <w:p w14:paraId="6C575EC5">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采用安全检查表法对 工艺及设施单元进行评价，见表5.3-1。</w:t>
      </w:r>
    </w:p>
    <w:p w14:paraId="29CD32F9">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p>
    <w:p w14:paraId="6E6F8783">
      <w:pPr>
        <w:keepNext/>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r>
        <w:rPr>
          <w:rFonts w:hint="eastAsia" w:ascii="Times New Roman" w:hAnsi="Times New Roman" w:eastAsia="黑体" w:cs="Times New Roman"/>
          <w:sz w:val="24"/>
          <w14:ligatures w14:val="none"/>
        </w:rPr>
        <w:t>表5.3-1  工艺及设施单元安全检查表</w:t>
      </w:r>
    </w:p>
    <w:tbl>
      <w:tblPr>
        <w:tblStyle w:val="14"/>
        <w:tblW w:w="4873" w:type="pct"/>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731"/>
        <w:gridCol w:w="3063"/>
        <w:gridCol w:w="2261"/>
        <w:gridCol w:w="2292"/>
        <w:gridCol w:w="815"/>
      </w:tblGrid>
      <w:tr w14:paraId="5ECAB52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blHeader/>
        </w:trPr>
        <w:tc>
          <w:tcPr>
            <w:tcW w:w="731" w:type="dxa"/>
            <w:tcBorders>
              <w:tl2br w:val="nil"/>
              <w:tr2bl w:val="nil"/>
            </w:tcBorders>
            <w:noWrap w:val="0"/>
            <w:vAlign w:val="center"/>
          </w:tcPr>
          <w:p w14:paraId="70BB0E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项目</w:t>
            </w:r>
          </w:p>
        </w:tc>
        <w:tc>
          <w:tcPr>
            <w:tcW w:w="3063" w:type="dxa"/>
            <w:tcBorders>
              <w:tl2br w:val="nil"/>
              <w:tr2bl w:val="nil"/>
            </w:tcBorders>
            <w:noWrap w:val="0"/>
            <w:vAlign w:val="center"/>
          </w:tcPr>
          <w:p w14:paraId="3EA919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检  查  内  容</w:t>
            </w:r>
          </w:p>
        </w:tc>
        <w:tc>
          <w:tcPr>
            <w:tcW w:w="2261" w:type="dxa"/>
            <w:tcBorders>
              <w:tl2br w:val="nil"/>
              <w:tr2bl w:val="nil"/>
            </w:tcBorders>
            <w:noWrap w:val="0"/>
            <w:vAlign w:val="center"/>
          </w:tcPr>
          <w:p w14:paraId="2AA600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检查依据</w:t>
            </w:r>
          </w:p>
        </w:tc>
        <w:tc>
          <w:tcPr>
            <w:tcW w:w="2292" w:type="dxa"/>
            <w:tcBorders>
              <w:tl2br w:val="nil"/>
              <w:tr2bl w:val="nil"/>
            </w:tcBorders>
            <w:noWrap w:val="0"/>
            <w:vAlign w:val="center"/>
          </w:tcPr>
          <w:p w14:paraId="71CAD2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检查记录</w:t>
            </w:r>
          </w:p>
        </w:tc>
        <w:tc>
          <w:tcPr>
            <w:tcW w:w="815" w:type="dxa"/>
            <w:tcBorders>
              <w:tl2br w:val="nil"/>
              <w:tr2bl w:val="nil"/>
            </w:tcBorders>
            <w:noWrap w:val="0"/>
            <w:vAlign w:val="center"/>
          </w:tcPr>
          <w:p w14:paraId="3927A2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结论</w:t>
            </w:r>
          </w:p>
        </w:tc>
      </w:tr>
      <w:tr w14:paraId="46850D6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restart"/>
            <w:tcBorders>
              <w:tl2br w:val="nil"/>
              <w:tr2bl w:val="nil"/>
            </w:tcBorders>
            <w:noWrap w:val="0"/>
            <w:vAlign w:val="center"/>
          </w:tcPr>
          <w:p w14:paraId="532160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油罐</w:t>
            </w:r>
          </w:p>
          <w:p w14:paraId="7591615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p w14:paraId="3FD511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508978CF">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1、立式储罐是否设上罐的梯子、平台和栏杆。高度大于5m 的立式储罐，是否采用盘梯</w:t>
            </w:r>
          </w:p>
        </w:tc>
        <w:tc>
          <w:tcPr>
            <w:tcW w:w="2261" w:type="dxa"/>
            <w:tcBorders>
              <w:tl2br w:val="nil"/>
              <w:tr2bl w:val="nil"/>
            </w:tcBorders>
            <w:noWrap w:val="0"/>
            <w:vAlign w:val="center"/>
          </w:tcPr>
          <w:p w14:paraId="1D8F14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《石油库设计规范》第6.4.1条</w:t>
            </w:r>
          </w:p>
        </w:tc>
        <w:tc>
          <w:tcPr>
            <w:tcW w:w="2292" w:type="dxa"/>
            <w:tcBorders>
              <w:tl2br w:val="nil"/>
              <w:tr2bl w:val="nil"/>
            </w:tcBorders>
            <w:noWrap w:val="0"/>
            <w:vAlign w:val="center"/>
          </w:tcPr>
          <w:p w14:paraId="19AF8BFB">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立式储罐设有上罐的盘梯、平台和栏杆</w:t>
            </w:r>
          </w:p>
        </w:tc>
        <w:tc>
          <w:tcPr>
            <w:tcW w:w="815" w:type="dxa"/>
            <w:tcBorders>
              <w:tl2br w:val="nil"/>
              <w:tr2bl w:val="nil"/>
            </w:tcBorders>
            <w:noWrap w:val="0"/>
            <w:vAlign w:val="center"/>
          </w:tcPr>
          <w:p w14:paraId="3B04AE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3C1CB45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6A2D0D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471AF57D">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2、储罐罐顶上经常走人的地方，是否设防滑踏步和护栏； 测量孔处是否设测量平台</w:t>
            </w:r>
          </w:p>
        </w:tc>
        <w:tc>
          <w:tcPr>
            <w:tcW w:w="2261" w:type="dxa"/>
            <w:tcBorders>
              <w:tl2br w:val="nil"/>
              <w:tr2bl w:val="nil"/>
            </w:tcBorders>
            <w:noWrap w:val="0"/>
            <w:vAlign w:val="center"/>
          </w:tcPr>
          <w:p w14:paraId="13138E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《石油库设计规范》第6.4.2条</w:t>
            </w:r>
          </w:p>
        </w:tc>
        <w:tc>
          <w:tcPr>
            <w:tcW w:w="2292" w:type="dxa"/>
            <w:tcBorders>
              <w:tl2br w:val="nil"/>
              <w:tr2bl w:val="nil"/>
            </w:tcBorders>
            <w:noWrap w:val="0"/>
            <w:vAlign w:val="center"/>
          </w:tcPr>
          <w:p w14:paraId="36A263D4">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设防滑踏步和护栏；测量孔处设测量平台</w:t>
            </w:r>
          </w:p>
        </w:tc>
        <w:tc>
          <w:tcPr>
            <w:tcW w:w="815" w:type="dxa"/>
            <w:tcBorders>
              <w:tl2br w:val="nil"/>
              <w:tr2bl w:val="nil"/>
            </w:tcBorders>
            <w:noWrap w:val="0"/>
            <w:vAlign w:val="center"/>
          </w:tcPr>
          <w:p w14:paraId="0E7579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757C26F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620672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4F681828">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3、立式储罐的量油孔、罐壁人孔、排污孔（ 或清扫孔）及放水管等的设置，是否按现行行业标准《石油化工储运系统罐区设计规范》 SH/T 3007 的有关规定执行</w:t>
            </w:r>
          </w:p>
        </w:tc>
        <w:tc>
          <w:tcPr>
            <w:tcW w:w="2261" w:type="dxa"/>
            <w:tcBorders>
              <w:tl2br w:val="nil"/>
              <w:tr2bl w:val="nil"/>
            </w:tcBorders>
            <w:noWrap w:val="0"/>
            <w:vAlign w:val="center"/>
          </w:tcPr>
          <w:p w14:paraId="4B759CF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《石油库设计规范》第6.4.3条</w:t>
            </w:r>
          </w:p>
        </w:tc>
        <w:tc>
          <w:tcPr>
            <w:tcW w:w="2292" w:type="dxa"/>
            <w:tcBorders>
              <w:tl2br w:val="nil"/>
              <w:tr2bl w:val="nil"/>
            </w:tcBorders>
            <w:noWrap w:val="0"/>
            <w:vAlign w:val="center"/>
          </w:tcPr>
          <w:p w14:paraId="1B4637CB">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符合《石油化工储运系统罐区设计规范》 SH/T 3007 的要求</w:t>
            </w:r>
          </w:p>
        </w:tc>
        <w:tc>
          <w:tcPr>
            <w:tcW w:w="815" w:type="dxa"/>
            <w:tcBorders>
              <w:tl2br w:val="nil"/>
              <w:tr2bl w:val="nil"/>
            </w:tcBorders>
            <w:noWrap w:val="0"/>
            <w:vAlign w:val="center"/>
          </w:tcPr>
          <w:p w14:paraId="3F24A8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134F9DD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32CAFA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3C729DA5">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4、储罐进液是否采用喷溅方式。甲</w:t>
            </w:r>
            <w:r>
              <w:rPr>
                <w:rFonts w:hint="default" w:ascii="Times New Roman" w:hAnsi="Times New Roman" w:eastAsia="宋体" w:cs="Times New Roman"/>
                <w:b w:val="0"/>
                <w:bCs w:val="0"/>
                <w:color w:val="auto"/>
                <w:sz w:val="21"/>
                <w:szCs w:val="21"/>
                <w:highlight w:val="none"/>
                <w:vertAlign w:val="subscript"/>
              </w:rPr>
              <w:t>B</w:t>
            </w:r>
            <w:r>
              <w:rPr>
                <w:rFonts w:hint="default" w:ascii="Times New Roman" w:hAnsi="Times New Roman" w:eastAsia="宋体" w:cs="Times New Roman"/>
                <w:b w:val="0"/>
                <w:bCs w:val="0"/>
                <w:color w:val="auto"/>
                <w:sz w:val="21"/>
                <w:szCs w:val="21"/>
                <w:highlight w:val="none"/>
              </w:rPr>
              <w:t>、乙、丙</w:t>
            </w:r>
            <w:r>
              <w:rPr>
                <w:rFonts w:hint="default" w:ascii="Times New Roman" w:hAnsi="Times New Roman" w:eastAsia="宋体" w:cs="Times New Roman"/>
                <w:b w:val="0"/>
                <w:bCs w:val="0"/>
                <w:color w:val="auto"/>
                <w:sz w:val="21"/>
                <w:szCs w:val="21"/>
                <w:highlight w:val="none"/>
                <w:vertAlign w:val="subscript"/>
              </w:rPr>
              <w:t>A</w:t>
            </w:r>
            <w:r>
              <w:rPr>
                <w:rFonts w:hint="default" w:ascii="Times New Roman" w:hAnsi="Times New Roman" w:eastAsia="宋体" w:cs="Times New Roman"/>
                <w:b w:val="0"/>
                <w:bCs w:val="0"/>
                <w:color w:val="auto"/>
                <w:sz w:val="21"/>
                <w:szCs w:val="21"/>
                <w:highlight w:val="none"/>
              </w:rPr>
              <w:t xml:space="preserve"> 类液体储罐的进液管从储罐上部接入时，进液管是否延伸到储罐的底部</w:t>
            </w:r>
          </w:p>
        </w:tc>
        <w:tc>
          <w:tcPr>
            <w:tcW w:w="2261" w:type="dxa"/>
            <w:tcBorders>
              <w:tl2br w:val="nil"/>
              <w:tr2bl w:val="nil"/>
            </w:tcBorders>
            <w:noWrap w:val="0"/>
            <w:vAlign w:val="center"/>
          </w:tcPr>
          <w:p w14:paraId="038DE6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《石油库设计规范》第6.4.9条</w:t>
            </w:r>
          </w:p>
        </w:tc>
        <w:tc>
          <w:tcPr>
            <w:tcW w:w="2292" w:type="dxa"/>
            <w:tcBorders>
              <w:tl2br w:val="nil"/>
              <w:tr2bl w:val="nil"/>
            </w:tcBorders>
            <w:noWrap w:val="0"/>
            <w:vAlign w:val="center"/>
          </w:tcPr>
          <w:p w14:paraId="3EA00D26">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未采用喷溅方式进液</w:t>
            </w:r>
          </w:p>
        </w:tc>
        <w:tc>
          <w:tcPr>
            <w:tcW w:w="815" w:type="dxa"/>
            <w:tcBorders>
              <w:tl2br w:val="nil"/>
              <w:tr2bl w:val="nil"/>
            </w:tcBorders>
            <w:noWrap w:val="0"/>
            <w:vAlign w:val="center"/>
          </w:tcPr>
          <w:p w14:paraId="634329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6BAC9E3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0A79E3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38ACF11B">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5、内浮顶上的所有金属件均是否互相电气连通，并通过罐壁与罐外部接地件相连</w:t>
            </w:r>
          </w:p>
        </w:tc>
        <w:tc>
          <w:tcPr>
            <w:tcW w:w="2261" w:type="dxa"/>
            <w:tcBorders>
              <w:tl2br w:val="nil"/>
              <w:tr2bl w:val="nil"/>
            </w:tcBorders>
            <w:noWrap w:val="0"/>
            <w:vAlign w:val="center"/>
          </w:tcPr>
          <w:p w14:paraId="52A784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《立式圆筒形钢制焊接油罐设计规范》第9.1.5条</w:t>
            </w:r>
          </w:p>
        </w:tc>
        <w:tc>
          <w:tcPr>
            <w:tcW w:w="2292" w:type="dxa"/>
            <w:tcBorders>
              <w:tl2br w:val="nil"/>
              <w:tr2bl w:val="nil"/>
            </w:tcBorders>
            <w:noWrap w:val="0"/>
            <w:vAlign w:val="center"/>
          </w:tcPr>
          <w:p w14:paraId="4E8DBFAD">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内浮顶油罐上的所有金属件均已进行电气通，并通过罐壁与罐外部接地件相连</w:t>
            </w:r>
          </w:p>
        </w:tc>
        <w:tc>
          <w:tcPr>
            <w:tcW w:w="815" w:type="dxa"/>
            <w:tcBorders>
              <w:tl2br w:val="nil"/>
              <w:tr2bl w:val="nil"/>
            </w:tcBorders>
            <w:noWrap w:val="0"/>
            <w:vAlign w:val="center"/>
          </w:tcPr>
          <w:p w14:paraId="7EA05E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0302FFF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449A2B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51F9F8F8">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6、支柱、导向装置等穿过内浮顶时，是否加设密封</w:t>
            </w:r>
          </w:p>
        </w:tc>
        <w:tc>
          <w:tcPr>
            <w:tcW w:w="2261" w:type="dxa"/>
            <w:tcBorders>
              <w:tl2br w:val="nil"/>
              <w:tr2bl w:val="nil"/>
            </w:tcBorders>
            <w:noWrap w:val="0"/>
            <w:vAlign w:val="center"/>
          </w:tcPr>
          <w:p w14:paraId="08DC29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《立式圆筒形钢制焊接油罐设计规范》第9.1.9条</w:t>
            </w:r>
          </w:p>
        </w:tc>
        <w:tc>
          <w:tcPr>
            <w:tcW w:w="2292" w:type="dxa"/>
            <w:tcBorders>
              <w:tl2br w:val="nil"/>
              <w:tr2bl w:val="nil"/>
            </w:tcBorders>
            <w:noWrap w:val="0"/>
            <w:vAlign w:val="center"/>
          </w:tcPr>
          <w:p w14:paraId="06EC5F35">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已设置密封</w:t>
            </w:r>
          </w:p>
        </w:tc>
        <w:tc>
          <w:tcPr>
            <w:tcW w:w="815" w:type="dxa"/>
            <w:tcBorders>
              <w:tl2br w:val="nil"/>
              <w:tr2bl w:val="nil"/>
            </w:tcBorders>
            <w:noWrap w:val="0"/>
            <w:vAlign w:val="center"/>
          </w:tcPr>
          <w:p w14:paraId="2B0EA1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3AC8492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3A2A3E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5F97E535">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7</w:t>
            </w:r>
            <w:r>
              <w:rPr>
                <w:rFonts w:hint="default" w:ascii="Times New Roman" w:hAnsi="Times New Roman" w:eastAsia="宋体" w:cs="Times New Roman"/>
                <w:b w:val="0"/>
                <w:bCs w:val="0"/>
                <w:color w:val="auto"/>
                <w:sz w:val="21"/>
                <w:szCs w:val="21"/>
                <w:highlight w:val="none"/>
              </w:rPr>
              <w:t>、内浮顶是否设置导向装置</w:t>
            </w:r>
          </w:p>
        </w:tc>
        <w:tc>
          <w:tcPr>
            <w:tcW w:w="2261" w:type="dxa"/>
            <w:tcBorders>
              <w:tl2br w:val="nil"/>
              <w:tr2bl w:val="nil"/>
            </w:tcBorders>
            <w:noWrap w:val="0"/>
            <w:vAlign w:val="center"/>
          </w:tcPr>
          <w:p w14:paraId="547112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《立式圆筒形钢制焊接油罐设计规范》第9.9.1条</w:t>
            </w:r>
          </w:p>
        </w:tc>
        <w:tc>
          <w:tcPr>
            <w:tcW w:w="2292" w:type="dxa"/>
            <w:tcBorders>
              <w:tl2br w:val="nil"/>
              <w:tr2bl w:val="nil"/>
            </w:tcBorders>
            <w:noWrap w:val="0"/>
            <w:vAlign w:val="center"/>
          </w:tcPr>
          <w:p w14:paraId="2357F774">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已设置导向装置</w:t>
            </w:r>
          </w:p>
        </w:tc>
        <w:tc>
          <w:tcPr>
            <w:tcW w:w="815" w:type="dxa"/>
            <w:tcBorders>
              <w:tl2br w:val="nil"/>
              <w:tr2bl w:val="nil"/>
            </w:tcBorders>
            <w:noWrap w:val="0"/>
            <w:vAlign w:val="center"/>
          </w:tcPr>
          <w:p w14:paraId="2E7597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符合</w:t>
            </w:r>
          </w:p>
        </w:tc>
      </w:tr>
      <w:tr w14:paraId="7D99C26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760F6B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300CED73">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8、</w:t>
            </w:r>
            <w:r>
              <w:rPr>
                <w:rFonts w:hint="default" w:ascii="Times New Roman" w:hAnsi="Times New Roman" w:eastAsia="宋体" w:cs="Times New Roman"/>
                <w:b w:val="0"/>
                <w:bCs w:val="0"/>
                <w:color w:val="auto"/>
                <w:sz w:val="21"/>
                <w:szCs w:val="21"/>
                <w:highlight w:val="none"/>
              </w:rPr>
              <w:t>储罐物料进出口管道靠近罐根处应设一个总的切断阀，每根储罐物料进出口管道上还应设一个操作阀。</w:t>
            </w:r>
          </w:p>
        </w:tc>
        <w:tc>
          <w:tcPr>
            <w:tcW w:w="2261" w:type="dxa"/>
            <w:tcBorders>
              <w:tl2br w:val="nil"/>
              <w:tr2bl w:val="nil"/>
            </w:tcBorders>
            <w:noWrap w:val="0"/>
            <w:vAlign w:val="center"/>
          </w:tcPr>
          <w:p w14:paraId="6D8EA3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eastAsia="zh-CN"/>
              </w:rPr>
              <w:t>《石油化工储运系统罐区设计规范》第</w:t>
            </w:r>
            <w:r>
              <w:rPr>
                <w:rFonts w:hint="default" w:ascii="Times New Roman" w:hAnsi="Times New Roman" w:eastAsia="宋体" w:cs="Times New Roman"/>
                <w:b w:val="0"/>
                <w:bCs w:val="0"/>
                <w:color w:val="auto"/>
                <w:sz w:val="21"/>
                <w:szCs w:val="21"/>
                <w:highlight w:val="none"/>
                <w:lang w:val="en-US" w:eastAsia="zh-CN"/>
              </w:rPr>
              <w:t>5.3.7条</w:t>
            </w:r>
          </w:p>
        </w:tc>
        <w:tc>
          <w:tcPr>
            <w:tcW w:w="2292" w:type="dxa"/>
            <w:tcBorders>
              <w:tl2br w:val="nil"/>
              <w:tr2bl w:val="nil"/>
            </w:tcBorders>
            <w:noWrap w:val="0"/>
            <w:vAlign w:val="center"/>
          </w:tcPr>
          <w:p w14:paraId="227CCB4D">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eastAsia="zh-CN"/>
              </w:rPr>
              <w:t>储罐物料进出口根部设置切断阀，管道上设置操作阀</w:t>
            </w:r>
          </w:p>
        </w:tc>
        <w:tc>
          <w:tcPr>
            <w:tcW w:w="815" w:type="dxa"/>
            <w:tcBorders>
              <w:tl2br w:val="nil"/>
              <w:tr2bl w:val="nil"/>
            </w:tcBorders>
            <w:noWrap w:val="0"/>
            <w:vAlign w:val="center"/>
          </w:tcPr>
          <w:p w14:paraId="7C5440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eastAsia="zh-CN"/>
              </w:rPr>
              <w:t>符合</w:t>
            </w:r>
          </w:p>
        </w:tc>
      </w:tr>
      <w:tr w14:paraId="4F1565B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restart"/>
            <w:tcBorders>
              <w:tl2br w:val="nil"/>
              <w:tr2bl w:val="nil"/>
            </w:tcBorders>
            <w:noWrap w:val="0"/>
            <w:vAlign w:val="center"/>
          </w:tcPr>
          <w:p w14:paraId="7EB806A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罐区工艺布置</w:t>
            </w:r>
          </w:p>
        </w:tc>
        <w:tc>
          <w:tcPr>
            <w:tcW w:w="3063" w:type="dxa"/>
            <w:tcBorders>
              <w:tl2br w:val="nil"/>
              <w:tr2bl w:val="nil"/>
            </w:tcBorders>
            <w:noWrap w:val="0"/>
            <w:vAlign w:val="center"/>
          </w:tcPr>
          <w:p w14:paraId="369482B7">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9</w:t>
            </w:r>
            <w:r>
              <w:rPr>
                <w:rFonts w:hint="default" w:ascii="Times New Roman" w:hAnsi="Times New Roman" w:eastAsia="宋体" w:cs="Times New Roman"/>
                <w:b w:val="0"/>
                <w:bCs w:val="0"/>
                <w:color w:val="auto"/>
                <w:sz w:val="21"/>
                <w:szCs w:val="21"/>
                <w:highlight w:val="none"/>
              </w:rPr>
              <w:t>、地上储罐是否采用钢制储罐</w:t>
            </w:r>
          </w:p>
        </w:tc>
        <w:tc>
          <w:tcPr>
            <w:tcW w:w="2261" w:type="dxa"/>
            <w:tcBorders>
              <w:tl2br w:val="nil"/>
              <w:tr2bl w:val="nil"/>
            </w:tcBorders>
            <w:noWrap w:val="0"/>
            <w:vAlign w:val="center"/>
          </w:tcPr>
          <w:p w14:paraId="774975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《石油库设计规范》第6.1.1条</w:t>
            </w:r>
          </w:p>
        </w:tc>
        <w:tc>
          <w:tcPr>
            <w:tcW w:w="2292" w:type="dxa"/>
            <w:tcBorders>
              <w:tl2br w:val="nil"/>
              <w:tr2bl w:val="nil"/>
            </w:tcBorders>
            <w:noWrap w:val="0"/>
            <w:vAlign w:val="center"/>
          </w:tcPr>
          <w:p w14:paraId="261E78DA">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为钢制储罐</w:t>
            </w:r>
          </w:p>
        </w:tc>
        <w:tc>
          <w:tcPr>
            <w:tcW w:w="815" w:type="dxa"/>
            <w:tcBorders>
              <w:tl2br w:val="nil"/>
              <w:tr2bl w:val="nil"/>
            </w:tcBorders>
            <w:noWrap w:val="0"/>
            <w:vAlign w:val="center"/>
          </w:tcPr>
          <w:p w14:paraId="2AF7F4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2729B90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0B2F45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top"/>
          </w:tcPr>
          <w:p w14:paraId="2FA544D3">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r>
              <w:rPr>
                <w:rFonts w:hint="default" w:ascii="Times New Roman" w:hAnsi="Times New Roman" w:eastAsia="宋体" w:cs="Times New Roman"/>
                <w:b w:val="0"/>
                <w:bCs w:val="0"/>
                <w:color w:val="auto"/>
                <w:sz w:val="21"/>
                <w:szCs w:val="21"/>
                <w:highlight w:val="none"/>
                <w:lang w:val="en-US" w:eastAsia="zh-CN"/>
              </w:rPr>
              <w:t xml:space="preserve"> </w:t>
            </w: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储存甲</w:t>
            </w:r>
            <w:r>
              <w:rPr>
                <w:rFonts w:hint="default" w:ascii="Times New Roman" w:hAnsi="Times New Roman" w:eastAsia="宋体" w:cs="Times New Roman"/>
                <w:b w:val="0"/>
                <w:bCs w:val="0"/>
                <w:color w:val="auto"/>
                <w:sz w:val="21"/>
                <w:szCs w:val="21"/>
                <w:highlight w:val="none"/>
                <w:vertAlign w:val="subscript"/>
                <w:lang w:val="en-US" w:eastAsia="zh-CN"/>
              </w:rPr>
              <w:t xml:space="preserve"> B </w:t>
            </w:r>
            <w:r>
              <w:rPr>
                <w:rFonts w:hint="default" w:ascii="Times New Roman" w:hAnsi="Times New Roman" w:eastAsia="宋体" w:cs="Times New Roman"/>
                <w:b w:val="0"/>
                <w:bCs w:val="0"/>
                <w:color w:val="auto"/>
                <w:sz w:val="21"/>
                <w:szCs w:val="21"/>
                <w:highlight w:val="none"/>
                <w:lang w:val="en-US" w:eastAsia="zh-CN"/>
              </w:rPr>
              <w:t>、乙</w:t>
            </w:r>
            <w:r>
              <w:rPr>
                <w:rFonts w:hint="default" w:ascii="Times New Roman" w:hAnsi="Times New Roman" w:eastAsia="宋体" w:cs="Times New Roman"/>
                <w:b w:val="0"/>
                <w:bCs w:val="0"/>
                <w:color w:val="auto"/>
                <w:sz w:val="21"/>
                <w:szCs w:val="21"/>
                <w:highlight w:val="none"/>
                <w:vertAlign w:val="subscript"/>
                <w:lang w:val="en-US" w:eastAsia="zh-CN"/>
              </w:rPr>
              <w:t xml:space="preserve"> A</w:t>
            </w:r>
            <w:r>
              <w:rPr>
                <w:rFonts w:hint="default" w:ascii="Times New Roman" w:hAnsi="Times New Roman" w:eastAsia="宋体" w:cs="Times New Roman"/>
                <w:b w:val="0"/>
                <w:bCs w:val="0"/>
                <w:color w:val="auto"/>
                <w:sz w:val="21"/>
                <w:szCs w:val="21"/>
                <w:highlight w:val="none"/>
                <w:lang w:val="en-US" w:eastAsia="zh-CN"/>
              </w:rPr>
              <w:t xml:space="preserve"> 类原油和成品油，应采用外浮顶储罐、内浮顶储罐和卧式储罐。</w:t>
            </w:r>
          </w:p>
        </w:tc>
        <w:tc>
          <w:tcPr>
            <w:tcW w:w="2261" w:type="dxa"/>
            <w:tcBorders>
              <w:tl2br w:val="nil"/>
              <w:tr2bl w:val="nil"/>
            </w:tcBorders>
            <w:noWrap w:val="0"/>
            <w:vAlign w:val="center"/>
          </w:tcPr>
          <w:p w14:paraId="1AB23B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《石油库设计规范》第6.1.</w:t>
            </w:r>
            <w:r>
              <w:rPr>
                <w:rFonts w:hint="eastAsia" w:ascii="Times New Roman" w:hAnsi="Times New Roman" w:eastAsia="宋体" w:cs="Times New Roman"/>
                <w:b w:val="0"/>
                <w:bCs w:val="0"/>
                <w:color w:val="auto"/>
                <w:sz w:val="21"/>
                <w:szCs w:val="21"/>
                <w:highlight w:val="none"/>
                <w:lang w:val="en-US" w:eastAsia="zh-CN"/>
              </w:rPr>
              <w:t>4</w:t>
            </w:r>
            <w:r>
              <w:rPr>
                <w:rFonts w:hint="default" w:ascii="Times New Roman" w:hAnsi="Times New Roman" w:eastAsia="宋体" w:cs="Times New Roman"/>
                <w:b w:val="0"/>
                <w:bCs w:val="0"/>
                <w:color w:val="auto"/>
                <w:sz w:val="21"/>
                <w:szCs w:val="21"/>
                <w:highlight w:val="none"/>
              </w:rPr>
              <w:t>条</w:t>
            </w:r>
          </w:p>
        </w:tc>
        <w:tc>
          <w:tcPr>
            <w:tcW w:w="2292" w:type="dxa"/>
            <w:tcBorders>
              <w:tl2br w:val="nil"/>
              <w:tr2bl w:val="nil"/>
            </w:tcBorders>
            <w:noWrap w:val="0"/>
            <w:vAlign w:val="center"/>
          </w:tcPr>
          <w:p w14:paraId="07D21CD6">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-35# 柴油采用内浮顶立式储罐储存。</w:t>
            </w:r>
          </w:p>
        </w:tc>
        <w:tc>
          <w:tcPr>
            <w:tcW w:w="815" w:type="dxa"/>
            <w:tcBorders>
              <w:tl2br w:val="nil"/>
              <w:tr2bl w:val="nil"/>
            </w:tcBorders>
            <w:noWrap w:val="0"/>
            <w:vAlign w:val="center"/>
          </w:tcPr>
          <w:p w14:paraId="1626EB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符合</w:t>
            </w:r>
          </w:p>
        </w:tc>
      </w:tr>
      <w:tr w14:paraId="232B686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3E377F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top"/>
          </w:tcPr>
          <w:p w14:paraId="35C36AEA">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11、</w:t>
            </w:r>
            <w:r>
              <w:rPr>
                <w:rFonts w:hint="default" w:ascii="Times New Roman" w:hAnsi="Times New Roman" w:eastAsia="宋体" w:cs="Times New Roman"/>
                <w:b w:val="0"/>
                <w:bCs w:val="0"/>
                <w:color w:val="auto"/>
                <w:sz w:val="21"/>
                <w:szCs w:val="21"/>
                <w:highlight w:val="none"/>
                <w:lang w:val="en-US" w:eastAsia="zh-CN"/>
              </w:rPr>
              <w:t>储存乙B类和丙类液体,可采用固定顶储罐和卧式储罐。</w:t>
            </w:r>
          </w:p>
        </w:tc>
        <w:tc>
          <w:tcPr>
            <w:tcW w:w="2261" w:type="dxa"/>
            <w:tcBorders>
              <w:tl2br w:val="nil"/>
              <w:tr2bl w:val="nil"/>
            </w:tcBorders>
            <w:noWrap w:val="0"/>
            <w:vAlign w:val="center"/>
          </w:tcPr>
          <w:p w14:paraId="76230E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《石油库设计规范》第6.1.</w:t>
            </w:r>
            <w:r>
              <w:rPr>
                <w:rFonts w:hint="eastAsia" w:ascii="Times New Roman" w:hAnsi="Times New Roman" w:eastAsia="宋体" w:cs="Times New Roman"/>
                <w:b w:val="0"/>
                <w:bCs w:val="0"/>
                <w:color w:val="auto"/>
                <w:sz w:val="21"/>
                <w:szCs w:val="21"/>
                <w:highlight w:val="none"/>
                <w:lang w:val="en-US" w:eastAsia="zh-CN"/>
              </w:rPr>
              <w:t>5</w:t>
            </w:r>
            <w:r>
              <w:rPr>
                <w:rFonts w:hint="default" w:ascii="Times New Roman" w:hAnsi="Times New Roman" w:eastAsia="宋体" w:cs="Times New Roman"/>
                <w:b w:val="0"/>
                <w:bCs w:val="0"/>
                <w:color w:val="auto"/>
                <w:sz w:val="21"/>
                <w:szCs w:val="21"/>
                <w:highlight w:val="none"/>
              </w:rPr>
              <w:t>条</w:t>
            </w:r>
          </w:p>
        </w:tc>
        <w:tc>
          <w:tcPr>
            <w:tcW w:w="2292" w:type="dxa"/>
            <w:tcBorders>
              <w:tl2br w:val="nil"/>
              <w:tr2bl w:val="nil"/>
            </w:tcBorders>
            <w:noWrap w:val="0"/>
            <w:vAlign w:val="center"/>
          </w:tcPr>
          <w:p w14:paraId="3DFB587D">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w:t>
            </w:r>
            <w:r>
              <w:rPr>
                <w:rFonts w:hint="default" w:ascii="Times New Roman" w:hAnsi="Times New Roman" w:eastAsia="宋体" w:cs="Times New Roman"/>
                <w:b w:val="0"/>
                <w:bCs w:val="0"/>
                <w:color w:val="auto"/>
                <w:sz w:val="21"/>
                <w:szCs w:val="21"/>
                <w:highlight w:val="none"/>
                <w:lang w:val="en-US" w:eastAsia="zh-CN"/>
              </w:rPr>
              <w:t>#柴油采用</w:t>
            </w:r>
            <w:r>
              <w:rPr>
                <w:rFonts w:hint="eastAsia" w:ascii="Times New Roman" w:hAnsi="Times New Roman" w:eastAsia="宋体" w:cs="Times New Roman"/>
                <w:b w:val="0"/>
                <w:bCs w:val="0"/>
                <w:color w:val="auto"/>
                <w:sz w:val="21"/>
                <w:szCs w:val="21"/>
                <w:highlight w:val="none"/>
                <w:lang w:val="en-US" w:eastAsia="zh-CN"/>
              </w:rPr>
              <w:t>固定</w:t>
            </w:r>
            <w:r>
              <w:rPr>
                <w:rFonts w:hint="default" w:ascii="Times New Roman" w:hAnsi="Times New Roman" w:eastAsia="宋体" w:cs="Times New Roman"/>
                <w:b w:val="0"/>
                <w:bCs w:val="0"/>
                <w:color w:val="auto"/>
                <w:sz w:val="21"/>
                <w:szCs w:val="21"/>
                <w:highlight w:val="none"/>
                <w:lang w:val="en-US" w:eastAsia="zh-CN"/>
              </w:rPr>
              <w:t>顶立式储罐储存。</w:t>
            </w:r>
          </w:p>
        </w:tc>
        <w:tc>
          <w:tcPr>
            <w:tcW w:w="815" w:type="dxa"/>
            <w:tcBorders>
              <w:tl2br w:val="nil"/>
              <w:tr2bl w:val="nil"/>
            </w:tcBorders>
            <w:noWrap w:val="0"/>
            <w:vAlign w:val="center"/>
          </w:tcPr>
          <w:p w14:paraId="3B9D43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符合</w:t>
            </w:r>
          </w:p>
        </w:tc>
      </w:tr>
      <w:tr w14:paraId="2989F45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6AA70C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0240AA57">
            <w:pPr>
              <w:keepNext w:val="0"/>
              <w:keepLines w:val="0"/>
              <w:pageBreakBefore w:val="0"/>
              <w:widowControl w:val="0"/>
              <w:numPr>
                <w:ilvl w:val="0"/>
                <w:numId w:val="0"/>
              </w:numPr>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12、</w:t>
            </w:r>
            <w:r>
              <w:rPr>
                <w:rFonts w:hint="default" w:ascii="Times New Roman" w:hAnsi="Times New Roman" w:eastAsia="宋体" w:cs="Times New Roman"/>
                <w:b w:val="0"/>
                <w:bCs w:val="0"/>
                <w:color w:val="auto"/>
                <w:sz w:val="21"/>
                <w:szCs w:val="21"/>
                <w:highlight w:val="none"/>
              </w:rPr>
              <w:t>内浮顶储罐的内浮顶选用</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应符合下列规定:</w:t>
            </w:r>
          </w:p>
          <w:p w14:paraId="3ADF7763">
            <w:pPr>
              <w:keepNext w:val="0"/>
              <w:keepLines w:val="0"/>
              <w:pageBreakBefore w:val="0"/>
              <w:widowControl w:val="0"/>
              <w:numPr>
                <w:ilvl w:val="0"/>
                <w:numId w:val="0"/>
              </w:numPr>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1内浮顶应采用金属内浮顶，且不得采用浅盘式或敞口隔舱式内浮顶。</w:t>
            </w:r>
          </w:p>
          <w:p w14:paraId="4248C6C7">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2储存I、级毒性液体的内浮顶储罐和直径大于40m的储存甲</w:t>
            </w:r>
            <w:r>
              <w:rPr>
                <w:rFonts w:hint="default" w:ascii="Times New Roman" w:hAnsi="Times New Roman" w:eastAsia="宋体" w:cs="Times New Roman"/>
                <w:b w:val="0"/>
                <w:bCs w:val="0"/>
                <w:color w:val="auto"/>
                <w:sz w:val="21"/>
                <w:szCs w:val="21"/>
                <w:highlight w:val="none"/>
                <w:vertAlign w:val="subscript"/>
              </w:rPr>
              <w:t>B</w:t>
            </w:r>
            <w:r>
              <w:rPr>
                <w:rFonts w:hint="default" w:ascii="Times New Roman" w:hAnsi="Times New Roman" w:eastAsia="宋体" w:cs="Times New Roman"/>
                <w:b w:val="0"/>
                <w:bCs w:val="0"/>
                <w:color w:val="auto"/>
                <w:sz w:val="21"/>
                <w:szCs w:val="21"/>
                <w:highlight w:val="none"/>
              </w:rPr>
              <w:t>、乙</w:t>
            </w:r>
            <w:r>
              <w:rPr>
                <w:rFonts w:hint="default" w:ascii="Times New Roman" w:hAnsi="Times New Roman" w:eastAsia="宋体" w:cs="Times New Roman"/>
                <w:b w:val="0"/>
                <w:bCs w:val="0"/>
                <w:color w:val="auto"/>
                <w:sz w:val="21"/>
                <w:szCs w:val="21"/>
                <w:highlight w:val="none"/>
                <w:vertAlign w:val="subscript"/>
              </w:rPr>
              <w:t>A</w:t>
            </w:r>
            <w:r>
              <w:rPr>
                <w:rFonts w:hint="default" w:ascii="Times New Roman" w:hAnsi="Times New Roman" w:eastAsia="宋体" w:cs="Times New Roman"/>
                <w:b w:val="0"/>
                <w:bCs w:val="0"/>
                <w:color w:val="auto"/>
                <w:sz w:val="21"/>
                <w:szCs w:val="21"/>
                <w:highlight w:val="none"/>
              </w:rPr>
              <w:t>类液体的内浮顶储罐，不得采用用易熔材料制作的内浮顶。</w:t>
            </w:r>
          </w:p>
          <w:p w14:paraId="41ACD646">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3 直径大于48m的内浮顶储罐，应选用钢制单盘式或双盘式内浮顶。</w:t>
            </w:r>
          </w:p>
          <w:p w14:paraId="7183F869">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4新结构内浮顶的采用应通过安全性评估。</w:t>
            </w:r>
          </w:p>
        </w:tc>
        <w:tc>
          <w:tcPr>
            <w:tcW w:w="2261" w:type="dxa"/>
            <w:tcBorders>
              <w:tl2br w:val="nil"/>
              <w:tr2bl w:val="nil"/>
            </w:tcBorders>
            <w:noWrap w:val="0"/>
            <w:vAlign w:val="center"/>
          </w:tcPr>
          <w:p w14:paraId="14C404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《石油库设计规范》第6.1.7条</w:t>
            </w:r>
          </w:p>
        </w:tc>
        <w:tc>
          <w:tcPr>
            <w:tcW w:w="2292" w:type="dxa"/>
            <w:tcBorders>
              <w:tl2br w:val="nil"/>
              <w:tr2bl w:val="nil"/>
            </w:tcBorders>
            <w:noWrap w:val="0"/>
            <w:vAlign w:val="center"/>
          </w:tcPr>
          <w:p w14:paraId="7CED093C">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内浮顶储罐</w:t>
            </w:r>
            <w:r>
              <w:rPr>
                <w:rFonts w:hint="eastAsia" w:ascii="Times New Roman" w:hAnsi="Times New Roman" w:eastAsia="宋体" w:cs="Times New Roman"/>
                <w:b w:val="0"/>
                <w:bCs w:val="0"/>
                <w:color w:val="auto"/>
                <w:sz w:val="21"/>
                <w:szCs w:val="21"/>
                <w:highlight w:val="none"/>
                <w:lang w:val="en-US" w:eastAsia="zh-CN"/>
              </w:rPr>
              <w:t>采用钢制金属内浮盘；储存油品为乙</w:t>
            </w:r>
            <w:r>
              <w:rPr>
                <w:rFonts w:hint="eastAsia" w:ascii="Times New Roman" w:hAnsi="Times New Roman" w:eastAsia="宋体" w:cs="Times New Roman"/>
                <w:b w:val="0"/>
                <w:bCs w:val="0"/>
                <w:color w:val="auto"/>
                <w:sz w:val="21"/>
                <w:szCs w:val="21"/>
                <w:highlight w:val="none"/>
                <w:vertAlign w:val="subscript"/>
                <w:lang w:val="en-US" w:eastAsia="zh-CN"/>
              </w:rPr>
              <w:t xml:space="preserve"> B</w:t>
            </w:r>
            <w:r>
              <w:rPr>
                <w:rFonts w:hint="eastAsia" w:ascii="Times New Roman" w:hAnsi="Times New Roman" w:eastAsia="宋体" w:cs="Times New Roman"/>
                <w:b w:val="0"/>
                <w:bCs w:val="0"/>
                <w:color w:val="auto"/>
                <w:sz w:val="21"/>
                <w:szCs w:val="21"/>
                <w:highlight w:val="none"/>
                <w:lang w:val="en-US" w:eastAsia="zh-CN"/>
              </w:rPr>
              <w:t xml:space="preserve"> 类液体，且直径小于 40m；储罐直径小于48m</w:t>
            </w:r>
          </w:p>
        </w:tc>
        <w:tc>
          <w:tcPr>
            <w:tcW w:w="815" w:type="dxa"/>
            <w:tcBorders>
              <w:tl2br w:val="nil"/>
              <w:tr2bl w:val="nil"/>
            </w:tcBorders>
            <w:noWrap w:val="0"/>
            <w:vAlign w:val="center"/>
          </w:tcPr>
          <w:p w14:paraId="07D439D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6E49E25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6C952F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1A6A6337">
            <w:pPr>
              <w:keepNext w:val="0"/>
              <w:keepLines w:val="0"/>
              <w:pageBreakBefore w:val="0"/>
              <w:widowControl w:val="0"/>
              <w:numPr>
                <w:ilvl w:val="0"/>
                <w:numId w:val="0"/>
              </w:numPr>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b w:val="0"/>
                <w:bCs w:val="0"/>
                <w:color w:val="auto"/>
                <w:sz w:val="21"/>
                <w:szCs w:val="21"/>
                <w:highlight w:val="none"/>
                <w:lang w:eastAsia="zh-CN"/>
              </w:rPr>
            </w:pPr>
            <w:r>
              <w:rPr>
                <w:rFonts w:hint="eastAsia" w:ascii="Times New Roman" w:hAnsi="Times New Roman" w:eastAsia="宋体" w:cs="Times New Roman"/>
                <w:b w:val="0"/>
                <w:bCs w:val="0"/>
                <w:color w:val="auto"/>
                <w:sz w:val="21"/>
                <w:szCs w:val="21"/>
                <w:highlight w:val="none"/>
                <w:lang w:val="en-US" w:eastAsia="zh-CN"/>
              </w:rPr>
              <w:t>13、</w:t>
            </w:r>
            <w:r>
              <w:rPr>
                <w:rFonts w:hint="default" w:ascii="Times New Roman" w:hAnsi="Times New Roman" w:eastAsia="宋体" w:cs="Times New Roman"/>
                <w:b w:val="0"/>
                <w:bCs w:val="0"/>
                <w:color w:val="auto"/>
                <w:sz w:val="21"/>
                <w:szCs w:val="21"/>
                <w:highlight w:val="none"/>
              </w:rPr>
              <w:t>地上储罐应按下列规定成组布置</w:t>
            </w:r>
            <w:r>
              <w:rPr>
                <w:rFonts w:hint="eastAsia" w:ascii="Times New Roman" w:hAnsi="Times New Roman" w:eastAsia="宋体" w:cs="Times New Roman"/>
                <w:b w:val="0"/>
                <w:bCs w:val="0"/>
                <w:color w:val="auto"/>
                <w:sz w:val="21"/>
                <w:szCs w:val="21"/>
                <w:highlight w:val="none"/>
                <w:lang w:eastAsia="zh-CN"/>
              </w:rPr>
              <w:t>：</w:t>
            </w:r>
          </w:p>
          <w:p w14:paraId="6900A9D6">
            <w:pPr>
              <w:keepNext w:val="0"/>
              <w:keepLines w:val="0"/>
              <w:pageBreakBefore w:val="0"/>
              <w:widowControl w:val="0"/>
              <w:numPr>
                <w:ilvl w:val="0"/>
                <w:numId w:val="0"/>
              </w:numPr>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1甲</w:t>
            </w:r>
            <w:r>
              <w:rPr>
                <w:rFonts w:hint="default" w:ascii="Times New Roman" w:hAnsi="Times New Roman" w:eastAsia="宋体" w:cs="Times New Roman"/>
                <w:b w:val="0"/>
                <w:bCs w:val="0"/>
                <w:color w:val="auto"/>
                <w:sz w:val="21"/>
                <w:szCs w:val="21"/>
                <w:highlight w:val="none"/>
                <w:vertAlign w:val="subscript"/>
              </w:rPr>
              <w:t>B</w:t>
            </w:r>
            <w:r>
              <w:rPr>
                <w:rFonts w:hint="default" w:ascii="Times New Roman" w:hAnsi="Times New Roman" w:eastAsia="宋体" w:cs="Times New Roman"/>
                <w:b w:val="0"/>
                <w:bCs w:val="0"/>
                <w:color w:val="auto"/>
                <w:sz w:val="21"/>
                <w:szCs w:val="21"/>
                <w:highlight w:val="none"/>
              </w:rPr>
              <w:t>、乙和丙</w:t>
            </w:r>
            <w:r>
              <w:rPr>
                <w:rFonts w:hint="default" w:ascii="Times New Roman" w:hAnsi="Times New Roman" w:eastAsia="宋体" w:cs="Times New Roman"/>
                <w:b w:val="0"/>
                <w:bCs w:val="0"/>
                <w:color w:val="auto"/>
                <w:sz w:val="21"/>
                <w:szCs w:val="21"/>
                <w:highlight w:val="none"/>
                <w:vertAlign w:val="subscript"/>
              </w:rPr>
              <w:t>A</w:t>
            </w:r>
            <w:r>
              <w:rPr>
                <w:rFonts w:hint="default" w:ascii="Times New Roman" w:hAnsi="Times New Roman" w:eastAsia="宋体" w:cs="Times New Roman"/>
                <w:b w:val="0"/>
                <w:bCs w:val="0"/>
                <w:color w:val="auto"/>
                <w:sz w:val="21"/>
                <w:szCs w:val="21"/>
                <w:highlight w:val="none"/>
              </w:rPr>
              <w:t>类液体储罐可布置在同一罐组内</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丙</w:t>
            </w:r>
            <w:r>
              <w:rPr>
                <w:rFonts w:hint="default" w:ascii="Times New Roman" w:hAnsi="Times New Roman" w:eastAsia="宋体" w:cs="Times New Roman"/>
                <w:b w:val="0"/>
                <w:bCs w:val="0"/>
                <w:color w:val="auto"/>
                <w:sz w:val="21"/>
                <w:szCs w:val="21"/>
                <w:highlight w:val="none"/>
                <w:vertAlign w:val="subscript"/>
              </w:rPr>
              <w:t>B</w:t>
            </w:r>
            <w:r>
              <w:rPr>
                <w:rFonts w:hint="default" w:ascii="Times New Roman" w:hAnsi="Times New Roman" w:eastAsia="宋体" w:cs="Times New Roman"/>
                <w:b w:val="0"/>
                <w:bCs w:val="0"/>
                <w:color w:val="auto"/>
                <w:sz w:val="21"/>
                <w:szCs w:val="21"/>
                <w:highlight w:val="none"/>
              </w:rPr>
              <w:t>类液体储罐宜独立设置罐组。</w:t>
            </w:r>
          </w:p>
          <w:p w14:paraId="1C8D8CAB">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2沸溢性液体储罐不应与非沸溢性液体储罐同组布置。</w:t>
            </w:r>
          </w:p>
          <w:p w14:paraId="5D54BFDB">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3 立式储罐不宜与卧式储罐布置在同一个储罐组内。</w:t>
            </w:r>
          </w:p>
          <w:p w14:paraId="5E50D594">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4储存I、II级毒性液体的储罐不应与其他易燃和可燃液体储罐布置在同一个罐组内。</w:t>
            </w:r>
          </w:p>
        </w:tc>
        <w:tc>
          <w:tcPr>
            <w:tcW w:w="2261" w:type="dxa"/>
            <w:tcBorders>
              <w:tl2br w:val="nil"/>
              <w:tr2bl w:val="nil"/>
            </w:tcBorders>
            <w:noWrap w:val="0"/>
            <w:vAlign w:val="center"/>
          </w:tcPr>
          <w:p w14:paraId="77DDED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《石油库设计规范》第6.1.</w:t>
            </w:r>
            <w:r>
              <w:rPr>
                <w:rFonts w:hint="eastAsia" w:ascii="Times New Roman" w:hAnsi="Times New Roman" w:eastAsia="宋体" w:cs="Times New Roman"/>
                <w:b w:val="0"/>
                <w:bCs w:val="0"/>
                <w:color w:val="auto"/>
                <w:sz w:val="21"/>
                <w:szCs w:val="21"/>
                <w:highlight w:val="none"/>
                <w:lang w:val="en-US" w:eastAsia="zh-CN"/>
              </w:rPr>
              <w:t>10</w:t>
            </w:r>
            <w:r>
              <w:rPr>
                <w:rFonts w:hint="default" w:ascii="Times New Roman" w:hAnsi="Times New Roman" w:eastAsia="宋体" w:cs="Times New Roman"/>
                <w:b w:val="0"/>
                <w:bCs w:val="0"/>
                <w:color w:val="auto"/>
                <w:sz w:val="21"/>
                <w:szCs w:val="21"/>
                <w:highlight w:val="none"/>
              </w:rPr>
              <w:t>条</w:t>
            </w:r>
          </w:p>
        </w:tc>
        <w:tc>
          <w:tcPr>
            <w:tcW w:w="2292" w:type="dxa"/>
            <w:tcBorders>
              <w:tl2br w:val="nil"/>
              <w:tr2bl w:val="nil"/>
            </w:tcBorders>
            <w:noWrap w:val="0"/>
            <w:vAlign w:val="center"/>
          </w:tcPr>
          <w:p w14:paraId="08DBFE99">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罐区仅储存柴油，成组布置，符合要求</w:t>
            </w:r>
          </w:p>
        </w:tc>
        <w:tc>
          <w:tcPr>
            <w:tcW w:w="815" w:type="dxa"/>
            <w:tcBorders>
              <w:tl2br w:val="nil"/>
              <w:tr2bl w:val="nil"/>
            </w:tcBorders>
            <w:noWrap w:val="0"/>
            <w:vAlign w:val="center"/>
          </w:tcPr>
          <w:p w14:paraId="319661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2768484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612343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00699025">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14、同一个油罐组内油罐的总容量应符合下列规定：</w:t>
            </w:r>
          </w:p>
          <w:p w14:paraId="6F3F460D">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浮顶用钢质材料制作的内浮顶储罐组的容量不应大于 360000m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ascii="Times New Roman" w:hAnsi="Times New Roman" w:eastAsia="宋体" w:cs="Times New Roman"/>
                <w:b w:val="0"/>
                <w:bCs w:val="0"/>
                <w:color w:val="auto"/>
                <w:sz w:val="21"/>
                <w:szCs w:val="21"/>
                <w:highlight w:val="none"/>
                <w:lang w:val="en-US" w:eastAsia="zh-CN"/>
              </w:rPr>
              <w:t xml:space="preserve"> ；浮顶用易熔材料制作的内浮顶储罐组的容量不应大于 240000m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ascii="Times New Roman" w:hAnsi="Times New Roman" w:eastAsia="宋体" w:cs="Times New Roman"/>
                <w:b w:val="0"/>
                <w:bCs w:val="0"/>
                <w:color w:val="auto"/>
                <w:sz w:val="21"/>
                <w:szCs w:val="21"/>
                <w:highlight w:val="none"/>
                <w:lang w:val="en-US" w:eastAsia="zh-CN"/>
              </w:rPr>
              <w:t>。</w:t>
            </w:r>
          </w:p>
        </w:tc>
        <w:tc>
          <w:tcPr>
            <w:tcW w:w="2261" w:type="dxa"/>
            <w:tcBorders>
              <w:tl2br w:val="nil"/>
              <w:tr2bl w:val="nil"/>
            </w:tcBorders>
            <w:noWrap w:val="0"/>
            <w:vAlign w:val="center"/>
          </w:tcPr>
          <w:p w14:paraId="5AC49F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《石油库设计规范》第6.1.</w:t>
            </w:r>
            <w:r>
              <w:rPr>
                <w:rFonts w:hint="eastAsia" w:ascii="Times New Roman" w:hAnsi="Times New Roman" w:eastAsia="宋体" w:cs="Times New Roman"/>
                <w:b w:val="0"/>
                <w:bCs w:val="0"/>
                <w:color w:val="auto"/>
                <w:sz w:val="21"/>
                <w:szCs w:val="21"/>
                <w:highlight w:val="none"/>
                <w:lang w:val="en-US" w:eastAsia="zh-CN"/>
              </w:rPr>
              <w:t>11</w:t>
            </w:r>
            <w:r>
              <w:rPr>
                <w:rFonts w:hint="default" w:ascii="Times New Roman" w:hAnsi="Times New Roman" w:eastAsia="宋体" w:cs="Times New Roman"/>
                <w:b w:val="0"/>
                <w:bCs w:val="0"/>
                <w:color w:val="auto"/>
                <w:sz w:val="21"/>
                <w:szCs w:val="21"/>
                <w:highlight w:val="none"/>
              </w:rPr>
              <w:t>条</w:t>
            </w:r>
          </w:p>
        </w:tc>
        <w:tc>
          <w:tcPr>
            <w:tcW w:w="2292" w:type="dxa"/>
            <w:tcBorders>
              <w:tl2br w:val="nil"/>
              <w:tr2bl w:val="nil"/>
            </w:tcBorders>
            <w:noWrap w:val="0"/>
            <w:vAlign w:val="center"/>
          </w:tcPr>
          <w:p w14:paraId="7E299876">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罐组浮顶罐浮顶采用钢制材料 ，罐组容量为9900m</w:t>
            </w:r>
            <w:r>
              <w:rPr>
                <w:rFonts w:hint="eastAsia" w:ascii="Times New Roman" w:hAnsi="Times New Roman" w:eastAsia="宋体" w:cs="Times New Roman"/>
                <w:b w:val="0"/>
                <w:bCs w:val="0"/>
                <w:color w:val="auto"/>
                <w:sz w:val="21"/>
                <w:szCs w:val="21"/>
                <w:highlight w:val="none"/>
                <w:vertAlign w:val="superscript"/>
                <w:lang w:val="en-US" w:eastAsia="zh-CN"/>
              </w:rPr>
              <w:t>3</w:t>
            </w:r>
          </w:p>
        </w:tc>
        <w:tc>
          <w:tcPr>
            <w:tcW w:w="815" w:type="dxa"/>
            <w:tcBorders>
              <w:tl2br w:val="nil"/>
              <w:tr2bl w:val="nil"/>
            </w:tcBorders>
            <w:noWrap w:val="0"/>
            <w:vAlign w:val="center"/>
          </w:tcPr>
          <w:p w14:paraId="6EB5DA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2DD2D3E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2C07DE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506C7804">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15、</w:t>
            </w:r>
            <w:r>
              <w:rPr>
                <w:rFonts w:hint="default" w:ascii="Times New Roman" w:hAnsi="Times New Roman" w:eastAsia="宋体" w:cs="Times New Roman"/>
                <w:b w:val="0"/>
                <w:bCs w:val="0"/>
                <w:color w:val="auto"/>
                <w:sz w:val="21"/>
                <w:szCs w:val="21"/>
                <w:highlight w:val="none"/>
              </w:rPr>
              <w:t>同一个罐组内，当最大单罐容量大于或等于1000m</w:t>
            </w:r>
            <w:r>
              <w:rPr>
                <w:rFonts w:hint="default" w:ascii="Times New Roman" w:hAnsi="Times New Roman" w:eastAsia="宋体" w:cs="Times New Roman"/>
                <w:b w:val="0"/>
                <w:bCs w:val="0"/>
                <w:color w:val="auto"/>
                <w:sz w:val="21"/>
                <w:szCs w:val="21"/>
                <w:highlight w:val="none"/>
                <w:vertAlign w:val="superscript"/>
              </w:rPr>
              <w:t>3</w:t>
            </w:r>
            <w:r>
              <w:rPr>
                <w:rFonts w:hint="default" w:ascii="Times New Roman" w:hAnsi="Times New Roman" w:eastAsia="宋体" w:cs="Times New Roman"/>
                <w:b w:val="0"/>
                <w:bCs w:val="0"/>
                <w:color w:val="auto"/>
                <w:sz w:val="21"/>
                <w:szCs w:val="21"/>
                <w:highlight w:val="none"/>
              </w:rPr>
              <w:t xml:space="preserve"> 时，储罐数量不应多于 16 座</w:t>
            </w:r>
          </w:p>
        </w:tc>
        <w:tc>
          <w:tcPr>
            <w:tcW w:w="2261" w:type="dxa"/>
            <w:tcBorders>
              <w:tl2br w:val="nil"/>
              <w:tr2bl w:val="nil"/>
            </w:tcBorders>
            <w:noWrap w:val="0"/>
            <w:vAlign w:val="center"/>
          </w:tcPr>
          <w:p w14:paraId="124388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《石油库设计规范》第6.1.12条</w:t>
            </w:r>
          </w:p>
        </w:tc>
        <w:tc>
          <w:tcPr>
            <w:tcW w:w="2292" w:type="dxa"/>
            <w:tcBorders>
              <w:tl2br w:val="nil"/>
              <w:tr2bl w:val="nil"/>
            </w:tcBorders>
            <w:noWrap w:val="0"/>
            <w:vAlign w:val="center"/>
          </w:tcPr>
          <w:p w14:paraId="3A7CA963">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罐区储罐数量为</w:t>
            </w:r>
            <w:r>
              <w:rPr>
                <w:rFonts w:hint="eastAsia" w:ascii="Times New Roman" w:hAnsi="Times New Roman" w:eastAsia="宋体" w:cs="Times New Roman"/>
                <w:b w:val="0"/>
                <w:bCs w:val="0"/>
                <w:color w:val="auto"/>
                <w:sz w:val="21"/>
                <w:szCs w:val="21"/>
                <w:highlight w:val="none"/>
                <w:lang w:val="en-US" w:eastAsia="zh-CN"/>
              </w:rPr>
              <w:t>7</w:t>
            </w:r>
            <w:r>
              <w:rPr>
                <w:rFonts w:hint="default" w:ascii="Times New Roman" w:hAnsi="Times New Roman" w:eastAsia="宋体" w:cs="Times New Roman"/>
                <w:b w:val="0"/>
                <w:bCs w:val="0"/>
                <w:color w:val="auto"/>
                <w:sz w:val="21"/>
                <w:szCs w:val="21"/>
                <w:highlight w:val="none"/>
              </w:rPr>
              <w:t>座</w:t>
            </w:r>
          </w:p>
        </w:tc>
        <w:tc>
          <w:tcPr>
            <w:tcW w:w="815" w:type="dxa"/>
            <w:tcBorders>
              <w:tl2br w:val="nil"/>
              <w:tr2bl w:val="nil"/>
            </w:tcBorders>
            <w:noWrap w:val="0"/>
            <w:vAlign w:val="center"/>
          </w:tcPr>
          <w:p w14:paraId="179DF2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349D13B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1E5AB5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4CBEA878">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16、</w:t>
            </w:r>
            <w:r>
              <w:rPr>
                <w:rFonts w:hint="default" w:ascii="Times New Roman" w:hAnsi="Times New Roman" w:eastAsia="宋体" w:cs="Times New Roman"/>
                <w:b w:val="0"/>
                <w:bCs w:val="0"/>
                <w:color w:val="auto"/>
                <w:sz w:val="21"/>
                <w:szCs w:val="21"/>
                <w:highlight w:val="none"/>
              </w:rPr>
              <w:t>地上储罐组内，储罐是否超过两排</w:t>
            </w:r>
          </w:p>
        </w:tc>
        <w:tc>
          <w:tcPr>
            <w:tcW w:w="2261" w:type="dxa"/>
            <w:tcBorders>
              <w:tl2br w:val="nil"/>
              <w:tr2bl w:val="nil"/>
            </w:tcBorders>
            <w:noWrap w:val="0"/>
            <w:vAlign w:val="center"/>
          </w:tcPr>
          <w:p w14:paraId="5A5EF4B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《石油库设计规范》第6.1.13条</w:t>
            </w:r>
          </w:p>
        </w:tc>
        <w:tc>
          <w:tcPr>
            <w:tcW w:w="2292" w:type="dxa"/>
            <w:tcBorders>
              <w:tl2br w:val="nil"/>
              <w:tr2bl w:val="nil"/>
            </w:tcBorders>
            <w:noWrap w:val="0"/>
            <w:vAlign w:val="center"/>
          </w:tcPr>
          <w:p w14:paraId="61F91738">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罐组内储罐</w:t>
            </w:r>
            <w:r>
              <w:rPr>
                <w:rFonts w:hint="eastAsia" w:ascii="Times New Roman" w:hAnsi="Times New Roman" w:eastAsia="宋体" w:cs="Times New Roman"/>
                <w:b w:val="0"/>
                <w:bCs w:val="0"/>
                <w:color w:val="auto"/>
                <w:sz w:val="21"/>
                <w:szCs w:val="21"/>
                <w:highlight w:val="none"/>
                <w:lang w:val="en-US" w:eastAsia="zh-CN"/>
              </w:rPr>
              <w:t>双</w:t>
            </w:r>
            <w:r>
              <w:rPr>
                <w:rFonts w:hint="default" w:ascii="Times New Roman" w:hAnsi="Times New Roman" w:eastAsia="宋体" w:cs="Times New Roman"/>
                <w:b w:val="0"/>
                <w:bCs w:val="0"/>
                <w:color w:val="auto"/>
                <w:sz w:val="21"/>
                <w:szCs w:val="21"/>
                <w:highlight w:val="none"/>
              </w:rPr>
              <w:t>排布置</w:t>
            </w:r>
          </w:p>
        </w:tc>
        <w:tc>
          <w:tcPr>
            <w:tcW w:w="815" w:type="dxa"/>
            <w:tcBorders>
              <w:tl2br w:val="nil"/>
              <w:tr2bl w:val="nil"/>
            </w:tcBorders>
            <w:noWrap w:val="0"/>
            <w:vAlign w:val="center"/>
          </w:tcPr>
          <w:p w14:paraId="7D5DD3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2D944A2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669AF0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0EE148A9">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17、</w:t>
            </w:r>
            <w:r>
              <w:rPr>
                <w:rFonts w:hint="default" w:ascii="Times New Roman" w:hAnsi="Times New Roman" w:eastAsia="宋体" w:cs="Times New Roman"/>
                <w:b w:val="0"/>
                <w:bCs w:val="0"/>
                <w:color w:val="auto"/>
                <w:sz w:val="21"/>
                <w:szCs w:val="21"/>
                <w:highlight w:val="none"/>
              </w:rPr>
              <w:t>地上立式储罐的基础面标高，高于储罐周围设计地坪 0.5m 及以上</w:t>
            </w:r>
          </w:p>
        </w:tc>
        <w:tc>
          <w:tcPr>
            <w:tcW w:w="2261" w:type="dxa"/>
            <w:tcBorders>
              <w:tl2br w:val="nil"/>
              <w:tr2bl w:val="nil"/>
            </w:tcBorders>
            <w:noWrap w:val="0"/>
            <w:vAlign w:val="center"/>
          </w:tcPr>
          <w:p w14:paraId="173CE8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《石油库设计规范》第6.1.14条</w:t>
            </w:r>
          </w:p>
        </w:tc>
        <w:tc>
          <w:tcPr>
            <w:tcW w:w="2292" w:type="dxa"/>
            <w:tcBorders>
              <w:tl2br w:val="nil"/>
              <w:tr2bl w:val="nil"/>
            </w:tcBorders>
            <w:noWrap w:val="0"/>
            <w:vAlign w:val="center"/>
          </w:tcPr>
          <w:p w14:paraId="1DA610AF">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 xml:space="preserve">地上立式储罐均高于储罐周围基础地坪0.5m </w:t>
            </w:r>
          </w:p>
        </w:tc>
        <w:tc>
          <w:tcPr>
            <w:tcW w:w="815" w:type="dxa"/>
            <w:tcBorders>
              <w:tl2br w:val="nil"/>
              <w:tr2bl w:val="nil"/>
            </w:tcBorders>
            <w:noWrap w:val="0"/>
            <w:vAlign w:val="center"/>
          </w:tcPr>
          <w:p w14:paraId="718C963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77A0EF2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2EFDDB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4C2843D3">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sz w:val="21"/>
                <w:szCs w:val="21"/>
                <w:highlight w:val="none"/>
                <w:lang w:val="en-US" w:eastAsia="zh-CN"/>
              </w:rPr>
              <w:t>18</w:t>
            </w:r>
            <w:r>
              <w:rPr>
                <w:rFonts w:hint="default" w:ascii="Times New Roman" w:hAnsi="Times New Roman" w:eastAsia="宋体" w:cs="Times New Roman"/>
                <w:b w:val="0"/>
                <w:bCs w:val="0"/>
                <w:color w:val="auto"/>
                <w:sz w:val="21"/>
                <w:szCs w:val="21"/>
                <w:highlight w:val="none"/>
              </w:rPr>
              <w:t>、地上储罐组内相邻储罐之间的防火距离不应小于表 6.1.15 的规定</w:t>
            </w:r>
          </w:p>
        </w:tc>
        <w:tc>
          <w:tcPr>
            <w:tcW w:w="2261" w:type="dxa"/>
            <w:tcBorders>
              <w:tl2br w:val="nil"/>
              <w:tr2bl w:val="nil"/>
            </w:tcBorders>
            <w:noWrap w:val="0"/>
            <w:vAlign w:val="center"/>
          </w:tcPr>
          <w:p w14:paraId="5E76B6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《石油库设计规范》第6.1.15条</w:t>
            </w:r>
          </w:p>
        </w:tc>
        <w:tc>
          <w:tcPr>
            <w:tcW w:w="2292" w:type="dxa"/>
            <w:tcBorders>
              <w:tl2br w:val="nil"/>
              <w:tr2bl w:val="nil"/>
            </w:tcBorders>
            <w:noWrap w:val="0"/>
            <w:vAlign w:val="center"/>
          </w:tcPr>
          <w:p w14:paraId="0A98FE77">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防火距离符合规定，详见表2.</w:t>
            </w:r>
            <w:r>
              <w:rPr>
                <w:rFonts w:hint="eastAsia" w:ascii="Times New Roman" w:hAnsi="Times New Roman" w:eastAsia="宋体" w:cs="Times New Roman"/>
                <w:b w:val="0"/>
                <w:bCs w:val="0"/>
                <w:color w:val="auto"/>
                <w:sz w:val="21"/>
                <w:szCs w:val="21"/>
                <w:highlight w:val="none"/>
                <w:lang w:val="en-US" w:eastAsia="zh-CN"/>
              </w:rPr>
              <w:t>1-2</w:t>
            </w:r>
          </w:p>
        </w:tc>
        <w:tc>
          <w:tcPr>
            <w:tcW w:w="815" w:type="dxa"/>
            <w:tcBorders>
              <w:tl2br w:val="nil"/>
              <w:tr2bl w:val="nil"/>
            </w:tcBorders>
            <w:noWrap w:val="0"/>
            <w:vAlign w:val="center"/>
          </w:tcPr>
          <w:p w14:paraId="7B0CE2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符合</w:t>
            </w:r>
          </w:p>
        </w:tc>
      </w:tr>
      <w:tr w14:paraId="0615869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42E2730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0C345E05">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000000"/>
                <w:sz w:val="21"/>
                <w:szCs w:val="21"/>
                <w:highlight w:val="none"/>
              </w:rPr>
            </w:pPr>
            <w:r>
              <w:rPr>
                <w:rFonts w:hint="eastAsia" w:ascii="Times New Roman" w:hAnsi="Times New Roman" w:eastAsia="宋体" w:cs="Times New Roman"/>
                <w:b w:val="0"/>
                <w:bCs w:val="0"/>
                <w:color w:val="000000"/>
                <w:sz w:val="21"/>
                <w:szCs w:val="21"/>
                <w:highlight w:val="none"/>
                <w:lang w:val="en-US" w:eastAsia="zh-CN"/>
              </w:rPr>
              <w:t>19</w:t>
            </w:r>
            <w:r>
              <w:rPr>
                <w:rFonts w:hint="default" w:ascii="Times New Roman" w:hAnsi="Times New Roman" w:eastAsia="宋体" w:cs="Times New Roman"/>
                <w:b w:val="0"/>
                <w:bCs w:val="0"/>
                <w:color w:val="000000"/>
                <w:sz w:val="21"/>
                <w:szCs w:val="21"/>
                <w:highlight w:val="none"/>
                <w:lang w:val="en-US" w:eastAsia="zh-CN"/>
              </w:rPr>
              <w:t>、</w:t>
            </w:r>
            <w:r>
              <w:rPr>
                <w:rFonts w:hint="default" w:ascii="Times New Roman" w:hAnsi="Times New Roman" w:eastAsia="宋体" w:cs="Times New Roman"/>
                <w:b w:val="0"/>
                <w:bCs w:val="0"/>
                <w:color w:val="000000"/>
                <w:sz w:val="21"/>
                <w:szCs w:val="21"/>
                <w:highlight w:val="none"/>
              </w:rPr>
              <w:t>设备和管线应按有关标准的规定涂识别色、识别符号和安全标识。</w:t>
            </w:r>
          </w:p>
        </w:tc>
        <w:tc>
          <w:tcPr>
            <w:tcW w:w="2261" w:type="dxa"/>
            <w:tcBorders>
              <w:tl2br w:val="nil"/>
              <w:tr2bl w:val="nil"/>
            </w:tcBorders>
            <w:noWrap w:val="0"/>
            <w:vAlign w:val="center"/>
          </w:tcPr>
          <w:p w14:paraId="393F20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000000"/>
                <w:sz w:val="21"/>
                <w:szCs w:val="21"/>
                <w:highlight w:val="none"/>
                <w:lang w:eastAsia="zh-CN"/>
              </w:rPr>
            </w:pPr>
            <w:r>
              <w:rPr>
                <w:rFonts w:hint="default" w:ascii="Times New Roman" w:hAnsi="Times New Roman" w:eastAsia="宋体" w:cs="Times New Roman"/>
                <w:b w:val="0"/>
                <w:bCs w:val="0"/>
                <w:color w:val="000000"/>
                <w:sz w:val="21"/>
                <w:szCs w:val="21"/>
                <w:highlight w:val="none"/>
                <w:lang w:eastAsia="zh-CN"/>
              </w:rPr>
              <w:t>《生产过程安全卫生要求总则》</w:t>
            </w:r>
          </w:p>
          <w:p w14:paraId="64BC5A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000000"/>
                <w:sz w:val="21"/>
                <w:szCs w:val="21"/>
                <w:highlight w:val="none"/>
              </w:rPr>
            </w:pPr>
            <w:r>
              <w:rPr>
                <w:rFonts w:hint="default" w:ascii="Times New Roman" w:hAnsi="Times New Roman" w:eastAsia="宋体" w:cs="Times New Roman"/>
                <w:b w:val="0"/>
                <w:bCs w:val="0"/>
                <w:color w:val="000000"/>
                <w:sz w:val="21"/>
                <w:szCs w:val="21"/>
                <w:highlight w:val="none"/>
              </w:rPr>
              <w:t>第6.8.4条</w:t>
            </w:r>
          </w:p>
        </w:tc>
        <w:tc>
          <w:tcPr>
            <w:tcW w:w="2292" w:type="dxa"/>
            <w:tcBorders>
              <w:tl2br w:val="nil"/>
              <w:tr2bl w:val="nil"/>
            </w:tcBorders>
            <w:noWrap w:val="0"/>
            <w:vAlign w:val="center"/>
          </w:tcPr>
          <w:p w14:paraId="1E9E056F">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000000"/>
                <w:sz w:val="21"/>
                <w:szCs w:val="21"/>
                <w:highlight w:val="none"/>
                <w:lang w:eastAsia="zh-CN"/>
              </w:rPr>
            </w:pPr>
            <w:r>
              <w:rPr>
                <w:rFonts w:hint="default" w:ascii="Times New Roman" w:hAnsi="Times New Roman" w:eastAsia="宋体" w:cs="Times New Roman"/>
                <w:b w:val="0"/>
                <w:bCs w:val="0"/>
                <w:color w:val="000000"/>
                <w:sz w:val="21"/>
                <w:szCs w:val="21"/>
                <w:highlight w:val="none"/>
                <w:lang w:eastAsia="zh-CN"/>
              </w:rPr>
              <w:t>储罐</w:t>
            </w:r>
            <w:r>
              <w:rPr>
                <w:rFonts w:hint="eastAsia" w:ascii="Times New Roman" w:hAnsi="Times New Roman" w:eastAsia="宋体" w:cs="Times New Roman"/>
                <w:b w:val="0"/>
                <w:bCs w:val="0"/>
                <w:color w:val="000000"/>
                <w:sz w:val="21"/>
                <w:szCs w:val="21"/>
                <w:highlight w:val="none"/>
                <w:lang w:eastAsia="zh-CN"/>
              </w:rPr>
              <w:t>、</w:t>
            </w:r>
            <w:r>
              <w:rPr>
                <w:rFonts w:hint="eastAsia" w:ascii="Times New Roman" w:hAnsi="Times New Roman" w:eastAsia="宋体" w:cs="Times New Roman"/>
                <w:b w:val="0"/>
                <w:bCs w:val="0"/>
                <w:color w:val="000000"/>
                <w:sz w:val="21"/>
                <w:szCs w:val="21"/>
                <w:highlight w:val="none"/>
                <w:lang w:val="en-US" w:eastAsia="zh-CN"/>
              </w:rPr>
              <w:t>管线</w:t>
            </w:r>
            <w:r>
              <w:rPr>
                <w:rFonts w:hint="default" w:ascii="Times New Roman" w:hAnsi="Times New Roman" w:eastAsia="宋体" w:cs="Times New Roman"/>
                <w:b w:val="0"/>
                <w:bCs w:val="0"/>
                <w:color w:val="000000"/>
                <w:sz w:val="21"/>
                <w:szCs w:val="21"/>
                <w:highlight w:val="none"/>
                <w:lang w:eastAsia="zh-CN"/>
              </w:rPr>
              <w:t>设置油品标识</w:t>
            </w:r>
          </w:p>
        </w:tc>
        <w:tc>
          <w:tcPr>
            <w:tcW w:w="815" w:type="dxa"/>
            <w:tcBorders>
              <w:tl2br w:val="nil"/>
              <w:tr2bl w:val="nil"/>
            </w:tcBorders>
            <w:noWrap w:val="0"/>
            <w:vAlign w:val="center"/>
          </w:tcPr>
          <w:p w14:paraId="3B0E880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000000"/>
                <w:sz w:val="21"/>
                <w:szCs w:val="21"/>
                <w:highlight w:val="none"/>
                <w:lang w:eastAsia="zh-CN"/>
              </w:rPr>
            </w:pPr>
            <w:r>
              <w:rPr>
                <w:rFonts w:hint="default" w:ascii="Times New Roman" w:hAnsi="Times New Roman" w:eastAsia="宋体" w:cs="Times New Roman"/>
                <w:b w:val="0"/>
                <w:bCs w:val="0"/>
                <w:color w:val="000000"/>
                <w:sz w:val="21"/>
                <w:szCs w:val="21"/>
                <w:highlight w:val="none"/>
                <w:lang w:eastAsia="zh-CN"/>
              </w:rPr>
              <w:t>符合</w:t>
            </w:r>
          </w:p>
        </w:tc>
      </w:tr>
      <w:tr w14:paraId="111430F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restart"/>
            <w:tcBorders>
              <w:tl2br w:val="nil"/>
              <w:tr2bl w:val="nil"/>
            </w:tcBorders>
            <w:noWrap w:val="0"/>
            <w:vAlign w:val="center"/>
          </w:tcPr>
          <w:p w14:paraId="71A34A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防火堤</w:t>
            </w:r>
          </w:p>
        </w:tc>
        <w:tc>
          <w:tcPr>
            <w:tcW w:w="3063" w:type="dxa"/>
            <w:tcBorders>
              <w:tl2br w:val="nil"/>
              <w:tr2bl w:val="nil"/>
            </w:tcBorders>
            <w:noWrap w:val="0"/>
            <w:vAlign w:val="center"/>
          </w:tcPr>
          <w:p w14:paraId="4D363639">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20</w:t>
            </w:r>
            <w:r>
              <w:rPr>
                <w:rFonts w:hint="default" w:ascii="Times New Roman" w:hAnsi="Times New Roman" w:eastAsia="宋体" w:cs="Times New Roman"/>
                <w:b w:val="0"/>
                <w:bCs w:val="0"/>
                <w:color w:val="auto"/>
                <w:sz w:val="21"/>
                <w:szCs w:val="21"/>
                <w:highlight w:val="none"/>
              </w:rPr>
              <w:t>、地上储罐组应设防火堤。防火堤内的有效容量，不应小于罐组内一个最大储罐的容量</w:t>
            </w:r>
          </w:p>
        </w:tc>
        <w:tc>
          <w:tcPr>
            <w:tcW w:w="2261" w:type="dxa"/>
            <w:tcBorders>
              <w:tl2br w:val="nil"/>
              <w:tr2bl w:val="nil"/>
            </w:tcBorders>
            <w:noWrap w:val="0"/>
            <w:vAlign w:val="center"/>
          </w:tcPr>
          <w:p w14:paraId="217453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《石油库设计规范》第6.5.1条</w:t>
            </w:r>
          </w:p>
        </w:tc>
        <w:tc>
          <w:tcPr>
            <w:tcW w:w="2292" w:type="dxa"/>
            <w:tcBorders>
              <w:tl2br w:val="nil"/>
              <w:tr2bl w:val="nil"/>
            </w:tcBorders>
            <w:noWrap w:val="0"/>
            <w:vAlign w:val="center"/>
          </w:tcPr>
          <w:p w14:paraId="4AD35847">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设有防火堤，有效容量均</w:t>
            </w:r>
            <w:r>
              <w:rPr>
                <w:rFonts w:hint="eastAsia" w:ascii="Times New Roman" w:hAnsi="Times New Roman" w:eastAsia="宋体" w:cs="Times New Roman"/>
                <w:b w:val="0"/>
                <w:bCs w:val="0"/>
                <w:color w:val="auto"/>
                <w:sz w:val="21"/>
                <w:szCs w:val="21"/>
                <w:highlight w:val="none"/>
                <w:lang w:val="en-US" w:eastAsia="zh-CN"/>
              </w:rPr>
              <w:t>大于</w:t>
            </w:r>
            <w:r>
              <w:rPr>
                <w:rFonts w:hint="default" w:ascii="Times New Roman" w:hAnsi="Times New Roman" w:eastAsia="宋体" w:cs="Times New Roman"/>
                <w:b w:val="0"/>
                <w:bCs w:val="0"/>
                <w:color w:val="auto"/>
                <w:sz w:val="21"/>
                <w:szCs w:val="21"/>
                <w:highlight w:val="none"/>
              </w:rPr>
              <w:t>最大储罐的容量</w:t>
            </w:r>
          </w:p>
        </w:tc>
        <w:tc>
          <w:tcPr>
            <w:tcW w:w="815" w:type="dxa"/>
            <w:tcBorders>
              <w:tl2br w:val="nil"/>
              <w:tr2bl w:val="nil"/>
            </w:tcBorders>
            <w:noWrap w:val="0"/>
            <w:vAlign w:val="center"/>
          </w:tcPr>
          <w:p w14:paraId="307055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78CFCA3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596A53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3252F30E">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2</w:t>
            </w:r>
            <w:r>
              <w:rPr>
                <w:rFonts w:hint="eastAsia" w:ascii="Times New Roman" w:hAnsi="Times New Roman" w:eastAsia="宋体" w:cs="Times New Roman"/>
                <w:b w:val="0"/>
                <w:bCs w:val="0"/>
                <w:color w:val="auto"/>
                <w:sz w:val="21"/>
                <w:szCs w:val="21"/>
                <w:highlight w:val="none"/>
                <w:lang w:val="en-US" w:eastAsia="zh-CN"/>
              </w:rPr>
              <w:t>1</w:t>
            </w:r>
            <w:r>
              <w:rPr>
                <w:rFonts w:hint="default" w:ascii="Times New Roman" w:hAnsi="Times New Roman" w:eastAsia="宋体" w:cs="Times New Roman"/>
                <w:b w:val="0"/>
                <w:bCs w:val="0"/>
                <w:color w:val="auto"/>
                <w:sz w:val="21"/>
                <w:szCs w:val="21"/>
                <w:highlight w:val="none"/>
              </w:rPr>
              <w:t>、地上储罐组的防火堤实高是否高于计算高度0.2m，防火堤高于堤内设计地坪不应小于1.0m</w:t>
            </w:r>
          </w:p>
        </w:tc>
        <w:tc>
          <w:tcPr>
            <w:tcW w:w="2261" w:type="dxa"/>
            <w:tcBorders>
              <w:tl2br w:val="nil"/>
              <w:tr2bl w:val="nil"/>
            </w:tcBorders>
            <w:noWrap w:val="0"/>
            <w:vAlign w:val="center"/>
          </w:tcPr>
          <w:p w14:paraId="6D028C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《石油库设计规范》第6.5.3条</w:t>
            </w:r>
          </w:p>
        </w:tc>
        <w:tc>
          <w:tcPr>
            <w:tcW w:w="2292" w:type="dxa"/>
            <w:tcBorders>
              <w:tl2br w:val="nil"/>
              <w:tr2bl w:val="nil"/>
            </w:tcBorders>
            <w:noWrap w:val="0"/>
            <w:vAlign w:val="center"/>
          </w:tcPr>
          <w:p w14:paraId="3E8988DE">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防火堤高度</w:t>
            </w:r>
            <w:r>
              <w:rPr>
                <w:rFonts w:hint="default" w:ascii="Times New Roman" w:hAnsi="Times New Roman" w:eastAsia="宋体" w:cs="Times New Roman"/>
                <w:b w:val="0"/>
                <w:bCs w:val="0"/>
                <w:color w:val="auto"/>
                <w:sz w:val="21"/>
                <w:szCs w:val="21"/>
                <w:highlight w:val="none"/>
                <w:lang w:val="en-US" w:eastAsia="zh-CN"/>
              </w:rPr>
              <w:t>1.</w:t>
            </w:r>
            <w:r>
              <w:rPr>
                <w:rFonts w:hint="eastAsia" w:ascii="Times New Roman" w:hAnsi="Times New Roman" w:eastAsia="宋体" w:cs="Times New Roman"/>
                <w:b w:val="0"/>
                <w:bCs w:val="0"/>
                <w:color w:val="auto"/>
                <w:sz w:val="21"/>
                <w:szCs w:val="21"/>
                <w:highlight w:val="none"/>
                <w:lang w:val="en-US" w:eastAsia="zh-CN"/>
              </w:rPr>
              <w:t>2</w:t>
            </w:r>
            <w:r>
              <w:rPr>
                <w:rFonts w:hint="default" w:ascii="Times New Roman" w:hAnsi="Times New Roman" w:eastAsia="宋体" w:cs="Times New Roman"/>
                <w:b w:val="0"/>
                <w:bCs w:val="0"/>
                <w:color w:val="auto"/>
                <w:sz w:val="21"/>
                <w:szCs w:val="21"/>
                <w:highlight w:val="none"/>
              </w:rPr>
              <w:t>m</w:t>
            </w:r>
          </w:p>
        </w:tc>
        <w:tc>
          <w:tcPr>
            <w:tcW w:w="815" w:type="dxa"/>
            <w:tcBorders>
              <w:tl2br w:val="nil"/>
              <w:tr2bl w:val="nil"/>
            </w:tcBorders>
            <w:noWrap w:val="0"/>
            <w:vAlign w:val="center"/>
          </w:tcPr>
          <w:p w14:paraId="06B01B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7D3AD13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36173A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38ECC65B">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22</w:t>
            </w:r>
            <w:r>
              <w:rPr>
                <w:rFonts w:hint="default" w:ascii="Times New Roman" w:hAnsi="Times New Roman" w:eastAsia="宋体" w:cs="Times New Roman"/>
                <w:b w:val="0"/>
                <w:bCs w:val="0"/>
                <w:color w:val="auto"/>
                <w:sz w:val="21"/>
                <w:szCs w:val="21"/>
                <w:highlight w:val="none"/>
              </w:rPr>
              <w:t>、防火堤是否能承受在计算高度范围内所容纳液体的静压力且不应泄漏；防火堤的耐火极限不应低于 5.5h</w:t>
            </w:r>
          </w:p>
        </w:tc>
        <w:tc>
          <w:tcPr>
            <w:tcW w:w="2261" w:type="dxa"/>
            <w:tcBorders>
              <w:tl2br w:val="nil"/>
              <w:tr2bl w:val="nil"/>
            </w:tcBorders>
            <w:noWrap w:val="0"/>
            <w:vAlign w:val="center"/>
          </w:tcPr>
          <w:p w14:paraId="776FEC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《石油库设计规范》第6.5.5条</w:t>
            </w:r>
          </w:p>
        </w:tc>
        <w:tc>
          <w:tcPr>
            <w:tcW w:w="2292" w:type="dxa"/>
            <w:tcBorders>
              <w:tl2br w:val="nil"/>
              <w:tr2bl w:val="nil"/>
            </w:tcBorders>
            <w:noWrap w:val="0"/>
            <w:vAlign w:val="center"/>
          </w:tcPr>
          <w:p w14:paraId="2B5511D0">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防火堤为实体墙结构，耐火极限不低于5.5h</w:t>
            </w:r>
          </w:p>
          <w:p w14:paraId="54636375">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p>
        </w:tc>
        <w:tc>
          <w:tcPr>
            <w:tcW w:w="815" w:type="dxa"/>
            <w:tcBorders>
              <w:tl2br w:val="nil"/>
              <w:tr2bl w:val="nil"/>
            </w:tcBorders>
            <w:noWrap w:val="0"/>
            <w:vAlign w:val="center"/>
          </w:tcPr>
          <w:p w14:paraId="3C4F1C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27B7265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461FEE7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545FA1B9">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23</w:t>
            </w:r>
            <w:r>
              <w:rPr>
                <w:rFonts w:hint="default" w:ascii="Times New Roman" w:hAnsi="Times New Roman" w:eastAsia="宋体" w:cs="Times New Roman"/>
                <w:b w:val="0"/>
                <w:bCs w:val="0"/>
                <w:color w:val="auto"/>
                <w:sz w:val="21"/>
                <w:szCs w:val="21"/>
                <w:highlight w:val="none"/>
              </w:rPr>
              <w:t>、管道穿越防火堤处是否采用不燃烧材料严密填实在</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雨水沟穿越防火堤处，应采取排水控制措施。</w:t>
            </w:r>
          </w:p>
        </w:tc>
        <w:tc>
          <w:tcPr>
            <w:tcW w:w="2261" w:type="dxa"/>
            <w:tcBorders>
              <w:tl2br w:val="nil"/>
              <w:tr2bl w:val="nil"/>
            </w:tcBorders>
            <w:noWrap w:val="0"/>
            <w:vAlign w:val="center"/>
          </w:tcPr>
          <w:p w14:paraId="35754D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《石油库设计规范》第6.5.6条</w:t>
            </w:r>
          </w:p>
        </w:tc>
        <w:tc>
          <w:tcPr>
            <w:tcW w:w="2292" w:type="dxa"/>
            <w:tcBorders>
              <w:tl2br w:val="nil"/>
              <w:tr2bl w:val="nil"/>
            </w:tcBorders>
            <w:noWrap w:val="0"/>
            <w:vAlign w:val="center"/>
          </w:tcPr>
          <w:p w14:paraId="20DCA489">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均采用不燃烧材料严密填实</w:t>
            </w:r>
            <w:r>
              <w:rPr>
                <w:rFonts w:hint="eastAsia" w:ascii="Times New Roman" w:hAnsi="Times New Roman" w:eastAsia="宋体" w:cs="Times New Roman"/>
                <w:b w:val="0"/>
                <w:bCs w:val="0"/>
                <w:color w:val="auto"/>
                <w:sz w:val="21"/>
                <w:szCs w:val="21"/>
                <w:highlight w:val="none"/>
                <w:lang w:eastAsia="zh-CN"/>
              </w:rPr>
              <w:t>，雨水沟设有水封井。</w:t>
            </w:r>
          </w:p>
        </w:tc>
        <w:tc>
          <w:tcPr>
            <w:tcW w:w="815" w:type="dxa"/>
            <w:tcBorders>
              <w:tl2br w:val="nil"/>
              <w:tr2bl w:val="nil"/>
            </w:tcBorders>
            <w:noWrap w:val="0"/>
            <w:vAlign w:val="center"/>
          </w:tcPr>
          <w:p w14:paraId="18BF09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44020EB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630582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noWrap w:val="0"/>
            <w:vAlign w:val="center"/>
          </w:tcPr>
          <w:p w14:paraId="6852BDF6">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24</w:t>
            </w:r>
            <w:r>
              <w:rPr>
                <w:rFonts w:hint="default" w:ascii="Times New Roman" w:hAnsi="Times New Roman" w:eastAsia="宋体" w:cs="Times New Roman"/>
                <w:b w:val="0"/>
                <w:bCs w:val="0"/>
                <w:color w:val="auto"/>
                <w:sz w:val="21"/>
                <w:szCs w:val="21"/>
                <w:highlight w:val="none"/>
              </w:rPr>
              <w:t>、防火堤每一个隔堤区域内均应设置对外人行台阶或坡道，相邻台阶或坡道之间的距离不宜大于 60m</w:t>
            </w:r>
          </w:p>
        </w:tc>
        <w:tc>
          <w:tcPr>
            <w:tcW w:w="2261" w:type="dxa"/>
            <w:tcBorders>
              <w:tl2br w:val="nil"/>
              <w:tr2bl w:val="nil"/>
            </w:tcBorders>
            <w:noWrap w:val="0"/>
            <w:vAlign w:val="center"/>
          </w:tcPr>
          <w:p w14:paraId="25F797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《石油库设计规范》第6.5.7条</w:t>
            </w:r>
          </w:p>
        </w:tc>
        <w:tc>
          <w:tcPr>
            <w:tcW w:w="2292" w:type="dxa"/>
            <w:tcBorders>
              <w:tl2br w:val="nil"/>
              <w:tr2bl w:val="nil"/>
            </w:tcBorders>
            <w:noWrap w:val="0"/>
            <w:vAlign w:val="center"/>
          </w:tcPr>
          <w:p w14:paraId="734E9485">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防火堤每一个隔堤区域设置有对外的人行台阶</w:t>
            </w:r>
          </w:p>
        </w:tc>
        <w:tc>
          <w:tcPr>
            <w:tcW w:w="815" w:type="dxa"/>
            <w:tcBorders>
              <w:tl2br w:val="nil"/>
              <w:tr2bl w:val="nil"/>
            </w:tcBorders>
            <w:noWrap w:val="0"/>
            <w:vAlign w:val="center"/>
          </w:tcPr>
          <w:p w14:paraId="11CC0E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符合</w:t>
            </w:r>
          </w:p>
        </w:tc>
      </w:tr>
      <w:tr w14:paraId="6506F50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restart"/>
            <w:tcBorders>
              <w:tl2br w:val="nil"/>
              <w:tr2bl w:val="nil"/>
            </w:tcBorders>
            <w:noWrap w:val="0"/>
            <w:vAlign w:val="center"/>
          </w:tcPr>
          <w:p w14:paraId="247164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装卸设施</w:t>
            </w:r>
          </w:p>
        </w:tc>
        <w:tc>
          <w:tcPr>
            <w:tcW w:w="3063" w:type="dxa"/>
            <w:tcBorders>
              <w:tl2br w:val="nil"/>
              <w:tr2bl w:val="nil"/>
            </w:tcBorders>
            <w:noWrap w:val="0"/>
            <w:vAlign w:val="center"/>
          </w:tcPr>
          <w:p w14:paraId="09A18392">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sz w:val="21"/>
                <w:szCs w:val="21"/>
                <w:highlight w:val="none"/>
                <w:lang w:val="en-US" w:eastAsia="zh-CN"/>
              </w:rPr>
              <w:t>25</w:t>
            </w:r>
            <w:r>
              <w:rPr>
                <w:rFonts w:hint="default" w:ascii="Times New Roman" w:hAnsi="Times New Roman" w:eastAsia="宋体" w:cs="Times New Roman"/>
                <w:b w:val="0"/>
                <w:bCs w:val="0"/>
                <w:color w:val="auto"/>
                <w:sz w:val="21"/>
                <w:szCs w:val="21"/>
                <w:highlight w:val="none"/>
              </w:rPr>
              <w:t>、向汽车罐车灌装甲</w:t>
            </w:r>
            <w:r>
              <w:rPr>
                <w:rFonts w:hint="default" w:ascii="Times New Roman" w:hAnsi="Times New Roman" w:eastAsia="宋体" w:cs="Times New Roman"/>
                <w:b w:val="0"/>
                <w:bCs w:val="0"/>
                <w:color w:val="auto"/>
                <w:sz w:val="21"/>
                <w:szCs w:val="21"/>
                <w:highlight w:val="none"/>
                <w:vertAlign w:val="subscript"/>
              </w:rPr>
              <w:t xml:space="preserve"> B</w:t>
            </w:r>
            <w:r>
              <w:rPr>
                <w:rFonts w:hint="default" w:ascii="Times New Roman" w:hAnsi="Times New Roman" w:eastAsia="宋体" w:cs="Times New Roman"/>
                <w:b w:val="0"/>
                <w:bCs w:val="0"/>
                <w:color w:val="auto"/>
                <w:sz w:val="21"/>
                <w:szCs w:val="21"/>
                <w:highlight w:val="none"/>
              </w:rPr>
              <w:t>、乙、丙</w:t>
            </w:r>
            <w:r>
              <w:rPr>
                <w:rFonts w:hint="default" w:ascii="Times New Roman" w:hAnsi="Times New Roman" w:eastAsia="宋体" w:cs="Times New Roman"/>
                <w:b w:val="0"/>
                <w:bCs w:val="0"/>
                <w:color w:val="auto"/>
                <w:sz w:val="21"/>
                <w:szCs w:val="21"/>
                <w:highlight w:val="none"/>
                <w:vertAlign w:val="subscript"/>
              </w:rPr>
              <w:t xml:space="preserve"> A</w:t>
            </w:r>
            <w:r>
              <w:rPr>
                <w:rFonts w:hint="default" w:ascii="Times New Roman" w:hAnsi="Times New Roman" w:eastAsia="宋体" w:cs="Times New Roman"/>
                <w:b w:val="0"/>
                <w:bCs w:val="0"/>
                <w:color w:val="auto"/>
                <w:sz w:val="21"/>
                <w:szCs w:val="21"/>
                <w:highlight w:val="none"/>
              </w:rPr>
              <w:t xml:space="preserve"> 类液体宜在装车棚（亭）内进行。</w:t>
            </w:r>
          </w:p>
        </w:tc>
        <w:tc>
          <w:tcPr>
            <w:tcW w:w="2261" w:type="dxa"/>
            <w:tcBorders>
              <w:tl2br w:val="nil"/>
              <w:tr2bl w:val="nil"/>
            </w:tcBorders>
            <w:noWrap w:val="0"/>
            <w:vAlign w:val="center"/>
          </w:tcPr>
          <w:p w14:paraId="727773A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《石油库设计规范》</w:t>
            </w:r>
          </w:p>
          <w:p w14:paraId="38D0D2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第8.2.1条</w:t>
            </w:r>
          </w:p>
        </w:tc>
        <w:tc>
          <w:tcPr>
            <w:tcW w:w="2292" w:type="dxa"/>
            <w:tcBorders>
              <w:tl2br w:val="nil"/>
              <w:tr2bl w:val="nil"/>
            </w:tcBorders>
            <w:noWrap w:val="0"/>
            <w:vAlign w:val="center"/>
          </w:tcPr>
          <w:p w14:paraId="07CCEE1C">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向罐车灌装</w:t>
            </w:r>
            <w:r>
              <w:rPr>
                <w:rFonts w:hint="default" w:ascii="Times New Roman" w:hAnsi="Times New Roman" w:eastAsia="宋体" w:cs="Times New Roman"/>
                <w:b w:val="0"/>
                <w:bCs w:val="0"/>
                <w:color w:val="auto"/>
                <w:sz w:val="21"/>
                <w:szCs w:val="21"/>
                <w:highlight w:val="none"/>
                <w:lang w:eastAsia="zh-CN"/>
              </w:rPr>
              <w:t>油品</w:t>
            </w:r>
            <w:r>
              <w:rPr>
                <w:rFonts w:hint="default" w:ascii="Times New Roman" w:hAnsi="Times New Roman" w:eastAsia="宋体" w:cs="Times New Roman"/>
                <w:b w:val="0"/>
                <w:bCs w:val="0"/>
                <w:color w:val="auto"/>
                <w:sz w:val="21"/>
                <w:szCs w:val="21"/>
                <w:highlight w:val="none"/>
              </w:rPr>
              <w:t>均在装</w:t>
            </w:r>
            <w:r>
              <w:rPr>
                <w:rFonts w:hint="eastAsia" w:ascii="Times New Roman" w:hAnsi="Times New Roman" w:eastAsia="宋体" w:cs="Times New Roman"/>
                <w:b w:val="0"/>
                <w:bCs w:val="0"/>
                <w:color w:val="auto"/>
                <w:sz w:val="21"/>
                <w:szCs w:val="21"/>
                <w:highlight w:val="none"/>
                <w:lang w:val="en-US" w:eastAsia="zh-CN"/>
              </w:rPr>
              <w:t>卸</w:t>
            </w:r>
            <w:r>
              <w:rPr>
                <w:rFonts w:hint="default" w:ascii="Times New Roman" w:hAnsi="Times New Roman" w:eastAsia="宋体" w:cs="Times New Roman"/>
                <w:b w:val="0"/>
                <w:bCs w:val="0"/>
                <w:color w:val="auto"/>
                <w:sz w:val="21"/>
                <w:szCs w:val="21"/>
                <w:highlight w:val="none"/>
              </w:rPr>
              <w:t>车棚内进行。</w:t>
            </w:r>
          </w:p>
        </w:tc>
        <w:tc>
          <w:tcPr>
            <w:tcW w:w="815" w:type="dxa"/>
            <w:tcBorders>
              <w:tl2br w:val="nil"/>
              <w:tr2bl w:val="nil"/>
            </w:tcBorders>
            <w:noWrap w:val="0"/>
            <w:vAlign w:val="center"/>
          </w:tcPr>
          <w:p w14:paraId="21C275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符合</w:t>
            </w:r>
          </w:p>
        </w:tc>
      </w:tr>
      <w:tr w14:paraId="704EA21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1DF52A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3063" w:type="dxa"/>
            <w:tcBorders>
              <w:tl2br w:val="nil"/>
              <w:tr2bl w:val="nil"/>
            </w:tcBorders>
            <w:noWrap w:val="0"/>
            <w:vAlign w:val="top"/>
          </w:tcPr>
          <w:p w14:paraId="6A8C07E5">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26</w:t>
            </w:r>
            <w:r>
              <w:rPr>
                <w:rFonts w:hint="default" w:ascii="Times New Roman" w:hAnsi="Times New Roman" w:eastAsia="宋体" w:cs="Times New Roman"/>
                <w:b w:val="0"/>
                <w:bCs w:val="0"/>
                <w:color w:val="auto"/>
                <w:sz w:val="21"/>
                <w:szCs w:val="21"/>
                <w:highlight w:val="none"/>
                <w:lang w:val="en-US" w:eastAsia="zh-CN"/>
              </w:rPr>
              <w:t xml:space="preserve"> 、汽车罐车的液体灌装宜采用定量装车控制方式。</w:t>
            </w:r>
          </w:p>
        </w:tc>
        <w:tc>
          <w:tcPr>
            <w:tcW w:w="2261" w:type="dxa"/>
            <w:tcBorders>
              <w:tl2br w:val="nil"/>
              <w:tr2bl w:val="nil"/>
            </w:tcBorders>
            <w:noWrap w:val="0"/>
            <w:vAlign w:val="top"/>
          </w:tcPr>
          <w:p w14:paraId="39F6E011">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GB50074-2014</w:t>
            </w:r>
          </w:p>
          <w:p w14:paraId="2A7EC28F">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第 8.2.5 条</w:t>
            </w:r>
          </w:p>
        </w:tc>
        <w:tc>
          <w:tcPr>
            <w:tcW w:w="2292" w:type="dxa"/>
            <w:tcBorders>
              <w:tl2br w:val="nil"/>
              <w:tr2bl w:val="nil"/>
            </w:tcBorders>
            <w:noWrap w:val="0"/>
            <w:vAlign w:val="top"/>
          </w:tcPr>
          <w:p w14:paraId="241B96C3">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采用定量装车控制方式。</w:t>
            </w:r>
          </w:p>
        </w:tc>
        <w:tc>
          <w:tcPr>
            <w:tcW w:w="815" w:type="dxa"/>
            <w:tcBorders>
              <w:tl2br w:val="nil"/>
              <w:tr2bl w:val="nil"/>
            </w:tcBorders>
            <w:noWrap w:val="0"/>
            <w:vAlign w:val="center"/>
          </w:tcPr>
          <w:p w14:paraId="0DC466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符合</w:t>
            </w:r>
          </w:p>
        </w:tc>
      </w:tr>
      <w:tr w14:paraId="7FA9C0D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0CF12B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p>
        </w:tc>
        <w:tc>
          <w:tcPr>
            <w:tcW w:w="3063" w:type="dxa"/>
            <w:tcBorders>
              <w:tl2br w:val="nil"/>
              <w:tr2bl w:val="nil"/>
            </w:tcBorders>
            <w:noWrap w:val="0"/>
            <w:vAlign w:val="center"/>
          </w:tcPr>
          <w:p w14:paraId="0A4A3D14">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2</w:t>
            </w:r>
            <w:r>
              <w:rPr>
                <w:rFonts w:hint="eastAsia" w:ascii="Times New Roman" w:hAnsi="Times New Roman" w:eastAsia="宋体" w:cs="Times New Roman"/>
                <w:b w:val="0"/>
                <w:bCs w:val="0"/>
                <w:color w:val="auto"/>
                <w:sz w:val="21"/>
                <w:szCs w:val="21"/>
                <w:highlight w:val="none"/>
                <w:lang w:val="en-US" w:eastAsia="zh-CN"/>
              </w:rPr>
              <w:t>7</w:t>
            </w:r>
            <w:r>
              <w:rPr>
                <w:rFonts w:hint="default" w:ascii="Times New Roman" w:hAnsi="Times New Roman" w:eastAsia="宋体" w:cs="Times New Roman"/>
                <w:b w:val="0"/>
                <w:bCs w:val="0"/>
                <w:color w:val="auto"/>
                <w:sz w:val="21"/>
                <w:szCs w:val="21"/>
                <w:highlight w:val="none"/>
              </w:rPr>
              <w:t>、汽车罐车的液体灌装宜采用泵送装车方式。有地形高差可供利用时，宜采用储罐直接自流装车方式。采用泵送灌装时，灌装泵可设在灌装台下，并宜按一泵供一鹤位设置</w:t>
            </w:r>
          </w:p>
        </w:tc>
        <w:tc>
          <w:tcPr>
            <w:tcW w:w="2261" w:type="dxa"/>
            <w:tcBorders>
              <w:tl2br w:val="nil"/>
              <w:tr2bl w:val="nil"/>
            </w:tcBorders>
            <w:noWrap w:val="0"/>
            <w:vAlign w:val="center"/>
          </w:tcPr>
          <w:p w14:paraId="2EF5C1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《石油库设计规范》第8.2.3条</w:t>
            </w:r>
          </w:p>
        </w:tc>
        <w:tc>
          <w:tcPr>
            <w:tcW w:w="2292" w:type="dxa"/>
            <w:tcBorders>
              <w:tl2br w:val="nil"/>
              <w:tr2bl w:val="nil"/>
            </w:tcBorders>
            <w:noWrap w:val="0"/>
            <w:vAlign w:val="center"/>
          </w:tcPr>
          <w:p w14:paraId="68C44954">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采用泵送装车方式</w:t>
            </w:r>
          </w:p>
        </w:tc>
        <w:tc>
          <w:tcPr>
            <w:tcW w:w="815" w:type="dxa"/>
            <w:tcBorders>
              <w:tl2br w:val="nil"/>
              <w:tr2bl w:val="nil"/>
            </w:tcBorders>
            <w:noWrap w:val="0"/>
            <w:vAlign w:val="center"/>
          </w:tcPr>
          <w:p w14:paraId="3149F8F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符合</w:t>
            </w:r>
          </w:p>
        </w:tc>
      </w:tr>
      <w:tr w14:paraId="1105CC8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15F9482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p>
        </w:tc>
        <w:tc>
          <w:tcPr>
            <w:tcW w:w="3063" w:type="dxa"/>
            <w:tcBorders>
              <w:tl2br w:val="nil"/>
              <w:tr2bl w:val="nil"/>
            </w:tcBorders>
            <w:noWrap w:val="0"/>
            <w:vAlign w:val="center"/>
          </w:tcPr>
          <w:p w14:paraId="5104229D">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28、</w:t>
            </w:r>
            <w:r>
              <w:rPr>
                <w:rFonts w:hint="default" w:ascii="Times New Roman" w:hAnsi="Times New Roman" w:eastAsia="宋体" w:cs="Times New Roman"/>
                <w:b w:val="0"/>
                <w:bCs w:val="0"/>
                <w:color w:val="auto"/>
                <w:sz w:val="21"/>
                <w:szCs w:val="21"/>
                <w:highlight w:val="none"/>
                <w:lang w:val="en-US" w:eastAsia="zh-CN"/>
              </w:rPr>
              <w:t>当采用上装鹤管向汽车罐车灌装甲B、乙、丙A类液体时，应采用能插到罐车底部的装车鹤管。鹤管内的液体流速，在鹤管口浸没于液体之前不应大于1m/s，浸没于液体之后不应大于4.5m/s</w:t>
            </w:r>
          </w:p>
        </w:tc>
        <w:tc>
          <w:tcPr>
            <w:tcW w:w="2261" w:type="dxa"/>
            <w:tcBorders>
              <w:tl2br w:val="nil"/>
              <w:tr2bl w:val="nil"/>
            </w:tcBorders>
            <w:shd w:val="clear" w:color="auto" w:fill="auto"/>
            <w:noWrap w:val="0"/>
            <w:vAlign w:val="center"/>
          </w:tcPr>
          <w:p w14:paraId="5F7653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14:ligatures w14:val="standardContextual"/>
              </w:rPr>
            </w:pPr>
            <w:r>
              <w:rPr>
                <w:rFonts w:hint="default" w:ascii="Times New Roman" w:hAnsi="Times New Roman" w:eastAsia="宋体" w:cs="Times New Roman"/>
                <w:b w:val="0"/>
                <w:bCs w:val="0"/>
                <w:color w:val="auto"/>
                <w:sz w:val="21"/>
                <w:szCs w:val="21"/>
                <w:highlight w:val="none"/>
              </w:rPr>
              <w:t>《石油库设计规范》第8.2.</w:t>
            </w:r>
            <w:r>
              <w:rPr>
                <w:rFonts w:hint="eastAsia" w:ascii="Times New Roman" w:hAnsi="Times New Roman" w:eastAsia="宋体" w:cs="Times New Roman"/>
                <w:b w:val="0"/>
                <w:bCs w:val="0"/>
                <w:color w:val="auto"/>
                <w:sz w:val="21"/>
                <w:szCs w:val="21"/>
                <w:highlight w:val="none"/>
                <w:lang w:val="en-US" w:eastAsia="zh-CN"/>
              </w:rPr>
              <w:t>8</w:t>
            </w:r>
            <w:r>
              <w:rPr>
                <w:rFonts w:hint="default" w:ascii="Times New Roman" w:hAnsi="Times New Roman" w:eastAsia="宋体" w:cs="Times New Roman"/>
                <w:b w:val="0"/>
                <w:bCs w:val="0"/>
                <w:color w:val="auto"/>
                <w:sz w:val="21"/>
                <w:szCs w:val="21"/>
                <w:highlight w:val="none"/>
              </w:rPr>
              <w:t>条</w:t>
            </w:r>
          </w:p>
        </w:tc>
        <w:tc>
          <w:tcPr>
            <w:tcW w:w="2292" w:type="dxa"/>
            <w:tcBorders>
              <w:tl2br w:val="nil"/>
              <w:tr2bl w:val="nil"/>
            </w:tcBorders>
            <w:noWrap w:val="0"/>
            <w:vAlign w:val="center"/>
          </w:tcPr>
          <w:p w14:paraId="25027375">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装卸管可以插到罐车底部，流速符合要求</w:t>
            </w:r>
          </w:p>
        </w:tc>
        <w:tc>
          <w:tcPr>
            <w:tcW w:w="815" w:type="dxa"/>
            <w:tcBorders>
              <w:tl2br w:val="nil"/>
              <w:tr2bl w:val="nil"/>
            </w:tcBorders>
            <w:noWrap w:val="0"/>
            <w:vAlign w:val="center"/>
          </w:tcPr>
          <w:p w14:paraId="50399A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符合</w:t>
            </w:r>
          </w:p>
        </w:tc>
      </w:tr>
      <w:tr w14:paraId="730C83C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restart"/>
            <w:tcBorders>
              <w:tl2br w:val="nil"/>
              <w:tr2bl w:val="nil"/>
            </w:tcBorders>
            <w:noWrap w:val="0"/>
            <w:vAlign w:val="center"/>
          </w:tcPr>
          <w:p w14:paraId="052507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泵房</w:t>
            </w:r>
          </w:p>
        </w:tc>
        <w:tc>
          <w:tcPr>
            <w:tcW w:w="3063" w:type="dxa"/>
            <w:tcBorders>
              <w:tl2br w:val="nil"/>
              <w:tr2bl w:val="nil"/>
            </w:tcBorders>
            <w:noWrap w:val="0"/>
            <w:vAlign w:val="center"/>
          </w:tcPr>
          <w:p w14:paraId="10E3CEC9">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29、</w:t>
            </w:r>
            <w:r>
              <w:rPr>
                <w:rFonts w:hint="default" w:ascii="Times New Roman" w:hAnsi="Times New Roman" w:eastAsia="宋体" w:cs="Times New Roman"/>
                <w:b w:val="0"/>
                <w:bCs w:val="0"/>
                <w:color w:val="auto"/>
                <w:sz w:val="21"/>
                <w:szCs w:val="21"/>
                <w:highlight w:val="none"/>
                <w:lang w:val="en-US" w:eastAsia="zh-CN"/>
              </w:rPr>
              <w:t>易燃和可燃液体泵站宜采用地上式。其建筑形式应根据输送介质的特点、运行工况及当地气象条件等综合考虑确定，可采采用房间式（泵房）、棚式（泵棚）或露天式。</w:t>
            </w:r>
          </w:p>
        </w:tc>
        <w:tc>
          <w:tcPr>
            <w:tcW w:w="2261" w:type="dxa"/>
            <w:tcBorders>
              <w:tl2br w:val="nil"/>
              <w:tr2bl w:val="nil"/>
            </w:tcBorders>
            <w:shd w:val="clear" w:color="auto" w:fill="auto"/>
            <w:noWrap w:val="0"/>
            <w:vAlign w:val="center"/>
          </w:tcPr>
          <w:p w14:paraId="3C8DE1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《石油库设计规范》</w:t>
            </w:r>
          </w:p>
          <w:p w14:paraId="3C44FF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第 7.0.1 条</w:t>
            </w:r>
          </w:p>
        </w:tc>
        <w:tc>
          <w:tcPr>
            <w:tcW w:w="2292" w:type="dxa"/>
            <w:tcBorders>
              <w:tl2br w:val="nil"/>
              <w:tr2bl w:val="nil"/>
            </w:tcBorders>
            <w:noWrap w:val="0"/>
            <w:vAlign w:val="center"/>
          </w:tcPr>
          <w:p w14:paraId="78085F69">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采用地上房间式泵房。</w:t>
            </w:r>
          </w:p>
        </w:tc>
        <w:tc>
          <w:tcPr>
            <w:tcW w:w="815" w:type="dxa"/>
            <w:tcBorders>
              <w:tl2br w:val="nil"/>
              <w:tr2bl w:val="nil"/>
            </w:tcBorders>
            <w:noWrap w:val="0"/>
            <w:vAlign w:val="center"/>
          </w:tcPr>
          <w:p w14:paraId="6FD465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符合</w:t>
            </w:r>
          </w:p>
        </w:tc>
      </w:tr>
      <w:tr w14:paraId="7BF5FA2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3E0A9D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p>
        </w:tc>
        <w:tc>
          <w:tcPr>
            <w:tcW w:w="3063" w:type="dxa"/>
            <w:tcBorders>
              <w:tl2br w:val="nil"/>
              <w:tr2bl w:val="nil"/>
            </w:tcBorders>
            <w:noWrap w:val="0"/>
            <w:vAlign w:val="center"/>
          </w:tcPr>
          <w:p w14:paraId="7D5749B3">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30、</w:t>
            </w:r>
            <w:r>
              <w:rPr>
                <w:rFonts w:hint="default" w:ascii="Times New Roman" w:hAnsi="Times New Roman" w:eastAsia="宋体" w:cs="Times New Roman"/>
                <w:b w:val="0"/>
                <w:bCs w:val="0"/>
                <w:color w:val="auto"/>
                <w:sz w:val="21"/>
                <w:szCs w:val="21"/>
                <w:highlight w:val="none"/>
                <w:lang w:val="en-US" w:eastAsia="zh-CN"/>
              </w:rPr>
              <w:t>易燃和可燃液体泵站的建筑设计，应符合下列规定：1 泵房或泵棚的净空应满足设备安装、检修和操作的要求，且不应低于 3.5m 。4 泵棚或露天泵站的设备平台，应高于其周围地坪不少于 0. 15m。</w:t>
            </w:r>
          </w:p>
        </w:tc>
        <w:tc>
          <w:tcPr>
            <w:tcW w:w="2261" w:type="dxa"/>
            <w:tcBorders>
              <w:tl2br w:val="nil"/>
              <w:tr2bl w:val="nil"/>
            </w:tcBorders>
            <w:shd w:val="clear" w:color="auto" w:fill="auto"/>
            <w:noWrap w:val="0"/>
            <w:vAlign w:val="center"/>
          </w:tcPr>
          <w:p w14:paraId="0F7F69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《石油库设计规范》</w:t>
            </w:r>
          </w:p>
          <w:p w14:paraId="4E415A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第 7.0.2 条</w:t>
            </w:r>
          </w:p>
        </w:tc>
        <w:tc>
          <w:tcPr>
            <w:tcW w:w="2292" w:type="dxa"/>
            <w:tcBorders>
              <w:tl2br w:val="nil"/>
              <w:tr2bl w:val="nil"/>
            </w:tcBorders>
            <w:noWrap w:val="0"/>
            <w:vAlign w:val="center"/>
          </w:tcPr>
          <w:p w14:paraId="71654E83">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泵 房 高 度 为4m。</w:t>
            </w:r>
          </w:p>
        </w:tc>
        <w:tc>
          <w:tcPr>
            <w:tcW w:w="815" w:type="dxa"/>
            <w:tcBorders>
              <w:tl2br w:val="nil"/>
              <w:tr2bl w:val="nil"/>
            </w:tcBorders>
            <w:noWrap w:val="0"/>
            <w:vAlign w:val="center"/>
          </w:tcPr>
          <w:p w14:paraId="277146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符合</w:t>
            </w:r>
          </w:p>
        </w:tc>
      </w:tr>
      <w:tr w14:paraId="56C3D9A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3D27F6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p>
        </w:tc>
        <w:tc>
          <w:tcPr>
            <w:tcW w:w="3063" w:type="dxa"/>
            <w:tcBorders>
              <w:tl2br w:val="nil"/>
              <w:tr2bl w:val="nil"/>
            </w:tcBorders>
            <w:noWrap w:val="0"/>
            <w:vAlign w:val="center"/>
          </w:tcPr>
          <w:p w14:paraId="6B166C89">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31、</w:t>
            </w:r>
            <w:r>
              <w:rPr>
                <w:rFonts w:hint="default" w:ascii="Times New Roman" w:hAnsi="Times New Roman" w:eastAsia="宋体" w:cs="Times New Roman"/>
                <w:b w:val="0"/>
                <w:bCs w:val="0"/>
                <w:color w:val="auto"/>
                <w:sz w:val="21"/>
                <w:szCs w:val="21"/>
                <w:highlight w:val="none"/>
                <w:lang w:val="en-US" w:eastAsia="zh-CN"/>
              </w:rPr>
              <w:t>泵的进口管道上应设过滤器。磁力泵进口管道应设磁性复合过滤器。过滤器的选用应符合现行行业标准《石油化工泵用过滤器选用、检验及验收))SH/T 3411 的规定。过滤器应安装在泵进口管道的的阀门与泵出口法兰之间的管段上。</w:t>
            </w:r>
          </w:p>
        </w:tc>
        <w:tc>
          <w:tcPr>
            <w:tcW w:w="2261" w:type="dxa"/>
            <w:tcBorders>
              <w:tl2br w:val="nil"/>
              <w:tr2bl w:val="nil"/>
            </w:tcBorders>
            <w:shd w:val="clear" w:color="auto" w:fill="auto"/>
            <w:noWrap w:val="0"/>
            <w:vAlign w:val="center"/>
          </w:tcPr>
          <w:p w14:paraId="214D2A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《石油库设计规范》</w:t>
            </w:r>
          </w:p>
          <w:p w14:paraId="2312E3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第 7.0.11 条</w:t>
            </w:r>
          </w:p>
        </w:tc>
        <w:tc>
          <w:tcPr>
            <w:tcW w:w="2292" w:type="dxa"/>
            <w:tcBorders>
              <w:tl2br w:val="nil"/>
              <w:tr2bl w:val="nil"/>
            </w:tcBorders>
            <w:noWrap w:val="0"/>
            <w:vAlign w:val="center"/>
          </w:tcPr>
          <w:p w14:paraId="237424A2">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泵的进口管道上设有过滤器。</w:t>
            </w:r>
          </w:p>
        </w:tc>
        <w:tc>
          <w:tcPr>
            <w:tcW w:w="815" w:type="dxa"/>
            <w:tcBorders>
              <w:tl2br w:val="nil"/>
              <w:tr2bl w:val="nil"/>
            </w:tcBorders>
            <w:noWrap w:val="0"/>
            <w:vAlign w:val="center"/>
          </w:tcPr>
          <w:p w14:paraId="410B3D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符合</w:t>
            </w:r>
          </w:p>
        </w:tc>
      </w:tr>
      <w:tr w14:paraId="254330F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2BEC35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p>
        </w:tc>
        <w:tc>
          <w:tcPr>
            <w:tcW w:w="3063" w:type="dxa"/>
            <w:tcBorders>
              <w:tl2br w:val="nil"/>
              <w:tr2bl w:val="nil"/>
            </w:tcBorders>
            <w:noWrap w:val="0"/>
            <w:vAlign w:val="center"/>
          </w:tcPr>
          <w:p w14:paraId="5D5EB9BC">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32、</w:t>
            </w:r>
            <w:r>
              <w:rPr>
                <w:rFonts w:hint="default" w:ascii="Times New Roman" w:hAnsi="Times New Roman" w:eastAsia="宋体" w:cs="Times New Roman"/>
                <w:b w:val="0"/>
                <w:bCs w:val="0"/>
                <w:color w:val="auto"/>
                <w:sz w:val="21"/>
                <w:szCs w:val="21"/>
                <w:highlight w:val="none"/>
                <w:lang w:val="en-US" w:eastAsia="zh-CN"/>
              </w:rPr>
              <w:t>泵的出口管道宜设止回阀，止回阀应安装在泵出口管道的阀门与泵出口法兰之间的管段上。</w:t>
            </w:r>
          </w:p>
        </w:tc>
        <w:tc>
          <w:tcPr>
            <w:tcW w:w="2261" w:type="dxa"/>
            <w:tcBorders>
              <w:tl2br w:val="nil"/>
              <w:tr2bl w:val="nil"/>
            </w:tcBorders>
            <w:shd w:val="clear" w:color="auto" w:fill="auto"/>
            <w:noWrap w:val="0"/>
            <w:vAlign w:val="center"/>
          </w:tcPr>
          <w:p w14:paraId="74C21B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《石油库设计规范》</w:t>
            </w:r>
          </w:p>
          <w:p w14:paraId="48C88F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第 7.0. 12 条</w:t>
            </w:r>
          </w:p>
        </w:tc>
        <w:tc>
          <w:tcPr>
            <w:tcW w:w="2292" w:type="dxa"/>
            <w:tcBorders>
              <w:tl2br w:val="nil"/>
              <w:tr2bl w:val="nil"/>
            </w:tcBorders>
            <w:noWrap w:val="0"/>
            <w:vAlign w:val="center"/>
          </w:tcPr>
          <w:p w14:paraId="5289CAAE">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设有止回阀。</w:t>
            </w:r>
          </w:p>
        </w:tc>
        <w:tc>
          <w:tcPr>
            <w:tcW w:w="815" w:type="dxa"/>
            <w:tcBorders>
              <w:tl2br w:val="nil"/>
              <w:tr2bl w:val="nil"/>
            </w:tcBorders>
            <w:noWrap w:val="0"/>
            <w:vAlign w:val="center"/>
          </w:tcPr>
          <w:p w14:paraId="1D658C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符合</w:t>
            </w:r>
          </w:p>
        </w:tc>
      </w:tr>
      <w:tr w14:paraId="57D9E33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restart"/>
            <w:tcBorders>
              <w:tl2br w:val="nil"/>
              <w:tr2bl w:val="nil"/>
            </w:tcBorders>
            <w:noWrap w:val="0"/>
            <w:vAlign w:val="center"/>
          </w:tcPr>
          <w:p w14:paraId="67233C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库内管道</w:t>
            </w:r>
          </w:p>
        </w:tc>
        <w:tc>
          <w:tcPr>
            <w:tcW w:w="3063" w:type="dxa"/>
            <w:tcBorders>
              <w:tl2br w:val="nil"/>
              <w:tr2bl w:val="nil"/>
            </w:tcBorders>
            <w:noWrap w:val="0"/>
            <w:vAlign w:val="center"/>
          </w:tcPr>
          <w:p w14:paraId="0B665D3C">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33</w:t>
            </w:r>
            <w:r>
              <w:rPr>
                <w:rFonts w:hint="default" w:ascii="Times New Roman" w:hAnsi="Times New Roman" w:eastAsia="宋体" w:cs="Times New Roman"/>
                <w:b w:val="0"/>
                <w:bCs w:val="0"/>
                <w:color w:val="auto"/>
                <w:sz w:val="21"/>
                <w:szCs w:val="21"/>
                <w:highlight w:val="none"/>
                <w:lang w:val="en-US" w:eastAsia="zh-CN"/>
              </w:rPr>
              <w:t xml:space="preserve"> 、石油库内工艺及热力管道宜地上敷设或采用敞口管沟敷设；根据需要局部地段可埋地敷设或采用充沙封闭管沟敷设。</w:t>
            </w:r>
          </w:p>
        </w:tc>
        <w:tc>
          <w:tcPr>
            <w:tcW w:w="2261" w:type="dxa"/>
            <w:tcBorders>
              <w:tl2br w:val="nil"/>
              <w:tr2bl w:val="nil"/>
            </w:tcBorders>
            <w:noWrap w:val="0"/>
            <w:vAlign w:val="center"/>
          </w:tcPr>
          <w:p w14:paraId="789D29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p>
          <w:p w14:paraId="0548DBB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《石油库设计规范》</w:t>
            </w:r>
          </w:p>
          <w:p w14:paraId="379F26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第 9.1.1 条</w:t>
            </w:r>
          </w:p>
        </w:tc>
        <w:tc>
          <w:tcPr>
            <w:tcW w:w="2292" w:type="dxa"/>
            <w:tcBorders>
              <w:tl2br w:val="nil"/>
              <w:tr2bl w:val="nil"/>
            </w:tcBorders>
            <w:noWrap w:val="0"/>
            <w:vAlign w:val="center"/>
          </w:tcPr>
          <w:p w14:paraId="371844C8">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油库工艺管道采 用 地 上 敷设 ，局部地区采 用 埋 地 敷设 ，地上管道</w:t>
            </w:r>
          </w:p>
        </w:tc>
        <w:tc>
          <w:tcPr>
            <w:tcW w:w="815" w:type="dxa"/>
            <w:tcBorders>
              <w:tl2br w:val="nil"/>
              <w:tr2bl w:val="nil"/>
            </w:tcBorders>
            <w:noWrap w:val="0"/>
            <w:vAlign w:val="center"/>
          </w:tcPr>
          <w:p w14:paraId="262090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符合</w:t>
            </w:r>
          </w:p>
        </w:tc>
      </w:tr>
      <w:tr w14:paraId="4E599DA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4C1EBB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shd w:val="clear" w:color="auto" w:fill="auto"/>
            <w:noWrap w:val="0"/>
            <w:vAlign w:val="center"/>
          </w:tcPr>
          <w:p w14:paraId="076EB737">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14:ligatures w14:val="standardContextual"/>
              </w:rPr>
            </w:pPr>
            <w:r>
              <w:rPr>
                <w:rFonts w:hint="eastAsia" w:ascii="Times New Roman" w:hAnsi="Times New Roman" w:eastAsia="宋体" w:cs="Times New Roman"/>
                <w:b w:val="0"/>
                <w:bCs w:val="0"/>
                <w:color w:val="auto"/>
                <w:sz w:val="21"/>
                <w:szCs w:val="21"/>
                <w:highlight w:val="none"/>
                <w:lang w:val="en-US" w:eastAsia="zh-CN"/>
              </w:rPr>
              <w:t>34</w:t>
            </w:r>
            <w:r>
              <w:rPr>
                <w:rFonts w:hint="default" w:ascii="Times New Roman" w:hAnsi="Times New Roman" w:eastAsia="宋体" w:cs="Times New Roman"/>
                <w:b w:val="0"/>
                <w:bCs w:val="0"/>
                <w:color w:val="auto"/>
                <w:sz w:val="21"/>
                <w:szCs w:val="21"/>
                <w:highlight w:val="none"/>
              </w:rPr>
              <w:t>、地上管道不应环绕罐组布置，且不应妨碍消防车的通行。设置在防火堤与消防车道之间的管道不应妨碍消防人员通行及作业</w:t>
            </w:r>
          </w:p>
        </w:tc>
        <w:tc>
          <w:tcPr>
            <w:tcW w:w="2261" w:type="dxa"/>
            <w:tcBorders>
              <w:tl2br w:val="nil"/>
              <w:tr2bl w:val="nil"/>
            </w:tcBorders>
            <w:shd w:val="clear" w:color="auto" w:fill="auto"/>
            <w:noWrap w:val="0"/>
            <w:vAlign w:val="center"/>
          </w:tcPr>
          <w:p w14:paraId="1D3688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14:ligatures w14:val="standardContextual"/>
              </w:rPr>
            </w:pPr>
            <w:r>
              <w:rPr>
                <w:rFonts w:hint="default" w:ascii="Times New Roman" w:hAnsi="Times New Roman" w:eastAsia="宋体" w:cs="Times New Roman"/>
                <w:b w:val="0"/>
                <w:bCs w:val="0"/>
                <w:color w:val="auto"/>
                <w:sz w:val="21"/>
                <w:szCs w:val="21"/>
                <w:highlight w:val="none"/>
              </w:rPr>
              <w:t>《石油库设计规范》第9.1.2条</w:t>
            </w:r>
          </w:p>
        </w:tc>
        <w:tc>
          <w:tcPr>
            <w:tcW w:w="2292" w:type="dxa"/>
            <w:tcBorders>
              <w:tl2br w:val="nil"/>
              <w:tr2bl w:val="nil"/>
            </w:tcBorders>
            <w:shd w:val="clear" w:color="auto" w:fill="auto"/>
            <w:noWrap w:val="0"/>
            <w:vAlign w:val="center"/>
          </w:tcPr>
          <w:p w14:paraId="6666C775">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14:ligatures w14:val="standardContextual"/>
              </w:rPr>
            </w:pPr>
            <w:r>
              <w:rPr>
                <w:rFonts w:hint="default" w:ascii="Times New Roman" w:hAnsi="Times New Roman" w:eastAsia="宋体" w:cs="Times New Roman"/>
                <w:b w:val="0"/>
                <w:bCs w:val="0"/>
                <w:color w:val="auto"/>
                <w:sz w:val="21"/>
                <w:szCs w:val="21"/>
                <w:highlight w:val="none"/>
              </w:rPr>
              <w:t>地上管道未环绕罐组布置，穿越消防车道时埋地敷设，防火堤与消防车道之间的管道设有人行踏步</w:t>
            </w:r>
          </w:p>
        </w:tc>
        <w:tc>
          <w:tcPr>
            <w:tcW w:w="815" w:type="dxa"/>
            <w:tcBorders>
              <w:tl2br w:val="nil"/>
              <w:tr2bl w:val="nil"/>
            </w:tcBorders>
            <w:shd w:val="clear" w:color="auto" w:fill="auto"/>
            <w:noWrap w:val="0"/>
            <w:vAlign w:val="center"/>
          </w:tcPr>
          <w:p w14:paraId="785B9F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14:ligatures w14:val="standardContextual"/>
              </w:rPr>
            </w:pPr>
            <w:r>
              <w:rPr>
                <w:rFonts w:hint="default" w:ascii="Times New Roman" w:hAnsi="Times New Roman" w:eastAsia="宋体" w:cs="Times New Roman"/>
                <w:b w:val="0"/>
                <w:bCs w:val="0"/>
                <w:color w:val="auto"/>
                <w:sz w:val="21"/>
                <w:szCs w:val="21"/>
                <w:highlight w:val="none"/>
              </w:rPr>
              <w:t>符合</w:t>
            </w:r>
          </w:p>
        </w:tc>
      </w:tr>
      <w:tr w14:paraId="18AB08C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26EA62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tc>
        <w:tc>
          <w:tcPr>
            <w:tcW w:w="3063" w:type="dxa"/>
            <w:tcBorders>
              <w:tl2br w:val="nil"/>
              <w:tr2bl w:val="nil"/>
            </w:tcBorders>
            <w:shd w:val="clear" w:color="auto" w:fill="auto"/>
            <w:noWrap w:val="0"/>
            <w:vAlign w:val="center"/>
          </w:tcPr>
          <w:p w14:paraId="15BFD263">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3</w:t>
            </w:r>
            <w:r>
              <w:rPr>
                <w:rFonts w:hint="eastAsia" w:ascii="Times New Roman" w:hAnsi="Times New Roman" w:eastAsia="宋体" w:cs="Times New Roman"/>
                <w:b w:val="0"/>
                <w:bCs w:val="0"/>
                <w:color w:val="auto"/>
                <w:sz w:val="21"/>
                <w:szCs w:val="21"/>
                <w:highlight w:val="none"/>
                <w:lang w:val="en-US" w:eastAsia="zh-CN"/>
              </w:rPr>
              <w:t>5</w:t>
            </w:r>
            <w:r>
              <w:rPr>
                <w:rFonts w:hint="default" w:ascii="Times New Roman" w:hAnsi="Times New Roman" w:eastAsia="宋体" w:cs="Times New Roman"/>
                <w:b w:val="0"/>
                <w:bCs w:val="0"/>
                <w:color w:val="auto"/>
                <w:sz w:val="21"/>
                <w:szCs w:val="21"/>
                <w:highlight w:val="none"/>
                <w:lang w:val="en-US" w:eastAsia="zh-CN"/>
              </w:rPr>
              <w:t>、地上工艺管道不宜靠近消防泵房、专用消防站、变电所和独立变配电间、办公室、控制室以及宿舍、食堂等人员集中场所敷设，当地上工艺管道与这些建筑物之间的距离小于15m 时，朝向工艺管道一侧的外墙应采用无门窗的不燃烧体实体墙。</w:t>
            </w:r>
          </w:p>
        </w:tc>
        <w:tc>
          <w:tcPr>
            <w:tcW w:w="2261" w:type="dxa"/>
            <w:tcBorders>
              <w:tl2br w:val="nil"/>
              <w:tr2bl w:val="nil"/>
            </w:tcBorders>
            <w:shd w:val="clear" w:color="auto" w:fill="auto"/>
            <w:noWrap w:val="0"/>
            <w:vAlign w:val="center"/>
          </w:tcPr>
          <w:p w14:paraId="3D0452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《石油库设计规范》</w:t>
            </w:r>
          </w:p>
          <w:p w14:paraId="088E1D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第 9.1.3 条</w:t>
            </w:r>
          </w:p>
        </w:tc>
        <w:tc>
          <w:tcPr>
            <w:tcW w:w="2292" w:type="dxa"/>
            <w:tcBorders>
              <w:tl2br w:val="nil"/>
              <w:tr2bl w:val="nil"/>
            </w:tcBorders>
            <w:shd w:val="clear" w:color="auto" w:fill="auto"/>
            <w:noWrap w:val="0"/>
            <w:vAlign w:val="center"/>
          </w:tcPr>
          <w:p w14:paraId="6DFB91F6">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地上工艺管道不靠近上述建筑物 ，且距离大于15m。</w:t>
            </w:r>
          </w:p>
        </w:tc>
        <w:tc>
          <w:tcPr>
            <w:tcW w:w="815" w:type="dxa"/>
            <w:tcBorders>
              <w:tl2br w:val="nil"/>
              <w:tr2bl w:val="nil"/>
            </w:tcBorders>
            <w:shd w:val="clear" w:color="auto" w:fill="auto"/>
            <w:noWrap w:val="0"/>
            <w:vAlign w:val="center"/>
          </w:tcPr>
          <w:p w14:paraId="25B278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符合</w:t>
            </w:r>
          </w:p>
        </w:tc>
      </w:tr>
      <w:tr w14:paraId="47D3794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2502DA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p>
        </w:tc>
        <w:tc>
          <w:tcPr>
            <w:tcW w:w="3063" w:type="dxa"/>
            <w:tcBorders>
              <w:tl2br w:val="nil"/>
              <w:tr2bl w:val="nil"/>
            </w:tcBorders>
            <w:noWrap w:val="0"/>
            <w:vAlign w:val="center"/>
          </w:tcPr>
          <w:p w14:paraId="5C4EC109">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sz w:val="21"/>
                <w:szCs w:val="21"/>
                <w:highlight w:val="none"/>
                <w:lang w:val="en-US" w:eastAsia="zh-CN"/>
              </w:rPr>
              <w:t>36</w:t>
            </w:r>
            <w:r>
              <w:rPr>
                <w:rFonts w:hint="default" w:ascii="Times New Roman" w:hAnsi="Times New Roman" w:eastAsia="宋体" w:cs="Times New Roman"/>
                <w:b w:val="0"/>
                <w:bCs w:val="0"/>
                <w:color w:val="auto"/>
                <w:sz w:val="21"/>
                <w:szCs w:val="21"/>
                <w:highlight w:val="none"/>
              </w:rPr>
              <w:t>、地上工艺管道不宜靠近消防泵房、专用消防站、变电所和独立变配电间、办公室、控制室以及宿舍、食堂等人员集中场所敷设</w:t>
            </w:r>
          </w:p>
        </w:tc>
        <w:tc>
          <w:tcPr>
            <w:tcW w:w="2261" w:type="dxa"/>
            <w:tcBorders>
              <w:tl2br w:val="nil"/>
              <w:tr2bl w:val="nil"/>
            </w:tcBorders>
            <w:noWrap w:val="0"/>
            <w:vAlign w:val="center"/>
          </w:tcPr>
          <w:p w14:paraId="0CE20E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《石油库设计规范》第9.1.4条</w:t>
            </w:r>
          </w:p>
        </w:tc>
        <w:tc>
          <w:tcPr>
            <w:tcW w:w="2292" w:type="dxa"/>
            <w:tcBorders>
              <w:tl2br w:val="nil"/>
              <w:tr2bl w:val="nil"/>
            </w:tcBorders>
            <w:noWrap w:val="0"/>
            <w:vAlign w:val="center"/>
          </w:tcPr>
          <w:p w14:paraId="6063203F">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地上工艺管道未靠近上述人员集中场所敷设</w:t>
            </w:r>
          </w:p>
        </w:tc>
        <w:tc>
          <w:tcPr>
            <w:tcW w:w="815" w:type="dxa"/>
            <w:tcBorders>
              <w:tl2br w:val="nil"/>
              <w:tr2bl w:val="nil"/>
            </w:tcBorders>
            <w:noWrap w:val="0"/>
            <w:vAlign w:val="center"/>
          </w:tcPr>
          <w:p w14:paraId="33F245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符合</w:t>
            </w:r>
          </w:p>
        </w:tc>
      </w:tr>
      <w:tr w14:paraId="58233F4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653B5D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p>
        </w:tc>
        <w:tc>
          <w:tcPr>
            <w:tcW w:w="3063" w:type="dxa"/>
            <w:tcBorders>
              <w:tl2br w:val="nil"/>
              <w:tr2bl w:val="nil"/>
            </w:tcBorders>
            <w:noWrap w:val="0"/>
            <w:vAlign w:val="center"/>
          </w:tcPr>
          <w:p w14:paraId="65C8A150">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3</w:t>
            </w:r>
            <w:r>
              <w:rPr>
                <w:rFonts w:hint="eastAsia" w:ascii="Times New Roman" w:hAnsi="Times New Roman" w:eastAsia="宋体" w:cs="Times New Roman"/>
                <w:b w:val="0"/>
                <w:bCs w:val="0"/>
                <w:color w:val="auto"/>
                <w:sz w:val="21"/>
                <w:szCs w:val="21"/>
                <w:highlight w:val="none"/>
                <w:lang w:val="en-US" w:eastAsia="zh-CN"/>
              </w:rPr>
              <w:t>7</w:t>
            </w:r>
            <w:r>
              <w:rPr>
                <w:rFonts w:hint="default" w:ascii="Times New Roman" w:hAnsi="Times New Roman" w:eastAsia="宋体" w:cs="Times New Roman"/>
                <w:b w:val="0"/>
                <w:bCs w:val="0"/>
                <w:color w:val="auto"/>
                <w:sz w:val="21"/>
                <w:szCs w:val="21"/>
                <w:highlight w:val="none"/>
              </w:rPr>
              <w:t>、管道穿越铁路和道路时，应符合下列规定：</w:t>
            </w:r>
          </w:p>
          <w:p w14:paraId="5262EE2D">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1 管道穿越铁路和道路的交角不宜小于 60°，穿越管段应敷设在涵洞或套管内，或采取其他防护措施。管道桥涵应充沙（土）填实。2 套管端部应超出坡脚或路基至少 0.6m；穿越排水沟的，应超出排水沟底部边缘至少 0.9m。3 液化烃管道套管顶低于铁路轨面不应小于 1.4m，低于道路路面不应小于1.0m；其他管道套管顶低于铁路轨面不应小于 0.8m，低于道路路面不应小于 0.6m。套管应满足承压强度要求</w:t>
            </w:r>
          </w:p>
        </w:tc>
        <w:tc>
          <w:tcPr>
            <w:tcW w:w="2261" w:type="dxa"/>
            <w:tcBorders>
              <w:tl2br w:val="nil"/>
              <w:tr2bl w:val="nil"/>
            </w:tcBorders>
            <w:noWrap w:val="0"/>
            <w:vAlign w:val="center"/>
          </w:tcPr>
          <w:p w14:paraId="6B4CE2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《石油库设计规范》第9.1.5条</w:t>
            </w:r>
          </w:p>
        </w:tc>
        <w:tc>
          <w:tcPr>
            <w:tcW w:w="2292" w:type="dxa"/>
            <w:tcBorders>
              <w:tl2br w:val="nil"/>
              <w:tr2bl w:val="nil"/>
            </w:tcBorders>
            <w:noWrap w:val="0"/>
            <w:vAlign w:val="center"/>
          </w:tcPr>
          <w:p w14:paraId="7D7B00CC">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穿越管段敷设在套管内</w:t>
            </w:r>
          </w:p>
        </w:tc>
        <w:tc>
          <w:tcPr>
            <w:tcW w:w="815" w:type="dxa"/>
            <w:tcBorders>
              <w:tl2br w:val="nil"/>
              <w:tr2bl w:val="nil"/>
            </w:tcBorders>
            <w:noWrap w:val="0"/>
            <w:vAlign w:val="center"/>
          </w:tcPr>
          <w:p w14:paraId="47A86F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符合</w:t>
            </w:r>
          </w:p>
        </w:tc>
      </w:tr>
      <w:tr w14:paraId="0A8B04C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523217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p>
        </w:tc>
        <w:tc>
          <w:tcPr>
            <w:tcW w:w="3063" w:type="dxa"/>
            <w:tcBorders>
              <w:tl2br w:val="nil"/>
              <w:tr2bl w:val="nil"/>
            </w:tcBorders>
            <w:noWrap w:val="0"/>
            <w:vAlign w:val="center"/>
          </w:tcPr>
          <w:p w14:paraId="5DE84D7B">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sz w:val="21"/>
                <w:szCs w:val="21"/>
                <w:highlight w:val="none"/>
                <w:lang w:val="en-US" w:eastAsia="zh-CN"/>
              </w:rPr>
              <w:t>38</w:t>
            </w:r>
            <w:r>
              <w:rPr>
                <w:rFonts w:hint="default" w:ascii="Times New Roman" w:hAnsi="Times New Roman" w:eastAsia="宋体" w:cs="Times New Roman"/>
                <w:b w:val="0"/>
                <w:bCs w:val="0"/>
                <w:color w:val="auto"/>
                <w:sz w:val="21"/>
                <w:szCs w:val="21"/>
                <w:highlight w:val="none"/>
              </w:rPr>
              <w:t>、地上管道沿道路平行布置时，与路边的距离不应小于 1m。埋地管道沿道路平行布置时，不得敷设在路面之下</w:t>
            </w:r>
          </w:p>
        </w:tc>
        <w:tc>
          <w:tcPr>
            <w:tcW w:w="2261" w:type="dxa"/>
            <w:tcBorders>
              <w:tl2br w:val="nil"/>
              <w:tr2bl w:val="nil"/>
            </w:tcBorders>
            <w:noWrap w:val="0"/>
            <w:vAlign w:val="center"/>
          </w:tcPr>
          <w:p w14:paraId="6BADE4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p>
          <w:p w14:paraId="4871F2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《石油库设计规范》第9.1.8条</w:t>
            </w:r>
          </w:p>
        </w:tc>
        <w:tc>
          <w:tcPr>
            <w:tcW w:w="2292" w:type="dxa"/>
            <w:tcBorders>
              <w:tl2br w:val="nil"/>
              <w:tr2bl w:val="nil"/>
            </w:tcBorders>
            <w:noWrap w:val="0"/>
            <w:vAlign w:val="center"/>
          </w:tcPr>
          <w:p w14:paraId="2015D881">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地上管道沿道路平行布置时，与路边的距离最不小于1m。未敷设在路面之下</w:t>
            </w:r>
          </w:p>
        </w:tc>
        <w:tc>
          <w:tcPr>
            <w:tcW w:w="815" w:type="dxa"/>
            <w:tcBorders>
              <w:tl2br w:val="nil"/>
              <w:tr2bl w:val="nil"/>
            </w:tcBorders>
            <w:noWrap w:val="0"/>
            <w:vAlign w:val="center"/>
          </w:tcPr>
          <w:p w14:paraId="7278C1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符合</w:t>
            </w:r>
          </w:p>
        </w:tc>
      </w:tr>
      <w:tr w14:paraId="102B7A9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1490B3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p>
        </w:tc>
        <w:tc>
          <w:tcPr>
            <w:tcW w:w="3063" w:type="dxa"/>
            <w:tcBorders>
              <w:tl2br w:val="nil"/>
              <w:tr2bl w:val="nil"/>
            </w:tcBorders>
            <w:noWrap w:val="0"/>
            <w:vAlign w:val="center"/>
          </w:tcPr>
          <w:p w14:paraId="6ED1F4EE">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sz w:val="21"/>
                <w:szCs w:val="21"/>
                <w:highlight w:val="none"/>
                <w:lang w:val="en-US" w:eastAsia="zh-CN"/>
              </w:rPr>
              <w:t>39</w:t>
            </w:r>
            <w:r>
              <w:rPr>
                <w:rFonts w:hint="default" w:ascii="Times New Roman" w:hAnsi="Times New Roman" w:eastAsia="宋体" w:cs="Times New Roman"/>
                <w:b w:val="0"/>
                <w:bCs w:val="0"/>
                <w:color w:val="auto"/>
                <w:sz w:val="21"/>
                <w:szCs w:val="21"/>
                <w:highlight w:val="none"/>
              </w:rPr>
              <w:t>、金属工艺管道连接应符合下列规定：1管道之间及管道与管件之间应采用焊接连接。2 管道与设备、阀门、仪表之间宜采用法兰连接，采用螺纹连接时应确保连接强度和严密性要求</w:t>
            </w:r>
          </w:p>
        </w:tc>
        <w:tc>
          <w:tcPr>
            <w:tcW w:w="2261" w:type="dxa"/>
            <w:tcBorders>
              <w:tl2br w:val="nil"/>
              <w:tr2bl w:val="nil"/>
            </w:tcBorders>
            <w:noWrap w:val="0"/>
            <w:vAlign w:val="center"/>
          </w:tcPr>
          <w:p w14:paraId="592604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《石油库设计规范》第9.1.9条</w:t>
            </w:r>
          </w:p>
        </w:tc>
        <w:tc>
          <w:tcPr>
            <w:tcW w:w="2292" w:type="dxa"/>
            <w:tcBorders>
              <w:tl2br w:val="nil"/>
              <w:tr2bl w:val="nil"/>
            </w:tcBorders>
            <w:noWrap w:val="0"/>
            <w:vAlign w:val="center"/>
          </w:tcPr>
          <w:p w14:paraId="209F8BA3">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管道之间及管道与管件之间采用焊接连接；管道与设备、阀门、仪表之间采用法兰连接</w:t>
            </w:r>
          </w:p>
        </w:tc>
        <w:tc>
          <w:tcPr>
            <w:tcW w:w="815" w:type="dxa"/>
            <w:tcBorders>
              <w:tl2br w:val="nil"/>
              <w:tr2bl w:val="nil"/>
            </w:tcBorders>
            <w:noWrap w:val="0"/>
            <w:vAlign w:val="center"/>
          </w:tcPr>
          <w:p w14:paraId="5EDB49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符合</w:t>
            </w:r>
          </w:p>
        </w:tc>
      </w:tr>
      <w:tr w14:paraId="705F838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58872E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p>
        </w:tc>
        <w:tc>
          <w:tcPr>
            <w:tcW w:w="3063" w:type="dxa"/>
            <w:tcBorders>
              <w:tl2br w:val="nil"/>
              <w:tr2bl w:val="nil"/>
            </w:tcBorders>
            <w:noWrap w:val="0"/>
            <w:vAlign w:val="center"/>
          </w:tcPr>
          <w:p w14:paraId="5566F1C0">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sz w:val="21"/>
                <w:szCs w:val="21"/>
                <w:highlight w:val="none"/>
                <w:lang w:val="en-US" w:eastAsia="zh-CN"/>
              </w:rPr>
              <w:t>40</w:t>
            </w:r>
            <w:r>
              <w:rPr>
                <w:rFonts w:hint="default" w:ascii="Times New Roman" w:hAnsi="Times New Roman" w:eastAsia="宋体" w:cs="Times New Roman"/>
                <w:b w:val="0"/>
                <w:bCs w:val="0"/>
                <w:color w:val="auto"/>
                <w:sz w:val="21"/>
                <w:szCs w:val="21"/>
                <w:highlight w:val="none"/>
              </w:rPr>
              <w:t>、与储罐等设备连接的管道，应使其管系具有足够的柔性，并应满足设备管口的允许受力要求</w:t>
            </w:r>
          </w:p>
        </w:tc>
        <w:tc>
          <w:tcPr>
            <w:tcW w:w="2261" w:type="dxa"/>
            <w:tcBorders>
              <w:tl2br w:val="nil"/>
              <w:tr2bl w:val="nil"/>
            </w:tcBorders>
            <w:noWrap w:val="0"/>
            <w:vAlign w:val="center"/>
          </w:tcPr>
          <w:p w14:paraId="11B2B6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《石油库设计规范》第9.1.10条</w:t>
            </w:r>
          </w:p>
        </w:tc>
        <w:tc>
          <w:tcPr>
            <w:tcW w:w="2292" w:type="dxa"/>
            <w:tcBorders>
              <w:tl2br w:val="nil"/>
              <w:tr2bl w:val="nil"/>
            </w:tcBorders>
            <w:noWrap w:val="0"/>
            <w:vAlign w:val="center"/>
          </w:tcPr>
          <w:p w14:paraId="36BD2ED0">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储罐等设备连接的管道均采用柔性连接方式</w:t>
            </w:r>
          </w:p>
        </w:tc>
        <w:tc>
          <w:tcPr>
            <w:tcW w:w="815" w:type="dxa"/>
            <w:tcBorders>
              <w:tl2br w:val="nil"/>
              <w:tr2bl w:val="nil"/>
            </w:tcBorders>
            <w:noWrap w:val="0"/>
            <w:vAlign w:val="center"/>
          </w:tcPr>
          <w:p w14:paraId="7A44A8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符合</w:t>
            </w:r>
          </w:p>
        </w:tc>
      </w:tr>
      <w:tr w14:paraId="6565621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5FDB07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p>
        </w:tc>
        <w:tc>
          <w:tcPr>
            <w:tcW w:w="3063" w:type="dxa"/>
            <w:tcBorders>
              <w:tl2br w:val="nil"/>
              <w:tr2bl w:val="nil"/>
            </w:tcBorders>
            <w:noWrap w:val="0"/>
            <w:vAlign w:val="center"/>
          </w:tcPr>
          <w:p w14:paraId="4D04CEF1">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sz w:val="21"/>
                <w:szCs w:val="21"/>
                <w:highlight w:val="none"/>
                <w:lang w:val="en-US" w:eastAsia="zh-CN"/>
              </w:rPr>
              <w:t>41</w:t>
            </w:r>
            <w:r>
              <w:rPr>
                <w:rFonts w:hint="default" w:ascii="Times New Roman" w:hAnsi="Times New Roman" w:eastAsia="宋体" w:cs="Times New Roman"/>
                <w:b w:val="0"/>
                <w:bCs w:val="0"/>
                <w:color w:val="auto"/>
                <w:sz w:val="21"/>
                <w:szCs w:val="21"/>
                <w:highlight w:val="none"/>
              </w:rPr>
              <w:t>、工艺管道上的阀门，应选用钢制阀门</w:t>
            </w:r>
          </w:p>
        </w:tc>
        <w:tc>
          <w:tcPr>
            <w:tcW w:w="2261" w:type="dxa"/>
            <w:tcBorders>
              <w:tl2br w:val="nil"/>
              <w:tr2bl w:val="nil"/>
            </w:tcBorders>
            <w:noWrap w:val="0"/>
            <w:vAlign w:val="center"/>
          </w:tcPr>
          <w:p w14:paraId="3AF42A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《石油库设计规范》第9.1.12条</w:t>
            </w:r>
          </w:p>
        </w:tc>
        <w:tc>
          <w:tcPr>
            <w:tcW w:w="2292" w:type="dxa"/>
            <w:tcBorders>
              <w:tl2br w:val="nil"/>
              <w:tr2bl w:val="nil"/>
            </w:tcBorders>
            <w:noWrap w:val="0"/>
            <w:vAlign w:val="center"/>
          </w:tcPr>
          <w:p w14:paraId="106C2B8E">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工艺管道上的阀门，均采用钢制阀门</w:t>
            </w:r>
          </w:p>
        </w:tc>
        <w:tc>
          <w:tcPr>
            <w:tcW w:w="815" w:type="dxa"/>
            <w:tcBorders>
              <w:tl2br w:val="nil"/>
              <w:tr2bl w:val="nil"/>
            </w:tcBorders>
            <w:noWrap w:val="0"/>
            <w:vAlign w:val="center"/>
          </w:tcPr>
          <w:p w14:paraId="440C0B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符合</w:t>
            </w:r>
          </w:p>
        </w:tc>
      </w:tr>
      <w:tr w14:paraId="13F0FE7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026D31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p>
        </w:tc>
        <w:tc>
          <w:tcPr>
            <w:tcW w:w="3063" w:type="dxa"/>
            <w:tcBorders>
              <w:tl2br w:val="nil"/>
              <w:tr2bl w:val="nil"/>
            </w:tcBorders>
            <w:noWrap w:val="0"/>
            <w:vAlign w:val="center"/>
          </w:tcPr>
          <w:p w14:paraId="6C636921">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sz w:val="21"/>
                <w:szCs w:val="21"/>
                <w:highlight w:val="none"/>
                <w:lang w:val="en-US" w:eastAsia="zh-CN"/>
              </w:rPr>
              <w:t>42</w:t>
            </w:r>
            <w:r>
              <w:rPr>
                <w:rFonts w:hint="default" w:ascii="Times New Roman" w:hAnsi="Times New Roman" w:eastAsia="宋体" w:cs="Times New Roman"/>
                <w:b w:val="0"/>
                <w:bCs w:val="0"/>
                <w:color w:val="auto"/>
                <w:sz w:val="21"/>
                <w:szCs w:val="21"/>
                <w:highlight w:val="none"/>
              </w:rPr>
              <w:t xml:space="preserve">、钢管及其附件的外表面，必须涂刷防腐涂层，埋地钢管尚采取防腐绝缘或其它防护措施 </w:t>
            </w:r>
          </w:p>
        </w:tc>
        <w:tc>
          <w:tcPr>
            <w:tcW w:w="2261" w:type="dxa"/>
            <w:tcBorders>
              <w:tl2br w:val="nil"/>
              <w:tr2bl w:val="nil"/>
            </w:tcBorders>
            <w:noWrap w:val="0"/>
            <w:vAlign w:val="center"/>
          </w:tcPr>
          <w:p w14:paraId="1CDA38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《石油库设计规范》第9.1.13条</w:t>
            </w:r>
          </w:p>
        </w:tc>
        <w:tc>
          <w:tcPr>
            <w:tcW w:w="2292" w:type="dxa"/>
            <w:tcBorders>
              <w:tl2br w:val="nil"/>
              <w:tr2bl w:val="nil"/>
            </w:tcBorders>
            <w:noWrap w:val="0"/>
            <w:vAlign w:val="center"/>
          </w:tcPr>
          <w:p w14:paraId="3C70C45C">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管道表面涂有防腐涂层</w:t>
            </w:r>
          </w:p>
        </w:tc>
        <w:tc>
          <w:tcPr>
            <w:tcW w:w="815" w:type="dxa"/>
            <w:tcBorders>
              <w:tl2br w:val="nil"/>
              <w:tr2bl w:val="nil"/>
            </w:tcBorders>
            <w:noWrap w:val="0"/>
            <w:vAlign w:val="center"/>
          </w:tcPr>
          <w:p w14:paraId="392EEE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符合</w:t>
            </w:r>
          </w:p>
        </w:tc>
      </w:tr>
      <w:tr w14:paraId="24AB6DF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7EB78B9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p>
        </w:tc>
        <w:tc>
          <w:tcPr>
            <w:tcW w:w="3063" w:type="dxa"/>
            <w:tcBorders>
              <w:tl2br w:val="nil"/>
              <w:tr2bl w:val="nil"/>
            </w:tcBorders>
            <w:noWrap w:val="0"/>
            <w:vAlign w:val="top"/>
          </w:tcPr>
          <w:p w14:paraId="6D8BFCFD">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43</w:t>
            </w:r>
            <w:r>
              <w:rPr>
                <w:rFonts w:hint="default" w:ascii="Times New Roman" w:hAnsi="Times New Roman" w:eastAsia="宋体" w:cs="Times New Roman"/>
                <w:b w:val="0"/>
                <w:bCs w:val="0"/>
                <w:color w:val="auto"/>
                <w:sz w:val="21"/>
                <w:szCs w:val="21"/>
                <w:highlight w:val="none"/>
                <w:lang w:val="en-US" w:eastAsia="zh-CN"/>
              </w:rPr>
              <w:t>、热力管道不得与甲、乙、丙 A 类液体管道敷设在同一条管沟内。</w:t>
            </w:r>
          </w:p>
        </w:tc>
        <w:tc>
          <w:tcPr>
            <w:tcW w:w="2261" w:type="dxa"/>
            <w:tcBorders>
              <w:tl2br w:val="nil"/>
              <w:tr2bl w:val="nil"/>
            </w:tcBorders>
            <w:noWrap w:val="0"/>
            <w:vAlign w:val="top"/>
          </w:tcPr>
          <w:p w14:paraId="71D947F1">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GB50074-2014</w:t>
            </w:r>
          </w:p>
          <w:p w14:paraId="295ABEA8">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第 9.1. 15 条</w:t>
            </w:r>
          </w:p>
        </w:tc>
        <w:tc>
          <w:tcPr>
            <w:tcW w:w="2292" w:type="dxa"/>
            <w:tcBorders>
              <w:tl2br w:val="nil"/>
              <w:tr2bl w:val="nil"/>
            </w:tcBorders>
            <w:noWrap w:val="0"/>
            <w:vAlign w:val="top"/>
          </w:tcPr>
          <w:p w14:paraId="1955CE7A">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不敷设在同一管沟内。</w:t>
            </w:r>
          </w:p>
        </w:tc>
        <w:tc>
          <w:tcPr>
            <w:tcW w:w="815" w:type="dxa"/>
            <w:tcBorders>
              <w:tl2br w:val="nil"/>
              <w:tr2bl w:val="nil"/>
            </w:tcBorders>
            <w:noWrap w:val="0"/>
            <w:textDirection w:val="tbRlV"/>
            <w:vAlign w:val="top"/>
          </w:tcPr>
          <w:p w14:paraId="519916C0">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符合</w:t>
            </w:r>
          </w:p>
        </w:tc>
      </w:tr>
      <w:tr w14:paraId="5BA70F6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44F29E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p>
        </w:tc>
        <w:tc>
          <w:tcPr>
            <w:tcW w:w="3063" w:type="dxa"/>
            <w:tcBorders>
              <w:tl2br w:val="nil"/>
              <w:tr2bl w:val="nil"/>
            </w:tcBorders>
            <w:noWrap w:val="0"/>
            <w:vAlign w:val="center"/>
          </w:tcPr>
          <w:p w14:paraId="7314C71F">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sz w:val="21"/>
                <w:szCs w:val="21"/>
                <w:highlight w:val="none"/>
                <w:lang w:val="en-US" w:eastAsia="zh-CN"/>
              </w:rPr>
              <w:t>44</w:t>
            </w:r>
            <w:r>
              <w:rPr>
                <w:rFonts w:hint="default" w:ascii="Times New Roman" w:hAnsi="Times New Roman" w:eastAsia="宋体" w:cs="Times New Roman"/>
                <w:b w:val="0"/>
                <w:bCs w:val="0"/>
                <w:color w:val="auto"/>
                <w:sz w:val="21"/>
                <w:szCs w:val="21"/>
                <w:highlight w:val="none"/>
              </w:rPr>
              <w:t>、工艺管道不得穿越或跨越与其无关的易燃和可燃液体的储罐组、装卸设施及泵站等建（构）筑物</w:t>
            </w:r>
          </w:p>
        </w:tc>
        <w:tc>
          <w:tcPr>
            <w:tcW w:w="2261" w:type="dxa"/>
            <w:tcBorders>
              <w:tl2br w:val="nil"/>
              <w:tr2bl w:val="nil"/>
            </w:tcBorders>
            <w:noWrap w:val="0"/>
            <w:vAlign w:val="center"/>
          </w:tcPr>
          <w:p w14:paraId="362199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《石油库设计规范》第9.1.17条</w:t>
            </w:r>
          </w:p>
        </w:tc>
        <w:tc>
          <w:tcPr>
            <w:tcW w:w="2292" w:type="dxa"/>
            <w:tcBorders>
              <w:tl2br w:val="nil"/>
              <w:tr2bl w:val="nil"/>
            </w:tcBorders>
            <w:noWrap w:val="0"/>
            <w:vAlign w:val="center"/>
          </w:tcPr>
          <w:p w14:paraId="433E1412">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工艺管道未穿越或跨越与其无关的易燃和可燃液体的储罐组、装卸设施及泵站等建（构）筑物</w:t>
            </w:r>
          </w:p>
        </w:tc>
        <w:tc>
          <w:tcPr>
            <w:tcW w:w="815" w:type="dxa"/>
            <w:tcBorders>
              <w:tl2br w:val="nil"/>
              <w:tr2bl w:val="nil"/>
            </w:tcBorders>
            <w:noWrap w:val="0"/>
            <w:vAlign w:val="center"/>
          </w:tcPr>
          <w:p w14:paraId="2149333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rPr>
              <w:t>符合</w:t>
            </w:r>
          </w:p>
        </w:tc>
      </w:tr>
      <w:tr w14:paraId="39AEF37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4E0650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p>
        </w:tc>
        <w:tc>
          <w:tcPr>
            <w:tcW w:w="3063" w:type="dxa"/>
            <w:tcBorders>
              <w:tl2br w:val="nil"/>
              <w:tr2bl w:val="nil"/>
            </w:tcBorders>
            <w:noWrap w:val="0"/>
            <w:vAlign w:val="center"/>
          </w:tcPr>
          <w:p w14:paraId="26274D95">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45、输送可燃性物料并有可能产生火焰蔓延的放空管和管道间应设置阻火器、水封等阻火设施。</w:t>
            </w:r>
          </w:p>
        </w:tc>
        <w:tc>
          <w:tcPr>
            <w:tcW w:w="2261" w:type="dxa"/>
            <w:tcBorders>
              <w:tl2br w:val="nil"/>
              <w:tr2bl w:val="nil"/>
            </w:tcBorders>
            <w:noWrap w:val="0"/>
            <w:vAlign w:val="center"/>
          </w:tcPr>
          <w:p w14:paraId="357100B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《化工企业安全卫生设计规范》</w:t>
            </w:r>
          </w:p>
          <w:p w14:paraId="46E1AE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（HG20571-2014）</w:t>
            </w:r>
          </w:p>
          <w:p w14:paraId="3BE502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第4.1.11条</w:t>
            </w:r>
          </w:p>
        </w:tc>
        <w:tc>
          <w:tcPr>
            <w:tcW w:w="2292" w:type="dxa"/>
            <w:tcBorders>
              <w:tl2br w:val="nil"/>
              <w:tr2bl w:val="nil"/>
            </w:tcBorders>
            <w:noWrap w:val="0"/>
            <w:vAlign w:val="center"/>
          </w:tcPr>
          <w:p w14:paraId="29B9B1F4">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设有阻火设施。</w:t>
            </w:r>
          </w:p>
        </w:tc>
        <w:tc>
          <w:tcPr>
            <w:tcW w:w="815" w:type="dxa"/>
            <w:tcBorders>
              <w:tl2br w:val="nil"/>
              <w:tr2bl w:val="nil"/>
            </w:tcBorders>
            <w:noWrap w:val="0"/>
            <w:vAlign w:val="center"/>
          </w:tcPr>
          <w:p w14:paraId="7A8DB2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符合</w:t>
            </w:r>
          </w:p>
        </w:tc>
      </w:tr>
      <w:tr w14:paraId="4D0491C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0ED77D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p>
        </w:tc>
        <w:tc>
          <w:tcPr>
            <w:tcW w:w="3063" w:type="dxa"/>
            <w:tcBorders>
              <w:tl2br w:val="nil"/>
              <w:tr2bl w:val="nil"/>
            </w:tcBorders>
            <w:noWrap w:val="0"/>
            <w:vAlign w:val="center"/>
          </w:tcPr>
          <w:p w14:paraId="71A08E9F">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46、生产设备不应在振动、风载或其他可预见的外载荷作用下倾覆或产生允许范围外的运动。</w:t>
            </w:r>
          </w:p>
        </w:tc>
        <w:tc>
          <w:tcPr>
            <w:tcW w:w="2261" w:type="dxa"/>
            <w:tcBorders>
              <w:tl2br w:val="nil"/>
              <w:tr2bl w:val="nil"/>
            </w:tcBorders>
            <w:noWrap w:val="0"/>
            <w:vAlign w:val="center"/>
          </w:tcPr>
          <w:p w14:paraId="764BFE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《生产设备安全卫生设计总则》</w:t>
            </w:r>
          </w:p>
          <w:p w14:paraId="3971E6B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（GB 5083-1999）</w:t>
            </w:r>
          </w:p>
          <w:p w14:paraId="5F1EAFC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第5.3.1条</w:t>
            </w:r>
          </w:p>
        </w:tc>
        <w:tc>
          <w:tcPr>
            <w:tcW w:w="2292" w:type="dxa"/>
            <w:tcBorders>
              <w:tl2br w:val="nil"/>
              <w:tr2bl w:val="nil"/>
            </w:tcBorders>
            <w:noWrap w:val="0"/>
            <w:vAlign w:val="center"/>
          </w:tcPr>
          <w:p w14:paraId="5194495B">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未在振动、风载或其他可预见的外载荷作用下倾覆或产生允许范围外的运动。</w:t>
            </w:r>
          </w:p>
        </w:tc>
        <w:tc>
          <w:tcPr>
            <w:tcW w:w="815" w:type="dxa"/>
            <w:tcBorders>
              <w:tl2br w:val="nil"/>
              <w:tr2bl w:val="nil"/>
            </w:tcBorders>
            <w:noWrap w:val="0"/>
            <w:vAlign w:val="center"/>
          </w:tcPr>
          <w:p w14:paraId="5C144A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符合</w:t>
            </w:r>
          </w:p>
        </w:tc>
      </w:tr>
      <w:tr w14:paraId="0F66F40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731" w:type="dxa"/>
            <w:vMerge w:val="continue"/>
            <w:tcBorders>
              <w:tl2br w:val="nil"/>
              <w:tr2bl w:val="nil"/>
            </w:tcBorders>
            <w:noWrap w:val="0"/>
            <w:vAlign w:val="center"/>
          </w:tcPr>
          <w:p w14:paraId="170F7F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lang w:eastAsia="zh-CN"/>
              </w:rPr>
            </w:pPr>
          </w:p>
        </w:tc>
        <w:tc>
          <w:tcPr>
            <w:tcW w:w="3063" w:type="dxa"/>
            <w:tcBorders>
              <w:tl2br w:val="nil"/>
              <w:tr2bl w:val="nil"/>
            </w:tcBorders>
            <w:noWrap w:val="0"/>
            <w:vAlign w:val="center"/>
          </w:tcPr>
          <w:p w14:paraId="14D967F2">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47、具有超压危险的生产设备和管道应设计安全阀、爆破片等泄压系统。</w:t>
            </w:r>
          </w:p>
        </w:tc>
        <w:tc>
          <w:tcPr>
            <w:tcW w:w="2261" w:type="dxa"/>
            <w:tcBorders>
              <w:tl2br w:val="nil"/>
              <w:tr2bl w:val="nil"/>
            </w:tcBorders>
            <w:noWrap w:val="0"/>
            <w:vAlign w:val="center"/>
          </w:tcPr>
          <w:p w14:paraId="6BBA18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《化工企业安全卫生设计规范》</w:t>
            </w:r>
          </w:p>
          <w:p w14:paraId="0B1A47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（HG20571-2014）</w:t>
            </w:r>
          </w:p>
          <w:p w14:paraId="05F463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第4.1.10条</w:t>
            </w:r>
          </w:p>
        </w:tc>
        <w:tc>
          <w:tcPr>
            <w:tcW w:w="2292" w:type="dxa"/>
            <w:tcBorders>
              <w:tl2br w:val="nil"/>
              <w:tr2bl w:val="nil"/>
            </w:tcBorders>
            <w:noWrap w:val="0"/>
            <w:vAlign w:val="center"/>
          </w:tcPr>
          <w:p w14:paraId="0E405A26">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按要求设置泄压</w:t>
            </w:r>
            <w:r>
              <w:rPr>
                <w:rFonts w:hint="eastAsia" w:ascii="Times New Roman" w:hAnsi="Times New Roman" w:eastAsia="宋体" w:cs="Times New Roman"/>
                <w:b w:val="0"/>
                <w:bCs w:val="0"/>
                <w:color w:val="auto"/>
                <w:sz w:val="21"/>
                <w:szCs w:val="21"/>
                <w:highlight w:val="none"/>
                <w:lang w:val="en-US" w:eastAsia="zh-CN"/>
              </w:rPr>
              <w:t>系</w:t>
            </w:r>
            <w:r>
              <w:rPr>
                <w:rFonts w:hint="default" w:ascii="Times New Roman" w:hAnsi="Times New Roman" w:eastAsia="宋体" w:cs="Times New Roman"/>
                <w:b w:val="0"/>
                <w:bCs w:val="0"/>
                <w:color w:val="auto"/>
                <w:sz w:val="21"/>
                <w:szCs w:val="21"/>
                <w:highlight w:val="none"/>
              </w:rPr>
              <w:t>统。</w:t>
            </w:r>
          </w:p>
        </w:tc>
        <w:tc>
          <w:tcPr>
            <w:tcW w:w="815" w:type="dxa"/>
            <w:tcBorders>
              <w:tl2br w:val="nil"/>
              <w:tr2bl w:val="nil"/>
            </w:tcBorders>
            <w:noWrap w:val="0"/>
            <w:vAlign w:val="center"/>
          </w:tcPr>
          <w:p w14:paraId="4634BA0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符合</w:t>
            </w:r>
          </w:p>
        </w:tc>
      </w:tr>
    </w:tbl>
    <w:p w14:paraId="2155EE91">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r>
        <w:rPr>
          <w:rFonts w:hint="eastAsia" w:ascii="Times New Roman" w:hAnsi="Times New Roman" w:eastAsia="宋体" w:cs="Times New Roman"/>
          <w:sz w:val="28"/>
          <w:szCs w:val="28"/>
          <w14:ligatures w14:val="none"/>
        </w:rPr>
        <w:t>小结：通过对</w:t>
      </w:r>
      <w:r>
        <w:rPr>
          <w:rFonts w:hint="eastAsia" w:ascii="Times New Roman" w:hAnsi="Times New Roman" w:eastAsia="宋体" w:cs="Times New Roman"/>
          <w:sz w:val="28"/>
          <w:szCs w:val="28"/>
          <w:lang w:val="en-US" w:eastAsia="zh-CN"/>
          <w14:ligatures w14:val="none"/>
        </w:rPr>
        <w:t>工艺及设施</w:t>
      </w:r>
      <w:r>
        <w:rPr>
          <w:rFonts w:hint="eastAsia" w:ascii="Times New Roman" w:hAnsi="Times New Roman" w:eastAsia="宋体" w:cs="Times New Roman"/>
          <w:sz w:val="28"/>
          <w:szCs w:val="28"/>
          <w14:ligatures w14:val="none"/>
        </w:rPr>
        <w:t>单元</w:t>
      </w:r>
      <w:r>
        <w:rPr>
          <w:rFonts w:hint="eastAsia" w:ascii="Times New Roman" w:hAnsi="Times New Roman" w:eastAsia="宋体" w:cs="Times New Roman"/>
          <w:sz w:val="28"/>
          <w:szCs w:val="28"/>
          <w:highlight w:val="none"/>
          <w14:ligatures w14:val="none"/>
        </w:rPr>
        <w:t>进行</w:t>
      </w:r>
      <w:r>
        <w:rPr>
          <w:rFonts w:hint="eastAsia" w:ascii="Times New Roman" w:hAnsi="Times New Roman" w:eastAsia="宋体" w:cs="Times New Roman"/>
          <w:sz w:val="28"/>
          <w:szCs w:val="28"/>
          <w:highlight w:val="none"/>
          <w:lang w:val="en-US" w:eastAsia="zh-CN"/>
          <w14:ligatures w14:val="none"/>
        </w:rPr>
        <w:t>检查</w:t>
      </w:r>
      <w:r>
        <w:rPr>
          <w:rFonts w:hint="eastAsia" w:ascii="Times New Roman" w:hAnsi="Times New Roman" w:eastAsia="宋体" w:cs="Times New Roman"/>
          <w:sz w:val="28"/>
          <w:szCs w:val="28"/>
          <w:highlight w:val="none"/>
          <w14:ligatures w14:val="none"/>
        </w:rPr>
        <w:t>，共检查</w:t>
      </w:r>
      <w:r>
        <w:rPr>
          <w:rFonts w:hint="eastAsia" w:ascii="Times New Roman" w:hAnsi="Times New Roman" w:eastAsia="宋体" w:cs="Times New Roman"/>
          <w:sz w:val="28"/>
          <w:szCs w:val="28"/>
          <w:highlight w:val="none"/>
          <w:lang w:val="en-US" w:eastAsia="zh-CN"/>
          <w14:ligatures w14:val="none"/>
        </w:rPr>
        <w:t>47</w:t>
      </w:r>
      <w:r>
        <w:rPr>
          <w:rFonts w:hint="eastAsia" w:ascii="Times New Roman" w:hAnsi="Times New Roman" w:eastAsia="宋体" w:cs="Times New Roman"/>
          <w:sz w:val="28"/>
          <w:szCs w:val="28"/>
          <w:highlight w:val="none"/>
          <w14:ligatures w14:val="none"/>
        </w:rPr>
        <w:t>项，</w:t>
      </w:r>
      <w:r>
        <w:rPr>
          <w:rFonts w:hint="eastAsia" w:ascii="Times New Roman" w:hAnsi="Times New Roman" w:eastAsia="宋体" w:cs="Times New Roman"/>
          <w:sz w:val="28"/>
          <w:szCs w:val="28"/>
          <w:highlight w:val="none"/>
          <w:lang w:val="en-US" w:eastAsia="zh-CN"/>
          <w14:ligatures w14:val="none"/>
        </w:rPr>
        <w:t>均</w:t>
      </w:r>
      <w:r>
        <w:rPr>
          <w:rFonts w:hint="eastAsia" w:ascii="Times New Roman" w:hAnsi="Times New Roman" w:eastAsia="宋体" w:cs="Times New Roman"/>
          <w:sz w:val="28"/>
          <w:szCs w:val="28"/>
          <w:highlight w:val="none"/>
          <w14:ligatures w14:val="none"/>
        </w:rPr>
        <w:t>符合相关要求</w:t>
      </w:r>
      <w:r>
        <w:rPr>
          <w:rFonts w:hint="eastAsia" w:ascii="Times New Roman" w:hAnsi="Times New Roman" w:eastAsia="宋体" w:cs="Times New Roman"/>
          <w:sz w:val="28"/>
          <w:szCs w:val="28"/>
          <w:highlight w:val="none"/>
          <w:lang w:eastAsia="zh-CN"/>
          <w14:ligatures w14:val="none"/>
        </w:rPr>
        <w:t>。</w:t>
      </w:r>
    </w:p>
    <w:p w14:paraId="7F146B15">
      <w:pPr>
        <w:keepNext/>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34" w:name="_Toc7171"/>
      <w:r>
        <w:rPr>
          <w:rFonts w:hint="eastAsia" w:ascii="Times New Roman" w:hAnsi="Times New Roman" w:eastAsia="楷体" w:cs="黑体"/>
          <w:b/>
          <w:sz w:val="32"/>
          <w:szCs w:val="32"/>
          <w14:ligatures w14:val="none"/>
        </w:rPr>
        <w:t>5.4公辅工程及辅助设施单元</w:t>
      </w:r>
      <w:bookmarkEnd w:id="134"/>
    </w:p>
    <w:p w14:paraId="4D5CF4F2">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采用安全检查表法对</w:t>
      </w:r>
      <w:r>
        <w:rPr>
          <w:rFonts w:hint="eastAsia" w:ascii="Times New Roman" w:hAnsi="Times New Roman" w:eastAsia="宋体" w:cs="Times New Roman"/>
          <w:sz w:val="28"/>
          <w:szCs w:val="28"/>
          <w:lang w:eastAsia="zh-CN"/>
          <w14:ligatures w14:val="none"/>
        </w:rPr>
        <w:t>国能安储（东港）燃料供应有限公司</w:t>
      </w:r>
      <w:r>
        <w:rPr>
          <w:rFonts w:hint="eastAsia" w:ascii="Times New Roman" w:hAnsi="Times New Roman" w:eastAsia="宋体" w:cs="Times New Roman"/>
          <w:sz w:val="28"/>
          <w:szCs w:val="28"/>
          <w14:ligatures w14:val="none"/>
        </w:rPr>
        <w:t>公辅工程及辅助设施情况进行评价分析，见表5.4-1。</w:t>
      </w:r>
    </w:p>
    <w:p w14:paraId="02AB8F28">
      <w:pPr>
        <w:keepNext/>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r>
        <w:rPr>
          <w:rFonts w:hint="eastAsia" w:ascii="Times New Roman" w:hAnsi="Times New Roman" w:eastAsia="黑体" w:cs="Times New Roman"/>
          <w:sz w:val="24"/>
          <w14:ligatures w14:val="none"/>
        </w:rPr>
        <w:t>表5.4-1  公辅工程及辅助设施单元安全检查表</w:t>
      </w:r>
    </w:p>
    <w:tbl>
      <w:tblPr>
        <w:tblStyle w:val="14"/>
        <w:tblW w:w="5000" w:type="pct"/>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792"/>
        <w:gridCol w:w="3300"/>
        <w:gridCol w:w="2350"/>
        <w:gridCol w:w="2179"/>
        <w:gridCol w:w="779"/>
      </w:tblGrid>
      <w:tr w14:paraId="6707159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PrEx>
        <w:trPr>
          <w:trHeight w:val="601" w:hRule="atLeast"/>
          <w:tblHeader/>
        </w:trPr>
        <w:tc>
          <w:tcPr>
            <w:tcW w:w="421" w:type="pct"/>
            <w:tcBorders>
              <w:tl2br w:val="nil"/>
              <w:tr2bl w:val="nil"/>
            </w:tcBorders>
            <w:noWrap w:val="0"/>
            <w:vAlign w:val="center"/>
          </w:tcPr>
          <w:p w14:paraId="73D46088">
            <w:pPr>
              <w:spacing w:after="0" w:line="240" w:lineRule="auto"/>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项目</w:t>
            </w:r>
          </w:p>
        </w:tc>
        <w:tc>
          <w:tcPr>
            <w:tcW w:w="1754" w:type="pct"/>
            <w:tcBorders>
              <w:tl2br w:val="nil"/>
              <w:tr2bl w:val="nil"/>
            </w:tcBorders>
            <w:noWrap w:val="0"/>
            <w:vAlign w:val="center"/>
          </w:tcPr>
          <w:p w14:paraId="5F85A9FB">
            <w:pPr>
              <w:spacing w:after="0" w:line="240" w:lineRule="auto"/>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检  查  内  容</w:t>
            </w:r>
          </w:p>
        </w:tc>
        <w:tc>
          <w:tcPr>
            <w:tcW w:w="1249" w:type="pct"/>
            <w:tcBorders>
              <w:tl2br w:val="nil"/>
              <w:tr2bl w:val="nil"/>
            </w:tcBorders>
            <w:noWrap w:val="0"/>
            <w:vAlign w:val="center"/>
          </w:tcPr>
          <w:p w14:paraId="5F4099EB">
            <w:pPr>
              <w:spacing w:after="0" w:line="240" w:lineRule="auto"/>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检查依据</w:t>
            </w:r>
          </w:p>
        </w:tc>
        <w:tc>
          <w:tcPr>
            <w:tcW w:w="1158" w:type="pct"/>
            <w:tcBorders>
              <w:tl2br w:val="nil"/>
              <w:tr2bl w:val="nil"/>
            </w:tcBorders>
            <w:noWrap w:val="0"/>
            <w:vAlign w:val="center"/>
          </w:tcPr>
          <w:p w14:paraId="77F9D7FA">
            <w:pPr>
              <w:spacing w:after="0" w:line="240" w:lineRule="auto"/>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检查记录</w:t>
            </w:r>
          </w:p>
        </w:tc>
        <w:tc>
          <w:tcPr>
            <w:tcW w:w="414" w:type="pct"/>
            <w:tcBorders>
              <w:tl2br w:val="nil"/>
              <w:tr2bl w:val="nil"/>
            </w:tcBorders>
            <w:noWrap w:val="0"/>
            <w:vAlign w:val="center"/>
          </w:tcPr>
          <w:p w14:paraId="7AC9BA94">
            <w:pPr>
              <w:spacing w:after="0" w:line="240" w:lineRule="auto"/>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结论</w:t>
            </w:r>
          </w:p>
        </w:tc>
      </w:tr>
      <w:tr w14:paraId="596AA66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restart"/>
            <w:tcBorders>
              <w:tl2br w:val="nil"/>
              <w:tr2bl w:val="nil"/>
            </w:tcBorders>
            <w:noWrap w:val="0"/>
            <w:vAlign w:val="center"/>
          </w:tcPr>
          <w:p w14:paraId="04D35E27">
            <w:pPr>
              <w:spacing w:after="0" w:line="240" w:lineRule="auto"/>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消防设施</w:t>
            </w:r>
          </w:p>
        </w:tc>
        <w:tc>
          <w:tcPr>
            <w:tcW w:w="1754" w:type="pct"/>
            <w:tcBorders>
              <w:tl2br w:val="nil"/>
              <w:tr2bl w:val="nil"/>
            </w:tcBorders>
            <w:noWrap w:val="0"/>
            <w:vAlign w:val="center"/>
          </w:tcPr>
          <w:p w14:paraId="6EF627F1">
            <w:pPr>
              <w:spacing w:after="0" w:line="240" w:lineRule="auto"/>
              <w:jc w:val="both"/>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1、油库应设消防设施</w:t>
            </w:r>
          </w:p>
        </w:tc>
        <w:tc>
          <w:tcPr>
            <w:tcW w:w="1249" w:type="pct"/>
            <w:tcBorders>
              <w:tl2br w:val="nil"/>
              <w:tr2bl w:val="nil"/>
            </w:tcBorders>
            <w:noWrap w:val="0"/>
            <w:vAlign w:val="center"/>
          </w:tcPr>
          <w:p w14:paraId="64A5CDB0">
            <w:pPr>
              <w:spacing w:after="0" w:line="240" w:lineRule="auto"/>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《石油库设计规范》第12.1.1条</w:t>
            </w:r>
          </w:p>
        </w:tc>
        <w:tc>
          <w:tcPr>
            <w:tcW w:w="1158" w:type="pct"/>
            <w:tcBorders>
              <w:tl2br w:val="nil"/>
              <w:tr2bl w:val="nil"/>
            </w:tcBorders>
            <w:noWrap w:val="0"/>
            <w:vAlign w:val="center"/>
          </w:tcPr>
          <w:p w14:paraId="5F96B96C">
            <w:pPr>
              <w:spacing w:after="0" w:line="240" w:lineRule="auto"/>
              <w:jc w:val="both"/>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油库</w:t>
            </w:r>
            <w:r>
              <w:rPr>
                <w:rFonts w:ascii="Times New Roman" w:hAnsi="Times New Roman" w:eastAsia="宋体" w:cs="Times New Roman"/>
                <w:b w:val="0"/>
                <w:bCs w:val="0"/>
                <w:color w:val="auto"/>
                <w:spacing w:val="12"/>
                <w:sz w:val="21"/>
                <w:szCs w:val="21"/>
                <w:highlight w:val="none"/>
                <w14:ligatures w14:val="none"/>
              </w:rPr>
              <w:t>设有</w:t>
            </w:r>
            <w:r>
              <w:rPr>
                <w:rFonts w:ascii="Times New Roman" w:hAnsi="Times New Roman" w:eastAsia="宋体" w:cs="Times New Roman"/>
                <w:b w:val="0"/>
                <w:bCs w:val="0"/>
                <w:color w:val="auto"/>
                <w:sz w:val="21"/>
                <w:szCs w:val="21"/>
                <w:highlight w:val="none"/>
                <w14:ligatures w14:val="none"/>
              </w:rPr>
              <w:t>消防设施</w:t>
            </w:r>
          </w:p>
        </w:tc>
        <w:tc>
          <w:tcPr>
            <w:tcW w:w="414" w:type="pct"/>
            <w:tcBorders>
              <w:tl2br w:val="nil"/>
              <w:tr2bl w:val="nil"/>
            </w:tcBorders>
            <w:noWrap w:val="0"/>
            <w:vAlign w:val="center"/>
          </w:tcPr>
          <w:p w14:paraId="387AE08A">
            <w:pPr>
              <w:spacing w:after="0" w:line="240" w:lineRule="auto"/>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426EADE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5DEF78E2">
            <w:pPr>
              <w:spacing w:after="0" w:line="240" w:lineRule="auto"/>
              <w:jc w:val="center"/>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4FF3C017">
            <w:pPr>
              <w:spacing w:after="0" w:line="240" w:lineRule="auto"/>
              <w:jc w:val="both"/>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2、储罐应设置泡沫灭火系统</w:t>
            </w:r>
          </w:p>
        </w:tc>
        <w:tc>
          <w:tcPr>
            <w:tcW w:w="1249" w:type="pct"/>
            <w:tcBorders>
              <w:tl2br w:val="nil"/>
              <w:tr2bl w:val="nil"/>
            </w:tcBorders>
            <w:noWrap w:val="0"/>
            <w:vAlign w:val="center"/>
          </w:tcPr>
          <w:p w14:paraId="19ED85A6">
            <w:pPr>
              <w:spacing w:after="0" w:line="240" w:lineRule="auto"/>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《石油库设计规范》第12.1.2条</w:t>
            </w:r>
          </w:p>
        </w:tc>
        <w:tc>
          <w:tcPr>
            <w:tcW w:w="1158" w:type="pct"/>
            <w:tcBorders>
              <w:tl2br w:val="nil"/>
              <w:tr2bl w:val="nil"/>
            </w:tcBorders>
            <w:noWrap w:val="0"/>
            <w:vAlign w:val="center"/>
          </w:tcPr>
          <w:p w14:paraId="24580F5A">
            <w:pPr>
              <w:spacing w:after="0" w:line="240" w:lineRule="auto"/>
              <w:jc w:val="both"/>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油库已</w:t>
            </w:r>
            <w:r>
              <w:rPr>
                <w:rFonts w:ascii="Times New Roman" w:hAnsi="Times New Roman" w:eastAsia="宋体" w:cs="Times New Roman"/>
                <w:b w:val="0"/>
                <w:bCs w:val="0"/>
                <w:color w:val="auto"/>
                <w:spacing w:val="12"/>
                <w:sz w:val="21"/>
                <w:szCs w:val="21"/>
                <w:highlight w:val="none"/>
                <w14:ligatures w14:val="none"/>
              </w:rPr>
              <w:t>设有</w:t>
            </w:r>
            <w:r>
              <w:rPr>
                <w:rFonts w:ascii="Times New Roman" w:hAnsi="Times New Roman" w:eastAsia="宋体" w:cs="Times New Roman"/>
                <w:b w:val="0"/>
                <w:bCs w:val="0"/>
                <w:color w:val="auto"/>
                <w:sz w:val="21"/>
                <w:szCs w:val="21"/>
                <w:highlight w:val="none"/>
                <w14:ligatures w14:val="none"/>
              </w:rPr>
              <w:t>泡沫灭火系统</w:t>
            </w:r>
          </w:p>
        </w:tc>
        <w:tc>
          <w:tcPr>
            <w:tcW w:w="414" w:type="pct"/>
            <w:tcBorders>
              <w:tl2br w:val="nil"/>
              <w:tr2bl w:val="nil"/>
            </w:tcBorders>
            <w:noWrap w:val="0"/>
            <w:vAlign w:val="center"/>
          </w:tcPr>
          <w:p w14:paraId="1477D5DE">
            <w:pPr>
              <w:spacing w:after="0" w:line="240" w:lineRule="auto"/>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104288B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661E3DA6">
            <w:pPr>
              <w:spacing w:after="0" w:line="240" w:lineRule="auto"/>
              <w:jc w:val="center"/>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1BB95F9A">
            <w:pPr>
              <w:spacing w:after="0" w:line="240" w:lineRule="auto"/>
              <w:jc w:val="both"/>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3、地上固定顶储罐、内浮顶储罐和地上卧式储罐应设低倍数泡沫灭火系统或中倍数泡沫灭火系统</w:t>
            </w:r>
          </w:p>
        </w:tc>
        <w:tc>
          <w:tcPr>
            <w:tcW w:w="1249" w:type="pct"/>
            <w:tcBorders>
              <w:tl2br w:val="nil"/>
              <w:tr2bl w:val="nil"/>
            </w:tcBorders>
            <w:noWrap w:val="0"/>
            <w:vAlign w:val="center"/>
          </w:tcPr>
          <w:p w14:paraId="0DDBA245">
            <w:pPr>
              <w:spacing w:after="0" w:line="240" w:lineRule="auto"/>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《石油库设计规范》第12.1.3条</w:t>
            </w:r>
          </w:p>
        </w:tc>
        <w:tc>
          <w:tcPr>
            <w:tcW w:w="1158" w:type="pct"/>
            <w:tcBorders>
              <w:tl2br w:val="nil"/>
              <w:tr2bl w:val="nil"/>
            </w:tcBorders>
            <w:noWrap w:val="0"/>
            <w:vAlign w:val="center"/>
          </w:tcPr>
          <w:p w14:paraId="1916EBAC">
            <w:pPr>
              <w:spacing w:after="0" w:line="240" w:lineRule="auto"/>
              <w:jc w:val="both"/>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油库</w:t>
            </w:r>
            <w:r>
              <w:rPr>
                <w:rFonts w:hint="eastAsia" w:ascii="Times New Roman" w:hAnsi="Times New Roman" w:eastAsia="宋体" w:cs="Times New Roman"/>
                <w:b w:val="0"/>
                <w:bCs w:val="0"/>
                <w:color w:val="auto"/>
                <w:sz w:val="21"/>
                <w:szCs w:val="21"/>
                <w:highlight w:val="none"/>
                <w:lang w:val="en-US" w:eastAsia="zh-CN"/>
                <w14:ligatures w14:val="none"/>
              </w:rPr>
              <w:t>采用</w:t>
            </w:r>
            <w:r>
              <w:rPr>
                <w:rFonts w:ascii="Times New Roman" w:hAnsi="Times New Roman" w:eastAsia="宋体" w:cs="Times New Roman"/>
                <w:b w:val="0"/>
                <w:bCs w:val="0"/>
                <w:color w:val="auto"/>
                <w:sz w:val="21"/>
                <w:szCs w:val="21"/>
                <w:highlight w:val="none"/>
                <w14:ligatures w14:val="none"/>
              </w:rPr>
              <w:t>低倍数泡沫灭火系统</w:t>
            </w:r>
          </w:p>
        </w:tc>
        <w:tc>
          <w:tcPr>
            <w:tcW w:w="414" w:type="pct"/>
            <w:tcBorders>
              <w:tl2br w:val="nil"/>
              <w:tr2bl w:val="nil"/>
            </w:tcBorders>
            <w:noWrap w:val="0"/>
            <w:vAlign w:val="center"/>
          </w:tcPr>
          <w:p w14:paraId="1EFD8024">
            <w:pPr>
              <w:spacing w:after="0" w:line="240" w:lineRule="auto"/>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0011E25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50162A24">
            <w:pPr>
              <w:spacing w:after="0" w:line="240" w:lineRule="auto"/>
              <w:jc w:val="center"/>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6473B7F7">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4、容量大于500m</w:t>
            </w:r>
            <w:r>
              <w:rPr>
                <w:rFonts w:ascii="Times New Roman" w:hAnsi="Times New Roman" w:eastAsia="宋体" w:cs="Times New Roman"/>
                <w:b w:val="0"/>
                <w:bCs w:val="0"/>
                <w:color w:val="auto"/>
                <w:sz w:val="21"/>
                <w:szCs w:val="21"/>
                <w:highlight w:val="none"/>
                <w:vertAlign w:val="superscript"/>
                <w14:ligatures w14:val="none"/>
              </w:rPr>
              <w:t>3</w:t>
            </w:r>
            <w:r>
              <w:rPr>
                <w:rFonts w:ascii="Times New Roman" w:hAnsi="Times New Roman" w:eastAsia="宋体" w:cs="Times New Roman"/>
                <w:b w:val="0"/>
                <w:bCs w:val="0"/>
                <w:color w:val="auto"/>
                <w:sz w:val="21"/>
                <w:szCs w:val="21"/>
                <w:highlight w:val="none"/>
                <w14:ligatures w14:val="none"/>
              </w:rPr>
              <w:t>的水溶性液体地上立式储罐和容量大于1000 m</w:t>
            </w:r>
            <w:r>
              <w:rPr>
                <w:rFonts w:ascii="Times New Roman" w:hAnsi="Times New Roman" w:eastAsia="宋体" w:cs="Times New Roman"/>
                <w:b w:val="0"/>
                <w:bCs w:val="0"/>
                <w:color w:val="auto"/>
                <w:sz w:val="21"/>
                <w:szCs w:val="21"/>
                <w:highlight w:val="none"/>
                <w:vertAlign w:val="superscript"/>
                <w14:ligatures w14:val="none"/>
              </w:rPr>
              <w:t>3</w:t>
            </w:r>
            <w:r>
              <w:rPr>
                <w:rFonts w:ascii="Times New Roman" w:hAnsi="Times New Roman" w:eastAsia="宋体" w:cs="Times New Roman"/>
                <w:b w:val="0"/>
                <w:bCs w:val="0"/>
                <w:color w:val="auto"/>
                <w:sz w:val="21"/>
                <w:szCs w:val="21"/>
                <w:highlight w:val="none"/>
                <w14:ligatures w14:val="none"/>
              </w:rPr>
              <w:t xml:space="preserve">的其他易燃、可燃液体地上立式储罐，应采用固定式泡沫灭火系统 </w:t>
            </w:r>
          </w:p>
        </w:tc>
        <w:tc>
          <w:tcPr>
            <w:tcW w:w="1249" w:type="pct"/>
            <w:tcBorders>
              <w:tl2br w:val="nil"/>
              <w:tr2bl w:val="nil"/>
            </w:tcBorders>
            <w:noWrap w:val="0"/>
            <w:vAlign w:val="center"/>
          </w:tcPr>
          <w:p w14:paraId="64BB9F0E">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《石油库设计规范》第12.1.4条</w:t>
            </w:r>
          </w:p>
        </w:tc>
        <w:tc>
          <w:tcPr>
            <w:tcW w:w="1158" w:type="pct"/>
            <w:tcBorders>
              <w:tl2br w:val="nil"/>
              <w:tr2bl w:val="nil"/>
            </w:tcBorders>
            <w:noWrap w:val="0"/>
            <w:vAlign w:val="center"/>
          </w:tcPr>
          <w:p w14:paraId="3124243A">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储罐</w:t>
            </w:r>
            <w:r>
              <w:rPr>
                <w:rFonts w:hint="eastAsia" w:ascii="Times New Roman" w:hAnsi="Times New Roman" w:eastAsia="宋体" w:cs="Times New Roman"/>
                <w:b w:val="0"/>
                <w:bCs w:val="0"/>
                <w:color w:val="auto"/>
                <w:sz w:val="21"/>
                <w:szCs w:val="21"/>
                <w:highlight w:val="none"/>
                <w:lang w:val="en-US" w:eastAsia="zh-CN"/>
                <w14:ligatures w14:val="none"/>
              </w:rPr>
              <w:t>采用</w:t>
            </w:r>
            <w:r>
              <w:rPr>
                <w:rFonts w:ascii="Times New Roman" w:hAnsi="Times New Roman" w:eastAsia="宋体" w:cs="Times New Roman"/>
                <w:b w:val="0"/>
                <w:bCs w:val="0"/>
                <w:color w:val="auto"/>
                <w:sz w:val="21"/>
                <w:szCs w:val="21"/>
                <w:highlight w:val="none"/>
                <w14:ligatures w14:val="none"/>
              </w:rPr>
              <w:t>固定式泡沫灭火系统</w:t>
            </w:r>
          </w:p>
        </w:tc>
        <w:tc>
          <w:tcPr>
            <w:tcW w:w="414" w:type="pct"/>
            <w:tcBorders>
              <w:tl2br w:val="nil"/>
              <w:tr2bl w:val="nil"/>
            </w:tcBorders>
            <w:noWrap w:val="0"/>
            <w:vAlign w:val="center"/>
          </w:tcPr>
          <w:p w14:paraId="58357AB1">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0561F2B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7920D88A">
            <w:pPr>
              <w:spacing w:after="0" w:line="240" w:lineRule="auto"/>
              <w:jc w:val="center"/>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top"/>
          </w:tcPr>
          <w:p w14:paraId="688FFFFA">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5</w:t>
            </w:r>
            <w:r>
              <w:rPr>
                <w:rFonts w:ascii="Times New Roman" w:hAnsi="Times New Roman" w:eastAsia="宋体" w:cs="Times New Roman"/>
                <w:b w:val="0"/>
                <w:bCs w:val="0"/>
                <w:color w:val="auto"/>
                <w:sz w:val="21"/>
                <w:szCs w:val="21"/>
                <w:highlight w:val="none"/>
                <w14:ligatures w14:val="none"/>
              </w:rPr>
              <w:t>、储罐应设消防冷却水系统。消防冷却水系统的设置应符合下列规定：</w:t>
            </w:r>
          </w:p>
          <w:p w14:paraId="4F15C13D">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1 容量大于或等于 3000m</w:t>
            </w:r>
            <w:r>
              <w:rPr>
                <w:rFonts w:ascii="Times New Roman" w:hAnsi="Times New Roman" w:eastAsia="宋体" w:cs="Times New Roman"/>
                <w:b w:val="0"/>
                <w:bCs w:val="0"/>
                <w:color w:val="auto"/>
                <w:sz w:val="21"/>
                <w:szCs w:val="21"/>
                <w:highlight w:val="none"/>
                <w:vertAlign w:val="superscript"/>
                <w14:ligatures w14:val="none"/>
              </w:rPr>
              <w:t>3</w:t>
            </w:r>
            <w:r>
              <w:rPr>
                <w:rFonts w:ascii="Times New Roman" w:hAnsi="Times New Roman" w:eastAsia="宋体" w:cs="Times New Roman"/>
                <w:b w:val="0"/>
                <w:bCs w:val="0"/>
                <w:color w:val="auto"/>
                <w:sz w:val="21"/>
                <w:szCs w:val="21"/>
                <w:highlight w:val="none"/>
                <w14:ligatures w14:val="none"/>
              </w:rPr>
              <w:t xml:space="preserve"> 或罐壁高度大于或等于 15m的地上立式储罐，应设固定式消防冷却水系统。</w:t>
            </w:r>
          </w:p>
          <w:p w14:paraId="43F30B6F">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2 容量小于3000m</w:t>
            </w:r>
            <w:r>
              <w:rPr>
                <w:rFonts w:ascii="Times New Roman" w:hAnsi="Times New Roman" w:eastAsia="宋体" w:cs="Times New Roman"/>
                <w:b w:val="0"/>
                <w:bCs w:val="0"/>
                <w:color w:val="auto"/>
                <w:sz w:val="21"/>
                <w:szCs w:val="21"/>
                <w:highlight w:val="none"/>
                <w:vertAlign w:val="superscript"/>
                <w14:ligatures w14:val="none"/>
              </w:rPr>
              <w:t>3</w:t>
            </w:r>
            <w:r>
              <w:rPr>
                <w:rFonts w:ascii="Times New Roman" w:hAnsi="Times New Roman" w:eastAsia="宋体" w:cs="Times New Roman"/>
                <w:b w:val="0"/>
                <w:bCs w:val="0"/>
                <w:color w:val="auto"/>
                <w:sz w:val="21"/>
                <w:szCs w:val="21"/>
                <w:highlight w:val="none"/>
                <w14:ligatures w14:val="none"/>
              </w:rPr>
              <w:t>且罐壁高度小于15m的地上立式储罐以及其他储罐，可设移动式消防冷却水系统。</w:t>
            </w:r>
          </w:p>
          <w:p w14:paraId="0EC76125">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3 五级石油库的立式储罐采用烟雾灭火或超细干粉等灭火设施时，可不设消防给水系统。</w:t>
            </w:r>
          </w:p>
        </w:tc>
        <w:tc>
          <w:tcPr>
            <w:tcW w:w="1249" w:type="pct"/>
            <w:tcBorders>
              <w:tl2br w:val="nil"/>
              <w:tr2bl w:val="nil"/>
            </w:tcBorders>
            <w:noWrap w:val="0"/>
            <w:vAlign w:val="center"/>
          </w:tcPr>
          <w:p w14:paraId="2BAAA024">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w:t>
            </w:r>
          </w:p>
          <w:p w14:paraId="35F08576">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第 12.1.5 条</w:t>
            </w:r>
          </w:p>
        </w:tc>
        <w:tc>
          <w:tcPr>
            <w:tcW w:w="1158" w:type="pct"/>
            <w:tcBorders>
              <w:tl2br w:val="nil"/>
              <w:tr2bl w:val="nil"/>
            </w:tcBorders>
            <w:noWrap w:val="0"/>
            <w:vAlign w:val="center"/>
          </w:tcPr>
          <w:p w14:paraId="1FE0284C">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设有固定式消防冷却水系统。</w:t>
            </w:r>
          </w:p>
        </w:tc>
        <w:tc>
          <w:tcPr>
            <w:tcW w:w="414" w:type="pct"/>
            <w:tcBorders>
              <w:tl2br w:val="nil"/>
              <w:tr2bl w:val="nil"/>
            </w:tcBorders>
            <w:noWrap w:val="0"/>
            <w:vAlign w:val="center"/>
          </w:tcPr>
          <w:p w14:paraId="435F58C2">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3835F7E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5662217C">
            <w:pPr>
              <w:spacing w:after="0" w:line="240" w:lineRule="auto"/>
              <w:jc w:val="center"/>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305C71D1">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6</w:t>
            </w:r>
            <w:r>
              <w:rPr>
                <w:rFonts w:ascii="Times New Roman" w:hAnsi="Times New Roman" w:eastAsia="宋体" w:cs="Times New Roman"/>
                <w:b w:val="0"/>
                <w:bCs w:val="0"/>
                <w:color w:val="auto"/>
                <w:sz w:val="21"/>
                <w:szCs w:val="21"/>
                <w:highlight w:val="none"/>
                <w14:ligatures w14:val="none"/>
              </w:rPr>
              <w:t>、火灾时需要操作的消防阀门不应设在防火堤内。消防阀门与对应的着火储罐罐壁的距离不应小于15m，如果有可靠的接近消防阀门的保护措施，可不受此限制</w:t>
            </w:r>
          </w:p>
        </w:tc>
        <w:tc>
          <w:tcPr>
            <w:tcW w:w="1249" w:type="pct"/>
            <w:tcBorders>
              <w:tl2br w:val="nil"/>
              <w:tr2bl w:val="nil"/>
            </w:tcBorders>
            <w:noWrap w:val="0"/>
            <w:vAlign w:val="center"/>
          </w:tcPr>
          <w:p w14:paraId="09AC2990">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《石油库设计规范》第12.1.6条</w:t>
            </w:r>
          </w:p>
        </w:tc>
        <w:tc>
          <w:tcPr>
            <w:tcW w:w="1158" w:type="pct"/>
            <w:tcBorders>
              <w:tl2br w:val="nil"/>
              <w:tr2bl w:val="nil"/>
            </w:tcBorders>
            <w:noWrap w:val="0"/>
            <w:vAlign w:val="center"/>
          </w:tcPr>
          <w:p w14:paraId="2742F481">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火灾时需要操作的消防阀门未设在防火堤内</w:t>
            </w:r>
          </w:p>
        </w:tc>
        <w:tc>
          <w:tcPr>
            <w:tcW w:w="414" w:type="pct"/>
            <w:tcBorders>
              <w:tl2br w:val="nil"/>
              <w:tr2bl w:val="nil"/>
            </w:tcBorders>
            <w:noWrap w:val="0"/>
            <w:vAlign w:val="center"/>
          </w:tcPr>
          <w:p w14:paraId="6F6E7DBA">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0F02403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703610AC">
            <w:pPr>
              <w:spacing w:after="0" w:line="240" w:lineRule="auto"/>
              <w:jc w:val="center"/>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0A875C3D">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7</w:t>
            </w:r>
            <w:r>
              <w:rPr>
                <w:rFonts w:ascii="Times New Roman" w:hAnsi="Times New Roman" w:eastAsia="宋体" w:cs="Times New Roman"/>
                <w:b w:val="0"/>
                <w:bCs w:val="0"/>
                <w:color w:val="auto"/>
                <w:sz w:val="21"/>
                <w:szCs w:val="21"/>
                <w:highlight w:val="none"/>
                <w14:ligatures w14:val="none"/>
              </w:rPr>
              <w:t>、一、二、三、四级石油库应设独立消防给水系统</w:t>
            </w:r>
          </w:p>
        </w:tc>
        <w:tc>
          <w:tcPr>
            <w:tcW w:w="1249" w:type="pct"/>
            <w:tcBorders>
              <w:tl2br w:val="nil"/>
              <w:tr2bl w:val="nil"/>
            </w:tcBorders>
            <w:noWrap w:val="0"/>
            <w:vAlign w:val="center"/>
          </w:tcPr>
          <w:p w14:paraId="40068CEC">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《石油库设计规范》第12.2.1条</w:t>
            </w:r>
          </w:p>
        </w:tc>
        <w:tc>
          <w:tcPr>
            <w:tcW w:w="1158" w:type="pct"/>
            <w:tcBorders>
              <w:tl2br w:val="nil"/>
              <w:tr2bl w:val="nil"/>
            </w:tcBorders>
            <w:noWrap w:val="0"/>
            <w:vAlign w:val="center"/>
          </w:tcPr>
          <w:p w14:paraId="7E6D1C90">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hint="eastAsia" w:ascii="Times New Roman" w:hAnsi="Times New Roman" w:eastAsia="宋体" w:cs="Times New Roman"/>
                <w:b w:val="0"/>
                <w:bCs w:val="0"/>
                <w:color w:val="auto"/>
                <w:sz w:val="21"/>
                <w:szCs w:val="21"/>
                <w:highlight w:val="none"/>
                <w14:ligatures w14:val="none"/>
              </w:rPr>
              <w:t>油库为</w:t>
            </w:r>
            <w:r>
              <w:rPr>
                <w:rFonts w:hint="eastAsia" w:ascii="Times New Roman" w:hAnsi="Times New Roman" w:eastAsia="宋体" w:cs="Times New Roman"/>
                <w:b w:val="0"/>
                <w:bCs w:val="0"/>
                <w:color w:val="auto"/>
                <w:sz w:val="21"/>
                <w:szCs w:val="21"/>
                <w:highlight w:val="none"/>
                <w:lang w:eastAsia="zh-CN"/>
                <w14:ligatures w14:val="none"/>
              </w:rPr>
              <w:t>四</w:t>
            </w:r>
            <w:r>
              <w:rPr>
                <w:rFonts w:ascii="Times New Roman" w:hAnsi="Times New Roman" w:eastAsia="宋体" w:cs="Times New Roman"/>
                <w:b w:val="0"/>
                <w:bCs w:val="0"/>
                <w:color w:val="auto"/>
                <w:sz w:val="21"/>
                <w:szCs w:val="21"/>
                <w:highlight w:val="none"/>
                <w14:ligatures w14:val="none"/>
              </w:rPr>
              <w:t>级石油库，均采用独立的消防给水系统</w:t>
            </w:r>
          </w:p>
        </w:tc>
        <w:tc>
          <w:tcPr>
            <w:tcW w:w="414" w:type="pct"/>
            <w:tcBorders>
              <w:tl2br w:val="nil"/>
              <w:tr2bl w:val="nil"/>
            </w:tcBorders>
            <w:noWrap w:val="0"/>
            <w:vAlign w:val="center"/>
          </w:tcPr>
          <w:p w14:paraId="108EF33C">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77CC6E5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1734669D">
            <w:pPr>
              <w:spacing w:after="0" w:line="240" w:lineRule="auto"/>
              <w:jc w:val="center"/>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56A54AE9">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8</w:t>
            </w:r>
            <w:r>
              <w:rPr>
                <w:rFonts w:ascii="Times New Roman" w:hAnsi="Times New Roman" w:eastAsia="宋体" w:cs="Times New Roman"/>
                <w:b w:val="0"/>
                <w:bCs w:val="0"/>
                <w:color w:val="auto"/>
                <w:sz w:val="21"/>
                <w:szCs w:val="21"/>
                <w:highlight w:val="none"/>
                <w14:ligatures w14:val="none"/>
              </w:rPr>
              <w:t>、油库采用高压消防给水系统时，给水压力是否达到最不利点灭火所需要压力；油库采用低压消防给水系统时每个消火栓出口给水压力不应小于0.15MPa</w:t>
            </w:r>
          </w:p>
        </w:tc>
        <w:tc>
          <w:tcPr>
            <w:tcW w:w="1249" w:type="pct"/>
            <w:tcBorders>
              <w:tl2br w:val="nil"/>
              <w:tr2bl w:val="nil"/>
            </w:tcBorders>
            <w:noWrap w:val="0"/>
            <w:vAlign w:val="center"/>
          </w:tcPr>
          <w:p w14:paraId="639A5101">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《石油库设计规范》第12.2.3条</w:t>
            </w:r>
          </w:p>
        </w:tc>
        <w:tc>
          <w:tcPr>
            <w:tcW w:w="1158" w:type="pct"/>
            <w:tcBorders>
              <w:tl2br w:val="nil"/>
              <w:tr2bl w:val="nil"/>
            </w:tcBorders>
            <w:noWrap w:val="0"/>
            <w:vAlign w:val="center"/>
          </w:tcPr>
          <w:p w14:paraId="0EB3AC65">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hint="eastAsia" w:ascii="Times New Roman" w:hAnsi="Times New Roman" w:eastAsia="宋体" w:cs="Times New Roman"/>
                <w:b w:val="0"/>
                <w:bCs w:val="0"/>
                <w:color w:val="auto"/>
                <w:sz w:val="21"/>
                <w:szCs w:val="21"/>
                <w:highlight w:val="none"/>
                <w14:ligatures w14:val="none"/>
              </w:rPr>
              <w:t>采用低压消防给水系统，给水压力为 0</w:t>
            </w:r>
            <w:r>
              <w:rPr>
                <w:rFonts w:hint="eastAsia" w:ascii="Times New Roman" w:hAnsi="Times New Roman" w:eastAsia="宋体" w:cs="Times New Roman"/>
                <w:b w:val="0"/>
                <w:bCs w:val="0"/>
                <w:color w:val="auto"/>
                <w:sz w:val="21"/>
                <w:szCs w:val="21"/>
                <w:highlight w:val="none"/>
                <w:lang w:val="en-US" w:eastAsia="zh-CN"/>
                <w14:ligatures w14:val="none"/>
              </w:rPr>
              <w:t>.</w:t>
            </w:r>
            <w:r>
              <w:rPr>
                <w:rFonts w:hint="eastAsia" w:ascii="Times New Roman" w:hAnsi="Times New Roman" w:eastAsia="宋体" w:cs="Times New Roman"/>
                <w:b w:val="0"/>
                <w:bCs w:val="0"/>
                <w:color w:val="auto"/>
                <w:sz w:val="21"/>
                <w:szCs w:val="21"/>
                <w:highlight w:val="none"/>
                <w14:ligatures w14:val="none"/>
              </w:rPr>
              <w:t>15MPa。</w:t>
            </w:r>
          </w:p>
        </w:tc>
        <w:tc>
          <w:tcPr>
            <w:tcW w:w="414" w:type="pct"/>
            <w:tcBorders>
              <w:tl2br w:val="nil"/>
              <w:tr2bl w:val="nil"/>
            </w:tcBorders>
            <w:noWrap w:val="0"/>
            <w:vAlign w:val="center"/>
          </w:tcPr>
          <w:p w14:paraId="68E28CA5">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2597259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334BE120">
            <w:pPr>
              <w:spacing w:after="0" w:line="240" w:lineRule="auto"/>
              <w:jc w:val="center"/>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196C21F1">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9</w:t>
            </w:r>
            <w:r>
              <w:rPr>
                <w:rFonts w:ascii="Times New Roman" w:hAnsi="Times New Roman" w:eastAsia="宋体" w:cs="Times New Roman"/>
                <w:b w:val="0"/>
                <w:bCs w:val="0"/>
                <w:color w:val="auto"/>
                <w:sz w:val="21"/>
                <w:szCs w:val="21"/>
                <w:highlight w:val="none"/>
                <w14:ligatures w14:val="none"/>
              </w:rPr>
              <w:t>、消防给水系统应保持充水状态。严寒地区的消防给水管道，冬季可不充水</w:t>
            </w:r>
          </w:p>
        </w:tc>
        <w:tc>
          <w:tcPr>
            <w:tcW w:w="1249" w:type="pct"/>
            <w:tcBorders>
              <w:tl2br w:val="nil"/>
              <w:tr2bl w:val="nil"/>
            </w:tcBorders>
            <w:noWrap w:val="0"/>
            <w:vAlign w:val="center"/>
          </w:tcPr>
          <w:p w14:paraId="13771707">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《石油库设计规范》第12.2.4条</w:t>
            </w:r>
          </w:p>
        </w:tc>
        <w:tc>
          <w:tcPr>
            <w:tcW w:w="1158" w:type="pct"/>
            <w:tcBorders>
              <w:tl2br w:val="nil"/>
              <w:tr2bl w:val="nil"/>
            </w:tcBorders>
            <w:noWrap w:val="0"/>
            <w:vAlign w:val="center"/>
          </w:tcPr>
          <w:p w14:paraId="5CADF5F3">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夏季保持充水状态，冬季未充水</w:t>
            </w:r>
          </w:p>
        </w:tc>
        <w:tc>
          <w:tcPr>
            <w:tcW w:w="414" w:type="pct"/>
            <w:tcBorders>
              <w:tl2br w:val="nil"/>
              <w:tr2bl w:val="nil"/>
            </w:tcBorders>
            <w:noWrap w:val="0"/>
            <w:vAlign w:val="center"/>
          </w:tcPr>
          <w:p w14:paraId="33DBE680">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62196E3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3E6F0537">
            <w:pPr>
              <w:spacing w:after="0" w:line="240" w:lineRule="auto"/>
              <w:jc w:val="center"/>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491CC06C">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10</w:t>
            </w:r>
            <w:r>
              <w:rPr>
                <w:rFonts w:ascii="Times New Roman" w:hAnsi="Times New Roman" w:eastAsia="宋体" w:cs="Times New Roman"/>
                <w:b w:val="0"/>
                <w:bCs w:val="0"/>
                <w:color w:val="auto"/>
                <w:sz w:val="21"/>
                <w:szCs w:val="21"/>
                <w:highlight w:val="none"/>
                <w14:ligatures w14:val="none"/>
              </w:rPr>
              <w:t>、储罐的消防冷却水的供应范围，应符合下列规定：1 着火的地上固定顶储罐以及距该储罐罐壁不大于 1.5D （D 为着火储罐直径）范围内相邻的地上储罐，均应冷却。当相邻的地上储罐超过三座时，可按其中较大的三座相邻储罐计算冷却水量。2 着火的外浮顶、内浮顶储罐应冷却，其相邻储罐可不冷却。当着火的内浮顶储罐浮盘用易熔材料制作时，其相邻储罐也应冷却。3 着火的地上卧式储罐应冷却，距着火罐直径与长度之和的 1/2 范围内的相邻罐也应冷却</w:t>
            </w:r>
          </w:p>
        </w:tc>
        <w:tc>
          <w:tcPr>
            <w:tcW w:w="1249" w:type="pct"/>
            <w:tcBorders>
              <w:tl2br w:val="nil"/>
              <w:tr2bl w:val="nil"/>
            </w:tcBorders>
            <w:noWrap w:val="0"/>
            <w:vAlign w:val="center"/>
          </w:tcPr>
          <w:p w14:paraId="1950A9B6">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《石油库设计规范》第12.2.7条</w:t>
            </w:r>
          </w:p>
        </w:tc>
        <w:tc>
          <w:tcPr>
            <w:tcW w:w="1158" w:type="pct"/>
            <w:tcBorders>
              <w:tl2br w:val="nil"/>
              <w:tr2bl w:val="nil"/>
            </w:tcBorders>
            <w:noWrap w:val="0"/>
            <w:vAlign w:val="center"/>
          </w:tcPr>
          <w:p w14:paraId="53AE0169">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冷却水的供应范围按照上述规定进行冷却</w:t>
            </w:r>
          </w:p>
        </w:tc>
        <w:tc>
          <w:tcPr>
            <w:tcW w:w="414" w:type="pct"/>
            <w:tcBorders>
              <w:tl2br w:val="nil"/>
              <w:tr2bl w:val="nil"/>
            </w:tcBorders>
            <w:noWrap w:val="0"/>
            <w:vAlign w:val="center"/>
          </w:tcPr>
          <w:p w14:paraId="638D2847">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51890A6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2E0D7370">
            <w:pPr>
              <w:spacing w:after="0" w:line="240" w:lineRule="auto"/>
              <w:jc w:val="center"/>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top"/>
          </w:tcPr>
          <w:p w14:paraId="224D745D">
            <w:pPr>
              <w:spacing w:after="0" w:line="320" w:lineRule="exact"/>
              <w:jc w:val="left"/>
              <w:rPr>
                <w:rFonts w:hint="eastAsia" w:ascii="Times New Roman" w:hAnsi="Times New Roman" w:eastAsia="宋体" w:cs="Times New Roman"/>
                <w:b w:val="0"/>
                <w:bCs w:val="0"/>
                <w:color w:val="auto"/>
                <w:sz w:val="21"/>
                <w:szCs w:val="21"/>
                <w:highlight w:val="none"/>
                <w:lang w:val="en-US" w:eastAsia="zh-CN"/>
                <w14:ligatures w14:val="none"/>
              </w:rPr>
            </w:pPr>
            <w:r>
              <w:rPr>
                <w:rFonts w:ascii="Times New Roman" w:hAnsi="Times New Roman" w:eastAsia="宋体" w:cs="Times New Roman"/>
                <w:b w:val="0"/>
                <w:bCs w:val="0"/>
                <w:color w:val="auto"/>
                <w:sz w:val="21"/>
                <w:szCs w:val="21"/>
                <w:highlight w:val="none"/>
                <w14:ligatures w14:val="none"/>
              </w:rPr>
              <w:t>1</w:t>
            </w:r>
            <w:r>
              <w:rPr>
                <w:rFonts w:hint="eastAsia" w:ascii="Times New Roman" w:hAnsi="Times New Roman" w:eastAsia="宋体" w:cs="Times New Roman"/>
                <w:b w:val="0"/>
                <w:bCs w:val="0"/>
                <w:color w:val="auto"/>
                <w:sz w:val="21"/>
                <w:szCs w:val="21"/>
                <w:highlight w:val="none"/>
                <w:lang w:val="en-US" w:eastAsia="zh-CN"/>
                <w14:ligatures w14:val="none"/>
              </w:rPr>
              <w:t>1</w:t>
            </w:r>
            <w:r>
              <w:rPr>
                <w:rFonts w:ascii="Times New Roman" w:hAnsi="Times New Roman" w:eastAsia="宋体" w:cs="Times New Roman"/>
                <w:b w:val="0"/>
                <w:bCs w:val="0"/>
                <w:color w:val="auto"/>
                <w:sz w:val="21"/>
                <w:szCs w:val="21"/>
                <w:highlight w:val="none"/>
                <w14:ligatures w14:val="none"/>
              </w:rPr>
              <w:t xml:space="preserve"> 、消防冷却水管道上应设置控制阀和放空阀。消防冷却水以地面水为水源时，消防冷却水管道上宜设置过滤器。</w:t>
            </w:r>
          </w:p>
        </w:tc>
        <w:tc>
          <w:tcPr>
            <w:tcW w:w="1249" w:type="pct"/>
            <w:tcBorders>
              <w:tl2br w:val="nil"/>
              <w:tr2bl w:val="nil"/>
            </w:tcBorders>
            <w:noWrap w:val="0"/>
            <w:vAlign w:val="center"/>
          </w:tcPr>
          <w:p w14:paraId="113A1838">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w:t>
            </w:r>
            <w:r>
              <w:rPr>
                <w:rFonts w:hint="eastAsia" w:ascii="Times New Roman" w:hAnsi="Times New Roman" w:eastAsia="宋体" w:cs="Times New Roman"/>
                <w:b w:val="0"/>
                <w:bCs w:val="0"/>
                <w:color w:val="auto"/>
                <w:sz w:val="21"/>
                <w:szCs w:val="21"/>
                <w:highlight w:val="none"/>
                <w:lang w:val="en-US" w:eastAsia="zh-CN"/>
                <w14:ligatures w14:val="none"/>
              </w:rPr>
              <w:t>12.2.10</w:t>
            </w:r>
            <w:r>
              <w:rPr>
                <w:rFonts w:ascii="Times New Roman" w:hAnsi="Times New Roman" w:eastAsia="宋体" w:cs="Times New Roman"/>
                <w:b w:val="0"/>
                <w:bCs w:val="0"/>
                <w:color w:val="auto"/>
                <w:sz w:val="21"/>
                <w:szCs w:val="21"/>
                <w:highlight w:val="none"/>
                <w14:ligatures w14:val="none"/>
              </w:rPr>
              <w:t>条</w:t>
            </w:r>
          </w:p>
        </w:tc>
        <w:tc>
          <w:tcPr>
            <w:tcW w:w="1158" w:type="pct"/>
            <w:tcBorders>
              <w:tl2br w:val="nil"/>
              <w:tr2bl w:val="nil"/>
            </w:tcBorders>
            <w:noWrap w:val="0"/>
            <w:vAlign w:val="center"/>
          </w:tcPr>
          <w:p w14:paraId="4BEC0D3A">
            <w:pPr>
              <w:spacing w:after="0" w:line="320" w:lineRule="exact"/>
              <w:jc w:val="both"/>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消防冷却水管道上设置控制阀和放空阀。</w:t>
            </w:r>
          </w:p>
        </w:tc>
        <w:tc>
          <w:tcPr>
            <w:tcW w:w="414" w:type="pct"/>
            <w:tcBorders>
              <w:tl2br w:val="nil"/>
              <w:tr2bl w:val="nil"/>
            </w:tcBorders>
            <w:noWrap w:val="0"/>
            <w:vAlign w:val="center"/>
          </w:tcPr>
          <w:p w14:paraId="4D09714C">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7CB6A61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1E740EF4">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7313756E">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1</w:t>
            </w:r>
            <w:r>
              <w:rPr>
                <w:rFonts w:hint="eastAsia" w:ascii="Times New Roman" w:hAnsi="Times New Roman" w:eastAsia="宋体" w:cs="Times New Roman"/>
                <w:b w:val="0"/>
                <w:bCs w:val="0"/>
                <w:color w:val="auto"/>
                <w:sz w:val="21"/>
                <w:szCs w:val="21"/>
                <w:highlight w:val="none"/>
                <w:lang w:val="en-US" w:eastAsia="zh-CN"/>
                <w14:ligatures w14:val="none"/>
              </w:rPr>
              <w:t>2</w:t>
            </w:r>
            <w:r>
              <w:rPr>
                <w:rFonts w:ascii="Times New Roman" w:hAnsi="Times New Roman" w:eastAsia="宋体" w:cs="Times New Roman"/>
                <w:b w:val="0"/>
                <w:bCs w:val="0"/>
                <w:color w:val="auto"/>
                <w:sz w:val="21"/>
                <w:szCs w:val="21"/>
                <w:highlight w:val="none"/>
                <w14:ligatures w14:val="none"/>
              </w:rPr>
              <w:t>、消防水池补水时间不应超过96h。水池容量大于1000m</w:t>
            </w:r>
            <w:r>
              <w:rPr>
                <w:rFonts w:ascii="Times New Roman" w:hAnsi="Times New Roman" w:eastAsia="宋体" w:cs="Times New Roman"/>
                <w:b w:val="0"/>
                <w:bCs w:val="0"/>
                <w:color w:val="auto"/>
                <w:sz w:val="21"/>
                <w:szCs w:val="21"/>
                <w:highlight w:val="none"/>
                <w:vertAlign w:val="superscript"/>
                <w14:ligatures w14:val="none"/>
              </w:rPr>
              <w:t>3</w:t>
            </w:r>
            <w:r>
              <w:rPr>
                <w:rFonts w:ascii="Times New Roman" w:hAnsi="Times New Roman" w:eastAsia="宋体" w:cs="Times New Roman"/>
                <w:b w:val="0"/>
                <w:bCs w:val="0"/>
                <w:color w:val="auto"/>
                <w:sz w:val="21"/>
                <w:szCs w:val="21"/>
                <w:highlight w:val="none"/>
                <w14:ligatures w14:val="none"/>
              </w:rPr>
              <w:t>时，应分隔为两个池，用带阀门的连通管连通。消防水池应设供消防车取水用的取水口</w:t>
            </w:r>
          </w:p>
        </w:tc>
        <w:tc>
          <w:tcPr>
            <w:tcW w:w="1249" w:type="pct"/>
            <w:tcBorders>
              <w:tl2br w:val="nil"/>
              <w:tr2bl w:val="nil"/>
            </w:tcBorders>
            <w:noWrap w:val="0"/>
            <w:vAlign w:val="center"/>
          </w:tcPr>
          <w:p w14:paraId="2B539F5C">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《石油库设计规范》第12.2.14条</w:t>
            </w:r>
          </w:p>
        </w:tc>
        <w:tc>
          <w:tcPr>
            <w:tcW w:w="1158" w:type="pct"/>
            <w:tcBorders>
              <w:tl2br w:val="nil"/>
              <w:tr2bl w:val="nil"/>
            </w:tcBorders>
            <w:noWrap w:val="0"/>
            <w:vAlign w:val="center"/>
          </w:tcPr>
          <w:p w14:paraId="3B705FAB">
            <w:pPr>
              <w:spacing w:after="0" w:line="320" w:lineRule="exact"/>
              <w:jc w:val="left"/>
              <w:rPr>
                <w:rFonts w:hint="default" w:ascii="Times New Roman" w:hAnsi="Times New Roman" w:eastAsia="宋体" w:cs="Times New Roman"/>
                <w:b w:val="0"/>
                <w:bCs w:val="0"/>
                <w:color w:val="auto"/>
                <w:sz w:val="21"/>
                <w:szCs w:val="21"/>
                <w:highlight w:val="none"/>
                <w:lang w:val="en-US" w:eastAsia="zh-CN"/>
                <w14:ligatures w14:val="none"/>
              </w:rPr>
            </w:pPr>
            <w:r>
              <w:rPr>
                <w:rFonts w:ascii="Times New Roman" w:hAnsi="Times New Roman" w:eastAsia="宋体" w:cs="Times New Roman"/>
                <w:b w:val="0"/>
                <w:bCs w:val="0"/>
                <w:color w:val="auto"/>
                <w:sz w:val="21"/>
                <w:szCs w:val="21"/>
                <w:highlight w:val="none"/>
                <w14:ligatures w14:val="none"/>
              </w:rPr>
              <w:t>补水时间不大于96h</w:t>
            </w:r>
            <w:r>
              <w:rPr>
                <w:rFonts w:hint="eastAsia" w:ascii="Times New Roman" w:hAnsi="Times New Roman" w:eastAsia="宋体" w:cs="Times New Roman"/>
                <w:b w:val="0"/>
                <w:bCs w:val="0"/>
                <w:color w:val="auto"/>
                <w:sz w:val="21"/>
                <w:szCs w:val="21"/>
                <w:highlight w:val="none"/>
                <w:lang w:eastAsia="zh-CN"/>
                <w14:ligatures w14:val="none"/>
              </w:rPr>
              <w:t>，</w:t>
            </w:r>
            <w:r>
              <w:rPr>
                <w:rFonts w:hint="eastAsia" w:ascii="Times New Roman" w:hAnsi="Times New Roman" w:eastAsia="宋体" w:cs="Times New Roman"/>
                <w:b w:val="0"/>
                <w:bCs w:val="0"/>
                <w:color w:val="auto"/>
                <w:sz w:val="21"/>
                <w:szCs w:val="21"/>
                <w:highlight w:val="none"/>
                <w:lang w:val="en-US" w:eastAsia="zh-CN"/>
                <w14:ligatures w14:val="none"/>
              </w:rPr>
              <w:t>水池容积为1200m</w:t>
            </w:r>
            <w:r>
              <w:rPr>
                <w:rFonts w:hint="eastAsia" w:ascii="Times New Roman" w:hAnsi="Times New Roman" w:eastAsia="宋体" w:cs="Times New Roman"/>
                <w:b w:val="0"/>
                <w:bCs w:val="0"/>
                <w:color w:val="auto"/>
                <w:sz w:val="21"/>
                <w:szCs w:val="21"/>
                <w:highlight w:val="none"/>
                <w:vertAlign w:val="superscript"/>
                <w:lang w:val="en-US" w:eastAsia="zh-CN"/>
                <w14:ligatures w14:val="none"/>
              </w:rPr>
              <w:t>3</w:t>
            </w:r>
            <w:r>
              <w:rPr>
                <w:rFonts w:hint="eastAsia" w:ascii="Times New Roman" w:hAnsi="Times New Roman" w:eastAsia="宋体" w:cs="Times New Roman"/>
                <w:b w:val="0"/>
                <w:bCs w:val="0"/>
                <w:color w:val="auto"/>
                <w:sz w:val="21"/>
                <w:szCs w:val="21"/>
                <w:highlight w:val="none"/>
                <w:vertAlign w:val="baseline"/>
                <w:lang w:val="en-US" w:eastAsia="zh-CN"/>
                <w14:ligatures w14:val="none"/>
              </w:rPr>
              <w:t>，</w:t>
            </w:r>
            <w:r>
              <w:rPr>
                <w:rFonts w:hint="eastAsia" w:ascii="Times New Roman" w:hAnsi="Times New Roman" w:eastAsia="宋体" w:cs="Times New Roman"/>
                <w:b w:val="0"/>
                <w:bCs w:val="0"/>
                <w:color w:val="auto"/>
                <w:sz w:val="21"/>
                <w:szCs w:val="21"/>
                <w:highlight w:val="none"/>
                <w:lang w:val="en-US" w:eastAsia="zh-CN"/>
                <w14:ligatures w14:val="none"/>
              </w:rPr>
              <w:t>分隔为两个水池，且设置了供消防车取水用的取水口。</w:t>
            </w:r>
          </w:p>
        </w:tc>
        <w:tc>
          <w:tcPr>
            <w:tcW w:w="414" w:type="pct"/>
            <w:tcBorders>
              <w:tl2br w:val="nil"/>
              <w:tr2bl w:val="nil"/>
            </w:tcBorders>
            <w:noWrap w:val="0"/>
            <w:vAlign w:val="center"/>
          </w:tcPr>
          <w:p w14:paraId="4802D3EC">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3F45147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692BCFB7">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1E926C06">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13</w:t>
            </w:r>
            <w:r>
              <w:rPr>
                <w:rFonts w:ascii="Times New Roman" w:hAnsi="Times New Roman" w:eastAsia="宋体" w:cs="Times New Roman"/>
                <w:b w:val="0"/>
                <w:bCs w:val="0"/>
                <w:color w:val="auto"/>
                <w:sz w:val="21"/>
                <w:szCs w:val="21"/>
                <w:highlight w:val="none"/>
                <w14:ligatures w14:val="none"/>
              </w:rPr>
              <w:t>、石油库应配置灭火器材</w:t>
            </w:r>
          </w:p>
        </w:tc>
        <w:tc>
          <w:tcPr>
            <w:tcW w:w="1249" w:type="pct"/>
            <w:tcBorders>
              <w:tl2br w:val="nil"/>
              <w:tr2bl w:val="nil"/>
            </w:tcBorders>
            <w:noWrap w:val="0"/>
            <w:vAlign w:val="center"/>
          </w:tcPr>
          <w:p w14:paraId="1CEBE26C">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《石油库设计规范》第12.4.1条</w:t>
            </w:r>
          </w:p>
        </w:tc>
        <w:tc>
          <w:tcPr>
            <w:tcW w:w="1158" w:type="pct"/>
            <w:tcBorders>
              <w:tl2br w:val="nil"/>
              <w:tr2bl w:val="nil"/>
            </w:tcBorders>
            <w:noWrap w:val="0"/>
            <w:vAlign w:val="center"/>
          </w:tcPr>
          <w:p w14:paraId="5025010E">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油库设有灭火器</w:t>
            </w:r>
          </w:p>
        </w:tc>
        <w:tc>
          <w:tcPr>
            <w:tcW w:w="414" w:type="pct"/>
            <w:tcBorders>
              <w:tl2br w:val="nil"/>
              <w:tr2bl w:val="nil"/>
            </w:tcBorders>
            <w:noWrap w:val="0"/>
            <w:vAlign w:val="center"/>
          </w:tcPr>
          <w:p w14:paraId="78CCAFFF">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28D8BF1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3E3F95CA">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42C7418A">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14</w:t>
            </w:r>
            <w:r>
              <w:rPr>
                <w:rFonts w:ascii="Times New Roman" w:hAnsi="Times New Roman" w:eastAsia="宋体" w:cs="Times New Roman"/>
                <w:b w:val="0"/>
                <w:bCs w:val="0"/>
                <w:color w:val="auto"/>
                <w:sz w:val="21"/>
                <w:szCs w:val="21"/>
                <w:highlight w:val="none"/>
                <w14:ligatures w14:val="none"/>
              </w:rPr>
              <w:t>、灭火器的配置应符合现行国家标准《建筑灭火器配置设计规范》GB50140 的有关规定，并应符合下列规定：</w:t>
            </w:r>
            <w:r>
              <w:rPr>
                <w:rFonts w:hint="eastAsia" w:ascii="宋体" w:hAnsi="宋体" w:eastAsia="宋体" w:cs="宋体"/>
                <w:b w:val="0"/>
                <w:bCs w:val="0"/>
                <w:color w:val="auto"/>
                <w:sz w:val="21"/>
                <w:szCs w:val="21"/>
                <w:highlight w:val="none"/>
                <w14:ligatures w14:val="none"/>
              </w:rPr>
              <w:t>①</w:t>
            </w:r>
            <w:r>
              <w:rPr>
                <w:rFonts w:ascii="Times New Roman" w:hAnsi="Times New Roman" w:eastAsia="宋体" w:cs="Times New Roman"/>
                <w:b w:val="0"/>
                <w:bCs w:val="0"/>
                <w:color w:val="auto"/>
                <w:sz w:val="21"/>
                <w:szCs w:val="21"/>
                <w:highlight w:val="none"/>
                <w14:ligatures w14:val="none"/>
              </w:rPr>
              <w:t xml:space="preserve"> 储罐组按防火堤内面积每 400m</w:t>
            </w:r>
            <w:r>
              <w:rPr>
                <w:rFonts w:ascii="Times New Roman" w:hAnsi="Times New Roman" w:eastAsia="宋体" w:cs="Times New Roman"/>
                <w:b w:val="0"/>
                <w:bCs w:val="0"/>
                <w:color w:val="auto"/>
                <w:sz w:val="21"/>
                <w:szCs w:val="21"/>
                <w:highlight w:val="none"/>
                <w:vertAlign w:val="superscript"/>
                <w14:ligatures w14:val="none"/>
              </w:rPr>
              <w:t>2</w:t>
            </w:r>
            <w:r>
              <w:rPr>
                <w:rFonts w:ascii="Times New Roman" w:hAnsi="Times New Roman" w:eastAsia="宋体" w:cs="Times New Roman"/>
                <w:b w:val="0"/>
                <w:bCs w:val="0"/>
                <w:color w:val="auto"/>
                <w:sz w:val="21"/>
                <w:szCs w:val="21"/>
                <w:highlight w:val="none"/>
                <w14:ligatures w14:val="none"/>
              </w:rPr>
              <w:t>应配置1具8kg手提式干粉灭火器，当计算 数量超过6具时，可按6具配置</w:t>
            </w:r>
            <w:r>
              <w:rPr>
                <w:rFonts w:hint="eastAsia" w:ascii="宋体" w:hAnsi="宋体" w:eastAsia="宋体" w:cs="宋体"/>
                <w:b w:val="0"/>
                <w:bCs w:val="0"/>
                <w:color w:val="auto"/>
                <w:sz w:val="21"/>
                <w:szCs w:val="21"/>
                <w:highlight w:val="none"/>
                <w14:ligatures w14:val="none"/>
              </w:rPr>
              <w:t>②</w:t>
            </w:r>
            <w:r>
              <w:rPr>
                <w:rFonts w:ascii="Times New Roman" w:hAnsi="Times New Roman" w:eastAsia="宋体" w:cs="Times New Roman"/>
                <w:b w:val="0"/>
                <w:bCs w:val="0"/>
                <w:color w:val="auto"/>
                <w:sz w:val="21"/>
                <w:szCs w:val="21"/>
                <w:highlight w:val="none"/>
                <w14:ligatures w14:val="none"/>
              </w:rPr>
              <w:t>铁路装车台每间隔 12m 应配置2个8kg干粉灭火器；每个公路装车台应配置2个 8kg干粉灭火器</w:t>
            </w:r>
            <w:r>
              <w:rPr>
                <w:rFonts w:hint="eastAsia" w:ascii="宋体" w:hAnsi="宋体" w:eastAsia="宋体" w:cs="宋体"/>
                <w:b w:val="0"/>
                <w:bCs w:val="0"/>
                <w:color w:val="auto"/>
                <w:sz w:val="21"/>
                <w:szCs w:val="21"/>
                <w:highlight w:val="none"/>
                <w14:ligatures w14:val="none"/>
              </w:rPr>
              <w:t>③</w:t>
            </w:r>
            <w:r>
              <w:rPr>
                <w:rFonts w:ascii="Times New Roman" w:hAnsi="Times New Roman" w:eastAsia="宋体" w:cs="Times New Roman"/>
                <w:b w:val="0"/>
                <w:bCs w:val="0"/>
                <w:color w:val="auto"/>
                <w:sz w:val="21"/>
                <w:szCs w:val="21"/>
                <w:highlight w:val="none"/>
                <w14:ligatures w14:val="none"/>
              </w:rPr>
              <w:t>石油库主要场所灭火毯、灭火沙配置数量不应少于表 12.4.2 的规定</w:t>
            </w:r>
          </w:p>
        </w:tc>
        <w:tc>
          <w:tcPr>
            <w:tcW w:w="1249" w:type="pct"/>
            <w:tcBorders>
              <w:tl2br w:val="nil"/>
              <w:tr2bl w:val="nil"/>
            </w:tcBorders>
            <w:noWrap w:val="0"/>
            <w:vAlign w:val="center"/>
          </w:tcPr>
          <w:p w14:paraId="79CA4E9C">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《石油库设计规范》第12.4.2条</w:t>
            </w:r>
          </w:p>
        </w:tc>
        <w:tc>
          <w:tcPr>
            <w:tcW w:w="1158" w:type="pct"/>
            <w:tcBorders>
              <w:tl2br w:val="nil"/>
              <w:tr2bl w:val="nil"/>
            </w:tcBorders>
            <w:noWrap w:val="0"/>
            <w:vAlign w:val="center"/>
          </w:tcPr>
          <w:p w14:paraId="29EC2A47">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该油库配备灭火器的数量满足要求</w:t>
            </w:r>
          </w:p>
        </w:tc>
        <w:tc>
          <w:tcPr>
            <w:tcW w:w="414" w:type="pct"/>
            <w:tcBorders>
              <w:tl2br w:val="nil"/>
              <w:tr2bl w:val="nil"/>
            </w:tcBorders>
            <w:noWrap w:val="0"/>
            <w:vAlign w:val="center"/>
          </w:tcPr>
          <w:p w14:paraId="0AEFD293">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5E8C305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2DFD08E1">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top"/>
          </w:tcPr>
          <w:p w14:paraId="28B2218A">
            <w:pPr>
              <w:spacing w:after="0" w:line="340" w:lineRule="exact"/>
              <w:jc w:val="both"/>
              <w:rPr>
                <w:rFonts w:ascii="Times New Roman" w:hAnsi="Times New Roman" w:eastAsia="宋体" w:cs="Times New Roman"/>
                <w:b w:val="0"/>
                <w:bCs w:val="0"/>
                <w:color w:val="auto"/>
                <w:sz w:val="21"/>
                <w:szCs w:val="21"/>
                <w:highlight w:val="none"/>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15</w:t>
            </w:r>
            <w:r>
              <w:rPr>
                <w:rFonts w:ascii="Times New Roman" w:hAnsi="Times New Roman" w:eastAsia="宋体" w:cs="Times New Roman"/>
                <w:b w:val="0"/>
                <w:bCs w:val="0"/>
                <w:color w:val="auto"/>
                <w:sz w:val="21"/>
                <w:szCs w:val="21"/>
                <w:highlight w:val="none"/>
                <w14:ligatures w14:val="none"/>
              </w:rPr>
              <w:t>、消防水泵的选择和应用是否符合下列规定：1）消防水泵的性能应满足消防给水系统所需流量和压力的要求；2）消防水泵所配驱动器的功率应满足所选水泵流量扬程性能曲线上任何一点运行所需功率的要求；3）当采用电动机驱动的消防水泵时，应选择电动机干式安装的消防水泵；4）流量扬程性能曲线应为无驼峰、无拐点的光滑曲线，零流量时的压力不应大于设计工作压力的140%，且宜大于设计工作压力的120%；5）当出流量为设计流量的150%时，其出口压力不应低于设计工作压力的65%；6）泵轴的密封方式和材料应满足消防水泵在低流量时运转的要求；8）多台消防水泵并联时，应校核流量叠加对消防水泵出口压力的影响</w:t>
            </w:r>
          </w:p>
        </w:tc>
        <w:tc>
          <w:tcPr>
            <w:tcW w:w="1249" w:type="pct"/>
            <w:tcBorders>
              <w:tl2br w:val="nil"/>
              <w:tr2bl w:val="nil"/>
            </w:tcBorders>
            <w:noWrap w:val="0"/>
            <w:vAlign w:val="center"/>
          </w:tcPr>
          <w:p w14:paraId="260E1AD0">
            <w:pPr>
              <w:spacing w:after="0" w:line="34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《消防给水及消火栓系统技术规范》</w:t>
            </w:r>
          </w:p>
          <w:p w14:paraId="53D3F694">
            <w:pPr>
              <w:spacing w:after="0" w:line="34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第5.1.6条</w:t>
            </w:r>
          </w:p>
        </w:tc>
        <w:tc>
          <w:tcPr>
            <w:tcW w:w="1158" w:type="pct"/>
            <w:tcBorders>
              <w:tl2br w:val="nil"/>
              <w:tr2bl w:val="nil"/>
            </w:tcBorders>
            <w:noWrap w:val="0"/>
            <w:vAlign w:val="center"/>
          </w:tcPr>
          <w:p w14:paraId="2D13C017">
            <w:pPr>
              <w:spacing w:after="0" w:line="320" w:lineRule="exact"/>
              <w:jc w:val="both"/>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消防水泵的性能符合上述要求</w:t>
            </w:r>
          </w:p>
        </w:tc>
        <w:tc>
          <w:tcPr>
            <w:tcW w:w="414" w:type="pct"/>
            <w:tcBorders>
              <w:tl2br w:val="nil"/>
              <w:tr2bl w:val="nil"/>
            </w:tcBorders>
            <w:noWrap w:val="0"/>
            <w:vAlign w:val="center"/>
          </w:tcPr>
          <w:p w14:paraId="44729322">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7A8DE63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restart"/>
            <w:tcBorders>
              <w:tl2br w:val="nil"/>
              <w:tr2bl w:val="nil"/>
            </w:tcBorders>
            <w:noWrap w:val="0"/>
            <w:vAlign w:val="center"/>
          </w:tcPr>
          <w:p w14:paraId="678A68DF">
            <w:pPr>
              <w:spacing w:after="0" w:line="240" w:lineRule="auto"/>
              <w:jc w:val="both"/>
              <w:rPr>
                <w:rFonts w:hint="default"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给排水及污水处理</w:t>
            </w:r>
          </w:p>
        </w:tc>
        <w:tc>
          <w:tcPr>
            <w:tcW w:w="1754" w:type="pct"/>
            <w:tcBorders>
              <w:tl2br w:val="nil"/>
              <w:tr2bl w:val="nil"/>
            </w:tcBorders>
            <w:noWrap w:val="0"/>
            <w:vAlign w:val="center"/>
          </w:tcPr>
          <w:p w14:paraId="64C54E97">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16、石油库的含油与不含油污水，应采用分流制排放，含油污水应采用管道排放。未被易燃和可燃液体污染的地面雨水和生产废水可采用明沟排放，并宜在石油库围墙处集中设置排放口。</w:t>
            </w:r>
          </w:p>
        </w:tc>
        <w:tc>
          <w:tcPr>
            <w:tcW w:w="1249" w:type="pct"/>
            <w:tcBorders>
              <w:tl2br w:val="nil"/>
              <w:tr2bl w:val="nil"/>
            </w:tcBorders>
            <w:noWrap w:val="0"/>
            <w:vAlign w:val="center"/>
          </w:tcPr>
          <w:p w14:paraId="6F61B40C">
            <w:pPr>
              <w:spacing w:after="0" w:line="340" w:lineRule="exact"/>
              <w:jc w:val="center"/>
              <w:rPr>
                <w:rFonts w:hint="eastAsia" w:ascii="Times New Roman" w:hAnsi="Times New Roman" w:eastAsia="宋体" w:cs="Times New Roman"/>
                <w:b w:val="0"/>
                <w:bCs w:val="0"/>
                <w:color w:val="auto"/>
                <w:sz w:val="21"/>
                <w:szCs w:val="21"/>
                <w:highlight w:val="none"/>
                <w:lang w:val="en-US" w:eastAsia="zh-CN"/>
                <w14:ligatures w14:val="none"/>
              </w:rPr>
            </w:pPr>
            <w:r>
              <w:rPr>
                <w:rFonts w:ascii="Times New Roman" w:hAnsi="Times New Roman" w:eastAsia="宋体" w:cs="Times New Roman"/>
                <w:b w:val="0"/>
                <w:bCs w:val="0"/>
                <w:color w:val="auto"/>
                <w:sz w:val="21"/>
                <w:szCs w:val="21"/>
                <w:highlight w:val="none"/>
                <w14:ligatures w14:val="none"/>
              </w:rPr>
              <w:t>《石油库设计规范》</w:t>
            </w:r>
            <w:r>
              <w:rPr>
                <w:rFonts w:hint="eastAsia" w:ascii="Times New Roman" w:hAnsi="Times New Roman" w:eastAsia="宋体" w:cs="Times New Roman"/>
                <w:b w:val="0"/>
                <w:bCs w:val="0"/>
                <w:color w:val="auto"/>
                <w:sz w:val="21"/>
                <w:szCs w:val="21"/>
                <w:highlight w:val="none"/>
                <w:lang w:val="en-US" w:eastAsia="zh-CN"/>
                <w14:ligatures w14:val="none"/>
              </w:rPr>
              <w:t>第13.2.1 条</w:t>
            </w:r>
          </w:p>
        </w:tc>
        <w:tc>
          <w:tcPr>
            <w:tcW w:w="1158" w:type="pct"/>
            <w:tcBorders>
              <w:tl2br w:val="nil"/>
              <w:tr2bl w:val="nil"/>
            </w:tcBorders>
            <w:noWrap w:val="0"/>
            <w:vAlign w:val="center"/>
          </w:tcPr>
          <w:p w14:paraId="262962FE">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含油和不含油污水采用分流制排放，不含油污水排出油库围墙处设有水封装置，水封装置与围墙之间的排水通道采用暗管。</w:t>
            </w:r>
          </w:p>
        </w:tc>
        <w:tc>
          <w:tcPr>
            <w:tcW w:w="414" w:type="pct"/>
            <w:tcBorders>
              <w:tl2br w:val="nil"/>
              <w:tr2bl w:val="nil"/>
            </w:tcBorders>
            <w:noWrap w:val="0"/>
            <w:vAlign w:val="center"/>
          </w:tcPr>
          <w:p w14:paraId="4A7C15C0">
            <w:pPr>
              <w:spacing w:after="0" w:line="340" w:lineRule="exact"/>
              <w:jc w:val="center"/>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符合</w:t>
            </w:r>
          </w:p>
        </w:tc>
      </w:tr>
      <w:tr w14:paraId="5CDFF33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6D77753F">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0599DDFA">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17、储罐区防火堤内的含油污水管道引出防火堤时，应在堤外采取防止泄漏的易燃和可燃液体流出罐区的切断措施。</w:t>
            </w:r>
          </w:p>
        </w:tc>
        <w:tc>
          <w:tcPr>
            <w:tcW w:w="1249" w:type="pct"/>
            <w:tcBorders>
              <w:tl2br w:val="nil"/>
              <w:tr2bl w:val="nil"/>
            </w:tcBorders>
            <w:noWrap w:val="0"/>
            <w:vAlign w:val="center"/>
          </w:tcPr>
          <w:p w14:paraId="1827432C">
            <w:pPr>
              <w:spacing w:after="0" w:line="340" w:lineRule="exact"/>
              <w:jc w:val="center"/>
              <w:rPr>
                <w:rFonts w:hint="eastAsia" w:ascii="Times New Roman" w:hAnsi="Times New Roman" w:eastAsia="宋体" w:cs="Times New Roman"/>
                <w:b w:val="0"/>
                <w:bCs w:val="0"/>
                <w:color w:val="auto"/>
                <w:sz w:val="21"/>
                <w:szCs w:val="21"/>
                <w:highlight w:val="none"/>
                <w:lang w:val="en-US" w:eastAsia="zh-CN"/>
                <w14:ligatures w14:val="none"/>
              </w:rPr>
            </w:pPr>
            <w:r>
              <w:rPr>
                <w:rFonts w:ascii="Times New Roman" w:hAnsi="Times New Roman" w:eastAsia="宋体" w:cs="Times New Roman"/>
                <w:b w:val="0"/>
                <w:bCs w:val="0"/>
                <w:color w:val="auto"/>
                <w:sz w:val="21"/>
                <w:szCs w:val="21"/>
                <w:highlight w:val="none"/>
                <w14:ligatures w14:val="none"/>
              </w:rPr>
              <w:t>《石油库设计规范》</w:t>
            </w:r>
            <w:r>
              <w:rPr>
                <w:rFonts w:hint="eastAsia" w:ascii="Times New Roman" w:hAnsi="Times New Roman" w:eastAsia="宋体" w:cs="Times New Roman"/>
                <w:b w:val="0"/>
                <w:bCs w:val="0"/>
                <w:color w:val="auto"/>
                <w:sz w:val="21"/>
                <w:szCs w:val="21"/>
                <w:highlight w:val="none"/>
                <w:lang w:val="en-US" w:eastAsia="zh-CN"/>
                <w14:ligatures w14:val="none"/>
              </w:rPr>
              <w:t>第13.2.2 条</w:t>
            </w:r>
          </w:p>
        </w:tc>
        <w:tc>
          <w:tcPr>
            <w:tcW w:w="1158" w:type="pct"/>
            <w:tcBorders>
              <w:tl2br w:val="nil"/>
              <w:tr2bl w:val="nil"/>
            </w:tcBorders>
            <w:noWrap w:val="0"/>
            <w:vAlign w:val="center"/>
          </w:tcPr>
          <w:p w14:paraId="560D7CD1">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油罐区防火堤内的含油污水管道引出防火堤时，在堤外设有防止油品流出罐区的切断措施。</w:t>
            </w:r>
          </w:p>
        </w:tc>
        <w:tc>
          <w:tcPr>
            <w:tcW w:w="414" w:type="pct"/>
            <w:tcBorders>
              <w:tl2br w:val="nil"/>
              <w:tr2bl w:val="nil"/>
            </w:tcBorders>
            <w:noWrap w:val="0"/>
            <w:vAlign w:val="center"/>
          </w:tcPr>
          <w:p w14:paraId="7AAFC58B">
            <w:pPr>
              <w:spacing w:after="0" w:line="340" w:lineRule="exact"/>
              <w:jc w:val="center"/>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符合</w:t>
            </w:r>
          </w:p>
        </w:tc>
      </w:tr>
      <w:tr w14:paraId="32BA79C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6B6BA1DF">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280BAE13">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18、含油污水管道应在储罐组防火堤处、其他建（构） 筑物的排水管出口处、支管与干管连接处、干管每隔 300m 处设置水封井。</w:t>
            </w:r>
          </w:p>
        </w:tc>
        <w:tc>
          <w:tcPr>
            <w:tcW w:w="1249" w:type="pct"/>
            <w:tcBorders>
              <w:tl2br w:val="nil"/>
              <w:tr2bl w:val="nil"/>
            </w:tcBorders>
            <w:noWrap w:val="0"/>
            <w:vAlign w:val="center"/>
          </w:tcPr>
          <w:p w14:paraId="58E11068">
            <w:pPr>
              <w:spacing w:after="0" w:line="340" w:lineRule="exact"/>
              <w:jc w:val="center"/>
              <w:rPr>
                <w:rFonts w:hint="eastAsia" w:ascii="Times New Roman" w:hAnsi="Times New Roman" w:eastAsia="宋体" w:cs="Times New Roman"/>
                <w:b w:val="0"/>
                <w:bCs w:val="0"/>
                <w:color w:val="auto"/>
                <w:sz w:val="21"/>
                <w:szCs w:val="21"/>
                <w:highlight w:val="none"/>
                <w:lang w:val="en-US" w:eastAsia="zh-CN"/>
                <w14:ligatures w14:val="none"/>
              </w:rPr>
            </w:pPr>
            <w:r>
              <w:rPr>
                <w:rFonts w:ascii="Times New Roman" w:hAnsi="Times New Roman" w:eastAsia="宋体" w:cs="Times New Roman"/>
                <w:b w:val="0"/>
                <w:bCs w:val="0"/>
                <w:color w:val="auto"/>
                <w:sz w:val="21"/>
                <w:szCs w:val="21"/>
                <w:highlight w:val="none"/>
                <w14:ligatures w14:val="none"/>
              </w:rPr>
              <w:t>《石油库设计规范》</w:t>
            </w:r>
            <w:r>
              <w:rPr>
                <w:rFonts w:hint="eastAsia" w:ascii="Times New Roman" w:hAnsi="Times New Roman" w:eastAsia="宋体" w:cs="Times New Roman"/>
                <w:b w:val="0"/>
                <w:bCs w:val="0"/>
                <w:color w:val="auto"/>
                <w:sz w:val="21"/>
                <w:szCs w:val="21"/>
                <w:highlight w:val="none"/>
                <w:lang w:val="en-US" w:eastAsia="zh-CN"/>
                <w14:ligatures w14:val="none"/>
              </w:rPr>
              <w:t>第13.2.3 条</w:t>
            </w:r>
          </w:p>
        </w:tc>
        <w:tc>
          <w:tcPr>
            <w:tcW w:w="1158" w:type="pct"/>
            <w:tcBorders>
              <w:tl2br w:val="nil"/>
              <w:tr2bl w:val="nil"/>
            </w:tcBorders>
            <w:noWrap w:val="0"/>
            <w:vAlign w:val="center"/>
          </w:tcPr>
          <w:p w14:paraId="06D380FA">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已设置水封井。</w:t>
            </w:r>
          </w:p>
        </w:tc>
        <w:tc>
          <w:tcPr>
            <w:tcW w:w="414" w:type="pct"/>
            <w:tcBorders>
              <w:tl2br w:val="nil"/>
              <w:tr2bl w:val="nil"/>
            </w:tcBorders>
            <w:noWrap w:val="0"/>
            <w:vAlign w:val="center"/>
          </w:tcPr>
          <w:p w14:paraId="504C93BF">
            <w:pPr>
              <w:spacing w:after="0" w:line="340" w:lineRule="exact"/>
              <w:jc w:val="center"/>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符合</w:t>
            </w:r>
          </w:p>
        </w:tc>
      </w:tr>
      <w:tr w14:paraId="0161719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0515BBE0">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0FDCEA3D">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19、库区内应设置漏油及事故污水收集系统。收集系统可由管组防火堤、罐组周围路堤式消防车道与防火堤之间的低洼地带、雨水收集系统、漏油及事故污水收集池组成。</w:t>
            </w:r>
          </w:p>
        </w:tc>
        <w:tc>
          <w:tcPr>
            <w:tcW w:w="1249" w:type="pct"/>
            <w:tcBorders>
              <w:tl2br w:val="nil"/>
              <w:tr2bl w:val="nil"/>
            </w:tcBorders>
            <w:noWrap w:val="0"/>
            <w:vAlign w:val="center"/>
          </w:tcPr>
          <w:p w14:paraId="75A9D849">
            <w:pPr>
              <w:spacing w:after="0" w:line="340" w:lineRule="exact"/>
              <w:jc w:val="center"/>
              <w:rPr>
                <w:rFonts w:hint="eastAsia" w:ascii="Times New Roman" w:hAnsi="Times New Roman" w:eastAsia="宋体" w:cs="Times New Roman"/>
                <w:b w:val="0"/>
                <w:bCs w:val="0"/>
                <w:color w:val="auto"/>
                <w:sz w:val="21"/>
                <w:szCs w:val="21"/>
                <w:highlight w:val="none"/>
                <w:lang w:val="en-US" w:eastAsia="zh-CN"/>
                <w14:ligatures w14:val="none"/>
              </w:rPr>
            </w:pPr>
            <w:r>
              <w:rPr>
                <w:rFonts w:ascii="Times New Roman" w:hAnsi="Times New Roman" w:eastAsia="宋体" w:cs="Times New Roman"/>
                <w:b w:val="0"/>
                <w:bCs w:val="0"/>
                <w:color w:val="auto"/>
                <w:sz w:val="21"/>
                <w:szCs w:val="21"/>
                <w:highlight w:val="none"/>
                <w14:ligatures w14:val="none"/>
              </w:rPr>
              <w:t>《石油库设计规范》</w:t>
            </w:r>
            <w:r>
              <w:rPr>
                <w:rFonts w:hint="eastAsia" w:ascii="Times New Roman" w:hAnsi="Times New Roman" w:eastAsia="宋体" w:cs="Times New Roman"/>
                <w:b w:val="0"/>
                <w:bCs w:val="0"/>
                <w:color w:val="auto"/>
                <w:sz w:val="21"/>
                <w:szCs w:val="21"/>
                <w:highlight w:val="none"/>
                <w:lang w:val="en-US" w:eastAsia="zh-CN"/>
                <w14:ligatures w14:val="none"/>
              </w:rPr>
              <w:t>第13.4.1 条</w:t>
            </w:r>
          </w:p>
        </w:tc>
        <w:tc>
          <w:tcPr>
            <w:tcW w:w="1158" w:type="pct"/>
            <w:tcBorders>
              <w:tl2br w:val="nil"/>
              <w:tr2bl w:val="nil"/>
            </w:tcBorders>
            <w:noWrap w:val="0"/>
            <w:vAlign w:val="center"/>
          </w:tcPr>
          <w:p w14:paraId="6884BCBA">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设有事故水收集系统。</w:t>
            </w:r>
          </w:p>
        </w:tc>
        <w:tc>
          <w:tcPr>
            <w:tcW w:w="414" w:type="pct"/>
            <w:tcBorders>
              <w:tl2br w:val="nil"/>
              <w:tr2bl w:val="nil"/>
            </w:tcBorders>
            <w:noWrap w:val="0"/>
            <w:vAlign w:val="center"/>
          </w:tcPr>
          <w:p w14:paraId="33CA2533">
            <w:pPr>
              <w:spacing w:after="0" w:line="340" w:lineRule="exact"/>
              <w:jc w:val="center"/>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符合</w:t>
            </w:r>
          </w:p>
        </w:tc>
      </w:tr>
      <w:tr w14:paraId="4E20A33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26C3AA19">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24E86AC6">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20、雨水暗管或雨水沟支线进人雨水主管或主沟处，应设水封井。</w:t>
            </w:r>
          </w:p>
        </w:tc>
        <w:tc>
          <w:tcPr>
            <w:tcW w:w="1249" w:type="pct"/>
            <w:tcBorders>
              <w:tl2br w:val="nil"/>
              <w:tr2bl w:val="nil"/>
            </w:tcBorders>
            <w:noWrap w:val="0"/>
            <w:vAlign w:val="center"/>
          </w:tcPr>
          <w:p w14:paraId="0E5BB8A4">
            <w:pPr>
              <w:spacing w:after="0" w:line="340" w:lineRule="exact"/>
              <w:jc w:val="center"/>
              <w:rPr>
                <w:rFonts w:hint="eastAsia" w:ascii="Times New Roman" w:hAnsi="Times New Roman" w:eastAsia="宋体" w:cs="Times New Roman"/>
                <w:b w:val="0"/>
                <w:bCs w:val="0"/>
                <w:color w:val="auto"/>
                <w:sz w:val="21"/>
                <w:szCs w:val="21"/>
                <w:highlight w:val="none"/>
                <w:lang w:val="en-US" w:eastAsia="zh-CN"/>
                <w14:ligatures w14:val="none"/>
              </w:rPr>
            </w:pPr>
            <w:r>
              <w:rPr>
                <w:rFonts w:ascii="Times New Roman" w:hAnsi="Times New Roman" w:eastAsia="宋体" w:cs="Times New Roman"/>
                <w:b w:val="0"/>
                <w:bCs w:val="0"/>
                <w:color w:val="auto"/>
                <w:sz w:val="21"/>
                <w:szCs w:val="21"/>
                <w:highlight w:val="none"/>
                <w14:ligatures w14:val="none"/>
              </w:rPr>
              <w:t>《石油库设计规范》</w:t>
            </w:r>
            <w:r>
              <w:rPr>
                <w:rFonts w:hint="eastAsia" w:ascii="Times New Roman" w:hAnsi="Times New Roman" w:eastAsia="宋体" w:cs="Times New Roman"/>
                <w:b w:val="0"/>
                <w:bCs w:val="0"/>
                <w:color w:val="auto"/>
                <w:sz w:val="21"/>
                <w:szCs w:val="21"/>
                <w:highlight w:val="none"/>
                <w:lang w:val="en-US" w:eastAsia="zh-CN"/>
                <w14:ligatures w14:val="none"/>
              </w:rPr>
              <w:t>第13.4.4条</w:t>
            </w:r>
          </w:p>
        </w:tc>
        <w:tc>
          <w:tcPr>
            <w:tcW w:w="1158" w:type="pct"/>
            <w:tcBorders>
              <w:tl2br w:val="nil"/>
              <w:tr2bl w:val="nil"/>
            </w:tcBorders>
            <w:noWrap w:val="0"/>
            <w:vAlign w:val="center"/>
          </w:tcPr>
          <w:p w14:paraId="09E4D0E2">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设有水封井。</w:t>
            </w:r>
          </w:p>
        </w:tc>
        <w:tc>
          <w:tcPr>
            <w:tcW w:w="414" w:type="pct"/>
            <w:tcBorders>
              <w:tl2br w:val="nil"/>
              <w:tr2bl w:val="nil"/>
            </w:tcBorders>
            <w:noWrap w:val="0"/>
            <w:vAlign w:val="center"/>
          </w:tcPr>
          <w:p w14:paraId="70763CBF">
            <w:pPr>
              <w:spacing w:after="0" w:line="340" w:lineRule="exact"/>
              <w:jc w:val="center"/>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符合</w:t>
            </w:r>
          </w:p>
        </w:tc>
      </w:tr>
      <w:tr w14:paraId="76B49CB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restart"/>
            <w:tcBorders>
              <w:tl2br w:val="nil"/>
              <w:tr2bl w:val="nil"/>
            </w:tcBorders>
            <w:noWrap w:val="0"/>
            <w:vAlign w:val="center"/>
          </w:tcPr>
          <w:p w14:paraId="6926CF0D">
            <w:pPr>
              <w:spacing w:after="0" w:line="240" w:lineRule="auto"/>
              <w:jc w:val="both"/>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电气</w:t>
            </w:r>
          </w:p>
        </w:tc>
        <w:tc>
          <w:tcPr>
            <w:tcW w:w="1754" w:type="pct"/>
            <w:tcBorders>
              <w:tl2br w:val="nil"/>
              <w:tr2bl w:val="nil"/>
            </w:tcBorders>
            <w:noWrap w:val="0"/>
            <w:vAlign w:val="top"/>
          </w:tcPr>
          <w:p w14:paraId="56936905">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21、石油库生产作业的供电负荷等级宜为三级 ，不能中断生产作业的石油库供电负荷等</w:t>
            </w:r>
          </w:p>
          <w:p w14:paraId="39738359">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级应为二级 。一、二、三级石油库应设置供信息系统使用</w:t>
            </w:r>
          </w:p>
          <w:p w14:paraId="7DDE6310">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的应急电源 。设置有电动阀门（易燃和可燃液体定量装车</w:t>
            </w:r>
          </w:p>
          <w:p w14:paraId="46CFF7A5">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控制阀除外） 的一、二级石油库宜配置可移动式应急动力</w:t>
            </w:r>
          </w:p>
          <w:p w14:paraId="2379BFF7">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电源装置 。应急动力电源装置的专用切换电源装置宜设置</w:t>
            </w:r>
          </w:p>
          <w:p w14:paraId="381DA5FF">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在配电间处或罐组防火堤外。</w:t>
            </w:r>
          </w:p>
        </w:tc>
        <w:tc>
          <w:tcPr>
            <w:tcW w:w="1249" w:type="pct"/>
            <w:tcBorders>
              <w:tl2br w:val="nil"/>
              <w:tr2bl w:val="nil"/>
            </w:tcBorders>
            <w:noWrap w:val="0"/>
            <w:vAlign w:val="center"/>
          </w:tcPr>
          <w:p w14:paraId="59F183E9">
            <w:pPr>
              <w:spacing w:after="0" w:line="340" w:lineRule="exact"/>
              <w:jc w:val="center"/>
              <w:rPr>
                <w:rFonts w:hint="eastAsia" w:ascii="Times New Roman" w:hAnsi="Times New Roman" w:eastAsia="宋体" w:cs="Times New Roman"/>
                <w:b w:val="0"/>
                <w:bCs w:val="0"/>
                <w:color w:val="auto"/>
                <w:sz w:val="21"/>
                <w:szCs w:val="21"/>
                <w:highlight w:val="none"/>
                <w:lang w:val="en-US" w:eastAsia="zh-CN"/>
                <w14:ligatures w14:val="none"/>
              </w:rPr>
            </w:pPr>
            <w:r>
              <w:rPr>
                <w:rFonts w:ascii="Times New Roman" w:hAnsi="Times New Roman" w:eastAsia="宋体" w:cs="Times New Roman"/>
                <w:b w:val="0"/>
                <w:bCs w:val="0"/>
                <w:color w:val="auto"/>
                <w:sz w:val="21"/>
                <w:szCs w:val="21"/>
                <w:highlight w:val="none"/>
                <w14:ligatures w14:val="none"/>
              </w:rPr>
              <w:t>《石油库设计规范》</w:t>
            </w:r>
            <w:r>
              <w:rPr>
                <w:rFonts w:hint="eastAsia" w:ascii="Times New Roman" w:hAnsi="Times New Roman" w:eastAsia="宋体" w:cs="Times New Roman"/>
                <w:b w:val="0"/>
                <w:bCs w:val="0"/>
                <w:color w:val="auto"/>
                <w:sz w:val="21"/>
                <w:szCs w:val="21"/>
                <w:highlight w:val="none"/>
                <w:lang w:val="en-US" w:eastAsia="zh-CN"/>
                <w14:ligatures w14:val="none"/>
              </w:rPr>
              <w:t>第 14.1.1 条</w:t>
            </w:r>
          </w:p>
        </w:tc>
        <w:tc>
          <w:tcPr>
            <w:tcW w:w="1158" w:type="pct"/>
            <w:tcBorders>
              <w:tl2br w:val="nil"/>
              <w:tr2bl w:val="nil"/>
            </w:tcBorders>
            <w:noWrap w:val="0"/>
            <w:vAlign w:val="center"/>
          </w:tcPr>
          <w:p w14:paraId="3A35F4AD">
            <w:pPr>
              <w:spacing w:after="0" w:line="340" w:lineRule="exact"/>
              <w:jc w:val="both"/>
              <w:rPr>
                <w:rFonts w:hint="default"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供电负荷等级为三级；信息系统设有应急电源。</w:t>
            </w:r>
          </w:p>
        </w:tc>
        <w:tc>
          <w:tcPr>
            <w:tcW w:w="414" w:type="pct"/>
            <w:tcBorders>
              <w:tl2br w:val="nil"/>
              <w:tr2bl w:val="nil"/>
            </w:tcBorders>
            <w:noWrap w:val="0"/>
            <w:vAlign w:val="center"/>
          </w:tcPr>
          <w:p w14:paraId="0B7A034D">
            <w:pPr>
              <w:spacing w:after="0" w:line="340" w:lineRule="exact"/>
              <w:jc w:val="center"/>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符合</w:t>
            </w:r>
          </w:p>
        </w:tc>
      </w:tr>
      <w:tr w14:paraId="032C58E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352B56C0">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shd w:val="clear" w:color="auto" w:fill="auto"/>
            <w:noWrap w:val="0"/>
            <w:vAlign w:val="center"/>
          </w:tcPr>
          <w:p w14:paraId="4AA98AC8">
            <w:pPr>
              <w:spacing w:after="0" w:line="240" w:lineRule="auto"/>
              <w:jc w:val="both"/>
              <w:rPr>
                <w:rFonts w:hint="eastAsia" w:ascii="Times New Roman" w:hAnsi="Times New Roman" w:eastAsia="宋体" w:cs="Times New Roman"/>
                <w:b w:val="0"/>
                <w:bCs w:val="0"/>
                <w:color w:val="auto"/>
                <w:kern w:val="2"/>
                <w:sz w:val="21"/>
                <w:szCs w:val="21"/>
                <w:highlight w:val="none"/>
                <w:lang w:val="en-US" w:eastAsia="zh-CN" w:bidi="ar-SA"/>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22、</w:t>
            </w:r>
            <w:r>
              <w:rPr>
                <w:rFonts w:ascii="Times New Roman" w:hAnsi="Times New Roman" w:eastAsia="宋体" w:cs="Times New Roman"/>
                <w:b w:val="0"/>
                <w:bCs w:val="0"/>
                <w:color w:val="auto"/>
                <w:sz w:val="21"/>
                <w:szCs w:val="21"/>
                <w:highlight w:val="none"/>
                <w14:ligatures w14:val="none"/>
              </w:rPr>
              <w:t>石油库的供电宜采用外接电源。当采用外接电源有困难或不经济时，可采用自备电源</w:t>
            </w:r>
          </w:p>
        </w:tc>
        <w:tc>
          <w:tcPr>
            <w:tcW w:w="1249" w:type="pct"/>
            <w:tcBorders>
              <w:tl2br w:val="nil"/>
              <w:tr2bl w:val="nil"/>
            </w:tcBorders>
            <w:shd w:val="clear" w:color="auto" w:fill="auto"/>
            <w:noWrap w:val="0"/>
            <w:vAlign w:val="center"/>
          </w:tcPr>
          <w:p w14:paraId="4D679364">
            <w:pPr>
              <w:spacing w:after="0" w:line="240" w:lineRule="auto"/>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《石油库设计规范》第14.1.2条</w:t>
            </w:r>
          </w:p>
        </w:tc>
        <w:tc>
          <w:tcPr>
            <w:tcW w:w="1158" w:type="pct"/>
            <w:tcBorders>
              <w:tl2br w:val="nil"/>
              <w:tr2bl w:val="nil"/>
            </w:tcBorders>
            <w:shd w:val="clear" w:color="auto" w:fill="auto"/>
            <w:noWrap w:val="0"/>
            <w:vAlign w:val="center"/>
          </w:tcPr>
          <w:p w14:paraId="12018773">
            <w:pPr>
              <w:spacing w:after="0" w:line="240" w:lineRule="auto"/>
              <w:jc w:val="both"/>
              <w:rPr>
                <w:rFonts w:hint="default"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该油库电源由</w:t>
            </w:r>
            <w:r>
              <w:rPr>
                <w:rFonts w:hint="eastAsia" w:ascii="Times New Roman" w:hAnsi="Times New Roman" w:eastAsia="宋体" w:cs="Times New Roman"/>
                <w:b w:val="0"/>
                <w:bCs w:val="0"/>
                <w:color w:val="auto"/>
                <w:sz w:val="21"/>
                <w:szCs w:val="21"/>
                <w:highlight w:val="none"/>
                <w14:ligatures w14:val="none"/>
              </w:rPr>
              <w:t>市政</w:t>
            </w:r>
            <w:r>
              <w:rPr>
                <w:rFonts w:ascii="Times New Roman" w:hAnsi="Times New Roman" w:eastAsia="宋体" w:cs="Times New Roman"/>
                <w:b w:val="0"/>
                <w:bCs w:val="0"/>
                <w:color w:val="auto"/>
                <w:sz w:val="21"/>
                <w:szCs w:val="21"/>
                <w:highlight w:val="none"/>
                <w14:ligatures w14:val="none"/>
              </w:rPr>
              <w:t>供电，另外，油库自备柴油发电机作为备用电源</w:t>
            </w:r>
            <w:r>
              <w:rPr>
                <w:rFonts w:hint="eastAsia" w:ascii="Times New Roman" w:hAnsi="Times New Roman" w:eastAsia="宋体" w:cs="Times New Roman"/>
                <w:b w:val="0"/>
                <w:bCs w:val="0"/>
                <w:color w:val="auto"/>
                <w:sz w:val="21"/>
                <w:szCs w:val="21"/>
                <w:highlight w:val="none"/>
                <w:lang w:eastAsia="zh-CN"/>
                <w14:ligatures w14:val="none"/>
              </w:rPr>
              <w:t>，</w:t>
            </w:r>
            <w:r>
              <w:rPr>
                <w:rFonts w:hint="eastAsia" w:ascii="Times New Roman" w:hAnsi="Times New Roman" w:eastAsia="宋体" w:cs="Times New Roman"/>
                <w:b w:val="0"/>
                <w:bCs w:val="0"/>
                <w:color w:val="auto"/>
                <w:sz w:val="21"/>
                <w:szCs w:val="21"/>
                <w:highlight w:val="none"/>
                <w:lang w:val="en-US" w:eastAsia="zh-CN"/>
                <w14:ligatures w14:val="none"/>
              </w:rPr>
              <w:t>供生产和消防泵使用。</w:t>
            </w:r>
          </w:p>
        </w:tc>
        <w:tc>
          <w:tcPr>
            <w:tcW w:w="414" w:type="pct"/>
            <w:tcBorders>
              <w:tl2br w:val="nil"/>
              <w:tr2bl w:val="nil"/>
            </w:tcBorders>
            <w:shd w:val="clear" w:color="auto" w:fill="auto"/>
            <w:noWrap w:val="0"/>
            <w:vAlign w:val="center"/>
          </w:tcPr>
          <w:p w14:paraId="4B8C0E14">
            <w:pPr>
              <w:spacing w:after="0" w:line="240" w:lineRule="auto"/>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符合</w:t>
            </w:r>
          </w:p>
        </w:tc>
      </w:tr>
      <w:tr w14:paraId="5D592C3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1D61447B">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shd w:val="clear" w:color="auto" w:fill="auto"/>
            <w:noWrap w:val="0"/>
            <w:vAlign w:val="top"/>
          </w:tcPr>
          <w:p w14:paraId="26B5F7C6">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23 、一、二、三级石油库的消防泵站和泡沫站应设应急照</w:t>
            </w:r>
          </w:p>
          <w:p w14:paraId="197CABA8">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明 ，应急照明可采用蓄电池作为备用电源 ，其连续供电时间不应少于 6h。</w:t>
            </w:r>
          </w:p>
        </w:tc>
        <w:tc>
          <w:tcPr>
            <w:tcW w:w="1249" w:type="pct"/>
            <w:tcBorders>
              <w:tl2br w:val="nil"/>
              <w:tr2bl w:val="nil"/>
            </w:tcBorders>
            <w:shd w:val="clear" w:color="auto" w:fill="auto"/>
            <w:noWrap w:val="0"/>
            <w:vAlign w:val="center"/>
          </w:tcPr>
          <w:p w14:paraId="0991AA91">
            <w:pPr>
              <w:spacing w:after="0" w:line="340" w:lineRule="exact"/>
              <w:jc w:val="center"/>
              <w:rPr>
                <w:rFonts w:hint="eastAsia" w:ascii="Times New Roman" w:hAnsi="Times New Roman" w:eastAsia="宋体" w:cs="Times New Roman"/>
                <w:b w:val="0"/>
                <w:bCs w:val="0"/>
                <w:color w:val="auto"/>
                <w:sz w:val="21"/>
                <w:szCs w:val="21"/>
                <w:highlight w:val="none"/>
                <w:lang w:val="en-US" w:eastAsia="zh-CN"/>
                <w14:ligatures w14:val="none"/>
              </w:rPr>
            </w:pPr>
            <w:r>
              <w:rPr>
                <w:rFonts w:ascii="Times New Roman" w:hAnsi="Times New Roman" w:eastAsia="宋体" w:cs="Times New Roman"/>
                <w:b w:val="0"/>
                <w:bCs w:val="0"/>
                <w:color w:val="auto"/>
                <w:sz w:val="21"/>
                <w:szCs w:val="21"/>
                <w:highlight w:val="none"/>
                <w14:ligatures w14:val="none"/>
              </w:rPr>
              <w:t>《石油库设计规范》</w:t>
            </w:r>
            <w:r>
              <w:rPr>
                <w:rFonts w:hint="eastAsia" w:ascii="Times New Roman" w:hAnsi="Times New Roman" w:eastAsia="宋体" w:cs="Times New Roman"/>
                <w:b w:val="0"/>
                <w:bCs w:val="0"/>
                <w:color w:val="auto"/>
                <w:sz w:val="21"/>
                <w:szCs w:val="21"/>
                <w:highlight w:val="none"/>
                <w:lang w:val="en-US" w:eastAsia="zh-CN"/>
                <w14:ligatures w14:val="none"/>
              </w:rPr>
              <w:t>第 14.1.3 条</w:t>
            </w:r>
          </w:p>
        </w:tc>
        <w:tc>
          <w:tcPr>
            <w:tcW w:w="1158" w:type="pct"/>
            <w:tcBorders>
              <w:tl2br w:val="nil"/>
              <w:tr2bl w:val="nil"/>
            </w:tcBorders>
            <w:shd w:val="clear" w:color="auto" w:fill="auto"/>
            <w:noWrap w:val="0"/>
            <w:vAlign w:val="center"/>
          </w:tcPr>
          <w:p w14:paraId="4889500C">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该企业为四级石油库。</w:t>
            </w:r>
          </w:p>
        </w:tc>
        <w:tc>
          <w:tcPr>
            <w:tcW w:w="414" w:type="pct"/>
            <w:tcBorders>
              <w:tl2br w:val="nil"/>
              <w:tr2bl w:val="nil"/>
            </w:tcBorders>
            <w:shd w:val="clear" w:color="auto" w:fill="auto"/>
            <w:noWrap w:val="0"/>
            <w:vAlign w:val="center"/>
          </w:tcPr>
          <w:p w14:paraId="34C46E4B">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无关</w:t>
            </w:r>
          </w:p>
        </w:tc>
      </w:tr>
      <w:tr w14:paraId="6F8FEF7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74E40456">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6D459438">
            <w:pPr>
              <w:spacing w:after="0" w:line="240" w:lineRule="auto"/>
              <w:jc w:val="both"/>
              <w:rPr>
                <w:rFonts w:ascii="Times New Roman" w:hAnsi="Times New Roman" w:eastAsia="宋体" w:cs="Times New Roman"/>
                <w:b w:val="0"/>
                <w:bCs w:val="0"/>
                <w:color w:val="auto"/>
                <w:sz w:val="21"/>
                <w:szCs w:val="21"/>
                <w:highlight w:val="none"/>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24</w:t>
            </w:r>
            <w:r>
              <w:rPr>
                <w:rFonts w:ascii="Times New Roman" w:hAnsi="Times New Roman" w:eastAsia="宋体" w:cs="Times New Roman"/>
                <w:b w:val="0"/>
                <w:bCs w:val="0"/>
                <w:color w:val="auto"/>
                <w:sz w:val="21"/>
                <w:szCs w:val="21"/>
                <w:highlight w:val="none"/>
                <w14:ligatures w14:val="none"/>
              </w:rPr>
              <w:t>、10kv以上的露天配电装置独立设置。 10kv及以下的变配电间与易燃油品泵房（棚）相毗邻时，其隔墙为非燃烧材料建造的实体墙，与配电间无关的管道不穿过隔墙，所有穿墙的孔洞，用非燃烧材料严密填实；门窗向外开，且位于爆炸危险区域以外，如窗设在爆炸危险区以内，设密闭固定窗；地坪高于油泵房室外地坪0.6m。</w:t>
            </w:r>
          </w:p>
        </w:tc>
        <w:tc>
          <w:tcPr>
            <w:tcW w:w="1249" w:type="pct"/>
            <w:tcBorders>
              <w:tl2br w:val="nil"/>
              <w:tr2bl w:val="nil"/>
            </w:tcBorders>
            <w:noWrap w:val="0"/>
            <w:vAlign w:val="center"/>
          </w:tcPr>
          <w:p w14:paraId="714AFFC8">
            <w:pPr>
              <w:spacing w:after="0" w:line="240" w:lineRule="auto"/>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《石油库设计规范》第14.1.4条</w:t>
            </w:r>
          </w:p>
        </w:tc>
        <w:tc>
          <w:tcPr>
            <w:tcW w:w="1158" w:type="pct"/>
            <w:tcBorders>
              <w:tl2br w:val="nil"/>
              <w:tr2bl w:val="nil"/>
            </w:tcBorders>
            <w:noWrap w:val="0"/>
            <w:vAlign w:val="center"/>
          </w:tcPr>
          <w:p w14:paraId="0F60191A">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设有10KV变电所，独立设置。</w:t>
            </w:r>
          </w:p>
        </w:tc>
        <w:tc>
          <w:tcPr>
            <w:tcW w:w="414" w:type="pct"/>
            <w:tcBorders>
              <w:tl2br w:val="nil"/>
              <w:tr2bl w:val="nil"/>
            </w:tcBorders>
            <w:noWrap w:val="0"/>
            <w:vAlign w:val="center"/>
          </w:tcPr>
          <w:p w14:paraId="12ECC96D">
            <w:pPr>
              <w:spacing w:after="0" w:line="240" w:lineRule="auto"/>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525532D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1966C831">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331D55C9">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3</w:t>
            </w:r>
            <w:r>
              <w:rPr>
                <w:rFonts w:ascii="Times New Roman" w:hAnsi="Times New Roman" w:eastAsia="宋体" w:cs="Times New Roman"/>
                <w:b w:val="0"/>
                <w:bCs w:val="0"/>
                <w:color w:val="auto"/>
                <w:sz w:val="21"/>
                <w:szCs w:val="21"/>
                <w:highlight w:val="none"/>
                <w14:ligatures w14:val="none"/>
              </w:rPr>
              <w:t>、石油库主要生产作业场所的配电电缆应采用铜芯电缆，并应采用直埋或电缆沟充砂敷设，局部地段确需在地面敷设的电缆应采用阻燃电缆</w:t>
            </w:r>
          </w:p>
        </w:tc>
        <w:tc>
          <w:tcPr>
            <w:tcW w:w="1249" w:type="pct"/>
            <w:tcBorders>
              <w:tl2br w:val="nil"/>
              <w:tr2bl w:val="nil"/>
            </w:tcBorders>
            <w:noWrap w:val="0"/>
            <w:vAlign w:val="center"/>
          </w:tcPr>
          <w:p w14:paraId="4AFF808E">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《石油库设计规范》第14.1.5条</w:t>
            </w:r>
          </w:p>
        </w:tc>
        <w:tc>
          <w:tcPr>
            <w:tcW w:w="1158" w:type="pct"/>
            <w:tcBorders>
              <w:tl2br w:val="nil"/>
              <w:tr2bl w:val="nil"/>
            </w:tcBorders>
            <w:noWrap w:val="0"/>
            <w:vAlign w:val="center"/>
          </w:tcPr>
          <w:p w14:paraId="4209F2B4">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主要作业场所的配电电缆采用铜芯电缆，直埋或电缆沟充砂敷设，地面敷设部分采用阻燃电缆</w:t>
            </w:r>
          </w:p>
        </w:tc>
        <w:tc>
          <w:tcPr>
            <w:tcW w:w="414" w:type="pct"/>
            <w:tcBorders>
              <w:tl2br w:val="nil"/>
              <w:tr2bl w:val="nil"/>
            </w:tcBorders>
            <w:noWrap w:val="0"/>
            <w:vAlign w:val="center"/>
          </w:tcPr>
          <w:p w14:paraId="05214F87">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6558EBF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53C3D1AC">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2AE6D7F7">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25</w:t>
            </w:r>
            <w:r>
              <w:rPr>
                <w:rFonts w:ascii="Times New Roman" w:hAnsi="Times New Roman" w:eastAsia="宋体" w:cs="Times New Roman"/>
                <w:b w:val="0"/>
                <w:bCs w:val="0"/>
                <w:color w:val="auto"/>
                <w:sz w:val="21"/>
                <w:szCs w:val="21"/>
                <w:highlight w:val="none"/>
                <w14:ligatures w14:val="none"/>
              </w:rPr>
              <w:t>、电缆不得与易燃和可燃液体管道、热力管道同沟敷设</w:t>
            </w:r>
          </w:p>
        </w:tc>
        <w:tc>
          <w:tcPr>
            <w:tcW w:w="1249" w:type="pct"/>
            <w:tcBorders>
              <w:tl2br w:val="nil"/>
              <w:tr2bl w:val="nil"/>
            </w:tcBorders>
            <w:noWrap w:val="0"/>
            <w:vAlign w:val="center"/>
          </w:tcPr>
          <w:p w14:paraId="0B027F7D">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《石油库设计规范》第14.1.6条</w:t>
            </w:r>
          </w:p>
        </w:tc>
        <w:tc>
          <w:tcPr>
            <w:tcW w:w="1158" w:type="pct"/>
            <w:tcBorders>
              <w:tl2br w:val="nil"/>
              <w:tr2bl w:val="nil"/>
            </w:tcBorders>
            <w:noWrap w:val="0"/>
            <w:vAlign w:val="center"/>
          </w:tcPr>
          <w:p w14:paraId="7B22AB6B">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未与易燃和可燃液体管道同沟敷设</w:t>
            </w:r>
          </w:p>
        </w:tc>
        <w:tc>
          <w:tcPr>
            <w:tcW w:w="414" w:type="pct"/>
            <w:tcBorders>
              <w:tl2br w:val="nil"/>
              <w:tr2bl w:val="nil"/>
            </w:tcBorders>
            <w:noWrap w:val="0"/>
            <w:vAlign w:val="center"/>
          </w:tcPr>
          <w:p w14:paraId="3AA7977E">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1EDD382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66E00A4C">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469A7AEE">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26</w:t>
            </w:r>
            <w:r>
              <w:rPr>
                <w:rFonts w:ascii="Times New Roman" w:hAnsi="Times New Roman" w:eastAsia="宋体" w:cs="Times New Roman"/>
                <w:b w:val="0"/>
                <w:bCs w:val="0"/>
                <w:color w:val="auto"/>
                <w:sz w:val="21"/>
                <w:szCs w:val="21"/>
                <w:highlight w:val="none"/>
                <w14:ligatures w14:val="none"/>
              </w:rPr>
              <w:t>、油库内建、构筑物爆炸危险区域的等级及电气设备选型，是否按《爆炸和火灾危险环境电力装置设计规范》GB50058执行，其爆炸危险区域的等级范围划分符合GB50074附录B的规定</w:t>
            </w:r>
          </w:p>
        </w:tc>
        <w:tc>
          <w:tcPr>
            <w:tcW w:w="1249" w:type="pct"/>
            <w:tcBorders>
              <w:tl2br w:val="nil"/>
              <w:tr2bl w:val="nil"/>
            </w:tcBorders>
            <w:noWrap w:val="0"/>
            <w:vAlign w:val="center"/>
          </w:tcPr>
          <w:p w14:paraId="39E8A075">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《石油库设计规范》第14.1.7条</w:t>
            </w:r>
          </w:p>
        </w:tc>
        <w:tc>
          <w:tcPr>
            <w:tcW w:w="1158" w:type="pct"/>
            <w:tcBorders>
              <w:tl2br w:val="nil"/>
              <w:tr2bl w:val="nil"/>
            </w:tcBorders>
            <w:noWrap w:val="0"/>
            <w:vAlign w:val="center"/>
          </w:tcPr>
          <w:p w14:paraId="7F1587B5">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爆炸危险区内的电气级别和组别为</w:t>
            </w:r>
          </w:p>
          <w:p w14:paraId="13095FC0">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hint="eastAsia" w:ascii="宋体" w:hAnsi="宋体" w:eastAsia="宋体" w:cs="宋体"/>
                <w:b w:val="0"/>
                <w:bCs w:val="0"/>
                <w:color w:val="auto"/>
                <w:sz w:val="21"/>
                <w:szCs w:val="21"/>
                <w:highlight w:val="none"/>
                <w14:ligatures w14:val="none"/>
              </w:rPr>
              <w:t>Ⅱ</w:t>
            </w:r>
            <w:r>
              <w:rPr>
                <w:rFonts w:ascii="Times New Roman" w:hAnsi="Times New Roman" w:eastAsia="宋体" w:cs="Times New Roman"/>
                <w:b w:val="0"/>
                <w:bCs w:val="0"/>
                <w:color w:val="auto"/>
                <w:sz w:val="21"/>
                <w:szCs w:val="21"/>
                <w:highlight w:val="none"/>
                <w14:ligatures w14:val="none"/>
              </w:rPr>
              <w:t>BT4</w:t>
            </w:r>
          </w:p>
        </w:tc>
        <w:tc>
          <w:tcPr>
            <w:tcW w:w="414" w:type="pct"/>
            <w:tcBorders>
              <w:tl2br w:val="nil"/>
              <w:tr2bl w:val="nil"/>
            </w:tcBorders>
            <w:noWrap w:val="0"/>
            <w:vAlign w:val="center"/>
          </w:tcPr>
          <w:p w14:paraId="38C443F2">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06F27F5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0BA59487">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2FFBE796">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27</w:t>
            </w:r>
            <w:r>
              <w:rPr>
                <w:rFonts w:ascii="Times New Roman" w:hAnsi="Times New Roman" w:eastAsia="宋体" w:cs="Times New Roman"/>
                <w:b w:val="0"/>
                <w:bCs w:val="0"/>
                <w:color w:val="auto"/>
                <w:sz w:val="21"/>
                <w:szCs w:val="21"/>
                <w:highlight w:val="none"/>
                <w14:ligatures w14:val="none"/>
              </w:rPr>
              <w:t>、石油库的低压配电系统接地型式应采用TN-S系统</w:t>
            </w:r>
          </w:p>
        </w:tc>
        <w:tc>
          <w:tcPr>
            <w:tcW w:w="1249" w:type="pct"/>
            <w:tcBorders>
              <w:tl2br w:val="nil"/>
              <w:tr2bl w:val="nil"/>
            </w:tcBorders>
            <w:noWrap w:val="0"/>
            <w:vAlign w:val="center"/>
          </w:tcPr>
          <w:p w14:paraId="12C92C6D">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《石油库设计规范》第14.1.8条</w:t>
            </w:r>
          </w:p>
        </w:tc>
        <w:tc>
          <w:tcPr>
            <w:tcW w:w="1158" w:type="pct"/>
            <w:tcBorders>
              <w:tl2br w:val="nil"/>
              <w:tr2bl w:val="nil"/>
            </w:tcBorders>
            <w:noWrap w:val="0"/>
            <w:vAlign w:val="center"/>
          </w:tcPr>
          <w:p w14:paraId="2C5221D9">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低压配电系统为TN-S系统</w:t>
            </w:r>
          </w:p>
        </w:tc>
        <w:tc>
          <w:tcPr>
            <w:tcW w:w="414" w:type="pct"/>
            <w:tcBorders>
              <w:tl2br w:val="nil"/>
              <w:tr2bl w:val="nil"/>
            </w:tcBorders>
            <w:noWrap w:val="0"/>
            <w:vAlign w:val="center"/>
          </w:tcPr>
          <w:p w14:paraId="4339AA02">
            <w:pPr>
              <w:spacing w:after="0" w:line="320" w:lineRule="exact"/>
              <w:jc w:val="center"/>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符合</w:t>
            </w:r>
          </w:p>
        </w:tc>
      </w:tr>
      <w:tr w14:paraId="72A4A0D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restart"/>
            <w:tcBorders>
              <w:tl2br w:val="nil"/>
              <w:tr2bl w:val="nil"/>
            </w:tcBorders>
            <w:noWrap w:val="0"/>
            <w:vAlign w:val="center"/>
          </w:tcPr>
          <w:p w14:paraId="30C47AD9">
            <w:pPr>
              <w:spacing w:after="0" w:line="240" w:lineRule="auto"/>
              <w:jc w:val="both"/>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防雷防静电</w:t>
            </w:r>
          </w:p>
        </w:tc>
        <w:tc>
          <w:tcPr>
            <w:tcW w:w="1754" w:type="pct"/>
            <w:tcBorders>
              <w:tl2br w:val="nil"/>
              <w:tr2bl w:val="nil"/>
            </w:tcBorders>
            <w:noWrap w:val="0"/>
            <w:vAlign w:val="center"/>
          </w:tcPr>
          <w:p w14:paraId="164B4AB2">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28</w:t>
            </w:r>
            <w:r>
              <w:rPr>
                <w:rFonts w:ascii="Times New Roman" w:hAnsi="Times New Roman" w:eastAsia="宋体" w:cs="Times New Roman"/>
                <w:b w:val="0"/>
                <w:bCs w:val="0"/>
                <w:color w:val="auto"/>
                <w:sz w:val="21"/>
                <w:szCs w:val="21"/>
                <w:highlight w:val="none"/>
                <w14:ligatures w14:val="none"/>
              </w:rPr>
              <w:t>、钢储罐必须做防雷接地，接地点不应少于两处</w:t>
            </w:r>
          </w:p>
        </w:tc>
        <w:tc>
          <w:tcPr>
            <w:tcW w:w="1249" w:type="pct"/>
            <w:tcBorders>
              <w:tl2br w:val="nil"/>
              <w:tr2bl w:val="nil"/>
            </w:tcBorders>
            <w:noWrap w:val="0"/>
            <w:vAlign w:val="center"/>
          </w:tcPr>
          <w:p w14:paraId="5E53B107">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《石油库设计规范》第14.2.1条</w:t>
            </w:r>
          </w:p>
        </w:tc>
        <w:tc>
          <w:tcPr>
            <w:tcW w:w="1158" w:type="pct"/>
            <w:tcBorders>
              <w:tl2br w:val="nil"/>
              <w:tr2bl w:val="nil"/>
            </w:tcBorders>
            <w:noWrap w:val="0"/>
            <w:vAlign w:val="center"/>
          </w:tcPr>
          <w:p w14:paraId="12B81F1B">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钢储罐均已做防雷接地，接地点均不少于两处</w:t>
            </w:r>
          </w:p>
        </w:tc>
        <w:tc>
          <w:tcPr>
            <w:tcW w:w="414" w:type="pct"/>
            <w:tcBorders>
              <w:tl2br w:val="nil"/>
              <w:tr2bl w:val="nil"/>
            </w:tcBorders>
            <w:noWrap w:val="0"/>
            <w:vAlign w:val="center"/>
          </w:tcPr>
          <w:p w14:paraId="0AA99FE6">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符合</w:t>
            </w:r>
          </w:p>
        </w:tc>
      </w:tr>
      <w:tr w14:paraId="73C8196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23DA135F">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62D943FC">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2</w:t>
            </w:r>
            <w:r>
              <w:rPr>
                <w:rFonts w:hint="eastAsia" w:ascii="Times New Roman" w:hAnsi="Times New Roman" w:eastAsia="宋体" w:cs="Times New Roman"/>
                <w:b w:val="0"/>
                <w:bCs w:val="0"/>
                <w:color w:val="auto"/>
                <w:sz w:val="21"/>
                <w:szCs w:val="21"/>
                <w:highlight w:val="none"/>
                <w:lang w:val="en-US" w:eastAsia="zh-CN"/>
                <w14:ligatures w14:val="none"/>
              </w:rPr>
              <w:t>9</w:t>
            </w:r>
            <w:r>
              <w:rPr>
                <w:rFonts w:ascii="Times New Roman" w:hAnsi="Times New Roman" w:eastAsia="宋体" w:cs="Times New Roman"/>
                <w:b w:val="0"/>
                <w:bCs w:val="0"/>
                <w:color w:val="auto"/>
                <w:sz w:val="21"/>
                <w:szCs w:val="21"/>
                <w:highlight w:val="none"/>
                <w14:ligatures w14:val="none"/>
              </w:rPr>
              <w:t>、钢储罐接地点沿储罐周长的间距，不宜大于30m，接地电阻不宜大于10Ω</w:t>
            </w:r>
          </w:p>
        </w:tc>
        <w:tc>
          <w:tcPr>
            <w:tcW w:w="1249" w:type="pct"/>
            <w:tcBorders>
              <w:tl2br w:val="nil"/>
              <w:tr2bl w:val="nil"/>
            </w:tcBorders>
            <w:noWrap w:val="0"/>
            <w:vAlign w:val="center"/>
          </w:tcPr>
          <w:p w14:paraId="3EF7AB74">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《石油库设计规范》第14.2.2条</w:t>
            </w:r>
          </w:p>
        </w:tc>
        <w:tc>
          <w:tcPr>
            <w:tcW w:w="1158" w:type="pct"/>
            <w:tcBorders>
              <w:tl2br w:val="nil"/>
              <w:tr2bl w:val="nil"/>
            </w:tcBorders>
            <w:noWrap w:val="0"/>
            <w:vAlign w:val="center"/>
          </w:tcPr>
          <w:p w14:paraId="34F4E043">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钢储罐接地点沿储罐周长的间距，不大于20m，接地电阻不大于10Ω</w:t>
            </w:r>
          </w:p>
        </w:tc>
        <w:tc>
          <w:tcPr>
            <w:tcW w:w="414" w:type="pct"/>
            <w:tcBorders>
              <w:tl2br w:val="nil"/>
              <w:tr2bl w:val="nil"/>
            </w:tcBorders>
            <w:noWrap w:val="0"/>
            <w:vAlign w:val="center"/>
          </w:tcPr>
          <w:p w14:paraId="1295970B">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符合</w:t>
            </w:r>
          </w:p>
        </w:tc>
      </w:tr>
      <w:tr w14:paraId="5AFA068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52CCB260">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79828A6B">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30</w:t>
            </w:r>
            <w:r>
              <w:rPr>
                <w:rFonts w:ascii="Times New Roman" w:hAnsi="Times New Roman" w:eastAsia="宋体" w:cs="Times New Roman"/>
                <w:b w:val="0"/>
                <w:bCs w:val="0"/>
                <w:color w:val="auto"/>
                <w:sz w:val="21"/>
                <w:szCs w:val="21"/>
                <w:highlight w:val="none"/>
                <w14:ligatures w14:val="none"/>
              </w:rPr>
              <w:t>、装于地上钢储罐上的仪表及控制系统的配线电缆应采用屏蔽电缆，并应穿镀锌钢管保护管，保护管两端应与罐体做电气连接</w:t>
            </w:r>
          </w:p>
        </w:tc>
        <w:tc>
          <w:tcPr>
            <w:tcW w:w="1249" w:type="pct"/>
            <w:tcBorders>
              <w:tl2br w:val="nil"/>
              <w:tr2bl w:val="nil"/>
            </w:tcBorders>
            <w:noWrap w:val="0"/>
            <w:vAlign w:val="center"/>
          </w:tcPr>
          <w:p w14:paraId="4C5DBB23">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《石油库设计规范》第14.2.5条</w:t>
            </w:r>
          </w:p>
        </w:tc>
        <w:tc>
          <w:tcPr>
            <w:tcW w:w="1158" w:type="pct"/>
            <w:tcBorders>
              <w:tl2br w:val="nil"/>
              <w:tr2bl w:val="nil"/>
            </w:tcBorders>
            <w:noWrap w:val="0"/>
            <w:vAlign w:val="center"/>
          </w:tcPr>
          <w:p w14:paraId="74CE5D85">
            <w:pPr>
              <w:spacing w:after="0" w:line="320" w:lineRule="exact"/>
              <w:jc w:val="left"/>
              <w:rPr>
                <w:rFonts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14:ligatures w14:val="none"/>
              </w:rPr>
              <w:t>仪表及控制系统的配线电缆应采用屏蔽电缆，并穿镀锌钢管保护管，保护管两端与罐体做电气连接。</w:t>
            </w:r>
          </w:p>
        </w:tc>
        <w:tc>
          <w:tcPr>
            <w:tcW w:w="414" w:type="pct"/>
            <w:tcBorders>
              <w:tl2br w:val="nil"/>
              <w:tr2bl w:val="nil"/>
            </w:tcBorders>
            <w:noWrap w:val="0"/>
            <w:vAlign w:val="center"/>
          </w:tcPr>
          <w:p w14:paraId="265798BB">
            <w:pPr>
              <w:spacing w:after="0" w:line="320" w:lineRule="exact"/>
              <w:jc w:val="left"/>
              <w:rPr>
                <w:rFonts w:ascii="Times New Roman" w:hAnsi="Times New Roman" w:eastAsia="宋体" w:cs="Times New Roman"/>
                <w:b w:val="0"/>
                <w:bCs w:val="0"/>
                <w:color w:val="auto"/>
                <w:sz w:val="21"/>
                <w:szCs w:val="21"/>
                <w:highlight w:val="none"/>
                <w:lang w:val="en-US" w:eastAsia="zh-CN"/>
                <w14:ligatures w14:val="none"/>
              </w:rPr>
            </w:pPr>
            <w:r>
              <w:rPr>
                <w:rFonts w:ascii="Times New Roman" w:hAnsi="Times New Roman" w:eastAsia="宋体" w:cs="Times New Roman"/>
                <w:b w:val="0"/>
                <w:bCs w:val="0"/>
                <w:color w:val="auto"/>
                <w:sz w:val="21"/>
                <w:szCs w:val="21"/>
                <w:highlight w:val="none"/>
                <w14:ligatures w14:val="none"/>
              </w:rPr>
              <w:t>符合</w:t>
            </w:r>
          </w:p>
        </w:tc>
      </w:tr>
      <w:tr w14:paraId="0556CEB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1471CCF4">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54043D76">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31</w:t>
            </w:r>
            <w:r>
              <w:rPr>
                <w:rFonts w:ascii="Times New Roman" w:hAnsi="Times New Roman" w:eastAsia="宋体" w:cs="Times New Roman"/>
                <w:b w:val="0"/>
                <w:bCs w:val="0"/>
                <w:color w:val="auto"/>
                <w:sz w:val="21"/>
                <w:szCs w:val="21"/>
                <w:highlight w:val="none"/>
                <w14:ligatures w14:val="none"/>
              </w:rPr>
              <w:t>、石油库内的信号电缆宜埋地敷设，并宜采用屏蔽电缆。当采用铠装电缆时，电缆的首末端铠装金属应接地。当电缆采用穿钢管敷设时，钢管在进入建筑物处应接地</w:t>
            </w:r>
          </w:p>
        </w:tc>
        <w:tc>
          <w:tcPr>
            <w:tcW w:w="1249" w:type="pct"/>
            <w:tcBorders>
              <w:tl2br w:val="nil"/>
              <w:tr2bl w:val="nil"/>
            </w:tcBorders>
            <w:noWrap w:val="0"/>
            <w:vAlign w:val="center"/>
          </w:tcPr>
          <w:p w14:paraId="2CB4F2A1">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《石油库设计规范》第14.2.6条</w:t>
            </w:r>
          </w:p>
        </w:tc>
        <w:tc>
          <w:tcPr>
            <w:tcW w:w="1158" w:type="pct"/>
            <w:tcBorders>
              <w:tl2br w:val="nil"/>
              <w:tr2bl w:val="nil"/>
            </w:tcBorders>
            <w:noWrap w:val="0"/>
            <w:vAlign w:val="center"/>
          </w:tcPr>
          <w:p w14:paraId="6FF5A784">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信号电缆埋地敷设</w:t>
            </w:r>
          </w:p>
        </w:tc>
        <w:tc>
          <w:tcPr>
            <w:tcW w:w="414" w:type="pct"/>
            <w:tcBorders>
              <w:tl2br w:val="nil"/>
              <w:tr2bl w:val="nil"/>
            </w:tcBorders>
            <w:noWrap w:val="0"/>
            <w:vAlign w:val="center"/>
          </w:tcPr>
          <w:p w14:paraId="084D9BF3">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符合</w:t>
            </w:r>
          </w:p>
        </w:tc>
      </w:tr>
      <w:tr w14:paraId="30156E0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66A62D87">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2E0B0691">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32</w:t>
            </w:r>
            <w:r>
              <w:rPr>
                <w:rFonts w:ascii="Times New Roman" w:hAnsi="Times New Roman" w:eastAsia="宋体" w:cs="Times New Roman"/>
                <w:b w:val="0"/>
                <w:bCs w:val="0"/>
                <w:color w:val="auto"/>
                <w:sz w:val="21"/>
                <w:szCs w:val="21"/>
                <w:highlight w:val="none"/>
                <w14:ligatures w14:val="none"/>
              </w:rPr>
              <w:t>、储罐上安装的信号远传仪表、其金属外壳应与储罐体做电气连接</w:t>
            </w:r>
          </w:p>
        </w:tc>
        <w:tc>
          <w:tcPr>
            <w:tcW w:w="1249" w:type="pct"/>
            <w:tcBorders>
              <w:tl2br w:val="nil"/>
              <w:tr2bl w:val="nil"/>
            </w:tcBorders>
            <w:noWrap w:val="0"/>
            <w:vAlign w:val="center"/>
          </w:tcPr>
          <w:p w14:paraId="0F7A4A2B">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《石油库设计规范》第14.2.7条</w:t>
            </w:r>
          </w:p>
        </w:tc>
        <w:tc>
          <w:tcPr>
            <w:tcW w:w="1158" w:type="pct"/>
            <w:tcBorders>
              <w:tl2br w:val="nil"/>
              <w:tr2bl w:val="nil"/>
            </w:tcBorders>
            <w:noWrap w:val="0"/>
            <w:vAlign w:val="center"/>
          </w:tcPr>
          <w:p w14:paraId="0D34D6C4">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信号远传仪表金属外壳与储罐体做电气连接</w:t>
            </w:r>
          </w:p>
        </w:tc>
        <w:tc>
          <w:tcPr>
            <w:tcW w:w="414" w:type="pct"/>
            <w:tcBorders>
              <w:tl2br w:val="nil"/>
              <w:tr2bl w:val="nil"/>
            </w:tcBorders>
            <w:noWrap w:val="0"/>
            <w:vAlign w:val="center"/>
          </w:tcPr>
          <w:p w14:paraId="2BB768E5">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符合</w:t>
            </w:r>
          </w:p>
        </w:tc>
      </w:tr>
      <w:tr w14:paraId="583F361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3D525230">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6351B295">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33</w:t>
            </w:r>
            <w:r>
              <w:rPr>
                <w:rFonts w:ascii="Times New Roman" w:hAnsi="Times New Roman" w:eastAsia="宋体" w:cs="Times New Roman"/>
                <w:b w:val="0"/>
                <w:bCs w:val="0"/>
                <w:color w:val="auto"/>
                <w:sz w:val="21"/>
                <w:szCs w:val="21"/>
                <w:highlight w:val="none"/>
                <w14:ligatures w14:val="none"/>
              </w:rPr>
              <w:t>、电气和信息系统的防雷击电磁脉冲应符合现行国家标准《建筑物防雷设计规范》GB50057 的相关规定</w:t>
            </w:r>
          </w:p>
        </w:tc>
        <w:tc>
          <w:tcPr>
            <w:tcW w:w="1249" w:type="pct"/>
            <w:tcBorders>
              <w:tl2br w:val="nil"/>
              <w:tr2bl w:val="nil"/>
            </w:tcBorders>
            <w:noWrap w:val="0"/>
            <w:vAlign w:val="center"/>
          </w:tcPr>
          <w:p w14:paraId="652671B4">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《石油库设计规范》第14.2.8条</w:t>
            </w:r>
          </w:p>
        </w:tc>
        <w:tc>
          <w:tcPr>
            <w:tcW w:w="1158" w:type="pct"/>
            <w:tcBorders>
              <w:tl2br w:val="nil"/>
              <w:tr2bl w:val="nil"/>
            </w:tcBorders>
            <w:noWrap w:val="0"/>
            <w:vAlign w:val="center"/>
          </w:tcPr>
          <w:p w14:paraId="2385ADBB">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符合该规范的规定</w:t>
            </w:r>
          </w:p>
        </w:tc>
        <w:tc>
          <w:tcPr>
            <w:tcW w:w="414" w:type="pct"/>
            <w:tcBorders>
              <w:tl2br w:val="nil"/>
              <w:tr2bl w:val="nil"/>
            </w:tcBorders>
            <w:noWrap w:val="0"/>
            <w:vAlign w:val="center"/>
          </w:tcPr>
          <w:p w14:paraId="70E85124">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符合</w:t>
            </w:r>
          </w:p>
        </w:tc>
      </w:tr>
      <w:tr w14:paraId="0BE68F0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4685327D">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2EF82242">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34</w:t>
            </w:r>
            <w:r>
              <w:rPr>
                <w:rFonts w:ascii="Times New Roman" w:hAnsi="Times New Roman" w:eastAsia="宋体" w:cs="Times New Roman"/>
                <w:b w:val="0"/>
                <w:bCs w:val="0"/>
                <w:color w:val="auto"/>
                <w:sz w:val="21"/>
                <w:szCs w:val="21"/>
                <w:highlight w:val="none"/>
                <w14:ligatures w14:val="none"/>
              </w:rPr>
              <w:t>、易燃液体泵房（棚）的防雷应按第二类防雷建筑物设防</w:t>
            </w:r>
          </w:p>
        </w:tc>
        <w:tc>
          <w:tcPr>
            <w:tcW w:w="1249" w:type="pct"/>
            <w:tcBorders>
              <w:tl2br w:val="nil"/>
              <w:tr2bl w:val="nil"/>
            </w:tcBorders>
            <w:noWrap w:val="0"/>
            <w:vAlign w:val="center"/>
          </w:tcPr>
          <w:p w14:paraId="6B357DB7">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《石油库设计规范》第14.2.9条</w:t>
            </w:r>
          </w:p>
        </w:tc>
        <w:tc>
          <w:tcPr>
            <w:tcW w:w="1158" w:type="pct"/>
            <w:tcBorders>
              <w:tl2br w:val="nil"/>
              <w:tr2bl w:val="nil"/>
            </w:tcBorders>
            <w:noWrap w:val="0"/>
            <w:vAlign w:val="center"/>
          </w:tcPr>
          <w:p w14:paraId="7DDF691B">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泵房</w:t>
            </w:r>
            <w:r>
              <w:rPr>
                <w:rFonts w:ascii="Times New Roman" w:hAnsi="Times New Roman" w:eastAsia="宋体" w:cs="Times New Roman"/>
                <w:b w:val="0"/>
                <w:bCs w:val="0"/>
                <w:color w:val="auto"/>
                <w:sz w:val="21"/>
                <w:szCs w:val="21"/>
                <w:highlight w:val="none"/>
                <w14:ligatures w14:val="none"/>
              </w:rPr>
              <w:t>已按第二类防雷建筑物设防</w:t>
            </w:r>
          </w:p>
        </w:tc>
        <w:tc>
          <w:tcPr>
            <w:tcW w:w="414" w:type="pct"/>
            <w:tcBorders>
              <w:tl2br w:val="nil"/>
              <w:tr2bl w:val="nil"/>
            </w:tcBorders>
            <w:noWrap w:val="0"/>
            <w:vAlign w:val="center"/>
          </w:tcPr>
          <w:p w14:paraId="1FF5D1DD">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符合</w:t>
            </w:r>
          </w:p>
        </w:tc>
      </w:tr>
      <w:tr w14:paraId="6BBF330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00FF86FD">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563E6F5C">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35</w:t>
            </w:r>
            <w:r>
              <w:rPr>
                <w:rFonts w:ascii="Times New Roman" w:hAnsi="Times New Roman" w:eastAsia="宋体" w:cs="Times New Roman"/>
                <w:b w:val="0"/>
                <w:bCs w:val="0"/>
                <w:color w:val="auto"/>
                <w:sz w:val="21"/>
                <w:szCs w:val="21"/>
                <w:highlight w:val="none"/>
                <w14:ligatures w14:val="none"/>
              </w:rPr>
              <w:t>、爆炸危险区域内管道的法兰连接处跨接，当不少于5根螺栓连接时，在非腐蚀环境下可不跨接；平行敷设于地上或管沟的金属管道，其净距小于100mm时，用金属线跨接，跨接点的间距不大于30m。管道交叉点净距小于100mm时，</w:t>
            </w:r>
            <w:r>
              <w:rPr>
                <w:rFonts w:hint="eastAsia" w:ascii="Times New Roman" w:hAnsi="Times New Roman" w:eastAsia="宋体" w:cs="Times New Roman"/>
                <w:b w:val="0"/>
                <w:bCs w:val="0"/>
                <w:color w:val="auto"/>
                <w:sz w:val="21"/>
                <w:szCs w:val="21"/>
                <w:highlight w:val="none"/>
                <w14:ligatures w14:val="none"/>
              </w:rPr>
              <w:t xml:space="preserve"> 其交叉点应用金属线跨接 。接闪杆（ 网、带）的接地电阻 ，不宜大于</w:t>
            </w:r>
            <w:r>
              <w:rPr>
                <w:rFonts w:hint="eastAsia" w:ascii="Times New Roman" w:hAnsi="Times New Roman" w:eastAsia="宋体" w:cs="Times New Roman"/>
                <w:b w:val="0"/>
                <w:bCs w:val="0"/>
                <w:color w:val="auto"/>
                <w:sz w:val="21"/>
                <w:szCs w:val="21"/>
                <w:highlight w:val="none"/>
                <w:lang w:val="en-US" w:eastAsia="zh-CN"/>
                <w14:ligatures w14:val="none"/>
              </w:rPr>
              <w:t>10</w:t>
            </w:r>
            <w:r>
              <w:rPr>
                <w:rFonts w:hint="eastAsia" w:ascii="Times New Roman" w:hAnsi="Times New Roman" w:eastAsia="宋体" w:cs="Times New Roman"/>
                <w:b w:val="0"/>
                <w:bCs w:val="0"/>
                <w:color w:val="auto"/>
                <w:sz w:val="21"/>
                <w:szCs w:val="21"/>
                <w:highlight w:val="none"/>
                <w14:ligatures w14:val="none"/>
              </w:rPr>
              <w:t>欧。</w:t>
            </w:r>
          </w:p>
        </w:tc>
        <w:tc>
          <w:tcPr>
            <w:tcW w:w="1249" w:type="pct"/>
            <w:tcBorders>
              <w:tl2br w:val="nil"/>
              <w:tr2bl w:val="nil"/>
            </w:tcBorders>
            <w:noWrap w:val="0"/>
            <w:vAlign w:val="center"/>
          </w:tcPr>
          <w:p w14:paraId="0AF20184">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《石油库设计规范》第14.2.12条</w:t>
            </w:r>
          </w:p>
        </w:tc>
        <w:tc>
          <w:tcPr>
            <w:tcW w:w="1158" w:type="pct"/>
            <w:tcBorders>
              <w:tl2br w:val="nil"/>
              <w:tr2bl w:val="nil"/>
            </w:tcBorders>
            <w:noWrap w:val="0"/>
            <w:vAlign w:val="center"/>
          </w:tcPr>
          <w:p w14:paraId="6A2F71B1">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爆炸危险区域内的管道法兰连接处已跨接。净距小于100mm的平行敷设于地上和交叉点处的金属管道采用金属线跨接</w:t>
            </w:r>
          </w:p>
        </w:tc>
        <w:tc>
          <w:tcPr>
            <w:tcW w:w="414" w:type="pct"/>
            <w:tcBorders>
              <w:tl2br w:val="nil"/>
              <w:tr2bl w:val="nil"/>
            </w:tcBorders>
            <w:noWrap w:val="0"/>
            <w:vAlign w:val="center"/>
          </w:tcPr>
          <w:p w14:paraId="714A877C">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符合</w:t>
            </w:r>
          </w:p>
        </w:tc>
      </w:tr>
      <w:tr w14:paraId="2CE04B3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466A46A9">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7D3A5200">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36</w:t>
            </w:r>
            <w:r>
              <w:rPr>
                <w:rFonts w:ascii="Times New Roman" w:hAnsi="Times New Roman" w:eastAsia="宋体" w:cs="Times New Roman"/>
                <w:b w:val="0"/>
                <w:bCs w:val="0"/>
                <w:color w:val="auto"/>
                <w:sz w:val="21"/>
                <w:szCs w:val="21"/>
                <w:highlight w:val="none"/>
                <w14:ligatures w14:val="none"/>
              </w:rPr>
              <w:t>、接闪杆（网、带）的接地电阻，不宜大于10Ω</w:t>
            </w:r>
          </w:p>
        </w:tc>
        <w:tc>
          <w:tcPr>
            <w:tcW w:w="1249" w:type="pct"/>
            <w:tcBorders>
              <w:tl2br w:val="nil"/>
              <w:tr2bl w:val="nil"/>
            </w:tcBorders>
            <w:noWrap w:val="0"/>
            <w:vAlign w:val="center"/>
          </w:tcPr>
          <w:p w14:paraId="0820B6F9">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《石油库设计规范》第14.2.13条</w:t>
            </w:r>
          </w:p>
        </w:tc>
        <w:tc>
          <w:tcPr>
            <w:tcW w:w="1158" w:type="pct"/>
            <w:tcBorders>
              <w:tl2br w:val="nil"/>
              <w:tr2bl w:val="nil"/>
            </w:tcBorders>
            <w:noWrap w:val="0"/>
            <w:vAlign w:val="center"/>
          </w:tcPr>
          <w:p w14:paraId="5A3D50E5">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接地电阻不大于10Ω</w:t>
            </w:r>
          </w:p>
        </w:tc>
        <w:tc>
          <w:tcPr>
            <w:tcW w:w="414" w:type="pct"/>
            <w:tcBorders>
              <w:tl2br w:val="nil"/>
              <w:tr2bl w:val="nil"/>
            </w:tcBorders>
            <w:noWrap w:val="0"/>
            <w:vAlign w:val="center"/>
          </w:tcPr>
          <w:p w14:paraId="472E5BEF">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符合</w:t>
            </w:r>
          </w:p>
        </w:tc>
      </w:tr>
      <w:tr w14:paraId="26CF4ED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restart"/>
            <w:tcBorders>
              <w:tl2br w:val="nil"/>
              <w:tr2bl w:val="nil"/>
            </w:tcBorders>
            <w:noWrap w:val="0"/>
            <w:vAlign w:val="center"/>
          </w:tcPr>
          <w:p w14:paraId="16B0A8DD">
            <w:pPr>
              <w:spacing w:after="0" w:line="240" w:lineRule="auto"/>
              <w:jc w:val="both"/>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防静电</w:t>
            </w:r>
          </w:p>
        </w:tc>
        <w:tc>
          <w:tcPr>
            <w:tcW w:w="1754" w:type="pct"/>
            <w:tcBorders>
              <w:tl2br w:val="nil"/>
              <w:tr2bl w:val="nil"/>
            </w:tcBorders>
            <w:noWrap w:val="0"/>
            <w:vAlign w:val="center"/>
          </w:tcPr>
          <w:p w14:paraId="2CCECA04">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37</w:t>
            </w:r>
            <w:r>
              <w:rPr>
                <w:rFonts w:ascii="Times New Roman" w:hAnsi="Times New Roman" w:eastAsia="宋体" w:cs="Times New Roman"/>
                <w:b w:val="0"/>
                <w:bCs w:val="0"/>
                <w:color w:val="auto"/>
                <w:sz w:val="21"/>
                <w:szCs w:val="21"/>
                <w:highlight w:val="none"/>
                <w14:ligatures w14:val="none"/>
              </w:rPr>
              <w:t xml:space="preserve">、储存甲、乙、丙 </w:t>
            </w:r>
            <w:r>
              <w:rPr>
                <w:rFonts w:ascii="Times New Roman" w:hAnsi="Times New Roman" w:eastAsia="宋体" w:cs="Times New Roman"/>
                <w:b w:val="0"/>
                <w:bCs w:val="0"/>
                <w:color w:val="auto"/>
                <w:sz w:val="21"/>
                <w:szCs w:val="21"/>
                <w:highlight w:val="none"/>
                <w:vertAlign w:val="subscript"/>
                <w14:ligatures w14:val="none"/>
              </w:rPr>
              <w:t>A</w:t>
            </w:r>
            <w:r>
              <w:rPr>
                <w:rFonts w:ascii="Times New Roman" w:hAnsi="Times New Roman" w:eastAsia="宋体" w:cs="Times New Roman"/>
                <w:b w:val="0"/>
                <w:bCs w:val="0"/>
                <w:color w:val="auto"/>
                <w:sz w:val="21"/>
                <w:szCs w:val="21"/>
                <w:highlight w:val="none"/>
                <w14:ligatures w14:val="none"/>
              </w:rPr>
              <w:t xml:space="preserve"> 类液体的钢储罐，应采取防静电措施</w:t>
            </w:r>
          </w:p>
        </w:tc>
        <w:tc>
          <w:tcPr>
            <w:tcW w:w="1249" w:type="pct"/>
            <w:tcBorders>
              <w:tl2br w:val="nil"/>
              <w:tr2bl w:val="nil"/>
            </w:tcBorders>
            <w:noWrap w:val="0"/>
            <w:vAlign w:val="center"/>
          </w:tcPr>
          <w:p w14:paraId="60E4018B">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《石油库设计规范》第14.3.1条</w:t>
            </w:r>
          </w:p>
        </w:tc>
        <w:tc>
          <w:tcPr>
            <w:tcW w:w="1158" w:type="pct"/>
            <w:tcBorders>
              <w:tl2br w:val="nil"/>
              <w:tr2bl w:val="nil"/>
            </w:tcBorders>
            <w:noWrap w:val="0"/>
            <w:vAlign w:val="center"/>
          </w:tcPr>
          <w:p w14:paraId="4E9B10D6">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设有防静电措施</w:t>
            </w:r>
          </w:p>
        </w:tc>
        <w:tc>
          <w:tcPr>
            <w:tcW w:w="414" w:type="pct"/>
            <w:tcBorders>
              <w:tl2br w:val="nil"/>
              <w:tr2bl w:val="nil"/>
            </w:tcBorders>
            <w:noWrap w:val="0"/>
            <w:vAlign w:val="center"/>
          </w:tcPr>
          <w:p w14:paraId="4A53E040">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符合</w:t>
            </w:r>
          </w:p>
        </w:tc>
      </w:tr>
      <w:tr w14:paraId="7C424F2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21453F9E">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2447B202">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38</w:t>
            </w:r>
            <w:r>
              <w:rPr>
                <w:rFonts w:ascii="Times New Roman" w:hAnsi="Times New Roman" w:eastAsia="宋体" w:cs="Times New Roman"/>
                <w:b w:val="0"/>
                <w:bCs w:val="0"/>
                <w:color w:val="auto"/>
                <w:sz w:val="21"/>
                <w:szCs w:val="21"/>
                <w:highlight w:val="none"/>
                <w14:ligatures w14:val="none"/>
              </w:rPr>
              <w:t>、甲、乙、丙</w:t>
            </w:r>
            <w:r>
              <w:rPr>
                <w:rFonts w:ascii="Times New Roman" w:hAnsi="Times New Roman" w:eastAsia="宋体" w:cs="Times New Roman"/>
                <w:b w:val="0"/>
                <w:bCs w:val="0"/>
                <w:color w:val="auto"/>
                <w:sz w:val="21"/>
                <w:szCs w:val="21"/>
                <w:highlight w:val="none"/>
                <w:vertAlign w:val="subscript"/>
                <w14:ligatures w14:val="none"/>
              </w:rPr>
              <w:t xml:space="preserve"> A</w:t>
            </w:r>
            <w:r>
              <w:rPr>
                <w:rFonts w:ascii="Times New Roman" w:hAnsi="Times New Roman" w:eastAsia="宋体" w:cs="Times New Roman"/>
                <w:b w:val="0"/>
                <w:bCs w:val="0"/>
                <w:color w:val="auto"/>
                <w:sz w:val="21"/>
                <w:szCs w:val="21"/>
                <w:highlight w:val="none"/>
                <w14:ligatures w14:val="none"/>
              </w:rPr>
              <w:t xml:space="preserve"> 类液体的汽车罐车，应设置与罐车跨接的防静电接地装置</w:t>
            </w:r>
          </w:p>
        </w:tc>
        <w:tc>
          <w:tcPr>
            <w:tcW w:w="1249" w:type="pct"/>
            <w:tcBorders>
              <w:tl2br w:val="nil"/>
              <w:tr2bl w:val="nil"/>
            </w:tcBorders>
            <w:noWrap w:val="0"/>
            <w:vAlign w:val="center"/>
          </w:tcPr>
          <w:p w14:paraId="0028DF07">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《石油库设计规范》第14.3.8条</w:t>
            </w:r>
          </w:p>
        </w:tc>
        <w:tc>
          <w:tcPr>
            <w:tcW w:w="1158" w:type="pct"/>
            <w:tcBorders>
              <w:tl2br w:val="nil"/>
              <w:tr2bl w:val="nil"/>
            </w:tcBorders>
            <w:noWrap w:val="0"/>
            <w:vAlign w:val="center"/>
          </w:tcPr>
          <w:p w14:paraId="0F6A3CE2">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相关设备设施与罐车已做防静电接地</w:t>
            </w:r>
          </w:p>
        </w:tc>
        <w:tc>
          <w:tcPr>
            <w:tcW w:w="414" w:type="pct"/>
            <w:tcBorders>
              <w:tl2br w:val="nil"/>
              <w:tr2bl w:val="nil"/>
            </w:tcBorders>
            <w:noWrap w:val="0"/>
            <w:vAlign w:val="center"/>
          </w:tcPr>
          <w:p w14:paraId="0D2E105D">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符合</w:t>
            </w:r>
          </w:p>
        </w:tc>
      </w:tr>
      <w:tr w14:paraId="4598FC2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1E75DA1C">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403702C9">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39</w:t>
            </w:r>
            <w:r>
              <w:rPr>
                <w:rFonts w:ascii="Times New Roman" w:hAnsi="Times New Roman" w:eastAsia="宋体" w:cs="Times New Roman"/>
                <w:b w:val="0"/>
                <w:bCs w:val="0"/>
                <w:color w:val="auto"/>
                <w:sz w:val="21"/>
                <w:szCs w:val="21"/>
                <w:highlight w:val="none"/>
                <w14:ligatures w14:val="none"/>
              </w:rPr>
              <w:t>、地上或非充沙管沟敷设的工艺管道的始端、末端、分支处以及直线段每隔200m</w:t>
            </w:r>
            <w:r>
              <w:rPr>
                <w:rFonts w:hint="eastAsia" w:ascii="Times New Roman" w:hAnsi="Times New Roman" w:eastAsia="宋体" w:cs="Times New Roman"/>
                <w:b w:val="0"/>
                <w:bCs w:val="0"/>
                <w:color w:val="auto"/>
                <w:sz w:val="21"/>
                <w:szCs w:val="21"/>
                <w:highlight w:val="none"/>
                <w:lang w:val="en-US" w:eastAsia="zh-CN"/>
                <w14:ligatures w14:val="none"/>
              </w:rPr>
              <w:t>-</w:t>
            </w:r>
            <w:r>
              <w:rPr>
                <w:rFonts w:ascii="Times New Roman" w:hAnsi="Times New Roman" w:eastAsia="宋体" w:cs="Times New Roman"/>
                <w:b w:val="0"/>
                <w:bCs w:val="0"/>
                <w:color w:val="auto"/>
                <w:sz w:val="21"/>
                <w:szCs w:val="21"/>
                <w:highlight w:val="none"/>
                <w14:ligatures w14:val="none"/>
              </w:rPr>
              <w:t>300m处，应设防静电和防雷击电磁脉冲的接地装置</w:t>
            </w:r>
          </w:p>
        </w:tc>
        <w:tc>
          <w:tcPr>
            <w:tcW w:w="1249" w:type="pct"/>
            <w:tcBorders>
              <w:tl2br w:val="nil"/>
              <w:tr2bl w:val="nil"/>
            </w:tcBorders>
            <w:noWrap w:val="0"/>
            <w:vAlign w:val="center"/>
          </w:tcPr>
          <w:p w14:paraId="462098B4">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《石油库设计规范》第14.3.10条</w:t>
            </w:r>
          </w:p>
        </w:tc>
        <w:tc>
          <w:tcPr>
            <w:tcW w:w="1158" w:type="pct"/>
            <w:tcBorders>
              <w:tl2br w:val="nil"/>
              <w:tr2bl w:val="nil"/>
            </w:tcBorders>
            <w:noWrap w:val="0"/>
            <w:vAlign w:val="center"/>
          </w:tcPr>
          <w:p w14:paraId="1C62271B">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工艺管道设有设防静电和防雷击电磁脉冲的接地装置</w:t>
            </w:r>
          </w:p>
        </w:tc>
        <w:tc>
          <w:tcPr>
            <w:tcW w:w="414" w:type="pct"/>
            <w:tcBorders>
              <w:tl2br w:val="nil"/>
              <w:tr2bl w:val="nil"/>
            </w:tcBorders>
            <w:noWrap w:val="0"/>
            <w:vAlign w:val="center"/>
          </w:tcPr>
          <w:p w14:paraId="7C88EEB0">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符合</w:t>
            </w:r>
          </w:p>
        </w:tc>
      </w:tr>
      <w:tr w14:paraId="5AEE3CD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558D4551">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top"/>
          </w:tcPr>
          <w:p w14:paraId="0AEDF4B1">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40 、地上或管沟敷设的工艺管道 的 防 静 电 接 地 装 置 可 与防雷击电磁脉冲接地装置合用，接地电阻不宜大于 30Ω , 接地点宜设在固定管墩（架） 处。</w:t>
            </w:r>
          </w:p>
        </w:tc>
        <w:tc>
          <w:tcPr>
            <w:tcW w:w="1249" w:type="pct"/>
            <w:tcBorders>
              <w:tl2br w:val="nil"/>
              <w:tr2bl w:val="nil"/>
            </w:tcBorders>
            <w:noWrap w:val="0"/>
            <w:vAlign w:val="center"/>
          </w:tcPr>
          <w:p w14:paraId="6DF10DE7">
            <w:pPr>
              <w:spacing w:after="0" w:line="340" w:lineRule="exact"/>
              <w:jc w:val="center"/>
              <w:rPr>
                <w:rFonts w:hint="eastAsia" w:ascii="Times New Roman" w:hAnsi="Times New Roman" w:eastAsia="宋体" w:cs="Times New Roman"/>
                <w:b w:val="0"/>
                <w:bCs w:val="0"/>
                <w:color w:val="auto"/>
                <w:sz w:val="21"/>
                <w:szCs w:val="21"/>
                <w:highlight w:val="none"/>
                <w:lang w:val="en-US" w:eastAsia="zh-CN"/>
                <w14:ligatures w14:val="none"/>
              </w:rPr>
            </w:pPr>
            <w:r>
              <w:rPr>
                <w:rFonts w:ascii="Times New Roman" w:hAnsi="Times New Roman" w:eastAsia="宋体" w:cs="Times New Roman"/>
                <w:b w:val="0"/>
                <w:bCs w:val="0"/>
                <w:color w:val="auto"/>
                <w:sz w:val="21"/>
                <w:szCs w:val="21"/>
                <w:highlight w:val="none"/>
                <w14:ligatures w14:val="none"/>
              </w:rPr>
              <w:t>《石油库设计规范》</w:t>
            </w:r>
            <w:r>
              <w:rPr>
                <w:rFonts w:hint="eastAsia" w:ascii="Times New Roman" w:hAnsi="Times New Roman" w:eastAsia="宋体" w:cs="Times New Roman"/>
                <w:b w:val="0"/>
                <w:bCs w:val="0"/>
                <w:color w:val="auto"/>
                <w:sz w:val="21"/>
                <w:szCs w:val="21"/>
                <w:highlight w:val="none"/>
                <w:lang w:val="en-US" w:eastAsia="zh-CN"/>
                <w14:ligatures w14:val="none"/>
              </w:rPr>
              <w:t>第 14.3.11 条</w:t>
            </w:r>
          </w:p>
        </w:tc>
        <w:tc>
          <w:tcPr>
            <w:tcW w:w="1158" w:type="pct"/>
            <w:tcBorders>
              <w:tl2br w:val="nil"/>
              <w:tr2bl w:val="nil"/>
            </w:tcBorders>
            <w:noWrap w:val="0"/>
            <w:vAlign w:val="center"/>
          </w:tcPr>
          <w:p w14:paraId="0ED48C71">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接地电阻不大于 30Ω，接地点设在固定管墩处</w:t>
            </w:r>
          </w:p>
        </w:tc>
        <w:tc>
          <w:tcPr>
            <w:tcW w:w="414" w:type="pct"/>
            <w:tcBorders>
              <w:tl2br w:val="nil"/>
              <w:tr2bl w:val="nil"/>
            </w:tcBorders>
            <w:noWrap w:val="0"/>
            <w:vAlign w:val="center"/>
          </w:tcPr>
          <w:p w14:paraId="69324619">
            <w:pPr>
              <w:spacing w:after="0" w:line="340" w:lineRule="exact"/>
              <w:jc w:val="center"/>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符合</w:t>
            </w:r>
          </w:p>
        </w:tc>
      </w:tr>
      <w:tr w14:paraId="2258A5A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0903FBB0">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top"/>
          </w:tcPr>
          <w:p w14:paraId="7EF816BF">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41 、用于易燃和可燃液体装卸场所跨接的防静电接地装置，宜 采 用能 检 测 接 地 状 况 的防静电接地仪器。</w:t>
            </w:r>
          </w:p>
        </w:tc>
        <w:tc>
          <w:tcPr>
            <w:tcW w:w="1249" w:type="pct"/>
            <w:tcBorders>
              <w:tl2br w:val="nil"/>
              <w:tr2bl w:val="nil"/>
            </w:tcBorders>
            <w:noWrap w:val="0"/>
            <w:vAlign w:val="center"/>
          </w:tcPr>
          <w:p w14:paraId="56295E04">
            <w:pPr>
              <w:spacing w:after="0" w:line="340" w:lineRule="exact"/>
              <w:jc w:val="center"/>
              <w:rPr>
                <w:rFonts w:hint="eastAsia" w:ascii="Times New Roman" w:hAnsi="Times New Roman" w:eastAsia="宋体" w:cs="Times New Roman"/>
                <w:b w:val="0"/>
                <w:bCs w:val="0"/>
                <w:color w:val="auto"/>
                <w:sz w:val="21"/>
                <w:szCs w:val="21"/>
                <w:highlight w:val="none"/>
                <w:lang w:val="en-US" w:eastAsia="zh-CN"/>
                <w14:ligatures w14:val="none"/>
              </w:rPr>
            </w:pPr>
            <w:r>
              <w:rPr>
                <w:rFonts w:ascii="Times New Roman" w:hAnsi="Times New Roman" w:eastAsia="宋体" w:cs="Times New Roman"/>
                <w:b w:val="0"/>
                <w:bCs w:val="0"/>
                <w:color w:val="auto"/>
                <w:sz w:val="21"/>
                <w:szCs w:val="21"/>
                <w:highlight w:val="none"/>
                <w14:ligatures w14:val="none"/>
              </w:rPr>
              <w:t>《石油库设计规范》</w:t>
            </w:r>
            <w:r>
              <w:rPr>
                <w:rFonts w:hint="eastAsia" w:ascii="Times New Roman" w:hAnsi="Times New Roman" w:eastAsia="宋体" w:cs="Times New Roman"/>
                <w:b w:val="0"/>
                <w:bCs w:val="0"/>
                <w:color w:val="auto"/>
                <w:sz w:val="21"/>
                <w:szCs w:val="21"/>
                <w:highlight w:val="none"/>
                <w:lang w:val="en-US" w:eastAsia="zh-CN"/>
                <w14:ligatures w14:val="none"/>
              </w:rPr>
              <w:t>第 14.3. 12 条</w:t>
            </w:r>
          </w:p>
        </w:tc>
        <w:tc>
          <w:tcPr>
            <w:tcW w:w="1158" w:type="pct"/>
            <w:tcBorders>
              <w:tl2br w:val="nil"/>
              <w:tr2bl w:val="nil"/>
            </w:tcBorders>
            <w:noWrap w:val="0"/>
            <w:vAlign w:val="center"/>
          </w:tcPr>
          <w:p w14:paraId="596095DF">
            <w:pPr>
              <w:spacing w:after="0" w:line="340" w:lineRule="exact"/>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油罐车装卸时设有静电接地仪</w:t>
            </w:r>
          </w:p>
        </w:tc>
        <w:tc>
          <w:tcPr>
            <w:tcW w:w="414" w:type="pct"/>
            <w:tcBorders>
              <w:tl2br w:val="nil"/>
              <w:tr2bl w:val="nil"/>
            </w:tcBorders>
            <w:noWrap w:val="0"/>
            <w:vAlign w:val="center"/>
          </w:tcPr>
          <w:p w14:paraId="10774CE5">
            <w:pPr>
              <w:spacing w:after="0" w:line="340" w:lineRule="exact"/>
              <w:jc w:val="center"/>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符合</w:t>
            </w:r>
          </w:p>
        </w:tc>
      </w:tr>
      <w:tr w14:paraId="6B09083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715851B4">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59DE8409">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42</w:t>
            </w:r>
            <w:r>
              <w:rPr>
                <w:rFonts w:ascii="Times New Roman" w:hAnsi="Times New Roman" w:eastAsia="宋体" w:cs="Times New Roman"/>
                <w:b w:val="0"/>
                <w:bCs w:val="0"/>
                <w:color w:val="auto"/>
                <w:sz w:val="21"/>
                <w:szCs w:val="21"/>
                <w:highlight w:val="none"/>
                <w14:ligatures w14:val="none"/>
              </w:rPr>
              <w:t>、下列甲、乙、丙</w:t>
            </w:r>
            <w:r>
              <w:rPr>
                <w:rFonts w:ascii="Times New Roman" w:hAnsi="Times New Roman" w:eastAsia="宋体" w:cs="Times New Roman"/>
                <w:b w:val="0"/>
                <w:bCs w:val="0"/>
                <w:color w:val="auto"/>
                <w:sz w:val="21"/>
                <w:szCs w:val="21"/>
                <w:highlight w:val="none"/>
                <w:vertAlign w:val="subscript"/>
                <w14:ligatures w14:val="none"/>
              </w:rPr>
              <w:t xml:space="preserve"> A</w:t>
            </w:r>
            <w:r>
              <w:rPr>
                <w:rFonts w:ascii="Times New Roman" w:hAnsi="Times New Roman" w:eastAsia="宋体" w:cs="Times New Roman"/>
                <w:b w:val="0"/>
                <w:bCs w:val="0"/>
                <w:color w:val="auto"/>
                <w:sz w:val="21"/>
                <w:szCs w:val="21"/>
                <w:highlight w:val="none"/>
                <w14:ligatures w14:val="none"/>
              </w:rPr>
              <w:t xml:space="preserve"> 类液体作业场所应设消除人体静电装置：</w:t>
            </w:r>
          </w:p>
          <w:p w14:paraId="0822EBC0">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1</w:t>
            </w:r>
            <w:r>
              <w:rPr>
                <w:rFonts w:hint="eastAsia" w:ascii="Times New Roman" w:hAnsi="Times New Roman" w:eastAsia="宋体" w:cs="Times New Roman"/>
                <w:b w:val="0"/>
                <w:bCs w:val="0"/>
                <w:color w:val="auto"/>
                <w:sz w:val="21"/>
                <w:szCs w:val="21"/>
                <w:highlight w:val="none"/>
                <w:lang w:eastAsia="zh-CN"/>
                <w14:ligatures w14:val="none"/>
              </w:rPr>
              <w:t>）</w:t>
            </w:r>
            <w:r>
              <w:rPr>
                <w:rFonts w:ascii="Times New Roman" w:hAnsi="Times New Roman" w:eastAsia="宋体" w:cs="Times New Roman"/>
                <w:b w:val="0"/>
                <w:bCs w:val="0"/>
                <w:color w:val="auto"/>
                <w:sz w:val="21"/>
                <w:szCs w:val="21"/>
                <w:highlight w:val="none"/>
                <w14:ligatures w14:val="none"/>
              </w:rPr>
              <w:t>泵房的门外</w:t>
            </w:r>
          </w:p>
          <w:p w14:paraId="67E21C98">
            <w:pPr>
              <w:spacing w:after="0" w:line="320" w:lineRule="exact"/>
              <w:jc w:val="left"/>
              <w:rPr>
                <w:rFonts w:ascii="Times New Roman" w:hAnsi="Times New Roman" w:eastAsia="宋体" w:cs="Times New Roman"/>
                <w:b w:val="0"/>
                <w:bCs w:val="0"/>
                <w:color w:val="auto"/>
                <w:sz w:val="21"/>
                <w:szCs w:val="21"/>
                <w:highlight w:val="none"/>
                <w14:ligatures w14:val="none"/>
              </w:rPr>
            </w:pPr>
            <w:r>
              <w:rPr>
                <w:rFonts w:ascii="Times New Roman" w:hAnsi="Times New Roman" w:eastAsia="宋体" w:cs="Times New Roman"/>
                <w:b w:val="0"/>
                <w:bCs w:val="0"/>
                <w:color w:val="auto"/>
                <w:sz w:val="21"/>
                <w:szCs w:val="21"/>
                <w:highlight w:val="none"/>
                <w14:ligatures w14:val="none"/>
              </w:rPr>
              <w:t>2</w:t>
            </w:r>
            <w:r>
              <w:rPr>
                <w:rFonts w:hint="eastAsia" w:ascii="Times New Roman" w:hAnsi="Times New Roman" w:eastAsia="宋体" w:cs="Times New Roman"/>
                <w:b w:val="0"/>
                <w:bCs w:val="0"/>
                <w:color w:val="auto"/>
                <w:sz w:val="21"/>
                <w:szCs w:val="21"/>
                <w:highlight w:val="none"/>
                <w:lang w:eastAsia="zh-CN"/>
                <w14:ligatures w14:val="none"/>
              </w:rPr>
              <w:t>）</w:t>
            </w:r>
            <w:r>
              <w:rPr>
                <w:rFonts w:ascii="Times New Roman" w:hAnsi="Times New Roman" w:eastAsia="宋体" w:cs="Times New Roman"/>
                <w:b w:val="0"/>
                <w:bCs w:val="0"/>
                <w:color w:val="auto"/>
                <w:sz w:val="21"/>
                <w:szCs w:val="21"/>
                <w:highlight w:val="none"/>
                <w14:ligatures w14:val="none"/>
              </w:rPr>
              <w:t>储罐的上罐扶梯入口处</w:t>
            </w:r>
          </w:p>
          <w:p w14:paraId="24AF9E96">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3</w:t>
            </w:r>
            <w:r>
              <w:rPr>
                <w:rFonts w:hint="eastAsia" w:ascii="Times New Roman" w:hAnsi="Times New Roman" w:eastAsia="宋体" w:cs="Times New Roman"/>
                <w:b w:val="0"/>
                <w:bCs w:val="0"/>
                <w:color w:val="auto"/>
                <w:sz w:val="21"/>
                <w:szCs w:val="21"/>
                <w:highlight w:val="none"/>
                <w:lang w:eastAsia="zh-CN"/>
                <w14:ligatures w14:val="none"/>
              </w:rPr>
              <w:t>）</w:t>
            </w:r>
            <w:r>
              <w:rPr>
                <w:rFonts w:ascii="Times New Roman" w:hAnsi="Times New Roman" w:eastAsia="宋体" w:cs="Times New Roman"/>
                <w:b w:val="0"/>
                <w:bCs w:val="0"/>
                <w:color w:val="auto"/>
                <w:sz w:val="21"/>
                <w:szCs w:val="21"/>
                <w:highlight w:val="none"/>
                <w14:ligatures w14:val="none"/>
              </w:rPr>
              <w:t>装卸作业区内操作平台的扶梯入口处</w:t>
            </w:r>
          </w:p>
        </w:tc>
        <w:tc>
          <w:tcPr>
            <w:tcW w:w="1249" w:type="pct"/>
            <w:tcBorders>
              <w:tl2br w:val="nil"/>
              <w:tr2bl w:val="nil"/>
            </w:tcBorders>
            <w:noWrap w:val="0"/>
            <w:vAlign w:val="center"/>
          </w:tcPr>
          <w:p w14:paraId="79F2F3B0">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《石油库设计规范》第14.3.14条</w:t>
            </w:r>
          </w:p>
        </w:tc>
        <w:tc>
          <w:tcPr>
            <w:tcW w:w="1158" w:type="pct"/>
            <w:tcBorders>
              <w:tl2br w:val="nil"/>
              <w:tr2bl w:val="nil"/>
            </w:tcBorders>
            <w:noWrap w:val="0"/>
            <w:vAlign w:val="center"/>
          </w:tcPr>
          <w:p w14:paraId="25B9E49D">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上述位置均设置消除人体静电装置</w:t>
            </w:r>
          </w:p>
        </w:tc>
        <w:tc>
          <w:tcPr>
            <w:tcW w:w="414" w:type="pct"/>
            <w:tcBorders>
              <w:tl2br w:val="nil"/>
              <w:tr2bl w:val="nil"/>
            </w:tcBorders>
            <w:noWrap w:val="0"/>
            <w:vAlign w:val="center"/>
          </w:tcPr>
          <w:p w14:paraId="74EC5237">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符合</w:t>
            </w:r>
          </w:p>
        </w:tc>
      </w:tr>
      <w:tr w14:paraId="71FF5FD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1090A6DE">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1275AE5C">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43</w:t>
            </w:r>
            <w:r>
              <w:rPr>
                <w:rFonts w:ascii="Times New Roman" w:hAnsi="Times New Roman" w:eastAsia="宋体" w:cs="Times New Roman"/>
                <w:b w:val="0"/>
                <w:bCs w:val="0"/>
                <w:color w:val="auto"/>
                <w:sz w:val="21"/>
                <w:szCs w:val="21"/>
                <w:highlight w:val="none"/>
                <w14:ligatures w14:val="none"/>
              </w:rPr>
              <w:t>、防静电接地装置的接地电阻，不宜大于100Ω</w:t>
            </w:r>
          </w:p>
        </w:tc>
        <w:tc>
          <w:tcPr>
            <w:tcW w:w="1249" w:type="pct"/>
            <w:tcBorders>
              <w:tl2br w:val="nil"/>
              <w:tr2bl w:val="nil"/>
            </w:tcBorders>
            <w:noWrap w:val="0"/>
            <w:vAlign w:val="center"/>
          </w:tcPr>
          <w:p w14:paraId="2546DB44">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《石油库设计规范》第14.3.16条</w:t>
            </w:r>
          </w:p>
        </w:tc>
        <w:tc>
          <w:tcPr>
            <w:tcW w:w="1158" w:type="pct"/>
            <w:tcBorders>
              <w:tl2br w:val="nil"/>
              <w:tr2bl w:val="nil"/>
            </w:tcBorders>
            <w:noWrap w:val="0"/>
            <w:vAlign w:val="center"/>
          </w:tcPr>
          <w:p w14:paraId="22A4ABD2">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油库内的工作接地，保护接地，防雷防静电接地接入同一接地网，接地电阻小于等于4Ω</w:t>
            </w:r>
          </w:p>
        </w:tc>
        <w:tc>
          <w:tcPr>
            <w:tcW w:w="414" w:type="pct"/>
            <w:tcBorders>
              <w:tl2br w:val="nil"/>
              <w:tr2bl w:val="nil"/>
            </w:tcBorders>
            <w:noWrap w:val="0"/>
            <w:vAlign w:val="center"/>
          </w:tcPr>
          <w:p w14:paraId="7ED06A38">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符合</w:t>
            </w:r>
          </w:p>
        </w:tc>
      </w:tr>
      <w:tr w14:paraId="6B8C97D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76CFFBB0">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0336CE4D">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44</w:t>
            </w:r>
            <w:r>
              <w:rPr>
                <w:rFonts w:ascii="Times New Roman" w:hAnsi="Times New Roman" w:eastAsia="宋体" w:cs="Times New Roman"/>
                <w:b w:val="0"/>
                <w:bCs w:val="0"/>
                <w:color w:val="auto"/>
                <w:sz w:val="21"/>
                <w:szCs w:val="21"/>
                <w:highlight w:val="none"/>
                <w14:ligatures w14:val="none"/>
              </w:rPr>
              <w:t>、石油库内防雷接地、防静电接地、电气设备的工作接地、保护接地及信息系统的接地等，宜共用接地装置，其接地电阻应按其中要求最小的接地电阻值确定。当石油库设有阴极保护时，共用接地装置的接地材料不应使用腐蚀电位比钢材 正的材料</w:t>
            </w:r>
          </w:p>
        </w:tc>
        <w:tc>
          <w:tcPr>
            <w:tcW w:w="1249" w:type="pct"/>
            <w:tcBorders>
              <w:tl2br w:val="nil"/>
              <w:tr2bl w:val="nil"/>
            </w:tcBorders>
            <w:noWrap w:val="0"/>
            <w:vAlign w:val="center"/>
          </w:tcPr>
          <w:p w14:paraId="0D666698">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《石油库设计规范》第14.3.17条</w:t>
            </w:r>
          </w:p>
        </w:tc>
        <w:tc>
          <w:tcPr>
            <w:tcW w:w="1158" w:type="pct"/>
            <w:tcBorders>
              <w:tl2br w:val="nil"/>
              <w:tr2bl w:val="nil"/>
            </w:tcBorders>
            <w:noWrap w:val="0"/>
            <w:vAlign w:val="center"/>
          </w:tcPr>
          <w:p w14:paraId="0E48743B">
            <w:pPr>
              <w:spacing w:after="0" w:line="320" w:lineRule="exact"/>
              <w:jc w:val="left"/>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符合上述要求</w:t>
            </w:r>
          </w:p>
        </w:tc>
        <w:tc>
          <w:tcPr>
            <w:tcW w:w="414" w:type="pct"/>
            <w:tcBorders>
              <w:tl2br w:val="nil"/>
              <w:tr2bl w:val="nil"/>
            </w:tcBorders>
            <w:noWrap w:val="0"/>
            <w:vAlign w:val="center"/>
          </w:tcPr>
          <w:p w14:paraId="07894ED9">
            <w:pPr>
              <w:spacing w:after="0" w:line="320" w:lineRule="exact"/>
              <w:jc w:val="center"/>
              <w:rPr>
                <w:rFonts w:ascii="Times New Roman" w:hAnsi="Times New Roman" w:eastAsia="宋体" w:cs="Times New Roman"/>
                <w:b w:val="0"/>
                <w:bCs w:val="0"/>
                <w:color w:val="auto"/>
                <w:kern w:val="2"/>
                <w:sz w:val="21"/>
                <w:szCs w:val="21"/>
                <w:highlight w:val="none"/>
                <w:lang w:val="en-US" w:eastAsia="zh-CN" w:bidi="ar-SA"/>
                <w14:ligatures w14:val="none"/>
              </w:rPr>
            </w:pPr>
            <w:r>
              <w:rPr>
                <w:rFonts w:ascii="Times New Roman" w:hAnsi="Times New Roman" w:eastAsia="宋体" w:cs="Times New Roman"/>
                <w:b w:val="0"/>
                <w:bCs w:val="0"/>
                <w:color w:val="auto"/>
                <w:sz w:val="21"/>
                <w:szCs w:val="21"/>
                <w:highlight w:val="none"/>
                <w14:ligatures w14:val="none"/>
              </w:rPr>
              <w:t>符合</w:t>
            </w:r>
          </w:p>
        </w:tc>
      </w:tr>
      <w:tr w14:paraId="4D53667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restart"/>
            <w:tcBorders>
              <w:tl2br w:val="nil"/>
              <w:tr2bl w:val="nil"/>
            </w:tcBorders>
            <w:noWrap w:val="0"/>
            <w:vAlign w:val="center"/>
          </w:tcPr>
          <w:p w14:paraId="16FBF2D0">
            <w:pPr>
              <w:spacing w:after="0" w:line="240" w:lineRule="auto"/>
              <w:jc w:val="both"/>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14:ligatures w14:val="none"/>
              </w:rPr>
              <w:t>自控控制</w:t>
            </w:r>
          </w:p>
        </w:tc>
        <w:tc>
          <w:tcPr>
            <w:tcW w:w="1754" w:type="pct"/>
            <w:tcBorders>
              <w:tl2br w:val="nil"/>
              <w:tr2bl w:val="nil"/>
            </w:tcBorders>
            <w:noWrap w:val="0"/>
            <w:vAlign w:val="center"/>
          </w:tcPr>
          <w:p w14:paraId="7B8BF16F">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rPr>
              <w:t>45</w:t>
            </w:r>
            <w:r>
              <w:rPr>
                <w:rFonts w:hint="default" w:ascii="Times New Roman" w:hAnsi="Times New Roman" w:eastAsia="宋体" w:cs="Times New Roman"/>
                <w:b w:val="0"/>
                <w:bCs w:val="0"/>
                <w:color w:val="auto"/>
                <w:sz w:val="21"/>
                <w:szCs w:val="21"/>
                <w:highlight w:val="none"/>
              </w:rPr>
              <w:t>、容量大于100m</w:t>
            </w:r>
            <w:r>
              <w:rPr>
                <w:rFonts w:hint="default" w:ascii="Times New Roman" w:hAnsi="Times New Roman" w:eastAsia="宋体" w:cs="Times New Roman"/>
                <w:b w:val="0"/>
                <w:bCs w:val="0"/>
                <w:color w:val="auto"/>
                <w:sz w:val="21"/>
                <w:szCs w:val="21"/>
                <w:highlight w:val="none"/>
                <w:vertAlign w:val="superscript"/>
              </w:rPr>
              <w:t>3</w:t>
            </w:r>
            <w:r>
              <w:rPr>
                <w:rFonts w:hint="default" w:ascii="Times New Roman" w:hAnsi="Times New Roman" w:eastAsia="宋体" w:cs="Times New Roman"/>
                <w:b w:val="0"/>
                <w:bCs w:val="0"/>
                <w:color w:val="auto"/>
                <w:sz w:val="21"/>
                <w:szCs w:val="21"/>
                <w:highlight w:val="none"/>
              </w:rPr>
              <w:t xml:space="preserve"> 的储罐应设液位测量远传仪表，并应符合下列规定：液位连续测量信号应采用模拟信号或通信方式接入自动控制系统，应在自动控制系统中设高、低液位报警</w:t>
            </w:r>
          </w:p>
        </w:tc>
        <w:tc>
          <w:tcPr>
            <w:tcW w:w="1249" w:type="pct"/>
            <w:tcBorders>
              <w:tl2br w:val="nil"/>
              <w:tr2bl w:val="nil"/>
            </w:tcBorders>
            <w:noWrap w:val="0"/>
            <w:vAlign w:val="center"/>
          </w:tcPr>
          <w:p w14:paraId="2BAA4E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b w:val="0"/>
                <w:bCs w:val="0"/>
                <w:color w:val="auto"/>
                <w:sz w:val="21"/>
                <w:szCs w:val="21"/>
                <w:highlight w:val="none"/>
                <w14:ligatures w14:val="none"/>
              </w:rPr>
            </w:pPr>
            <w:r>
              <w:rPr>
                <w:rFonts w:hint="default" w:ascii="Times New Roman" w:hAnsi="Times New Roman" w:eastAsia="宋体" w:cs="Times New Roman"/>
                <w:b w:val="0"/>
                <w:bCs w:val="0"/>
                <w:color w:val="auto"/>
                <w:sz w:val="21"/>
                <w:szCs w:val="21"/>
                <w:highlight w:val="none"/>
              </w:rPr>
              <w:t>《石油库设计规范》第15.1.1条</w:t>
            </w:r>
          </w:p>
        </w:tc>
        <w:tc>
          <w:tcPr>
            <w:tcW w:w="1158" w:type="pct"/>
            <w:tcBorders>
              <w:tl2br w:val="nil"/>
              <w:tr2bl w:val="nil"/>
            </w:tcBorders>
            <w:noWrap w:val="0"/>
            <w:vAlign w:val="center"/>
          </w:tcPr>
          <w:p w14:paraId="0D70BE6A">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ascii="Times New Roman" w:hAnsi="Times New Roman" w:eastAsia="宋体" w:cs="Times New Roman"/>
                <w:b w:val="0"/>
                <w:bCs w:val="0"/>
                <w:color w:val="auto"/>
                <w:sz w:val="21"/>
                <w:szCs w:val="21"/>
                <w:highlight w:val="none"/>
                <w14:ligatures w14:val="none"/>
              </w:rPr>
            </w:pPr>
            <w:r>
              <w:rPr>
                <w:rFonts w:hint="default" w:ascii="Times New Roman" w:hAnsi="Times New Roman" w:eastAsia="宋体" w:cs="Times New Roman"/>
                <w:b w:val="0"/>
                <w:bCs w:val="0"/>
                <w:color w:val="auto"/>
                <w:sz w:val="21"/>
                <w:szCs w:val="21"/>
                <w:highlight w:val="none"/>
              </w:rPr>
              <w:t>设有液位测量远传仪表，并在自动控制系统中设有高、低液位报警</w:t>
            </w:r>
          </w:p>
        </w:tc>
        <w:tc>
          <w:tcPr>
            <w:tcW w:w="414" w:type="pct"/>
            <w:tcBorders>
              <w:tl2br w:val="nil"/>
              <w:tr2bl w:val="nil"/>
            </w:tcBorders>
            <w:noWrap w:val="0"/>
            <w:vAlign w:val="center"/>
          </w:tcPr>
          <w:p w14:paraId="28D529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b w:val="0"/>
                <w:bCs w:val="0"/>
                <w:color w:val="auto"/>
                <w:sz w:val="21"/>
                <w:szCs w:val="21"/>
                <w:highlight w:val="none"/>
                <w14:ligatures w14:val="none"/>
              </w:rPr>
            </w:pPr>
            <w:r>
              <w:rPr>
                <w:rFonts w:hint="default" w:ascii="Times New Roman" w:hAnsi="Times New Roman" w:eastAsia="宋体" w:cs="Times New Roman"/>
                <w:b w:val="0"/>
                <w:bCs w:val="0"/>
                <w:color w:val="auto"/>
                <w:sz w:val="21"/>
                <w:szCs w:val="21"/>
                <w:highlight w:val="none"/>
              </w:rPr>
              <w:t>符合</w:t>
            </w:r>
          </w:p>
        </w:tc>
      </w:tr>
      <w:tr w14:paraId="2943AE5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19F5002E">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750903BF">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auto"/>
                <w:sz w:val="21"/>
                <w:szCs w:val="21"/>
                <w:highlight w:val="none"/>
                <w:lang w:val="en-US" w:eastAsia="zh-CN"/>
              </w:rPr>
              <w:t>46</w:t>
            </w:r>
            <w:r>
              <w:rPr>
                <w:rFonts w:hint="default" w:ascii="Times New Roman" w:hAnsi="Times New Roman" w:eastAsia="宋体" w:cs="Times New Roman"/>
                <w:b w:val="0"/>
                <w:bCs w:val="0"/>
                <w:color w:val="auto"/>
                <w:sz w:val="21"/>
                <w:szCs w:val="21"/>
                <w:highlight w:val="none"/>
              </w:rPr>
              <w:t>、设有甲、乙</w:t>
            </w:r>
            <w:r>
              <w:rPr>
                <w:rFonts w:hint="default" w:ascii="Times New Roman" w:hAnsi="Times New Roman" w:eastAsia="宋体" w:cs="Times New Roman"/>
                <w:b w:val="0"/>
                <w:bCs w:val="0"/>
                <w:color w:val="auto"/>
                <w:sz w:val="21"/>
                <w:szCs w:val="21"/>
                <w:highlight w:val="none"/>
                <w:vertAlign w:val="subscript"/>
              </w:rPr>
              <w:t>A</w:t>
            </w:r>
            <w:r>
              <w:rPr>
                <w:rFonts w:hint="default" w:ascii="Times New Roman" w:hAnsi="Times New Roman" w:eastAsia="宋体" w:cs="Times New Roman"/>
                <w:b w:val="0"/>
                <w:bCs w:val="0"/>
                <w:color w:val="auto"/>
                <w:sz w:val="21"/>
                <w:szCs w:val="21"/>
                <w:highlight w:val="none"/>
              </w:rPr>
              <w:t>类易燃液体设备的房间内，应设置可燃气体浓度自动检测报警装置</w:t>
            </w:r>
          </w:p>
        </w:tc>
        <w:tc>
          <w:tcPr>
            <w:tcW w:w="1249" w:type="pct"/>
            <w:tcBorders>
              <w:tl2br w:val="nil"/>
              <w:tr2bl w:val="nil"/>
            </w:tcBorders>
            <w:noWrap w:val="0"/>
            <w:vAlign w:val="center"/>
          </w:tcPr>
          <w:p w14:paraId="598E10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b w:val="0"/>
                <w:bCs w:val="0"/>
                <w:color w:val="auto"/>
                <w:sz w:val="21"/>
                <w:szCs w:val="21"/>
                <w:highlight w:val="none"/>
                <w14:ligatures w14:val="none"/>
              </w:rPr>
            </w:pPr>
            <w:r>
              <w:rPr>
                <w:rFonts w:hint="default" w:ascii="Times New Roman" w:hAnsi="Times New Roman" w:eastAsia="宋体" w:cs="Times New Roman"/>
                <w:b w:val="0"/>
                <w:bCs w:val="0"/>
                <w:color w:val="auto"/>
                <w:sz w:val="21"/>
                <w:szCs w:val="21"/>
                <w:highlight w:val="none"/>
              </w:rPr>
              <w:t>《石油库设计规范》第15.1.9条</w:t>
            </w:r>
          </w:p>
        </w:tc>
        <w:tc>
          <w:tcPr>
            <w:tcW w:w="1158" w:type="pct"/>
            <w:tcBorders>
              <w:tl2br w:val="nil"/>
              <w:tr2bl w:val="nil"/>
            </w:tcBorders>
            <w:noWrap w:val="0"/>
            <w:vAlign w:val="center"/>
          </w:tcPr>
          <w:p w14:paraId="57C879DF">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ascii="Times New Roman" w:hAnsi="Times New Roman" w:eastAsia="宋体" w:cs="Times New Roman"/>
                <w:b w:val="0"/>
                <w:bCs w:val="0"/>
                <w:color w:val="auto"/>
                <w:sz w:val="21"/>
                <w:szCs w:val="21"/>
                <w:highlight w:val="none"/>
                <w14:ligatures w14:val="none"/>
              </w:rPr>
            </w:pPr>
            <w:r>
              <w:rPr>
                <w:rFonts w:hint="default" w:ascii="Times New Roman" w:hAnsi="Times New Roman" w:eastAsia="宋体" w:cs="Times New Roman"/>
                <w:b w:val="0"/>
                <w:bCs w:val="0"/>
                <w:color w:val="auto"/>
                <w:sz w:val="21"/>
                <w:szCs w:val="21"/>
                <w:highlight w:val="none"/>
              </w:rPr>
              <w:t>储罐区设置可燃气体报警器</w:t>
            </w:r>
          </w:p>
        </w:tc>
        <w:tc>
          <w:tcPr>
            <w:tcW w:w="414" w:type="pct"/>
            <w:tcBorders>
              <w:tl2br w:val="nil"/>
              <w:tr2bl w:val="nil"/>
            </w:tcBorders>
            <w:noWrap w:val="0"/>
            <w:vAlign w:val="center"/>
          </w:tcPr>
          <w:p w14:paraId="5DA5B4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b w:val="0"/>
                <w:bCs w:val="0"/>
                <w:color w:val="auto"/>
                <w:sz w:val="21"/>
                <w:szCs w:val="21"/>
                <w:highlight w:val="none"/>
                <w14:ligatures w14:val="none"/>
              </w:rPr>
            </w:pPr>
            <w:r>
              <w:rPr>
                <w:rFonts w:hint="default" w:ascii="Times New Roman" w:hAnsi="Times New Roman" w:eastAsia="宋体" w:cs="Times New Roman"/>
                <w:b w:val="0"/>
                <w:bCs w:val="0"/>
                <w:color w:val="auto"/>
                <w:sz w:val="21"/>
                <w:szCs w:val="21"/>
                <w:highlight w:val="none"/>
              </w:rPr>
              <w:t>符合</w:t>
            </w:r>
          </w:p>
        </w:tc>
      </w:tr>
      <w:tr w14:paraId="6673142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775B0BF2">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4A2A47D8">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b w:val="0"/>
                <w:bCs w:val="0"/>
                <w:color w:val="auto"/>
                <w:sz w:val="21"/>
                <w:szCs w:val="21"/>
                <w:highlight w:val="none"/>
                <w:lang w:val="en-US" w:eastAsia="zh-CN"/>
                <w14:ligatures w14:val="none"/>
              </w:rPr>
            </w:pPr>
            <w:r>
              <w:rPr>
                <w:rFonts w:hint="eastAsia" w:ascii="Times New Roman" w:hAnsi="Times New Roman" w:eastAsia="宋体" w:cs="Times New Roman"/>
                <w:b w:val="0"/>
                <w:bCs w:val="0"/>
                <w:color w:val="000000"/>
                <w:sz w:val="21"/>
                <w:szCs w:val="21"/>
                <w:highlight w:val="none"/>
                <w:lang w:val="en-US" w:eastAsia="zh-CN"/>
              </w:rPr>
              <w:t>47</w:t>
            </w:r>
            <w:r>
              <w:rPr>
                <w:rFonts w:hint="default" w:ascii="Times New Roman" w:hAnsi="Times New Roman" w:eastAsia="宋体" w:cs="Times New Roman"/>
                <w:b w:val="0"/>
                <w:bCs w:val="0"/>
                <w:color w:val="000000"/>
                <w:sz w:val="21"/>
                <w:szCs w:val="21"/>
                <w:highlight w:val="none"/>
              </w:rPr>
              <w:t>、仪表及计算机监控管理系统应采用 UPS 不间断电源供电， UPS 的后备电池组应在外部电源中断后提供不少于30min的交流供电时间</w:t>
            </w:r>
          </w:p>
        </w:tc>
        <w:tc>
          <w:tcPr>
            <w:tcW w:w="1249" w:type="pct"/>
            <w:tcBorders>
              <w:tl2br w:val="nil"/>
              <w:tr2bl w:val="nil"/>
            </w:tcBorders>
            <w:noWrap w:val="0"/>
            <w:vAlign w:val="center"/>
          </w:tcPr>
          <w:p w14:paraId="1D75C6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b w:val="0"/>
                <w:bCs w:val="0"/>
                <w:color w:val="auto"/>
                <w:sz w:val="21"/>
                <w:szCs w:val="21"/>
                <w:highlight w:val="none"/>
                <w14:ligatures w14:val="none"/>
              </w:rPr>
            </w:pPr>
            <w:r>
              <w:rPr>
                <w:rFonts w:hint="default" w:ascii="Times New Roman" w:hAnsi="Times New Roman" w:eastAsia="宋体" w:cs="Times New Roman"/>
                <w:b w:val="0"/>
                <w:bCs w:val="0"/>
                <w:color w:val="000000"/>
                <w:sz w:val="21"/>
                <w:szCs w:val="21"/>
                <w:highlight w:val="none"/>
              </w:rPr>
              <w:t>《石油库设计规范》第15.1.12条</w:t>
            </w:r>
          </w:p>
        </w:tc>
        <w:tc>
          <w:tcPr>
            <w:tcW w:w="1158" w:type="pct"/>
            <w:tcBorders>
              <w:tl2br w:val="nil"/>
              <w:tr2bl w:val="nil"/>
            </w:tcBorders>
            <w:noWrap w:val="0"/>
            <w:vAlign w:val="center"/>
          </w:tcPr>
          <w:p w14:paraId="346D3960">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ascii="Times New Roman" w:hAnsi="Times New Roman" w:eastAsia="宋体" w:cs="Times New Roman"/>
                <w:b w:val="0"/>
                <w:bCs w:val="0"/>
                <w:color w:val="auto"/>
                <w:sz w:val="21"/>
                <w:szCs w:val="21"/>
                <w:highlight w:val="none"/>
                <w14:ligatures w14:val="none"/>
              </w:rPr>
            </w:pPr>
            <w:r>
              <w:rPr>
                <w:rFonts w:hint="default" w:ascii="Times New Roman" w:hAnsi="Times New Roman" w:eastAsia="宋体" w:cs="Times New Roman"/>
                <w:b w:val="0"/>
                <w:bCs w:val="0"/>
                <w:color w:val="000000"/>
                <w:sz w:val="21"/>
                <w:szCs w:val="21"/>
                <w:highlight w:val="none"/>
                <w:lang w:eastAsia="zh-CN"/>
              </w:rPr>
              <w:t>厂区设置</w:t>
            </w:r>
            <w:r>
              <w:rPr>
                <w:rFonts w:hint="default" w:ascii="Times New Roman" w:hAnsi="Times New Roman" w:eastAsia="宋体" w:cs="Times New Roman"/>
                <w:b w:val="0"/>
                <w:bCs w:val="0"/>
                <w:color w:val="000000"/>
                <w:sz w:val="21"/>
                <w:szCs w:val="21"/>
                <w:highlight w:val="none"/>
              </w:rPr>
              <w:t>UPS 不间断电源供电</w:t>
            </w:r>
          </w:p>
        </w:tc>
        <w:tc>
          <w:tcPr>
            <w:tcW w:w="414" w:type="pct"/>
            <w:tcBorders>
              <w:tl2br w:val="nil"/>
              <w:tr2bl w:val="nil"/>
            </w:tcBorders>
            <w:noWrap w:val="0"/>
            <w:vAlign w:val="center"/>
          </w:tcPr>
          <w:p w14:paraId="7DE50E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b w:val="0"/>
                <w:bCs w:val="0"/>
                <w:color w:val="auto"/>
                <w:sz w:val="21"/>
                <w:szCs w:val="21"/>
                <w:highlight w:val="none"/>
                <w14:ligatures w14:val="none"/>
              </w:rPr>
            </w:pPr>
            <w:r>
              <w:rPr>
                <w:rFonts w:hint="default" w:ascii="Times New Roman" w:hAnsi="Times New Roman" w:eastAsia="宋体" w:cs="Times New Roman"/>
                <w:b w:val="0"/>
                <w:bCs w:val="0"/>
                <w:color w:val="000000"/>
                <w:sz w:val="21"/>
                <w:szCs w:val="21"/>
                <w:highlight w:val="none"/>
              </w:rPr>
              <w:t>符合</w:t>
            </w:r>
          </w:p>
        </w:tc>
      </w:tr>
      <w:tr w14:paraId="133ED63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0AA85595">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015266D6">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b w:val="0"/>
                <w:bCs w:val="0"/>
                <w:color w:val="auto"/>
                <w:sz w:val="21"/>
                <w:szCs w:val="21"/>
                <w:highlight w:val="none"/>
                <w:lang w:val="en-US" w:eastAsia="zh-CN"/>
                <w14:ligatures w14:val="none"/>
              </w:rPr>
            </w:pPr>
            <w:r>
              <w:rPr>
                <w:rFonts w:hint="default" w:ascii="Times New Roman" w:hAnsi="Times New Roman" w:eastAsia="宋体" w:cs="Times New Roman"/>
                <w:b w:val="0"/>
                <w:bCs w:val="0"/>
                <w:color w:val="auto"/>
                <w:sz w:val="21"/>
                <w:szCs w:val="21"/>
                <w:highlight w:val="none"/>
                <w:lang w:val="en-US" w:eastAsia="zh-CN"/>
              </w:rPr>
              <w:t>4</w:t>
            </w:r>
            <w:r>
              <w:rPr>
                <w:rFonts w:hint="eastAsia" w:ascii="Times New Roman" w:hAnsi="Times New Roman" w:eastAsia="宋体" w:cs="Times New Roman"/>
                <w:b w:val="0"/>
                <w:bCs w:val="0"/>
                <w:color w:val="auto"/>
                <w:sz w:val="21"/>
                <w:szCs w:val="21"/>
                <w:highlight w:val="none"/>
                <w:lang w:val="en-US" w:eastAsia="zh-CN"/>
              </w:rPr>
              <w:t>8</w:t>
            </w:r>
            <w:r>
              <w:rPr>
                <w:rFonts w:hint="default" w:ascii="Times New Roman" w:hAnsi="Times New Roman" w:eastAsia="宋体" w:cs="Times New Roman"/>
                <w:b w:val="0"/>
                <w:bCs w:val="0"/>
                <w:color w:val="auto"/>
                <w:sz w:val="21"/>
                <w:szCs w:val="21"/>
                <w:highlight w:val="none"/>
              </w:rPr>
              <w:t>、自动控制系统的室外仪表电缆敷设应符合下列规定：1</w:t>
            </w: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在生产区敷设的仪表电缆宜采用电缆沟、电缆保护管、直埋等地面下敷设方式。采用电缆沟时，电缆沟应充沙填实；2</w:t>
            </w: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生产区局部地段确需在地面敷设的电缆， 应采用镀锌钢保护管或带盖板的全封闭金属电缆槽等方式敷设；3</w:t>
            </w:r>
            <w:r>
              <w:rPr>
                <w:rFonts w:hint="default"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非生产区的仪表电缆可采用带盖板的全封闭金属电缆槽在地面以上敷设</w:t>
            </w:r>
          </w:p>
        </w:tc>
        <w:tc>
          <w:tcPr>
            <w:tcW w:w="1249" w:type="pct"/>
            <w:tcBorders>
              <w:tl2br w:val="nil"/>
              <w:tr2bl w:val="nil"/>
            </w:tcBorders>
            <w:noWrap w:val="0"/>
            <w:vAlign w:val="center"/>
          </w:tcPr>
          <w:p w14:paraId="693885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b w:val="0"/>
                <w:bCs w:val="0"/>
                <w:color w:val="auto"/>
                <w:sz w:val="21"/>
                <w:szCs w:val="21"/>
                <w:highlight w:val="none"/>
                <w14:ligatures w14:val="none"/>
              </w:rPr>
            </w:pPr>
            <w:r>
              <w:rPr>
                <w:rFonts w:hint="default" w:ascii="Times New Roman" w:hAnsi="Times New Roman" w:eastAsia="宋体" w:cs="Times New Roman"/>
                <w:b w:val="0"/>
                <w:bCs w:val="0"/>
                <w:color w:val="auto"/>
                <w:sz w:val="21"/>
                <w:szCs w:val="21"/>
                <w:highlight w:val="none"/>
              </w:rPr>
              <w:t>《石油库设计规范》第15.1.13条</w:t>
            </w:r>
          </w:p>
        </w:tc>
        <w:tc>
          <w:tcPr>
            <w:tcW w:w="1158" w:type="pct"/>
            <w:tcBorders>
              <w:tl2br w:val="nil"/>
              <w:tr2bl w:val="nil"/>
            </w:tcBorders>
            <w:noWrap w:val="0"/>
            <w:vAlign w:val="center"/>
          </w:tcPr>
          <w:p w14:paraId="6BD2908D">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ascii="Times New Roman" w:hAnsi="Times New Roman" w:eastAsia="宋体" w:cs="Times New Roman"/>
                <w:b w:val="0"/>
                <w:bCs w:val="0"/>
                <w:color w:val="auto"/>
                <w:sz w:val="21"/>
                <w:szCs w:val="21"/>
                <w:highlight w:val="none"/>
                <w14:ligatures w14:val="none"/>
              </w:rPr>
            </w:pPr>
            <w:r>
              <w:rPr>
                <w:rFonts w:hint="default" w:ascii="Times New Roman" w:hAnsi="Times New Roman" w:eastAsia="宋体" w:cs="Times New Roman"/>
                <w:b w:val="0"/>
                <w:bCs w:val="0"/>
                <w:color w:val="auto"/>
                <w:sz w:val="21"/>
                <w:szCs w:val="21"/>
                <w:highlight w:val="none"/>
              </w:rPr>
              <w:t>生产区的仪表电缆均采用电缆沟地下敷设；电缆沟并充沙填实；局部地上部分采用全封闭电缆槽敷设；非生产区的仪表电缆采用电缆槽地上敷设</w:t>
            </w:r>
          </w:p>
        </w:tc>
        <w:tc>
          <w:tcPr>
            <w:tcW w:w="414" w:type="pct"/>
            <w:tcBorders>
              <w:tl2br w:val="nil"/>
              <w:tr2bl w:val="nil"/>
            </w:tcBorders>
            <w:noWrap w:val="0"/>
            <w:vAlign w:val="center"/>
          </w:tcPr>
          <w:p w14:paraId="142F1C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b w:val="0"/>
                <w:bCs w:val="0"/>
                <w:color w:val="auto"/>
                <w:sz w:val="21"/>
                <w:szCs w:val="21"/>
                <w:highlight w:val="none"/>
                <w14:ligatures w14:val="none"/>
              </w:rPr>
            </w:pPr>
            <w:r>
              <w:rPr>
                <w:rFonts w:hint="default" w:ascii="Times New Roman" w:hAnsi="Times New Roman" w:eastAsia="宋体" w:cs="Times New Roman"/>
                <w:b w:val="0"/>
                <w:bCs w:val="0"/>
                <w:color w:val="auto"/>
                <w:sz w:val="21"/>
                <w:szCs w:val="21"/>
                <w:highlight w:val="none"/>
              </w:rPr>
              <w:t>符合</w:t>
            </w:r>
          </w:p>
        </w:tc>
      </w:tr>
      <w:tr w14:paraId="0CC1D8F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rPr>
        <w:tc>
          <w:tcPr>
            <w:tcW w:w="421" w:type="pct"/>
            <w:vMerge w:val="continue"/>
            <w:tcBorders>
              <w:tl2br w:val="nil"/>
              <w:tr2bl w:val="nil"/>
            </w:tcBorders>
            <w:noWrap w:val="0"/>
            <w:vAlign w:val="center"/>
          </w:tcPr>
          <w:p w14:paraId="3AC79758">
            <w:pPr>
              <w:spacing w:after="0" w:line="240" w:lineRule="auto"/>
              <w:jc w:val="both"/>
              <w:rPr>
                <w:rFonts w:ascii="Times New Roman" w:hAnsi="Times New Roman" w:eastAsia="宋体" w:cs="Times New Roman"/>
                <w:b w:val="0"/>
                <w:bCs w:val="0"/>
                <w:color w:val="auto"/>
                <w:sz w:val="21"/>
                <w:szCs w:val="21"/>
                <w:highlight w:val="none"/>
                <w14:ligatures w14:val="none"/>
              </w:rPr>
            </w:pPr>
          </w:p>
        </w:tc>
        <w:tc>
          <w:tcPr>
            <w:tcW w:w="1754" w:type="pct"/>
            <w:tcBorders>
              <w:tl2br w:val="nil"/>
              <w:tr2bl w:val="nil"/>
            </w:tcBorders>
            <w:noWrap w:val="0"/>
            <w:vAlign w:val="center"/>
          </w:tcPr>
          <w:p w14:paraId="2EA9A7AD">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b w:val="0"/>
                <w:bCs w:val="0"/>
                <w:color w:val="auto"/>
                <w:sz w:val="21"/>
                <w:szCs w:val="21"/>
                <w:highlight w:val="none"/>
                <w:lang w:val="en-US" w:eastAsia="zh-CN"/>
                <w14:ligatures w14:val="none"/>
              </w:rPr>
            </w:pPr>
            <w:r>
              <w:rPr>
                <w:rFonts w:hint="default" w:ascii="Times New Roman" w:hAnsi="Times New Roman" w:eastAsia="宋体" w:cs="Times New Roman"/>
                <w:b w:val="0"/>
                <w:bCs w:val="0"/>
                <w:color w:val="auto"/>
                <w:sz w:val="21"/>
                <w:szCs w:val="21"/>
                <w:highlight w:val="none"/>
                <w:lang w:val="en-US" w:eastAsia="zh-CN"/>
              </w:rPr>
              <w:t>4</w:t>
            </w:r>
            <w:r>
              <w:rPr>
                <w:rFonts w:hint="eastAsia" w:ascii="Times New Roman" w:hAnsi="Times New Roman" w:eastAsia="宋体" w:cs="Times New Roman"/>
                <w:b w:val="0"/>
                <w:bCs w:val="0"/>
                <w:color w:val="auto"/>
                <w:sz w:val="21"/>
                <w:szCs w:val="21"/>
                <w:highlight w:val="none"/>
                <w:lang w:val="en-US" w:eastAsia="zh-CN"/>
              </w:rPr>
              <w:t>9</w:t>
            </w:r>
            <w:r>
              <w:rPr>
                <w:rFonts w:hint="default" w:ascii="Times New Roman" w:hAnsi="Times New Roman" w:eastAsia="宋体" w:cs="Times New Roman"/>
                <w:b w:val="0"/>
                <w:bCs w:val="0"/>
                <w:color w:val="auto"/>
                <w:sz w:val="21"/>
                <w:szCs w:val="21"/>
                <w:highlight w:val="none"/>
                <w:lang w:val="en-US" w:eastAsia="zh-CN"/>
              </w:rPr>
              <w:t>、石油库应设置火灾报警电话、行政电话系统、无线电通信系统、 电视监视系统 。一级石油库尚应设置计算机局域网络、人侵报警系统和出入口控制系统 。根据需要可设置调度电话系统、巡更系统。</w:t>
            </w:r>
          </w:p>
        </w:tc>
        <w:tc>
          <w:tcPr>
            <w:tcW w:w="1249" w:type="pct"/>
            <w:tcBorders>
              <w:tl2br w:val="nil"/>
              <w:tr2bl w:val="nil"/>
            </w:tcBorders>
            <w:noWrap w:val="0"/>
            <w:vAlign w:val="center"/>
          </w:tcPr>
          <w:p w14:paraId="2DFF2C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b w:val="0"/>
                <w:bCs w:val="0"/>
                <w:color w:val="auto"/>
                <w:sz w:val="21"/>
                <w:szCs w:val="21"/>
                <w:highlight w:val="none"/>
                <w14:ligatures w14:val="none"/>
              </w:rPr>
            </w:pPr>
            <w:r>
              <w:rPr>
                <w:rFonts w:hint="default" w:ascii="Times New Roman" w:hAnsi="Times New Roman" w:eastAsia="宋体" w:cs="Times New Roman"/>
                <w:b w:val="0"/>
                <w:bCs w:val="0"/>
                <w:color w:val="auto"/>
                <w:sz w:val="21"/>
                <w:szCs w:val="21"/>
                <w:highlight w:val="none"/>
              </w:rPr>
              <w:t>《石油库设计规范》</w:t>
            </w:r>
            <w:r>
              <w:rPr>
                <w:rFonts w:hint="default" w:ascii="Times New Roman" w:hAnsi="Times New Roman" w:eastAsia="宋体" w:cs="Times New Roman"/>
                <w:b w:val="0"/>
                <w:bCs w:val="0"/>
                <w:color w:val="auto"/>
                <w:sz w:val="21"/>
                <w:szCs w:val="21"/>
                <w:highlight w:val="none"/>
                <w:lang w:val="en-US" w:eastAsia="zh-CN"/>
              </w:rPr>
              <w:t>第 15.2.1 条</w:t>
            </w:r>
          </w:p>
        </w:tc>
        <w:tc>
          <w:tcPr>
            <w:tcW w:w="1158" w:type="pct"/>
            <w:tcBorders>
              <w:tl2br w:val="nil"/>
              <w:tr2bl w:val="nil"/>
            </w:tcBorders>
            <w:noWrap w:val="0"/>
            <w:vAlign w:val="center"/>
          </w:tcPr>
          <w:p w14:paraId="462D2497">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ascii="Times New Roman" w:hAnsi="Times New Roman" w:eastAsia="宋体" w:cs="Times New Roman"/>
                <w:b w:val="0"/>
                <w:bCs w:val="0"/>
                <w:color w:val="auto"/>
                <w:sz w:val="21"/>
                <w:szCs w:val="21"/>
                <w:highlight w:val="none"/>
                <w14:ligatures w14:val="none"/>
              </w:rPr>
            </w:pPr>
            <w:r>
              <w:rPr>
                <w:rFonts w:hint="default" w:ascii="Times New Roman" w:hAnsi="Times New Roman" w:eastAsia="宋体" w:cs="Times New Roman"/>
                <w:b w:val="0"/>
                <w:bCs w:val="0"/>
                <w:color w:val="auto"/>
                <w:sz w:val="21"/>
                <w:szCs w:val="21"/>
                <w:highlight w:val="none"/>
                <w:lang w:val="en-US" w:eastAsia="zh-CN"/>
              </w:rPr>
              <w:t>设有火灾报警电话、行政电话系统、无线电通信系统、电视监视系统。</w:t>
            </w:r>
          </w:p>
        </w:tc>
        <w:tc>
          <w:tcPr>
            <w:tcW w:w="414" w:type="pct"/>
            <w:tcBorders>
              <w:tl2br w:val="nil"/>
              <w:tr2bl w:val="nil"/>
            </w:tcBorders>
            <w:noWrap w:val="0"/>
            <w:vAlign w:val="center"/>
          </w:tcPr>
          <w:p w14:paraId="2FCEC4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b w:val="0"/>
                <w:bCs w:val="0"/>
                <w:color w:val="auto"/>
                <w:sz w:val="21"/>
                <w:szCs w:val="21"/>
                <w:highlight w:val="none"/>
                <w14:ligatures w14:val="none"/>
              </w:rPr>
            </w:pPr>
            <w:r>
              <w:rPr>
                <w:rFonts w:hint="default" w:ascii="Times New Roman" w:hAnsi="Times New Roman" w:eastAsia="宋体" w:cs="Times New Roman"/>
                <w:b w:val="0"/>
                <w:bCs w:val="0"/>
                <w:color w:val="auto"/>
                <w:sz w:val="21"/>
                <w:szCs w:val="21"/>
                <w:highlight w:val="none"/>
                <w:lang w:val="en-US" w:eastAsia="zh-CN"/>
              </w:rPr>
              <w:t>符合</w:t>
            </w:r>
          </w:p>
        </w:tc>
      </w:tr>
    </w:tbl>
    <w:p w14:paraId="070EB427">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hint="eastAsia" w:ascii="Times New Roman" w:hAnsi="Times New Roman" w:eastAsia="宋体" w:cs="Times New Roman"/>
          <w:sz w:val="28"/>
          <w:szCs w:val="28"/>
          <w:highlight w:val="none"/>
          <w14:ligatures w14:val="none"/>
        </w:rPr>
      </w:pPr>
      <w:r>
        <w:rPr>
          <w:rFonts w:hint="eastAsia" w:ascii="Times New Roman" w:hAnsi="Times New Roman" w:eastAsia="宋体" w:cs="Times New Roman"/>
          <w:sz w:val="28"/>
          <w:szCs w:val="28"/>
          <w14:ligatures w14:val="none"/>
        </w:rPr>
        <w:t>小结</w:t>
      </w:r>
      <w:r>
        <w:rPr>
          <w:rFonts w:hint="eastAsia" w:ascii="Times New Roman" w:hAnsi="Times New Roman" w:eastAsia="宋体" w:cs="Times New Roman"/>
          <w:sz w:val="28"/>
          <w:szCs w:val="28"/>
          <w:highlight w:val="none"/>
          <w14:ligatures w14:val="none"/>
        </w:rPr>
        <w:t>：通过对公辅工程及辅助设施进行安全评价，共检查</w:t>
      </w:r>
      <w:r>
        <w:rPr>
          <w:rFonts w:hint="eastAsia" w:ascii="Times New Roman" w:hAnsi="Times New Roman" w:eastAsia="宋体" w:cs="Times New Roman"/>
          <w:sz w:val="28"/>
          <w:szCs w:val="28"/>
          <w:highlight w:val="none"/>
          <w:lang w:val="en-US" w:eastAsia="zh-CN"/>
          <w14:ligatures w14:val="none"/>
        </w:rPr>
        <w:t>49</w:t>
      </w:r>
      <w:r>
        <w:rPr>
          <w:rFonts w:hint="eastAsia" w:ascii="Times New Roman" w:hAnsi="Times New Roman" w:eastAsia="宋体" w:cs="Times New Roman"/>
          <w:sz w:val="28"/>
          <w:szCs w:val="28"/>
          <w:highlight w:val="none"/>
          <w14:ligatures w14:val="none"/>
        </w:rPr>
        <w:t>项，检查内容均符合相关要求。</w:t>
      </w:r>
    </w:p>
    <w:p w14:paraId="36A73105">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35" w:name="_Toc3270"/>
      <w:r>
        <w:rPr>
          <w:rFonts w:hint="eastAsia" w:ascii="Times New Roman" w:hAnsi="Times New Roman" w:eastAsia="楷体" w:cs="黑体"/>
          <w:b/>
          <w:sz w:val="32"/>
          <w:szCs w:val="32"/>
          <w14:ligatures w14:val="none"/>
        </w:rPr>
        <w:t>5.5重大危险源管理及监控</w:t>
      </w:r>
      <w:bookmarkEnd w:id="135"/>
    </w:p>
    <w:p w14:paraId="62633DA9">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采用安全检查表法对</w:t>
      </w:r>
      <w:r>
        <w:rPr>
          <w:rFonts w:hint="eastAsia" w:ascii="Times New Roman" w:hAnsi="Times New Roman" w:eastAsia="宋体" w:cs="Times New Roman"/>
          <w:sz w:val="28"/>
          <w:szCs w:val="28"/>
          <w:lang w:eastAsia="zh-CN"/>
          <w14:ligatures w14:val="none"/>
        </w:rPr>
        <w:t>国能安储（东港）燃料供应有限公司重大危险源管理及监控</w:t>
      </w:r>
      <w:r>
        <w:rPr>
          <w:rFonts w:hint="eastAsia" w:ascii="Times New Roman" w:hAnsi="Times New Roman" w:eastAsia="宋体" w:cs="Times New Roman"/>
          <w:sz w:val="28"/>
          <w:szCs w:val="28"/>
          <w:lang w:val="en-US" w:eastAsia="zh-CN"/>
          <w14:ligatures w14:val="none"/>
        </w:rPr>
        <w:t>单元</w:t>
      </w:r>
      <w:r>
        <w:rPr>
          <w:rFonts w:hint="eastAsia" w:ascii="Times New Roman" w:hAnsi="Times New Roman" w:eastAsia="宋体" w:cs="Times New Roman"/>
          <w:sz w:val="28"/>
          <w:szCs w:val="28"/>
          <w14:ligatures w14:val="none"/>
        </w:rPr>
        <w:t>进行评价分析，见表5.</w:t>
      </w:r>
      <w:r>
        <w:rPr>
          <w:rFonts w:hint="eastAsia" w:ascii="Times New Roman" w:hAnsi="Times New Roman" w:eastAsia="宋体" w:cs="Times New Roman"/>
          <w:sz w:val="28"/>
          <w:szCs w:val="28"/>
          <w:lang w:val="en-US" w:eastAsia="zh-CN"/>
          <w14:ligatures w14:val="none"/>
        </w:rPr>
        <w:t>5</w:t>
      </w:r>
      <w:r>
        <w:rPr>
          <w:rFonts w:hint="eastAsia" w:ascii="Times New Roman" w:hAnsi="Times New Roman" w:eastAsia="宋体" w:cs="Times New Roman"/>
          <w:sz w:val="28"/>
          <w:szCs w:val="28"/>
          <w14:ligatures w14:val="none"/>
        </w:rPr>
        <w:t>-1。</w:t>
      </w:r>
    </w:p>
    <w:p w14:paraId="117806F2">
      <w:pPr>
        <w:keepNext/>
        <w:adjustRightInd w:val="0"/>
        <w:snapToGrid w:val="0"/>
        <w:spacing w:before="156" w:beforeLines="50" w:after="156" w:afterLines="50" w:line="240" w:lineRule="auto"/>
        <w:jc w:val="center"/>
        <w:rPr>
          <w:rFonts w:hint="eastAsia" w:ascii="Times New Roman" w:hAnsi="Times New Roman" w:eastAsia="黑体" w:cs="Times New Roman"/>
          <w:sz w:val="24"/>
          <w14:ligatures w14:val="none"/>
        </w:rPr>
      </w:pPr>
      <w:r>
        <w:rPr>
          <w:rFonts w:hint="eastAsia" w:ascii="Times New Roman" w:hAnsi="Times New Roman" w:eastAsia="黑体" w:cs="Times New Roman"/>
          <w:sz w:val="24"/>
          <w14:ligatures w14:val="none"/>
        </w:rPr>
        <w:t>表5.</w:t>
      </w:r>
      <w:r>
        <w:rPr>
          <w:rFonts w:hint="eastAsia" w:ascii="Times New Roman" w:hAnsi="Times New Roman" w:eastAsia="黑体" w:cs="Times New Roman"/>
          <w:sz w:val="24"/>
          <w:lang w:val="en-US" w:eastAsia="zh-CN"/>
          <w14:ligatures w14:val="none"/>
        </w:rPr>
        <w:t>5</w:t>
      </w:r>
      <w:r>
        <w:rPr>
          <w:rFonts w:hint="eastAsia" w:ascii="Times New Roman" w:hAnsi="Times New Roman" w:eastAsia="黑体" w:cs="Times New Roman"/>
          <w:sz w:val="24"/>
          <w14:ligatures w14:val="none"/>
        </w:rPr>
        <w:t>-1  重大危险源管理及监控单元安全检查表</w:t>
      </w:r>
    </w:p>
    <w:tbl>
      <w:tblPr>
        <w:tblStyle w:val="1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7"/>
        <w:gridCol w:w="2945"/>
        <w:gridCol w:w="2553"/>
        <w:gridCol w:w="2630"/>
        <w:gridCol w:w="685"/>
      </w:tblGrid>
      <w:tr w14:paraId="7D7AE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12" w:type="pct"/>
            <w:vAlign w:val="center"/>
          </w:tcPr>
          <w:p w14:paraId="60520CCF">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序号</w:t>
            </w:r>
          </w:p>
        </w:tc>
        <w:tc>
          <w:tcPr>
            <w:tcW w:w="1565" w:type="pct"/>
            <w:vAlign w:val="center"/>
          </w:tcPr>
          <w:p w14:paraId="46C239EA">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检查内容</w:t>
            </w:r>
          </w:p>
        </w:tc>
        <w:tc>
          <w:tcPr>
            <w:tcW w:w="1357" w:type="pct"/>
            <w:vAlign w:val="center"/>
          </w:tcPr>
          <w:p w14:paraId="2434A23F">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检查依据</w:t>
            </w:r>
          </w:p>
        </w:tc>
        <w:tc>
          <w:tcPr>
            <w:tcW w:w="1398" w:type="pct"/>
            <w:vAlign w:val="center"/>
          </w:tcPr>
          <w:p w14:paraId="1241155E">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检查结果</w:t>
            </w:r>
          </w:p>
        </w:tc>
        <w:tc>
          <w:tcPr>
            <w:tcW w:w="364" w:type="pct"/>
            <w:vAlign w:val="center"/>
          </w:tcPr>
          <w:p w14:paraId="65DD7FC1">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结论</w:t>
            </w:r>
          </w:p>
        </w:tc>
      </w:tr>
      <w:tr w14:paraId="7F015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10F84F01">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20FB8CFE">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对辨识确认的重大危险源及时、逐项进行登记建档</w:t>
            </w:r>
          </w:p>
        </w:tc>
        <w:tc>
          <w:tcPr>
            <w:tcW w:w="1357" w:type="pct"/>
            <w:vAlign w:val="center"/>
          </w:tcPr>
          <w:p w14:paraId="6D5CA584">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《危险化学品重大危险源监督管理暂行规定》第二十二条</w:t>
            </w:r>
          </w:p>
        </w:tc>
        <w:tc>
          <w:tcPr>
            <w:tcW w:w="1398" w:type="pct"/>
            <w:vAlign w:val="center"/>
          </w:tcPr>
          <w:p w14:paraId="1646B077">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已对辨识确认的重大危险源及时、逐项进行登记建档</w:t>
            </w:r>
          </w:p>
        </w:tc>
        <w:tc>
          <w:tcPr>
            <w:tcW w:w="364" w:type="pct"/>
            <w:vAlign w:val="center"/>
          </w:tcPr>
          <w:p w14:paraId="30EC9448">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1E8BA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71E02BC0">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3FFB49D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重大危险源与周边单位、居民区、人员密集场所等重要目标和敏感场所之间保持适当的安全距离。</w:t>
            </w:r>
          </w:p>
        </w:tc>
        <w:tc>
          <w:tcPr>
            <w:tcW w:w="1357" w:type="pct"/>
            <w:vAlign w:val="center"/>
          </w:tcPr>
          <w:p w14:paraId="264C2535">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《危险化学品重大危险源监督管理暂行规定》第三十一条</w:t>
            </w:r>
          </w:p>
        </w:tc>
        <w:tc>
          <w:tcPr>
            <w:tcW w:w="1398" w:type="pct"/>
            <w:vAlign w:val="center"/>
          </w:tcPr>
          <w:p w14:paraId="523C17E7">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lang w:val="en-US" w:eastAsia="zh-CN"/>
                <w14:ligatures w14:val="none"/>
              </w:rPr>
              <w:t>已通过软件计算安全防护距离，为符合要求</w:t>
            </w:r>
          </w:p>
        </w:tc>
        <w:tc>
          <w:tcPr>
            <w:tcW w:w="364" w:type="pct"/>
            <w:vAlign w:val="center"/>
          </w:tcPr>
          <w:p w14:paraId="666DD4DA">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08E59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223AA997">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3449C811">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罐区监测预警项目主要根据储罐的结构和材料、储存介质特性以及罐区环境条件等的不同进行选择。一般包括罐内介质的液位、温度、压力，罐区内可燃气体浓度、明火、环境参数以及音视频信号和其他危险因素等。</w:t>
            </w:r>
          </w:p>
        </w:tc>
        <w:tc>
          <w:tcPr>
            <w:tcW w:w="1357" w:type="pct"/>
            <w:vAlign w:val="center"/>
          </w:tcPr>
          <w:p w14:paraId="57BAC27E">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《危险化学品重大危险源安全监控通用技术条件》</w:t>
            </w:r>
          </w:p>
          <w:p w14:paraId="44CB7098">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（AQ3035-2010）</w:t>
            </w:r>
          </w:p>
          <w:p w14:paraId="7D71830A">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第4.5.2条</w:t>
            </w:r>
          </w:p>
        </w:tc>
        <w:tc>
          <w:tcPr>
            <w:tcW w:w="1398" w:type="pct"/>
            <w:vAlign w:val="center"/>
          </w:tcPr>
          <w:p w14:paraId="3ED0189C">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罐内设液位、温度，罐区内设可燃气体浓度检测、报警装置。</w:t>
            </w:r>
          </w:p>
        </w:tc>
        <w:tc>
          <w:tcPr>
            <w:tcW w:w="364" w:type="pct"/>
            <w:vAlign w:val="center"/>
          </w:tcPr>
          <w:p w14:paraId="22568A7B">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7C2EC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37569F67">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02C3D1FA">
            <w:pPr>
              <w:adjustRightInd w:val="0"/>
              <w:snapToGrid w:val="0"/>
              <w:spacing w:after="0" w:line="240" w:lineRule="auto"/>
              <w:jc w:val="both"/>
              <w:rPr>
                <w:rFonts w:hint="eastAsia" w:ascii="Times New Roman" w:hAnsi="Times New Roman" w:eastAsia="宋体" w:cs="Times New Roman"/>
                <w:color w:val="000000" w:themeColor="text1"/>
                <w:sz w:val="21"/>
                <w:szCs w:val="21"/>
                <w14:textFill>
                  <w14:solidFill>
                    <w14:schemeClr w14:val="tx1"/>
                  </w14:solidFill>
                </w14:textFill>
                <w14:ligatures w14:val="none"/>
              </w:rPr>
            </w:pPr>
            <w:r>
              <w:rPr>
                <w:rFonts w:hint="eastAsia" w:ascii="Times New Roman" w:hAnsi="Times New Roman" w:eastAsia="宋体" w:cs="Times New Roman"/>
                <w:color w:val="000000" w:themeColor="text1"/>
                <w:sz w:val="21"/>
                <w:szCs w:val="21"/>
                <w14:textFill>
                  <w14:solidFill>
                    <w14:schemeClr w14:val="tx1"/>
                  </w14:solidFill>
                </w14:textFill>
                <w14:ligatures w14:val="none"/>
              </w:rPr>
              <w:t>罐区监控预警参数的选择主要以预防和控制重大工业事故为出发点，根据对罐区危险及有害因素的分析，结合储罐的结构和材料、储存介质特性以及罐区环境条件等的不同，选取不同的监控预警参数。</w:t>
            </w:r>
          </w:p>
          <w:p w14:paraId="75756D7A">
            <w:pPr>
              <w:adjustRightInd w:val="0"/>
              <w:snapToGrid w:val="0"/>
              <w:spacing w:after="0" w:line="240" w:lineRule="auto"/>
              <w:jc w:val="both"/>
              <w:rPr>
                <w:rFonts w:hint="eastAsia" w:ascii="Times New Roman" w:hAnsi="Times New Roman" w:eastAsia="宋体" w:cs="Times New Roman"/>
                <w:color w:val="000000" w:themeColor="text1"/>
                <w:spacing w:val="12"/>
                <w:sz w:val="21"/>
                <w:szCs w:val="21"/>
                <w14:textFill>
                  <w14:solidFill>
                    <w14:schemeClr w14:val="tx1"/>
                  </w14:solidFill>
                </w14:textFill>
                <w14:ligatures w14:val="none"/>
              </w:rPr>
            </w:pPr>
            <w:r>
              <w:rPr>
                <w:rFonts w:hint="eastAsia" w:ascii="Times New Roman" w:hAnsi="Times New Roman" w:eastAsia="宋体" w:cs="Times New Roman"/>
                <w:color w:val="000000" w:themeColor="text1"/>
                <w:sz w:val="21"/>
                <w:szCs w:val="21"/>
                <w14:textFill>
                  <w14:solidFill>
                    <w14:schemeClr w14:val="tx1"/>
                  </w14:solidFill>
                </w14:textFill>
                <w14:ligatures w14:val="none"/>
              </w:rPr>
              <w:t>罐区的监控预警参数一般有罐内介质的液位、温度、压力等工艺参数，罐区内可燃/有毒气体的浓度、明火以及气象参数和音视频信号等。主要的预警和报警指标包括与液位相关的高低液位超限，温度、压力、流速和流量超限，空气中可燃和有毒气体浓度、明火源和风速等超限及异常情况。</w:t>
            </w:r>
          </w:p>
        </w:tc>
        <w:tc>
          <w:tcPr>
            <w:tcW w:w="1357" w:type="pct"/>
            <w:vAlign w:val="center"/>
          </w:tcPr>
          <w:p w14:paraId="61F78A74">
            <w:pPr>
              <w:adjustRightInd w:val="0"/>
              <w:snapToGrid w:val="0"/>
              <w:spacing w:after="0" w:line="240" w:lineRule="auto"/>
              <w:jc w:val="center"/>
              <w:rPr>
                <w:rFonts w:hint="eastAsia" w:ascii="Times New Roman" w:hAnsi="Times New Roman" w:eastAsia="宋体" w:cs="Times New Roman"/>
                <w:color w:val="000000" w:themeColor="text1"/>
                <w:sz w:val="21"/>
                <w:szCs w:val="21"/>
                <w14:textFill>
                  <w14:solidFill>
                    <w14:schemeClr w14:val="tx1"/>
                  </w14:solidFill>
                </w14:textFill>
                <w14:ligatures w14:val="none"/>
              </w:rPr>
            </w:pPr>
            <w:r>
              <w:rPr>
                <w:rFonts w:hint="eastAsia" w:ascii="Times New Roman" w:hAnsi="Times New Roman" w:eastAsia="宋体" w:cs="Times New Roman"/>
                <w:color w:val="000000" w:themeColor="text1"/>
                <w:sz w:val="21"/>
                <w:szCs w:val="21"/>
                <w14:textFill>
                  <w14:solidFill>
                    <w14:schemeClr w14:val="tx1"/>
                  </w14:solidFill>
                </w14:textFill>
                <w14:ligatures w14:val="none"/>
              </w:rPr>
              <w:t>《危险化学品重大危险源罐区现场安全监控装备设置规范》</w:t>
            </w:r>
          </w:p>
          <w:p w14:paraId="3AA2D7EB">
            <w:pPr>
              <w:adjustRightInd w:val="0"/>
              <w:snapToGrid w:val="0"/>
              <w:spacing w:after="0" w:line="240" w:lineRule="auto"/>
              <w:jc w:val="center"/>
              <w:rPr>
                <w:rFonts w:hint="eastAsia" w:ascii="Times New Roman" w:hAnsi="Times New Roman" w:eastAsia="宋体" w:cs="Times New Roman"/>
                <w:color w:val="000000" w:themeColor="text1"/>
                <w:sz w:val="21"/>
                <w:szCs w:val="21"/>
                <w14:textFill>
                  <w14:solidFill>
                    <w14:schemeClr w14:val="tx1"/>
                  </w14:solidFill>
                </w14:textFill>
                <w14:ligatures w14:val="none"/>
              </w:rPr>
            </w:pPr>
            <w:r>
              <w:rPr>
                <w:rFonts w:hint="eastAsia" w:ascii="Times New Roman" w:hAnsi="Times New Roman" w:eastAsia="宋体" w:cs="Times New Roman"/>
                <w:color w:val="000000" w:themeColor="text1"/>
                <w:sz w:val="21"/>
                <w:szCs w:val="21"/>
                <w14:textFill>
                  <w14:solidFill>
                    <w14:schemeClr w14:val="tx1"/>
                  </w14:solidFill>
                </w14:textFill>
                <w14:ligatures w14:val="none"/>
              </w:rPr>
              <w:t>（AQ3036-2010）</w:t>
            </w:r>
          </w:p>
          <w:p w14:paraId="4B5607F8">
            <w:pPr>
              <w:adjustRightInd w:val="0"/>
              <w:snapToGrid w:val="0"/>
              <w:spacing w:after="0" w:line="240" w:lineRule="auto"/>
              <w:jc w:val="center"/>
              <w:rPr>
                <w:rFonts w:hint="eastAsia" w:ascii="Times New Roman" w:hAnsi="Times New Roman" w:eastAsia="宋体" w:cs="Times New Roman"/>
                <w:color w:val="000000" w:themeColor="text1"/>
                <w:spacing w:val="12"/>
                <w:sz w:val="21"/>
                <w:szCs w:val="21"/>
                <w14:textFill>
                  <w14:solidFill>
                    <w14:schemeClr w14:val="tx1"/>
                  </w14:solidFill>
                </w14:textFill>
                <w14:ligatures w14:val="none"/>
              </w:rPr>
            </w:pPr>
            <w:r>
              <w:rPr>
                <w:rFonts w:hint="eastAsia" w:ascii="Times New Roman" w:hAnsi="Times New Roman" w:eastAsia="宋体" w:cs="Times New Roman"/>
                <w:color w:val="000000" w:themeColor="text1"/>
                <w:sz w:val="21"/>
                <w:szCs w:val="21"/>
                <w14:textFill>
                  <w14:solidFill>
                    <w14:schemeClr w14:val="tx1"/>
                  </w14:solidFill>
                </w14:textFill>
                <w14:ligatures w14:val="none"/>
              </w:rPr>
              <w:t>第4.1条</w:t>
            </w:r>
          </w:p>
        </w:tc>
        <w:tc>
          <w:tcPr>
            <w:tcW w:w="1398" w:type="pct"/>
            <w:vAlign w:val="center"/>
          </w:tcPr>
          <w:p w14:paraId="1263C578">
            <w:pPr>
              <w:adjustRightInd w:val="0"/>
              <w:snapToGrid w:val="0"/>
              <w:spacing w:after="0" w:line="240" w:lineRule="auto"/>
              <w:jc w:val="both"/>
              <w:rPr>
                <w:rFonts w:hint="default" w:ascii="Times New Roman" w:hAnsi="Times New Roman" w:eastAsia="宋体" w:cs="Times New Roman"/>
                <w:color w:val="000000" w:themeColor="text1"/>
                <w:spacing w:val="12"/>
                <w:sz w:val="21"/>
                <w:szCs w:val="21"/>
                <w:lang w:val="en-US" w:eastAsia="zh-CN"/>
                <w14:textFill>
                  <w14:solidFill>
                    <w14:schemeClr w14:val="tx1"/>
                  </w14:solidFill>
                </w14:textFill>
                <w14:ligatures w14:val="none"/>
              </w:rPr>
            </w:pPr>
            <w:r>
              <w:rPr>
                <w:rFonts w:hint="eastAsia" w:ascii="Times New Roman" w:hAnsi="Times New Roman" w:eastAsia="宋体" w:cs="Times New Roman"/>
                <w:color w:val="000000" w:themeColor="text1"/>
                <w:sz w:val="21"/>
                <w:szCs w:val="21"/>
                <w14:textFill>
                  <w14:solidFill>
                    <w14:schemeClr w14:val="tx1"/>
                  </w14:solidFill>
                </w14:textFill>
                <w14:ligatures w14:val="none"/>
              </w:rPr>
              <w:t>设液位、温度、高低液位检测设施和可燃气体浓度检测、报警装置。</w:t>
            </w:r>
          </w:p>
        </w:tc>
        <w:tc>
          <w:tcPr>
            <w:tcW w:w="364" w:type="pct"/>
            <w:vAlign w:val="center"/>
          </w:tcPr>
          <w:p w14:paraId="2B00BA62">
            <w:pPr>
              <w:adjustRightInd w:val="0"/>
              <w:snapToGrid w:val="0"/>
              <w:spacing w:after="0" w:line="240" w:lineRule="auto"/>
              <w:jc w:val="both"/>
              <w:rPr>
                <w:rFonts w:hint="eastAsia" w:ascii="Times New Roman" w:hAnsi="Times New Roman" w:eastAsia="宋体" w:cs="Times New Roman"/>
                <w:color w:val="000000" w:themeColor="text1"/>
                <w:spacing w:val="12"/>
                <w:sz w:val="21"/>
                <w:szCs w:val="21"/>
                <w14:textFill>
                  <w14:solidFill>
                    <w14:schemeClr w14:val="tx1"/>
                  </w14:solidFill>
                </w14:textFill>
                <w14:ligatures w14:val="none"/>
              </w:rPr>
            </w:pPr>
            <w:r>
              <w:rPr>
                <w:rFonts w:hint="eastAsia" w:ascii="Times New Roman" w:hAnsi="Times New Roman" w:eastAsia="宋体" w:cs="Times New Roman"/>
                <w:color w:val="000000" w:themeColor="text1"/>
                <w:sz w:val="21"/>
                <w:szCs w:val="21"/>
                <w14:textFill>
                  <w14:solidFill>
                    <w14:schemeClr w14:val="tx1"/>
                  </w14:solidFill>
                </w14:textFill>
                <w14:ligatures w14:val="none"/>
              </w:rPr>
              <w:t>符合</w:t>
            </w:r>
          </w:p>
        </w:tc>
      </w:tr>
      <w:tr w14:paraId="4FA41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29C77246">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3CDB6169">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可根据实际情况设置储罐的温度、液位、压力以及环境温度等参数的联锁自动控制装备，包括物料的自动切断或转移以及喷淋降温装备等。</w:t>
            </w:r>
          </w:p>
        </w:tc>
        <w:tc>
          <w:tcPr>
            <w:tcW w:w="1357" w:type="pct"/>
            <w:vAlign w:val="center"/>
          </w:tcPr>
          <w:p w14:paraId="1BA8E167">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3F8BC825">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第5.1条</w:t>
            </w:r>
          </w:p>
        </w:tc>
        <w:tc>
          <w:tcPr>
            <w:tcW w:w="1398" w:type="pct"/>
            <w:vAlign w:val="center"/>
          </w:tcPr>
          <w:p w14:paraId="0F152199">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设置储罐的温度、液位等参数的联锁自动控制装备，设置了自动切断设施。</w:t>
            </w:r>
          </w:p>
        </w:tc>
        <w:tc>
          <w:tcPr>
            <w:tcW w:w="364" w:type="pct"/>
            <w:vAlign w:val="center"/>
          </w:tcPr>
          <w:p w14:paraId="56E1E16C">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38B5E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324ED17C">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2A980EF1">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紧急切换装置应同时考虑对上下游装置安全生产的影响，并实现与上下游装置的报警通讯、延迟执行功能。必要时，应同时设置紧急泄压或物料回收设施。</w:t>
            </w:r>
          </w:p>
        </w:tc>
        <w:tc>
          <w:tcPr>
            <w:tcW w:w="1357" w:type="pct"/>
            <w:vAlign w:val="center"/>
          </w:tcPr>
          <w:p w14:paraId="590E3C6A">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2230B961">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第5.2条</w:t>
            </w:r>
          </w:p>
        </w:tc>
        <w:tc>
          <w:tcPr>
            <w:tcW w:w="1398" w:type="pct"/>
            <w:vAlign w:val="center"/>
          </w:tcPr>
          <w:p w14:paraId="7B4BCCBB">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设有事故池。</w:t>
            </w:r>
          </w:p>
        </w:tc>
        <w:tc>
          <w:tcPr>
            <w:tcW w:w="364" w:type="pct"/>
            <w:vAlign w:val="center"/>
          </w:tcPr>
          <w:p w14:paraId="1BD26C78">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34468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3BBDB592">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6B7893F9">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原则上，自动控制装备应同时设置就地手动控制装置或手动遥控装置备用。就地手动控制装置应能在事故状态下安全操作。</w:t>
            </w:r>
          </w:p>
        </w:tc>
        <w:tc>
          <w:tcPr>
            <w:tcW w:w="1357" w:type="pct"/>
            <w:vAlign w:val="center"/>
          </w:tcPr>
          <w:p w14:paraId="6CC9E9D3">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  罐区现场安全监控装备设置规范》（AQ3036-2010）</w:t>
            </w:r>
          </w:p>
          <w:p w14:paraId="2C594C4E">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第5.3条</w:t>
            </w:r>
          </w:p>
        </w:tc>
        <w:tc>
          <w:tcPr>
            <w:tcW w:w="1398" w:type="pct"/>
            <w:vAlign w:val="center"/>
          </w:tcPr>
          <w:p w14:paraId="0E99FDF8">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在控制室及消防泵房设消防泵的控制按钮。</w:t>
            </w:r>
          </w:p>
        </w:tc>
        <w:tc>
          <w:tcPr>
            <w:tcW w:w="364" w:type="pct"/>
            <w:vAlign w:val="center"/>
          </w:tcPr>
          <w:p w14:paraId="65748536">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0A949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22D7B18B">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54384960">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安全控制装备应符合相关产品的技术质量要求和使用场所的防爆等级要求。</w:t>
            </w:r>
          </w:p>
        </w:tc>
        <w:tc>
          <w:tcPr>
            <w:tcW w:w="1357" w:type="pct"/>
            <w:vAlign w:val="center"/>
          </w:tcPr>
          <w:p w14:paraId="51ECB19D">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27C1C0C8">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第5.5条</w:t>
            </w:r>
          </w:p>
        </w:tc>
        <w:tc>
          <w:tcPr>
            <w:tcW w:w="1398" w:type="pct"/>
            <w:vAlign w:val="center"/>
          </w:tcPr>
          <w:p w14:paraId="7468899E">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安全控制装备符合防爆要求。</w:t>
            </w:r>
          </w:p>
        </w:tc>
        <w:tc>
          <w:tcPr>
            <w:tcW w:w="364" w:type="pct"/>
            <w:vAlign w:val="center"/>
          </w:tcPr>
          <w:p w14:paraId="2F590E3F">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21929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23A0C079">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62C29B59">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一般采用双金属温度计和热电阻温度计，优先采用铂热电阻温度计。在有振动或对精度要求不高的场合可选择压力式温度计。</w:t>
            </w:r>
          </w:p>
          <w:p w14:paraId="6BBDE0F0">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有防爆要求的罐区，应根据所存储的物料进行危险区域的划分，并选择相应防爆类型的仪表。</w:t>
            </w:r>
          </w:p>
        </w:tc>
        <w:tc>
          <w:tcPr>
            <w:tcW w:w="1357" w:type="pct"/>
            <w:vAlign w:val="center"/>
          </w:tcPr>
          <w:p w14:paraId="0EB26269">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384B1C99">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第6.1.1条</w:t>
            </w:r>
          </w:p>
        </w:tc>
        <w:tc>
          <w:tcPr>
            <w:tcW w:w="1398" w:type="pct"/>
            <w:vAlign w:val="center"/>
          </w:tcPr>
          <w:p w14:paraId="64FFF417">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罐内采用铂热电阻温度计，罐区内的仪表为防爆型，防爆级别组别符合要求。</w:t>
            </w:r>
          </w:p>
        </w:tc>
        <w:tc>
          <w:tcPr>
            <w:tcW w:w="364" w:type="pct"/>
            <w:vAlign w:val="center"/>
          </w:tcPr>
          <w:p w14:paraId="683256BC">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77FE2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510E2853">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132C3F8E">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根据生产要求、介质情况、现场环境条件的特殊要求选择耐腐蚀压力表、耐高温压力表、隔膜压力表、防震压力表等。</w:t>
            </w:r>
          </w:p>
        </w:tc>
        <w:tc>
          <w:tcPr>
            <w:tcW w:w="1357" w:type="pct"/>
            <w:vAlign w:val="center"/>
          </w:tcPr>
          <w:p w14:paraId="3A77DBDF">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14DE7C6F">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第6.2.4条</w:t>
            </w:r>
          </w:p>
        </w:tc>
        <w:tc>
          <w:tcPr>
            <w:tcW w:w="1398" w:type="pct"/>
            <w:vAlign w:val="center"/>
          </w:tcPr>
          <w:p w14:paraId="3D939EC4">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压力表采用防震压力表。</w:t>
            </w:r>
          </w:p>
        </w:tc>
        <w:tc>
          <w:tcPr>
            <w:tcW w:w="364" w:type="pct"/>
            <w:vAlign w:val="center"/>
          </w:tcPr>
          <w:p w14:paraId="242FFFBA">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5A6BE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6C8FD153">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196F7DCA">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储罐应设置液位监测器，应具备高低位液位报警功能。</w:t>
            </w:r>
          </w:p>
        </w:tc>
        <w:tc>
          <w:tcPr>
            <w:tcW w:w="1357" w:type="pct"/>
            <w:vAlign w:val="center"/>
          </w:tcPr>
          <w:p w14:paraId="7803456C">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247D4CEF">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第6.3.1条</w:t>
            </w:r>
          </w:p>
        </w:tc>
        <w:tc>
          <w:tcPr>
            <w:tcW w:w="1398" w:type="pct"/>
            <w:vAlign w:val="center"/>
          </w:tcPr>
          <w:p w14:paraId="1E33D978">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储罐设置的液位计具备高低位液位报警功能，并将信号传至控制室。</w:t>
            </w:r>
          </w:p>
        </w:tc>
        <w:tc>
          <w:tcPr>
            <w:tcW w:w="364" w:type="pct"/>
            <w:vAlign w:val="center"/>
          </w:tcPr>
          <w:p w14:paraId="21843219">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54D46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082D74E4">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4B4899DF">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液位传感器可选法兰、螺纹和安装板安装方式。安装时</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确保传感器外壳良好接地</w:t>
            </w:r>
          </w:p>
        </w:tc>
        <w:tc>
          <w:tcPr>
            <w:tcW w:w="1357" w:type="pct"/>
            <w:vAlign w:val="center"/>
          </w:tcPr>
          <w:p w14:paraId="36F94E2A">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w:t>
            </w:r>
            <w:r>
              <w:rPr>
                <w:rFonts w:ascii="Times New Roman" w:hAnsi="Times New Roman" w:eastAsia="宋体" w:cs="Times New Roman"/>
                <w:spacing w:val="12"/>
                <w:sz w:val="21"/>
                <w:szCs w:val="21"/>
                <w14:ligatures w14:val="none"/>
              </w:rPr>
              <w:t>6.</w:t>
            </w:r>
            <w:r>
              <w:rPr>
                <w:rFonts w:hint="eastAsia" w:ascii="Times New Roman" w:hAnsi="Times New Roman" w:eastAsia="宋体" w:cs="Times New Roman"/>
                <w:spacing w:val="12"/>
                <w:sz w:val="21"/>
                <w:szCs w:val="21"/>
                <w14:ligatures w14:val="none"/>
              </w:rPr>
              <w:t>3</w:t>
            </w:r>
            <w:r>
              <w:rPr>
                <w:rFonts w:ascii="Times New Roman" w:hAnsi="Times New Roman" w:eastAsia="宋体" w:cs="Times New Roman"/>
                <w:spacing w:val="12"/>
                <w:sz w:val="21"/>
                <w:szCs w:val="21"/>
                <w14:ligatures w14:val="none"/>
              </w:rPr>
              <w:t>.</w:t>
            </w:r>
            <w:r>
              <w:rPr>
                <w:rFonts w:hint="eastAsia" w:ascii="Times New Roman" w:hAnsi="Times New Roman" w:eastAsia="宋体" w:cs="Times New Roman"/>
                <w:spacing w:val="12"/>
                <w:sz w:val="21"/>
                <w:szCs w:val="21"/>
                <w14:ligatures w14:val="none"/>
              </w:rPr>
              <w:t>6条</w:t>
            </w:r>
          </w:p>
        </w:tc>
        <w:tc>
          <w:tcPr>
            <w:tcW w:w="1398" w:type="pct"/>
            <w:vAlign w:val="center"/>
          </w:tcPr>
          <w:p w14:paraId="2B495C15">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液位传感器已选用上述安装方式，且安装时确保传感器外壳良好接地</w:t>
            </w:r>
          </w:p>
        </w:tc>
        <w:tc>
          <w:tcPr>
            <w:tcW w:w="364" w:type="pct"/>
            <w:vAlign w:val="center"/>
          </w:tcPr>
          <w:p w14:paraId="6DD42CAC">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4987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10CE48CA">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0936F44A">
            <w:pPr>
              <w:adjustRightInd w:val="0"/>
              <w:snapToGrid w:val="0"/>
              <w:spacing w:after="0" w:line="240" w:lineRule="auto"/>
              <w:jc w:val="both"/>
              <w:rPr>
                <w:rFonts w:hint="eastAsia" w:ascii="Times New Roman" w:hAnsi="Times New Roman" w:eastAsia="宋体" w:cs="Times New Roman"/>
                <w:color w:val="FF0000"/>
                <w:spacing w:val="12"/>
                <w:sz w:val="21"/>
                <w:szCs w:val="21"/>
                <w14:ligatures w14:val="none"/>
              </w:rPr>
            </w:pPr>
            <w:r>
              <w:rPr>
                <w:rFonts w:hint="eastAsia" w:ascii="Times New Roman" w:hAnsi="Times New Roman" w:eastAsia="宋体" w:cs="Times New Roman"/>
                <w:color w:val="FF0000"/>
                <w:sz w:val="21"/>
                <w:szCs w:val="21"/>
                <w14:ligatures w14:val="none"/>
              </w:rPr>
              <w:t>具有可燃气体释放源，且释放时空气中可燃气体的浓度有可能达到25%LEL的场所，应设置相关的可燃气体监测报警仪。</w:t>
            </w:r>
          </w:p>
        </w:tc>
        <w:tc>
          <w:tcPr>
            <w:tcW w:w="1357" w:type="pct"/>
            <w:vAlign w:val="center"/>
          </w:tcPr>
          <w:p w14:paraId="5E42C93A">
            <w:pPr>
              <w:adjustRightInd w:val="0"/>
              <w:snapToGrid w:val="0"/>
              <w:spacing w:after="0" w:line="240" w:lineRule="auto"/>
              <w:jc w:val="center"/>
              <w:rPr>
                <w:rFonts w:hint="eastAsia" w:ascii="Times New Roman" w:hAnsi="Times New Roman" w:eastAsia="宋体" w:cs="Times New Roman"/>
                <w:color w:val="FF0000"/>
                <w:sz w:val="21"/>
                <w:szCs w:val="21"/>
                <w14:ligatures w14:val="none"/>
              </w:rPr>
            </w:pPr>
            <w:r>
              <w:rPr>
                <w:rFonts w:hint="eastAsia" w:ascii="Times New Roman" w:hAnsi="Times New Roman" w:eastAsia="宋体" w:cs="Times New Roman"/>
                <w:color w:val="FF0000"/>
                <w:sz w:val="21"/>
                <w:szCs w:val="21"/>
                <w14:ligatures w14:val="none"/>
              </w:rPr>
              <w:t>《危险化学品重大危险源罐区现场安全监控装备设置规范》（AQ3036-2010）</w:t>
            </w:r>
          </w:p>
          <w:p w14:paraId="4AB3F31F">
            <w:pPr>
              <w:adjustRightInd w:val="0"/>
              <w:snapToGrid w:val="0"/>
              <w:spacing w:after="0" w:line="240" w:lineRule="auto"/>
              <w:jc w:val="center"/>
              <w:rPr>
                <w:rFonts w:hint="eastAsia" w:ascii="Times New Roman" w:hAnsi="Times New Roman" w:eastAsia="宋体" w:cs="Times New Roman"/>
                <w:color w:val="FF0000"/>
                <w:spacing w:val="12"/>
                <w:sz w:val="21"/>
                <w:szCs w:val="21"/>
                <w14:ligatures w14:val="none"/>
              </w:rPr>
            </w:pPr>
            <w:r>
              <w:rPr>
                <w:rFonts w:hint="eastAsia" w:ascii="Times New Roman" w:hAnsi="Times New Roman" w:eastAsia="宋体" w:cs="Times New Roman"/>
                <w:color w:val="FF0000"/>
                <w:sz w:val="21"/>
                <w:szCs w:val="21"/>
                <w14:ligatures w14:val="none"/>
              </w:rPr>
              <w:t>第7.1.1条</w:t>
            </w:r>
          </w:p>
        </w:tc>
        <w:tc>
          <w:tcPr>
            <w:tcW w:w="1398" w:type="pct"/>
            <w:vAlign w:val="center"/>
          </w:tcPr>
          <w:p w14:paraId="17B70162">
            <w:pPr>
              <w:adjustRightInd w:val="0"/>
              <w:snapToGrid w:val="0"/>
              <w:spacing w:after="0" w:line="240" w:lineRule="auto"/>
              <w:jc w:val="both"/>
              <w:rPr>
                <w:rFonts w:hint="eastAsia" w:ascii="Times New Roman" w:hAnsi="Times New Roman" w:eastAsia="宋体" w:cs="Times New Roman"/>
                <w:color w:val="FF0000"/>
                <w:spacing w:val="12"/>
                <w:sz w:val="21"/>
                <w:szCs w:val="21"/>
                <w14:ligatures w14:val="none"/>
              </w:rPr>
            </w:pPr>
            <w:r>
              <w:rPr>
                <w:rFonts w:hint="eastAsia" w:ascii="Times New Roman" w:hAnsi="Times New Roman" w:eastAsia="宋体" w:cs="Times New Roman"/>
                <w:color w:val="FF0000"/>
                <w:sz w:val="21"/>
                <w:szCs w:val="21"/>
                <w14:ligatures w14:val="none"/>
              </w:rPr>
              <w:t>罐区、装卸区均设置可燃气体检测报警仪。</w:t>
            </w:r>
            <w:r>
              <w:rPr>
                <w:rFonts w:hint="eastAsia" w:ascii="Times New Roman" w:hAnsi="Times New Roman" w:eastAsia="宋体" w:cs="Times New Roman"/>
                <w:color w:val="FF0000"/>
                <w:sz w:val="21"/>
                <w:szCs w:val="21"/>
                <w:lang w:val="en-US" w:eastAsia="zh-CN"/>
                <w14:ligatures w14:val="none"/>
              </w:rPr>
              <w:t>但现场报警器零点漂移，需调校</w:t>
            </w:r>
          </w:p>
        </w:tc>
        <w:tc>
          <w:tcPr>
            <w:tcW w:w="364" w:type="pct"/>
            <w:vAlign w:val="center"/>
          </w:tcPr>
          <w:p w14:paraId="7475ECD1">
            <w:pPr>
              <w:adjustRightInd w:val="0"/>
              <w:snapToGrid w:val="0"/>
              <w:spacing w:after="0" w:line="240" w:lineRule="auto"/>
              <w:jc w:val="both"/>
              <w:rPr>
                <w:rFonts w:hint="eastAsia" w:ascii="Times New Roman" w:hAnsi="Times New Roman" w:eastAsia="宋体" w:cs="Times New Roman"/>
                <w:color w:val="FF0000"/>
                <w:spacing w:val="12"/>
                <w:sz w:val="21"/>
                <w:szCs w:val="21"/>
                <w14:ligatures w14:val="none"/>
              </w:rPr>
            </w:pPr>
            <w:r>
              <w:rPr>
                <w:rFonts w:hint="eastAsia" w:ascii="Times New Roman" w:hAnsi="Times New Roman" w:eastAsia="宋体" w:cs="Times New Roman"/>
                <w:color w:val="FF0000"/>
                <w:sz w:val="21"/>
                <w:szCs w:val="21"/>
                <w:lang w:val="en-US" w:eastAsia="zh-CN"/>
                <w14:ligatures w14:val="none"/>
              </w:rPr>
              <w:t>不</w:t>
            </w:r>
            <w:r>
              <w:rPr>
                <w:rFonts w:hint="eastAsia" w:ascii="Times New Roman" w:hAnsi="Times New Roman" w:eastAsia="宋体" w:cs="Times New Roman"/>
                <w:color w:val="FF0000"/>
                <w:sz w:val="21"/>
                <w:szCs w:val="21"/>
                <w14:ligatures w14:val="none"/>
              </w:rPr>
              <w:t>符合</w:t>
            </w:r>
          </w:p>
        </w:tc>
      </w:tr>
      <w:tr w14:paraId="654D9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2A16FF21">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2F0D3C1D">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一般情况安装固定式可燃气体或有毒气体监测报警仪。但是，若没有相关固定式监测报警仪或无安装固定式检报警测仪的条件，或属于非长期固定的生产场所的，可使用便携式仪器监测，或者采样监测</w:t>
            </w:r>
          </w:p>
        </w:tc>
        <w:tc>
          <w:tcPr>
            <w:tcW w:w="1357" w:type="pct"/>
            <w:vAlign w:val="center"/>
          </w:tcPr>
          <w:p w14:paraId="17FC30D5">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罐区现场安全监控装备设置规范》第7.1.6条</w:t>
            </w:r>
          </w:p>
        </w:tc>
        <w:tc>
          <w:tcPr>
            <w:tcW w:w="1398" w:type="pct"/>
            <w:vAlign w:val="center"/>
          </w:tcPr>
          <w:p w14:paraId="16524225">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储存场所按照相关规范标准要求设置了固定式可燃气体报警器，并根据需要配备了便携式仪器</w:t>
            </w:r>
          </w:p>
        </w:tc>
        <w:tc>
          <w:tcPr>
            <w:tcW w:w="364" w:type="pct"/>
            <w:vAlign w:val="center"/>
          </w:tcPr>
          <w:p w14:paraId="59CF51BF">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73F16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22E9B019">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3AAE458E">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可燃气体或易燃液体储罐场所，在防火堤内每隔20 m～30 m设置一台可燃气体报警仪，且监测报警器与储罐的排水口、连接处、阀门等易释放物料处的距离不宜大于15 m。</w:t>
            </w:r>
          </w:p>
        </w:tc>
        <w:tc>
          <w:tcPr>
            <w:tcW w:w="1357" w:type="pct"/>
            <w:vAlign w:val="center"/>
          </w:tcPr>
          <w:p w14:paraId="5C3316B2">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50CC84B3">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第7.2.1.1条</w:t>
            </w:r>
          </w:p>
        </w:tc>
        <w:tc>
          <w:tcPr>
            <w:tcW w:w="1398" w:type="pct"/>
            <w:vAlign w:val="center"/>
          </w:tcPr>
          <w:p w14:paraId="67605ED4">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罐区设置可燃气体检测报警仪能有效覆盖检测范围。</w:t>
            </w:r>
          </w:p>
        </w:tc>
        <w:tc>
          <w:tcPr>
            <w:tcW w:w="364" w:type="pct"/>
            <w:vAlign w:val="center"/>
          </w:tcPr>
          <w:p w14:paraId="7DEEEFA2">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12C58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578DC395">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6CE3158B">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可燃气体或易燃液体鹤管装卸栈台，应按以下规定设置可燃气体监测报警仪：</w:t>
            </w:r>
          </w:p>
          <w:p w14:paraId="54D5DB26">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汽车装卸站，可燃气体监测报警器与装卸车鹤位的水平距离不应大于10 m。</w:t>
            </w:r>
          </w:p>
        </w:tc>
        <w:tc>
          <w:tcPr>
            <w:tcW w:w="1357" w:type="pct"/>
            <w:vAlign w:val="center"/>
          </w:tcPr>
          <w:p w14:paraId="7F4EE1B8">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51F7C2EA">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第7.2.1.2条</w:t>
            </w:r>
          </w:p>
        </w:tc>
        <w:tc>
          <w:tcPr>
            <w:tcW w:w="1398" w:type="pct"/>
            <w:vAlign w:val="center"/>
          </w:tcPr>
          <w:p w14:paraId="49FE4DE5">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装卸栈台设置可燃气体检测报警器。</w:t>
            </w:r>
          </w:p>
        </w:tc>
        <w:tc>
          <w:tcPr>
            <w:tcW w:w="364" w:type="pct"/>
            <w:vAlign w:val="center"/>
          </w:tcPr>
          <w:p w14:paraId="1D6B757D">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7D6CF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27096B68">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5366C47B">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压缩机或输送泵所在场所，按以下规定设置可燃气监测报警器。</w:t>
            </w:r>
          </w:p>
          <w:p w14:paraId="5C716F6F">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a)  可燃气体释放源处于封闭或半封闭的场所，每隔15 m设置一台监测报警器，且任何一个释放源与监测报警器之间的距离不宜大于7.5 m ；</w:t>
            </w:r>
          </w:p>
          <w:p w14:paraId="6AF8BCF0">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b)  可燃气体释放源处于露天或半露天场所，监测报警器应设置在该场所主风向的下风侧，且每个释放源与监测报警器的距离不宜大于10 m 。若不便装于主风向的下风侧时，释放源与监测报警器距离不宜大于7.5 m 。</w:t>
            </w:r>
          </w:p>
        </w:tc>
        <w:tc>
          <w:tcPr>
            <w:tcW w:w="1357" w:type="pct"/>
            <w:vAlign w:val="center"/>
          </w:tcPr>
          <w:p w14:paraId="43F6AB7D">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3CE1BDEA">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第7.2.1.5条</w:t>
            </w:r>
          </w:p>
        </w:tc>
        <w:tc>
          <w:tcPr>
            <w:tcW w:w="1398" w:type="pct"/>
            <w:vAlign w:val="center"/>
          </w:tcPr>
          <w:p w14:paraId="30D0EECD">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泵</w:t>
            </w:r>
            <w:r>
              <w:rPr>
                <w:rFonts w:hint="eastAsia" w:ascii="Times New Roman" w:hAnsi="Times New Roman" w:eastAsia="宋体" w:cs="Times New Roman"/>
                <w:sz w:val="21"/>
                <w:szCs w:val="21"/>
                <w:lang w:eastAsia="zh-CN"/>
                <w14:ligatures w14:val="none"/>
              </w:rPr>
              <w:t>房</w:t>
            </w:r>
            <w:r>
              <w:rPr>
                <w:rFonts w:hint="eastAsia" w:ascii="Times New Roman" w:hAnsi="Times New Roman" w:eastAsia="宋体" w:cs="Times New Roman"/>
                <w:sz w:val="21"/>
                <w:szCs w:val="21"/>
                <w14:ligatures w14:val="none"/>
              </w:rPr>
              <w:t>设置可燃气体检测报警仪。</w:t>
            </w:r>
          </w:p>
        </w:tc>
        <w:tc>
          <w:tcPr>
            <w:tcW w:w="364" w:type="pct"/>
            <w:vAlign w:val="center"/>
          </w:tcPr>
          <w:p w14:paraId="6D221F24">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05DB6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41BEE0FA">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2E527376">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可燃气体监测探头安装可采用房顶吊装、墙壁安装或抱管安装等方式，应确保安装牢固可靠，同时应考虑便于维护、标定。</w:t>
            </w:r>
          </w:p>
        </w:tc>
        <w:tc>
          <w:tcPr>
            <w:tcW w:w="1357" w:type="pct"/>
            <w:vAlign w:val="center"/>
          </w:tcPr>
          <w:p w14:paraId="2F19B78A">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1235148B">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第7.3.1条</w:t>
            </w:r>
          </w:p>
        </w:tc>
        <w:tc>
          <w:tcPr>
            <w:tcW w:w="1398" w:type="pct"/>
            <w:vAlign w:val="center"/>
          </w:tcPr>
          <w:p w14:paraId="034A8A53">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可燃气体监测探头固定安装。</w:t>
            </w:r>
          </w:p>
        </w:tc>
        <w:tc>
          <w:tcPr>
            <w:tcW w:w="364" w:type="pct"/>
            <w:vAlign w:val="center"/>
          </w:tcPr>
          <w:p w14:paraId="72D68D75">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36A4E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4D4B9A1D">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5D61BD90">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可燃气及有毒气体浓度报警器的安装高度，应按探测介质的比重以及周围状况等因素来确定。当被监测气体的比重小于空气的比重时，可燃气体监测探头的安装位置应高于泄漏源0.5 m以上；被监测气体的比重大于空气的比重时，安装位置应在泄漏源下方，但距离地面不得小于0.3 m。</w:t>
            </w:r>
          </w:p>
        </w:tc>
        <w:tc>
          <w:tcPr>
            <w:tcW w:w="1357" w:type="pct"/>
            <w:vAlign w:val="center"/>
          </w:tcPr>
          <w:p w14:paraId="3706E207">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《危险化学品重大危险源罐区现场安全监控装备设置规范》（AQ3036-2010）第7.3.2条</w:t>
            </w:r>
          </w:p>
        </w:tc>
        <w:tc>
          <w:tcPr>
            <w:tcW w:w="1398" w:type="pct"/>
            <w:vAlign w:val="center"/>
          </w:tcPr>
          <w:p w14:paraId="423AEDFC">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罐区内的油气比重均比空气重，安装位置在泄漏源下方，距离地面0.5m。</w:t>
            </w:r>
          </w:p>
        </w:tc>
        <w:tc>
          <w:tcPr>
            <w:tcW w:w="364" w:type="pct"/>
            <w:vAlign w:val="center"/>
          </w:tcPr>
          <w:p w14:paraId="55C6485D">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60B11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6AF4B438">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48B2AA20">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可燃气体及有毒气体监测探头布线</w:t>
            </w:r>
            <w:r>
              <w:rPr>
                <w:rFonts w:hint="eastAsia" w:ascii="Times New Roman" w:hAnsi="Times New Roman" w:eastAsia="宋体" w:cs="Times New Roman"/>
                <w:spacing w:val="12"/>
                <w:sz w:val="21"/>
                <w:szCs w:val="21"/>
                <w:lang w:val="en-US" w:eastAsia="zh-CN"/>
                <w14:ligatures w14:val="none"/>
              </w:rPr>
              <w:t>应</w:t>
            </w:r>
            <w:r>
              <w:rPr>
                <w:rFonts w:hint="eastAsia" w:ascii="Times New Roman" w:hAnsi="Times New Roman" w:eastAsia="宋体" w:cs="Times New Roman"/>
                <w:spacing w:val="12"/>
                <w:sz w:val="21"/>
                <w:szCs w:val="21"/>
                <w14:ligatures w14:val="none"/>
              </w:rPr>
              <w:t>采用三芯屏蔽电缆</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单根线的截面积</w:t>
            </w:r>
            <w:r>
              <w:rPr>
                <w:rFonts w:hint="eastAsia" w:ascii="Times New Roman" w:hAnsi="Times New Roman" w:eastAsia="宋体" w:cs="Times New Roman"/>
                <w:spacing w:val="12"/>
                <w:sz w:val="21"/>
                <w:szCs w:val="21"/>
                <w:lang w:val="en-US" w:eastAsia="zh-CN"/>
                <w14:ligatures w14:val="none"/>
              </w:rPr>
              <w:t>应</w:t>
            </w:r>
            <w:r>
              <w:rPr>
                <w:rFonts w:hint="eastAsia" w:ascii="Times New Roman" w:hAnsi="Times New Roman" w:eastAsia="宋体" w:cs="Times New Roman"/>
                <w:spacing w:val="12"/>
                <w:sz w:val="21"/>
                <w:szCs w:val="21"/>
                <w14:ligatures w14:val="none"/>
              </w:rPr>
              <w:t>大于1mm</w:t>
            </w:r>
            <w:r>
              <w:rPr>
                <w:rFonts w:hint="eastAsia" w:ascii="Times New Roman" w:hAnsi="Times New Roman" w:eastAsia="宋体" w:cs="Times New Roman"/>
                <w:spacing w:val="12"/>
                <w:sz w:val="21"/>
                <w:szCs w:val="21"/>
                <w:vertAlign w:val="superscript"/>
                <w14:ligatures w14:val="none"/>
              </w:rPr>
              <w:t>2</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接线时屏蔽层</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良好接地</w:t>
            </w:r>
          </w:p>
        </w:tc>
        <w:tc>
          <w:tcPr>
            <w:tcW w:w="1357" w:type="pct"/>
            <w:vAlign w:val="center"/>
          </w:tcPr>
          <w:p w14:paraId="0935691E">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《危险化学品重大危险源罐区现场安全监控装备设置规范》第7.3.3条</w:t>
            </w:r>
          </w:p>
        </w:tc>
        <w:tc>
          <w:tcPr>
            <w:tcW w:w="1398" w:type="pct"/>
            <w:vAlign w:val="center"/>
          </w:tcPr>
          <w:p w14:paraId="610E4F0E">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可燃气体监测探头布线采用三芯屏蔽电缆，单根线的截面积大于1mm</w:t>
            </w:r>
            <w:r>
              <w:rPr>
                <w:rFonts w:hint="eastAsia" w:ascii="Times New Roman" w:hAnsi="Times New Roman" w:eastAsia="宋体" w:cs="Times New Roman"/>
                <w:spacing w:val="12"/>
                <w:sz w:val="21"/>
                <w:szCs w:val="21"/>
                <w:vertAlign w:val="superscript"/>
                <w14:ligatures w14:val="none"/>
              </w:rPr>
              <w:t>2</w:t>
            </w:r>
            <w:r>
              <w:rPr>
                <w:rFonts w:hint="eastAsia" w:ascii="Times New Roman" w:hAnsi="Times New Roman" w:eastAsia="宋体" w:cs="Times New Roman"/>
                <w:spacing w:val="12"/>
                <w:sz w:val="21"/>
                <w:szCs w:val="21"/>
                <w14:ligatures w14:val="none"/>
              </w:rPr>
              <w:t>；接线时屏蔽层已良好接地</w:t>
            </w:r>
          </w:p>
        </w:tc>
        <w:tc>
          <w:tcPr>
            <w:tcW w:w="364" w:type="pct"/>
            <w:vAlign w:val="center"/>
          </w:tcPr>
          <w:p w14:paraId="7CFBBDE6">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12AD9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05C12A1F">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5E79A1DB">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可燃及有毒气体监测探头安装时，</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保证传感器垂直朝下固定</w:t>
            </w:r>
          </w:p>
        </w:tc>
        <w:tc>
          <w:tcPr>
            <w:tcW w:w="1357" w:type="pct"/>
            <w:vAlign w:val="center"/>
          </w:tcPr>
          <w:p w14:paraId="7B432A0B">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罐区现场安全监控装备设置规范》第7.3.4条</w:t>
            </w:r>
          </w:p>
        </w:tc>
        <w:tc>
          <w:tcPr>
            <w:tcW w:w="1398" w:type="pct"/>
            <w:vAlign w:val="center"/>
          </w:tcPr>
          <w:p w14:paraId="5AB0DFE1">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可燃气体监测探头的安装可保证传感器垂直朝下固定</w:t>
            </w:r>
          </w:p>
        </w:tc>
        <w:tc>
          <w:tcPr>
            <w:tcW w:w="364" w:type="pct"/>
            <w:vAlign w:val="center"/>
          </w:tcPr>
          <w:p w14:paraId="4E89AC8E">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D95E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7CFBD341">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4F9F5912">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针对罐区物料的种类和性质，配备相应的个体防护用品，泄漏时用于应急防护</w:t>
            </w:r>
          </w:p>
        </w:tc>
        <w:tc>
          <w:tcPr>
            <w:tcW w:w="1357" w:type="pct"/>
            <w:vAlign w:val="center"/>
          </w:tcPr>
          <w:p w14:paraId="79F6F97E">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w:t>
            </w:r>
          </w:p>
          <w:p w14:paraId="2F28F9A8">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第7.6.2条</w:t>
            </w:r>
          </w:p>
        </w:tc>
        <w:tc>
          <w:tcPr>
            <w:tcW w:w="1398" w:type="pct"/>
            <w:vAlign w:val="center"/>
          </w:tcPr>
          <w:p w14:paraId="51FE6E02">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已针对罐区物料的种类和性质，配备了相应的个体防护用品，泄漏时用于应急防护</w:t>
            </w:r>
          </w:p>
        </w:tc>
        <w:tc>
          <w:tcPr>
            <w:tcW w:w="364" w:type="pct"/>
            <w:vAlign w:val="center"/>
          </w:tcPr>
          <w:p w14:paraId="28CF239C">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18DC7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215D54B2">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shd w:val="clear" w:color="auto" w:fill="auto"/>
            <w:vAlign w:val="center"/>
          </w:tcPr>
          <w:p w14:paraId="604EFA54">
            <w:pPr>
              <w:adjustRightInd w:val="0"/>
              <w:snapToGrid w:val="0"/>
              <w:spacing w:after="0" w:line="240" w:lineRule="auto"/>
              <w:jc w:val="both"/>
              <w:rPr>
                <w:rFonts w:hint="eastAsia" w:ascii="Times New Roman" w:hAnsi="Times New Roman" w:eastAsia="宋体" w:cs="Times New Roman"/>
                <w:spacing w:val="12"/>
                <w:sz w:val="21"/>
                <w:szCs w:val="21"/>
                <w:lang w:val="en-US" w:eastAsia="zh-CN"/>
                <w14:ligatures w14:val="none"/>
              </w:rPr>
            </w:pPr>
            <w:r>
              <w:rPr>
                <w:rFonts w:hint="eastAsia" w:ascii="Times New Roman" w:hAnsi="Times New Roman" w:eastAsia="宋体" w:cs="Times New Roman"/>
                <w:spacing w:val="12"/>
                <w:sz w:val="21"/>
                <w:szCs w:val="21"/>
                <w:lang w:eastAsia="zh-CN"/>
                <w14:ligatures w14:val="none"/>
              </w:rPr>
              <w:t>配备检漏、防漏和堵漏装备和工具器材，泄漏报警时，可及时控制泄漏。</w:t>
            </w:r>
          </w:p>
        </w:tc>
        <w:tc>
          <w:tcPr>
            <w:tcW w:w="1357" w:type="pct"/>
            <w:shd w:val="clear" w:color="auto" w:fill="auto"/>
            <w:vAlign w:val="center"/>
          </w:tcPr>
          <w:p w14:paraId="427D0CDE">
            <w:pPr>
              <w:adjustRightInd w:val="0"/>
              <w:snapToGrid w:val="0"/>
              <w:spacing w:after="0" w:line="240" w:lineRule="auto"/>
              <w:jc w:val="center"/>
              <w:rPr>
                <w:rFonts w:hint="eastAsia" w:ascii="Times New Roman" w:hAnsi="Times New Roman" w:eastAsia="宋体" w:cs="Times New Roman"/>
                <w:spacing w:val="12"/>
                <w:sz w:val="21"/>
                <w:szCs w:val="21"/>
                <w:lang w:eastAsia="zh-CN"/>
                <w14:ligatures w14:val="none"/>
              </w:rPr>
            </w:pPr>
            <w:r>
              <w:rPr>
                <w:rFonts w:hint="eastAsia" w:ascii="Times New Roman" w:hAnsi="Times New Roman" w:eastAsia="宋体" w:cs="Times New Roman"/>
                <w:spacing w:val="12"/>
                <w:sz w:val="21"/>
                <w:szCs w:val="21"/>
                <w:lang w:eastAsia="zh-CN"/>
                <w14:ligatures w14:val="none"/>
              </w:rPr>
              <w:t>《危险化学品重大危险源罐区现场安全监控装备设置规范》</w:t>
            </w:r>
          </w:p>
          <w:p w14:paraId="1D788A35">
            <w:pPr>
              <w:adjustRightInd w:val="0"/>
              <w:snapToGrid w:val="0"/>
              <w:spacing w:after="0" w:line="240" w:lineRule="auto"/>
              <w:jc w:val="center"/>
              <w:rPr>
                <w:rFonts w:hint="eastAsia" w:ascii="Times New Roman" w:hAnsi="Times New Roman" w:eastAsia="宋体" w:cs="Times New Roman"/>
                <w:spacing w:val="12"/>
                <w:sz w:val="21"/>
                <w:szCs w:val="21"/>
                <w:lang w:val="en-US" w:eastAsia="zh-CN"/>
                <w14:ligatures w14:val="none"/>
              </w:rPr>
            </w:pPr>
            <w:r>
              <w:rPr>
                <w:rFonts w:hint="eastAsia" w:ascii="Times New Roman" w:hAnsi="Times New Roman" w:eastAsia="宋体" w:cs="Times New Roman"/>
                <w:spacing w:val="12"/>
                <w:sz w:val="21"/>
                <w:szCs w:val="21"/>
                <w:lang w:eastAsia="zh-CN"/>
                <w14:ligatures w14:val="none"/>
              </w:rPr>
              <w:t>第7.6.1条</w:t>
            </w:r>
          </w:p>
        </w:tc>
        <w:tc>
          <w:tcPr>
            <w:tcW w:w="1398" w:type="pct"/>
            <w:shd w:val="clear" w:color="auto" w:fill="auto"/>
            <w:vAlign w:val="center"/>
          </w:tcPr>
          <w:p w14:paraId="77C8A419">
            <w:pPr>
              <w:adjustRightInd w:val="0"/>
              <w:snapToGrid w:val="0"/>
              <w:spacing w:after="0" w:line="240" w:lineRule="auto"/>
              <w:jc w:val="both"/>
              <w:rPr>
                <w:rFonts w:hint="eastAsia" w:ascii="Times New Roman" w:hAnsi="Times New Roman" w:eastAsia="宋体" w:cs="Times New Roman"/>
                <w:spacing w:val="12"/>
                <w:sz w:val="21"/>
                <w:szCs w:val="21"/>
                <w:lang w:val="en-US" w:eastAsia="zh-CN"/>
                <w14:ligatures w14:val="none"/>
              </w:rPr>
            </w:pPr>
            <w:r>
              <w:rPr>
                <w:rFonts w:hint="eastAsia" w:ascii="Times New Roman" w:hAnsi="Times New Roman" w:eastAsia="宋体" w:cs="Times New Roman"/>
                <w:spacing w:val="12"/>
                <w:sz w:val="21"/>
                <w:szCs w:val="21"/>
                <w:lang w:eastAsia="zh-CN"/>
                <w14:ligatures w14:val="none"/>
              </w:rPr>
              <w:t>设置检漏、防漏和堵漏装备和工具器材。</w:t>
            </w:r>
          </w:p>
        </w:tc>
        <w:tc>
          <w:tcPr>
            <w:tcW w:w="364" w:type="pct"/>
            <w:shd w:val="clear" w:color="auto" w:fill="auto"/>
            <w:vAlign w:val="center"/>
          </w:tcPr>
          <w:p w14:paraId="426C1F00">
            <w:pPr>
              <w:adjustRightInd w:val="0"/>
              <w:snapToGrid w:val="0"/>
              <w:spacing w:after="0" w:line="240" w:lineRule="auto"/>
              <w:jc w:val="both"/>
              <w:rPr>
                <w:rFonts w:hint="eastAsia" w:ascii="Times New Roman" w:hAnsi="Times New Roman" w:eastAsia="宋体" w:cs="Times New Roman"/>
                <w:spacing w:val="12"/>
                <w:sz w:val="21"/>
                <w:szCs w:val="21"/>
                <w:lang w:val="en-US" w:eastAsia="zh-CN"/>
                <w14:ligatures w14:val="none"/>
              </w:rPr>
            </w:pPr>
            <w:r>
              <w:rPr>
                <w:rFonts w:hint="eastAsia" w:ascii="Times New Roman" w:hAnsi="Times New Roman" w:eastAsia="宋体" w:cs="Times New Roman"/>
                <w:sz w:val="21"/>
                <w:szCs w:val="21"/>
                <w14:ligatures w14:val="none"/>
              </w:rPr>
              <w:t>符合</w:t>
            </w:r>
          </w:p>
        </w:tc>
      </w:tr>
      <w:tr w14:paraId="22DEC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5CCD440D">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7E12857D">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易产生静电的危险化学品装卸系统，</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设置接地装置</w:t>
            </w:r>
          </w:p>
        </w:tc>
        <w:tc>
          <w:tcPr>
            <w:tcW w:w="1357" w:type="pct"/>
            <w:vAlign w:val="center"/>
          </w:tcPr>
          <w:p w14:paraId="27980CEA">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《危险化学品重大危险源罐区现场安全监控装备设置规范》第8.4条</w:t>
            </w:r>
          </w:p>
        </w:tc>
        <w:tc>
          <w:tcPr>
            <w:tcW w:w="1398" w:type="pct"/>
            <w:vAlign w:val="center"/>
          </w:tcPr>
          <w:p w14:paraId="0F343445">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装卸系统设置了接地装置</w:t>
            </w:r>
          </w:p>
        </w:tc>
        <w:tc>
          <w:tcPr>
            <w:tcW w:w="364" w:type="pct"/>
            <w:vAlign w:val="center"/>
          </w:tcPr>
          <w:p w14:paraId="60C5E493">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7FF23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50C0BB4E">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0CDE731C">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安全监控装备应符合要求：1.摄像头的设置个数和位置，应根据罐区现场的实际情况而定，既要覆盖全面，也要重点考虑危险性较大的区域；2.摄像头的安装高度应确保可以有效监控到储罐顶部：3.有防爆要求的应使用防爆摄像机或采取防爆措施；4.视频监控系统应完好，处于24小时投用状态。</w:t>
            </w:r>
          </w:p>
        </w:tc>
        <w:tc>
          <w:tcPr>
            <w:tcW w:w="1357" w:type="pct"/>
            <w:vAlign w:val="center"/>
          </w:tcPr>
          <w:p w14:paraId="4CF2AF7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 3036-2010）第10.1条</w:t>
            </w:r>
          </w:p>
        </w:tc>
        <w:tc>
          <w:tcPr>
            <w:tcW w:w="1398" w:type="pct"/>
            <w:vAlign w:val="center"/>
          </w:tcPr>
          <w:p w14:paraId="15436911">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危险化学品重大危险源罐区安全监控装备符合下列要求：（1）在罐区设置摄像头，可实现对罐区的全面覆盖；（2）摄像头安装高度可有效监控到储罐顶部；（3）有防爆要求的已采取防爆措施。</w:t>
            </w:r>
          </w:p>
        </w:tc>
        <w:tc>
          <w:tcPr>
            <w:tcW w:w="364" w:type="pct"/>
            <w:vAlign w:val="center"/>
          </w:tcPr>
          <w:p w14:paraId="5622610E">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41218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5D36B25F">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207F114E">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1.企业应对所有设备进行编号，建立设备设施台账、技术档案和备品配件管理制度，编制设备操作、维护规程；</w:t>
            </w:r>
          </w:p>
          <w:p w14:paraId="0D551F68">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2.企业应建立安全附件台账。</w:t>
            </w:r>
          </w:p>
        </w:tc>
        <w:tc>
          <w:tcPr>
            <w:tcW w:w="1357" w:type="pct"/>
            <w:shd w:val="clear" w:color="auto" w:fill="auto"/>
            <w:vAlign w:val="center"/>
          </w:tcPr>
          <w:p w14:paraId="17896AD2">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65F8AAA0">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398" w:type="pct"/>
            <w:vAlign w:val="center"/>
          </w:tcPr>
          <w:p w14:paraId="76125C35">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建立了设备台账及安全附件台账</w:t>
            </w:r>
          </w:p>
        </w:tc>
        <w:tc>
          <w:tcPr>
            <w:tcW w:w="364" w:type="pct"/>
            <w:vAlign w:val="center"/>
          </w:tcPr>
          <w:p w14:paraId="4E40C52B">
            <w:pPr>
              <w:adjustRightInd w:val="0"/>
              <w:snapToGrid w:val="0"/>
              <w:spacing w:after="0" w:line="240" w:lineRule="auto"/>
              <w:jc w:val="both"/>
              <w:rPr>
                <w:rFonts w:hint="eastAsia" w:ascii="Times New Roman" w:hAnsi="Times New Roman" w:eastAsia="宋体" w:cs="宋体"/>
                <w:kern w:val="0"/>
                <w:sz w:val="21"/>
                <w:szCs w:val="21"/>
                <w:lang w:val="en-US" w:eastAsia="zh-CN"/>
                <w14:ligatures w14:val="none"/>
              </w:rPr>
            </w:pPr>
            <w:r>
              <w:rPr>
                <w:rFonts w:hint="eastAsia" w:ascii="Times New Roman" w:hAnsi="Times New Roman" w:eastAsia="宋体" w:cs="宋体"/>
                <w:kern w:val="0"/>
                <w:sz w:val="21"/>
                <w:szCs w:val="21"/>
                <w14:ligatures w14:val="none"/>
              </w:rPr>
              <w:t>符合</w:t>
            </w:r>
          </w:p>
        </w:tc>
      </w:tr>
      <w:tr w14:paraId="2E0B8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43F29F1B">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78313397">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爆炸危险区域内的电气设备应符合GB 50058要求。电缆必须有阻燃措施；电缆桥架符合相关设计规范；</w:t>
            </w:r>
          </w:p>
          <w:p w14:paraId="099152BD">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在爆炸危险场所安装的电子仪表应根据防爆危险区划分选用本安型、隔爆型或无火花限能型等防爆型仪表，防爆设计应执行GB 3836.1-2010及其系列标准。</w:t>
            </w:r>
          </w:p>
        </w:tc>
        <w:tc>
          <w:tcPr>
            <w:tcW w:w="1357" w:type="pct"/>
            <w:shd w:val="clear" w:color="auto" w:fill="auto"/>
            <w:vAlign w:val="center"/>
          </w:tcPr>
          <w:p w14:paraId="4EE98F44">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2D6DE1A3">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398" w:type="pct"/>
            <w:vAlign w:val="center"/>
          </w:tcPr>
          <w:p w14:paraId="6CB68545">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爆炸危险区域电气仪表符合要求</w:t>
            </w:r>
          </w:p>
        </w:tc>
        <w:tc>
          <w:tcPr>
            <w:tcW w:w="364" w:type="pct"/>
            <w:vAlign w:val="center"/>
          </w:tcPr>
          <w:p w14:paraId="0B0C30FB">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5FBFE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2A25D4A9">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4B15736D">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重点防火、防爆作业区的入口处，应设计人体导除静电装置。</w:t>
            </w:r>
          </w:p>
        </w:tc>
        <w:tc>
          <w:tcPr>
            <w:tcW w:w="1357" w:type="pct"/>
            <w:shd w:val="clear" w:color="auto" w:fill="auto"/>
            <w:vAlign w:val="center"/>
          </w:tcPr>
          <w:p w14:paraId="69D3AFF3">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2EECF98B">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398" w:type="pct"/>
            <w:vAlign w:val="center"/>
          </w:tcPr>
          <w:p w14:paraId="28E2C6FF">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罐区入口设有人体静电消除器</w:t>
            </w:r>
          </w:p>
        </w:tc>
        <w:tc>
          <w:tcPr>
            <w:tcW w:w="364" w:type="pct"/>
            <w:vAlign w:val="center"/>
          </w:tcPr>
          <w:p w14:paraId="45BB1C24">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130E0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7DA88436">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27DA3956">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可燃气体、液化烃、可燃液体、可燃固体的管道在下列部位应设静电接地设施：</w:t>
            </w:r>
          </w:p>
          <w:p w14:paraId="3AEBCBF5">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进出装置或设施处；</w:t>
            </w:r>
          </w:p>
          <w:p w14:paraId="76639E28">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爆炸危险场所的边界；</w:t>
            </w:r>
          </w:p>
          <w:p w14:paraId="2DD3FDBE">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管道泵及泵入口永久过滤器、缓冲器等。</w:t>
            </w:r>
          </w:p>
        </w:tc>
        <w:tc>
          <w:tcPr>
            <w:tcW w:w="1357" w:type="pct"/>
            <w:shd w:val="clear" w:color="auto" w:fill="auto"/>
            <w:vAlign w:val="center"/>
          </w:tcPr>
          <w:p w14:paraId="29445C0D">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26796D1D">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398" w:type="pct"/>
            <w:vAlign w:val="center"/>
          </w:tcPr>
          <w:p w14:paraId="217DB60B">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管道防静电设施齐全</w:t>
            </w:r>
          </w:p>
        </w:tc>
        <w:tc>
          <w:tcPr>
            <w:tcW w:w="364" w:type="pct"/>
            <w:vAlign w:val="center"/>
          </w:tcPr>
          <w:p w14:paraId="10F50155">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239B7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3D222CAF">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5CC28F87">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罐区金属罐体应作防直击雷接地，接地点不应少于2处，并应沿罐体周边均匀布置，引下线的间距不应大于18 m。每根引下线的冲击接地电阻不应大于10 Ω。</w:t>
            </w:r>
          </w:p>
        </w:tc>
        <w:tc>
          <w:tcPr>
            <w:tcW w:w="1357" w:type="pct"/>
            <w:shd w:val="clear" w:color="auto" w:fill="auto"/>
            <w:vAlign w:val="center"/>
          </w:tcPr>
          <w:p w14:paraId="31B9E4AC">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77EC5CB1">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398" w:type="pct"/>
            <w:vAlign w:val="center"/>
          </w:tcPr>
          <w:p w14:paraId="18B86CB1">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罐区金属罐体已作防直击雷接地</w:t>
            </w:r>
          </w:p>
        </w:tc>
        <w:tc>
          <w:tcPr>
            <w:tcW w:w="364" w:type="pct"/>
            <w:vAlign w:val="center"/>
          </w:tcPr>
          <w:p w14:paraId="2CEFBD2D">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1634F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5A66EE69">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2A3BA7A7">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企业应建立健全涉及重大危险源的仪表检查、维护、使用、检定等各类台账及仪表巡检记录。</w:t>
            </w:r>
          </w:p>
        </w:tc>
        <w:tc>
          <w:tcPr>
            <w:tcW w:w="1357" w:type="pct"/>
            <w:shd w:val="clear" w:color="auto" w:fill="auto"/>
            <w:vAlign w:val="center"/>
          </w:tcPr>
          <w:p w14:paraId="16C9E8C3">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34B88293">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398" w:type="pct"/>
            <w:vAlign w:val="center"/>
          </w:tcPr>
          <w:p w14:paraId="03C47F99">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企业建立了重大危险源的仪表检查、维护、使用、检定等各类台账及仪表巡检记录。</w:t>
            </w:r>
          </w:p>
        </w:tc>
        <w:tc>
          <w:tcPr>
            <w:tcW w:w="364" w:type="pct"/>
            <w:vAlign w:val="center"/>
          </w:tcPr>
          <w:p w14:paraId="104A4C7F">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07C19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54A55A41">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28FDDE88">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涉及重大危险源的生产装置、储存设施的自动化系统装备投用率应达到100%；</w:t>
            </w:r>
          </w:p>
          <w:p w14:paraId="03246506">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配备的安全仪表系统应处于投用状态。</w:t>
            </w:r>
          </w:p>
        </w:tc>
        <w:tc>
          <w:tcPr>
            <w:tcW w:w="1357" w:type="pct"/>
            <w:shd w:val="clear" w:color="auto" w:fill="auto"/>
            <w:vAlign w:val="center"/>
          </w:tcPr>
          <w:p w14:paraId="0B0EFECB">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05C47EDF">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398" w:type="pct"/>
            <w:vAlign w:val="center"/>
          </w:tcPr>
          <w:p w14:paraId="3BAC941C">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储罐区的自动化系统装备投用率应达到100%，经过定级，企业无需设置安全仪表系统</w:t>
            </w:r>
          </w:p>
        </w:tc>
        <w:tc>
          <w:tcPr>
            <w:tcW w:w="364" w:type="pct"/>
            <w:vAlign w:val="center"/>
          </w:tcPr>
          <w:p w14:paraId="727B45F9">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05869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085BBFFB">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297FA225">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构成一级、二级重大危险源的危险化学品罐区应实现紧急切断功能，并处于投用状态。</w:t>
            </w:r>
          </w:p>
        </w:tc>
        <w:tc>
          <w:tcPr>
            <w:tcW w:w="1357" w:type="pct"/>
            <w:shd w:val="clear" w:color="auto" w:fill="auto"/>
            <w:vAlign w:val="center"/>
          </w:tcPr>
          <w:p w14:paraId="713F6724">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39FAA630">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398" w:type="pct"/>
            <w:vAlign w:val="center"/>
          </w:tcPr>
          <w:p w14:paraId="707FB1B2">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储罐区构成危险化学品</w:t>
            </w:r>
            <w:r>
              <w:rPr>
                <w:rFonts w:hint="eastAsia" w:ascii="Times New Roman" w:hAnsi="Times New Roman" w:eastAsia="宋体" w:cs="宋体"/>
                <w:kern w:val="0"/>
                <w:sz w:val="21"/>
                <w:szCs w:val="21"/>
                <w:lang w:eastAsia="zh-CN"/>
                <w14:ligatures w14:val="none"/>
              </w:rPr>
              <w:t>四</w:t>
            </w:r>
            <w:r>
              <w:rPr>
                <w:rFonts w:hint="eastAsia" w:ascii="Times New Roman" w:hAnsi="Times New Roman" w:eastAsia="宋体" w:cs="宋体"/>
                <w:kern w:val="0"/>
                <w:sz w:val="21"/>
                <w:szCs w:val="21"/>
                <w14:ligatures w14:val="none"/>
              </w:rPr>
              <w:t>级重大危险源，已实现紧急切断功能，并处于投用状态。</w:t>
            </w:r>
          </w:p>
        </w:tc>
        <w:tc>
          <w:tcPr>
            <w:tcW w:w="364" w:type="pct"/>
            <w:vAlign w:val="center"/>
          </w:tcPr>
          <w:p w14:paraId="44BB5A70">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6597B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1C4BA18D">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267525F0">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重大危险源的化工生产装置应装备满足安全生产要求的自动化控制系统。一级或者二级重大危险源，设置紧急停车系统。</w:t>
            </w:r>
          </w:p>
        </w:tc>
        <w:tc>
          <w:tcPr>
            <w:tcW w:w="1357" w:type="pct"/>
            <w:shd w:val="clear" w:color="auto" w:fill="auto"/>
            <w:vAlign w:val="center"/>
          </w:tcPr>
          <w:p w14:paraId="63A76B2F">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0B946845">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398" w:type="pct"/>
            <w:vAlign w:val="center"/>
          </w:tcPr>
          <w:p w14:paraId="265E3041">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储罐区构成危险化学品</w:t>
            </w:r>
            <w:r>
              <w:rPr>
                <w:rFonts w:hint="eastAsia" w:ascii="Times New Roman" w:hAnsi="Times New Roman" w:eastAsia="宋体" w:cs="宋体"/>
                <w:kern w:val="0"/>
                <w:sz w:val="21"/>
                <w:szCs w:val="21"/>
                <w:lang w:eastAsia="zh-CN"/>
                <w14:ligatures w14:val="none"/>
              </w:rPr>
              <w:t>四</w:t>
            </w:r>
            <w:r>
              <w:rPr>
                <w:rFonts w:hint="eastAsia" w:ascii="Times New Roman" w:hAnsi="Times New Roman" w:eastAsia="宋体" w:cs="宋体"/>
                <w:kern w:val="0"/>
                <w:sz w:val="21"/>
                <w:szCs w:val="21"/>
                <w14:ligatures w14:val="none"/>
              </w:rPr>
              <w:t>级重大危险源，已实现紧急切断功能。</w:t>
            </w:r>
          </w:p>
        </w:tc>
        <w:tc>
          <w:tcPr>
            <w:tcW w:w="364" w:type="pct"/>
            <w:vAlign w:val="center"/>
          </w:tcPr>
          <w:p w14:paraId="4831E4CD">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58A33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512C5BEB">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466F7FDF">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罐区储罐高高、低低液位报警信号的液位测量仪表应采用单独的液位连续测量仪表或液位开关，报警信号应传送至自动控制系统。</w:t>
            </w:r>
          </w:p>
        </w:tc>
        <w:tc>
          <w:tcPr>
            <w:tcW w:w="1357" w:type="pct"/>
            <w:shd w:val="clear" w:color="auto" w:fill="auto"/>
            <w:vAlign w:val="center"/>
          </w:tcPr>
          <w:p w14:paraId="64C614D2">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6AFC2176">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398" w:type="pct"/>
            <w:vAlign w:val="center"/>
          </w:tcPr>
          <w:p w14:paraId="5055E7B2">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罐区储罐高高、低低液位报警信号的液位测量仪表采用单独的液位连续测量仪表或液位开关，报警信号应传送至自动控制系统</w:t>
            </w:r>
          </w:p>
        </w:tc>
        <w:tc>
          <w:tcPr>
            <w:tcW w:w="364" w:type="pct"/>
            <w:vAlign w:val="center"/>
          </w:tcPr>
          <w:p w14:paraId="5E1BA222">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51B8C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5080F5C3">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4FE4D78E">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企业应定期组织开展本单位的应急预案、应急知识、自救互救和避险逃生技能的培训活动，使有关人员了解应急预案内容，熟悉应急职责、应急处置程序和措施。</w:t>
            </w:r>
          </w:p>
        </w:tc>
        <w:tc>
          <w:tcPr>
            <w:tcW w:w="1357" w:type="pct"/>
            <w:shd w:val="clear" w:color="auto" w:fill="auto"/>
            <w:vAlign w:val="center"/>
          </w:tcPr>
          <w:p w14:paraId="2D0DCC37">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4E469030">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398" w:type="pct"/>
            <w:vAlign w:val="center"/>
          </w:tcPr>
          <w:p w14:paraId="68160090">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企业定期组织开展本单位的应急预案、应急知识、自救互救和避险逃生技能的培训活动</w:t>
            </w:r>
          </w:p>
        </w:tc>
        <w:tc>
          <w:tcPr>
            <w:tcW w:w="364" w:type="pct"/>
            <w:vAlign w:val="center"/>
          </w:tcPr>
          <w:p w14:paraId="77478D07">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4FF61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03AE070A">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6B2827AF">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1.企业应制定本单位的应急预案演练计划，应当至少每半年组织1次生产安全事故应急救援预案演练；</w:t>
            </w:r>
            <w:r>
              <w:rPr>
                <w:rFonts w:hint="eastAsia" w:ascii="Times New Roman" w:hAnsi="Times New Roman" w:eastAsia="宋体" w:cs="宋体"/>
                <w:kern w:val="0"/>
                <w:sz w:val="21"/>
                <w:szCs w:val="21"/>
                <w14:ligatures w14:val="none"/>
              </w:rPr>
              <w:br w:type="textWrapping"/>
            </w:r>
            <w:r>
              <w:rPr>
                <w:rFonts w:hint="eastAsia" w:ascii="Times New Roman" w:hAnsi="Times New Roman" w:eastAsia="宋体" w:cs="宋体"/>
                <w:kern w:val="0"/>
                <w:sz w:val="21"/>
                <w:szCs w:val="21"/>
                <w14:ligatures w14:val="none"/>
              </w:rPr>
              <w:t>2.重大危险源包保责任人应参加预案演练。</w:t>
            </w:r>
          </w:p>
        </w:tc>
        <w:tc>
          <w:tcPr>
            <w:tcW w:w="1357" w:type="pct"/>
            <w:shd w:val="clear" w:color="auto" w:fill="auto"/>
            <w:vAlign w:val="center"/>
          </w:tcPr>
          <w:p w14:paraId="003733EA">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4A65C7DF">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398" w:type="pct"/>
            <w:vAlign w:val="center"/>
          </w:tcPr>
          <w:p w14:paraId="45D953A0">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.企业应制定本单位的应急预案演练计划，每半年组织1次生产安全事故应急救援预案演练；重大危险源包保责任人参加预案演练。</w:t>
            </w:r>
          </w:p>
        </w:tc>
        <w:tc>
          <w:tcPr>
            <w:tcW w:w="364" w:type="pct"/>
            <w:vAlign w:val="center"/>
          </w:tcPr>
          <w:p w14:paraId="7EF654CA">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0D134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0BAD56CD">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5E0DE247">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企业应建立应急器材台账、维护保养记录，按照制度要求定期检查应急器材。</w:t>
            </w:r>
          </w:p>
        </w:tc>
        <w:tc>
          <w:tcPr>
            <w:tcW w:w="1357" w:type="pct"/>
            <w:shd w:val="clear" w:color="auto" w:fill="auto"/>
            <w:vAlign w:val="center"/>
          </w:tcPr>
          <w:p w14:paraId="262D45D8">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50E4056A">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398" w:type="pct"/>
            <w:vAlign w:val="center"/>
          </w:tcPr>
          <w:p w14:paraId="042C5881">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企业建立应急器材台账、维护保养记录，按照制度要求定期检查应急器材。</w:t>
            </w:r>
          </w:p>
        </w:tc>
        <w:tc>
          <w:tcPr>
            <w:tcW w:w="364" w:type="pct"/>
            <w:vAlign w:val="center"/>
          </w:tcPr>
          <w:p w14:paraId="25604310">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59CCC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67C0C468">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356512D0">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1.泡沫液储罐上应设置铭牌，并应标识泡沫液种类、型号、出厂日期和灌装日期、有效期及储量等内容，不同种类、不同牌号的泡沫液不得混存；</w:t>
            </w:r>
          </w:p>
          <w:p w14:paraId="2857161D">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2.系统中所用的控制阀门应有明显的启闭标志。</w:t>
            </w:r>
          </w:p>
        </w:tc>
        <w:tc>
          <w:tcPr>
            <w:tcW w:w="1357" w:type="pct"/>
            <w:shd w:val="clear" w:color="auto" w:fill="auto"/>
            <w:vAlign w:val="center"/>
          </w:tcPr>
          <w:p w14:paraId="2A394B9F">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31E74454">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398" w:type="pct"/>
            <w:vAlign w:val="center"/>
          </w:tcPr>
          <w:p w14:paraId="6BE0AA7F">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泡沫储罐设有铭牌，系统中所用的控制阀门应有明显的启闭标志</w:t>
            </w:r>
          </w:p>
        </w:tc>
        <w:tc>
          <w:tcPr>
            <w:tcW w:w="364" w:type="pct"/>
            <w:vAlign w:val="center"/>
          </w:tcPr>
          <w:p w14:paraId="07A49AF6">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51284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62775E92">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4E30634E">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储罐区消防栓供水压力应正常，满足消防要求；设置稳高压消防给水系统的，其管网压力宜为0.7-1.2MPa。</w:t>
            </w:r>
          </w:p>
        </w:tc>
        <w:tc>
          <w:tcPr>
            <w:tcW w:w="1357" w:type="pct"/>
            <w:shd w:val="clear" w:color="auto" w:fill="auto"/>
            <w:vAlign w:val="center"/>
          </w:tcPr>
          <w:p w14:paraId="744C9AB4">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305A978B">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398" w:type="pct"/>
            <w:vAlign w:val="center"/>
          </w:tcPr>
          <w:p w14:paraId="3086A766">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储罐区消防栓供水压力正常，满足消防要求；设置稳高压消防给水系统的，其管网压力为0.7-1.2MPa。</w:t>
            </w:r>
          </w:p>
        </w:tc>
        <w:tc>
          <w:tcPr>
            <w:tcW w:w="364" w:type="pct"/>
            <w:vAlign w:val="center"/>
          </w:tcPr>
          <w:p w14:paraId="54D37B1C">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42C35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6AC326FC">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6A2FCF5D">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消防用水泵的主泵应采用电动泵，备用泵应采用柴油机泵，且应按100%备用能力设置，柴油机的油料储备量应能满足机组连续运转6h的要求；</w:t>
            </w:r>
          </w:p>
          <w:p w14:paraId="07B99DEF">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消防水泵应能手动启停和自动启动。</w:t>
            </w:r>
          </w:p>
        </w:tc>
        <w:tc>
          <w:tcPr>
            <w:tcW w:w="1357" w:type="pct"/>
            <w:shd w:val="clear" w:color="auto" w:fill="auto"/>
            <w:vAlign w:val="center"/>
          </w:tcPr>
          <w:p w14:paraId="3531E8E7">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735E00AF">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398" w:type="pct"/>
            <w:vAlign w:val="center"/>
          </w:tcPr>
          <w:p w14:paraId="5F18A8DA">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消防用水泵的主泵采用电动泵，备用泵采用柴油机泵，且按100%备用能力设置，柴油机的油料储备量应能满足机组连续运转6h的要求；消防水泵能手动启停和自动启动。</w:t>
            </w:r>
          </w:p>
        </w:tc>
        <w:tc>
          <w:tcPr>
            <w:tcW w:w="364" w:type="pct"/>
            <w:vAlign w:val="center"/>
          </w:tcPr>
          <w:p w14:paraId="10E5B615">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440AF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30912C33">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7D559325">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重大危险源应按照GB/T 37243、GB 36894等标准规范确定外部安全防护距离。</w:t>
            </w:r>
          </w:p>
        </w:tc>
        <w:tc>
          <w:tcPr>
            <w:tcW w:w="1357" w:type="pct"/>
            <w:shd w:val="clear" w:color="auto" w:fill="auto"/>
            <w:vAlign w:val="center"/>
          </w:tcPr>
          <w:p w14:paraId="519CCE0D">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4A242A75">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398" w:type="pct"/>
            <w:vAlign w:val="center"/>
          </w:tcPr>
          <w:p w14:paraId="6986F011">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外部安全防护距离符合要求</w:t>
            </w:r>
          </w:p>
        </w:tc>
        <w:tc>
          <w:tcPr>
            <w:tcW w:w="364" w:type="pct"/>
            <w:vAlign w:val="center"/>
          </w:tcPr>
          <w:p w14:paraId="71FF4348">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27866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2A35E960">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69C29A01">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企业不得使用应当淘汰的危及生产安全的工艺、设备。</w:t>
            </w:r>
          </w:p>
        </w:tc>
        <w:tc>
          <w:tcPr>
            <w:tcW w:w="1357" w:type="pct"/>
            <w:shd w:val="clear" w:color="auto" w:fill="auto"/>
            <w:vAlign w:val="center"/>
          </w:tcPr>
          <w:p w14:paraId="11858884">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6201EC16">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398" w:type="pct"/>
            <w:vAlign w:val="center"/>
          </w:tcPr>
          <w:p w14:paraId="7BB4FA4D">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未使用淘汰的危及生产安全的工艺、设备</w:t>
            </w:r>
          </w:p>
        </w:tc>
        <w:tc>
          <w:tcPr>
            <w:tcW w:w="364" w:type="pct"/>
            <w:vAlign w:val="center"/>
          </w:tcPr>
          <w:p w14:paraId="72986D52">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1F87A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54E7E069">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62942291">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企业应对涉及重大危险源的生产、储存装置每3年运用HAZOP分析法进行一次安全风险辨识分析，编制HAZOP分析报告，并对分析报告中提出的建议落实整改。</w:t>
            </w:r>
          </w:p>
        </w:tc>
        <w:tc>
          <w:tcPr>
            <w:tcW w:w="1357" w:type="pct"/>
            <w:shd w:val="clear" w:color="auto" w:fill="auto"/>
            <w:vAlign w:val="center"/>
          </w:tcPr>
          <w:p w14:paraId="78D9D86F">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23C59EB3">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398" w:type="pct"/>
            <w:vAlign w:val="center"/>
          </w:tcPr>
          <w:p w14:paraId="5D1633A6">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w:t>
            </w:r>
            <w:r>
              <w:rPr>
                <w:rFonts w:hint="eastAsia" w:ascii="Times New Roman" w:hAnsi="Times New Roman" w:eastAsia="宋体" w:cs="宋体"/>
                <w:kern w:val="0"/>
                <w:sz w:val="21"/>
                <w:szCs w:val="21"/>
                <w:lang w:val="en-US" w:eastAsia="zh-CN"/>
                <w14:ligatures w14:val="none"/>
              </w:rPr>
              <w:t>于2025年</w:t>
            </w:r>
            <w:r>
              <w:rPr>
                <w:rFonts w:hint="eastAsia" w:ascii="Times New Roman" w:hAnsi="Times New Roman" w:eastAsia="宋体" w:cs="宋体"/>
                <w:kern w:val="0"/>
                <w:sz w:val="21"/>
                <w:szCs w:val="21"/>
                <w14:ligatures w14:val="none"/>
              </w:rPr>
              <w:t>已对储罐区进行HAZOP分析</w:t>
            </w:r>
          </w:p>
        </w:tc>
        <w:tc>
          <w:tcPr>
            <w:tcW w:w="364" w:type="pct"/>
            <w:vAlign w:val="center"/>
          </w:tcPr>
          <w:p w14:paraId="3A47045B">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13121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218291C3">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38EB1033">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储罐应设置液位、温度检测仪表。</w:t>
            </w:r>
          </w:p>
        </w:tc>
        <w:tc>
          <w:tcPr>
            <w:tcW w:w="1357" w:type="pct"/>
            <w:shd w:val="clear" w:color="auto" w:fill="auto"/>
            <w:vAlign w:val="center"/>
          </w:tcPr>
          <w:p w14:paraId="73316DD1">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《危险化学品重大危险源安全监控技术规范》</w:t>
            </w:r>
          </w:p>
          <w:p w14:paraId="06CCD3E1">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（GB 17681-2024）</w:t>
            </w:r>
          </w:p>
          <w:p w14:paraId="5414BEBC">
            <w:pPr>
              <w:adjustRightInd w:val="0"/>
              <w:snapToGrid w:val="0"/>
              <w:spacing w:after="0" w:line="240" w:lineRule="auto"/>
              <w:jc w:val="center"/>
              <w:rPr>
                <w:rFonts w:hint="default" w:ascii="Times New Roman" w:hAnsi="Times New Roman" w:eastAsia="宋体" w:cs="宋体"/>
                <w:kern w:val="0"/>
                <w:sz w:val="21"/>
                <w:szCs w:val="21"/>
                <w:lang w:val="en-US" w:eastAsia="zh-CN"/>
                <w14:ligatures w14:val="none"/>
              </w:rPr>
            </w:pPr>
            <w:r>
              <w:rPr>
                <w:rFonts w:hint="eastAsia" w:ascii="Times New Roman" w:hAnsi="Times New Roman" w:eastAsia="宋体" w:cs="宋体"/>
                <w:kern w:val="0"/>
                <w:sz w:val="21"/>
                <w:szCs w:val="21"/>
                <w:lang w:val="en-US" w:eastAsia="zh-CN"/>
                <w14:ligatures w14:val="none"/>
              </w:rPr>
              <w:t>第6.3.1.1条</w:t>
            </w:r>
          </w:p>
        </w:tc>
        <w:tc>
          <w:tcPr>
            <w:tcW w:w="1398" w:type="pct"/>
            <w:vAlign w:val="center"/>
          </w:tcPr>
          <w:p w14:paraId="42098127">
            <w:pPr>
              <w:adjustRightInd w:val="0"/>
              <w:snapToGrid w:val="0"/>
              <w:spacing w:after="0" w:line="240" w:lineRule="auto"/>
              <w:jc w:val="both"/>
              <w:rPr>
                <w:rFonts w:hint="default" w:ascii="Times New Roman" w:hAnsi="Times New Roman" w:eastAsia="宋体" w:cs="宋体"/>
                <w:kern w:val="0"/>
                <w:sz w:val="21"/>
                <w:szCs w:val="21"/>
                <w:lang w:val="en-US" w:eastAsia="zh-CN"/>
                <w14:ligatures w14:val="none"/>
              </w:rPr>
            </w:pPr>
            <w:r>
              <w:rPr>
                <w:rFonts w:hint="eastAsia" w:ascii="Times New Roman" w:hAnsi="Times New Roman" w:eastAsia="宋体" w:cs="宋体"/>
                <w:kern w:val="0"/>
                <w:sz w:val="21"/>
                <w:szCs w:val="21"/>
                <w:lang w:val="en-US" w:eastAsia="zh-CN"/>
                <w14:ligatures w14:val="none"/>
              </w:rPr>
              <w:t>柴油储罐设置液位及温度检测仪表</w:t>
            </w:r>
          </w:p>
        </w:tc>
        <w:tc>
          <w:tcPr>
            <w:tcW w:w="364" w:type="pct"/>
            <w:vAlign w:val="center"/>
          </w:tcPr>
          <w:p w14:paraId="470045D1">
            <w:pPr>
              <w:adjustRightInd w:val="0"/>
              <w:snapToGrid w:val="0"/>
              <w:spacing w:after="0" w:line="240" w:lineRule="auto"/>
              <w:jc w:val="both"/>
              <w:rPr>
                <w:rFonts w:hint="eastAsia" w:ascii="Times New Roman" w:hAnsi="Times New Roman" w:eastAsia="宋体" w:cs="宋体"/>
                <w:kern w:val="0"/>
                <w:sz w:val="21"/>
                <w:szCs w:val="21"/>
                <w:lang w:val="en-US" w:eastAsia="zh-CN"/>
                <w14:ligatures w14:val="none"/>
              </w:rPr>
            </w:pPr>
            <w:r>
              <w:rPr>
                <w:rFonts w:hint="eastAsia" w:ascii="Times New Roman" w:hAnsi="Times New Roman" w:eastAsia="宋体" w:cs="宋体"/>
                <w:kern w:val="0"/>
                <w:sz w:val="21"/>
                <w:szCs w:val="21"/>
                <w:lang w:val="en-US" w:eastAsia="zh-CN"/>
                <w14:ligatures w14:val="none"/>
              </w:rPr>
              <w:t>符合</w:t>
            </w:r>
          </w:p>
        </w:tc>
      </w:tr>
      <w:tr w14:paraId="0F8FD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2" w:type="pct"/>
            <w:vAlign w:val="center"/>
          </w:tcPr>
          <w:p w14:paraId="3F168C97">
            <w:pPr>
              <w:numPr>
                <w:ilvl w:val="0"/>
                <w:numId w:val="8"/>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65" w:type="pct"/>
            <w:vAlign w:val="center"/>
          </w:tcPr>
          <w:p w14:paraId="03E77E56">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应在系统中设置高液位报警、低液位报警、高高液位报警、低低液位报警，并应符合下列规定。①报警设定值应符合SH/T3007的有关规定;外浮顶储罐和内浮顶储罐的低低液位报警设定值a)不应低于浮盘落底高度。②高高液位报警应联锁关闭储罐进口管道上远程控制的开关阀，并对进料泵采取防憋压措施</w:t>
            </w:r>
            <w:r>
              <w:rPr>
                <w:rFonts w:hint="eastAsia" w:ascii="Times New Roman" w:hAnsi="Times New Roman" w:eastAsia="宋体" w:cs="宋体"/>
                <w:kern w:val="0"/>
                <w:sz w:val="21"/>
                <w:szCs w:val="21"/>
                <w:lang w:eastAsia="zh-CN"/>
                <w14:ligatures w14:val="none"/>
              </w:rPr>
              <w:t>，</w:t>
            </w:r>
            <w:r>
              <w:rPr>
                <w:rFonts w:hint="eastAsia" w:ascii="Times New Roman" w:hAnsi="Times New Roman" w:eastAsia="宋体" w:cs="宋体"/>
                <w:kern w:val="0"/>
                <w:sz w:val="21"/>
                <w:szCs w:val="21"/>
                <w14:ligatures w14:val="none"/>
              </w:rPr>
              <w:t>低低液位报警应联锁切断出料</w:t>
            </w:r>
          </w:p>
        </w:tc>
        <w:tc>
          <w:tcPr>
            <w:tcW w:w="1357" w:type="pct"/>
            <w:shd w:val="clear" w:color="auto" w:fill="auto"/>
            <w:vAlign w:val="center"/>
          </w:tcPr>
          <w:p w14:paraId="604DFBE4">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《危险化学品重大危险源安全监控技术规范》</w:t>
            </w:r>
          </w:p>
          <w:p w14:paraId="389EE289">
            <w:pPr>
              <w:adjustRightInd w:val="0"/>
              <w:snapToGrid w:val="0"/>
              <w:spacing w:after="0" w:line="240" w:lineRule="auto"/>
              <w:jc w:val="center"/>
              <w:rPr>
                <w:rFonts w:hint="default" w:ascii="Times New Roman" w:hAnsi="Times New Roman" w:eastAsia="宋体" w:cs="宋体"/>
                <w:kern w:val="0"/>
                <w:sz w:val="21"/>
                <w:szCs w:val="21"/>
                <w:lang w:val="en-US" w:eastAsia="zh-CN"/>
                <w14:ligatures w14:val="none"/>
              </w:rPr>
            </w:pPr>
            <w:r>
              <w:rPr>
                <w:rFonts w:hint="eastAsia" w:ascii="Times New Roman" w:hAnsi="Times New Roman" w:eastAsia="宋体" w:cs="宋体"/>
                <w:kern w:val="0"/>
                <w:sz w:val="21"/>
                <w:szCs w:val="21"/>
                <w14:ligatures w14:val="none"/>
              </w:rPr>
              <w:t>（GB 17681-2024）</w:t>
            </w:r>
            <w:r>
              <w:rPr>
                <w:rFonts w:hint="eastAsia" w:ascii="Times New Roman" w:hAnsi="Times New Roman" w:eastAsia="宋体" w:cs="宋体"/>
                <w:kern w:val="0"/>
                <w:sz w:val="21"/>
                <w:szCs w:val="21"/>
                <w:lang w:val="en-US" w:eastAsia="zh-CN"/>
                <w14:ligatures w14:val="none"/>
              </w:rPr>
              <w:t>第6.3.2.2条</w:t>
            </w:r>
          </w:p>
        </w:tc>
        <w:tc>
          <w:tcPr>
            <w:tcW w:w="1398" w:type="pct"/>
            <w:vAlign w:val="center"/>
          </w:tcPr>
          <w:p w14:paraId="24F708A3">
            <w:pPr>
              <w:adjustRightInd w:val="0"/>
              <w:snapToGrid w:val="0"/>
              <w:spacing w:after="0" w:line="240" w:lineRule="auto"/>
              <w:jc w:val="both"/>
              <w:rPr>
                <w:rFonts w:hint="default" w:ascii="Times New Roman" w:hAnsi="Times New Roman" w:eastAsia="宋体" w:cs="宋体"/>
                <w:kern w:val="0"/>
                <w:sz w:val="21"/>
                <w:szCs w:val="21"/>
                <w:lang w:val="en-US" w:eastAsia="zh-CN"/>
                <w14:ligatures w14:val="none"/>
              </w:rPr>
            </w:pPr>
            <w:r>
              <w:rPr>
                <w:rFonts w:hint="eastAsia" w:ascii="Times New Roman" w:hAnsi="Times New Roman" w:eastAsia="宋体" w:cs="宋体"/>
                <w:kern w:val="0"/>
                <w:sz w:val="21"/>
                <w:szCs w:val="21"/>
                <w:lang w:val="en-US" w:eastAsia="zh-CN"/>
                <w14:ligatures w14:val="none"/>
              </w:rPr>
              <w:t>设置</w:t>
            </w:r>
            <w:r>
              <w:rPr>
                <w:rFonts w:hint="eastAsia" w:ascii="Times New Roman" w:hAnsi="Times New Roman" w:eastAsia="宋体" w:cs="宋体"/>
                <w:kern w:val="0"/>
                <w:sz w:val="21"/>
                <w:szCs w:val="21"/>
                <w14:ligatures w14:val="none"/>
              </w:rPr>
              <w:t>高液位报警、低液位报警、高高液位报警、低低液位报警</w:t>
            </w:r>
            <w:r>
              <w:rPr>
                <w:rFonts w:hint="eastAsia" w:ascii="Times New Roman" w:hAnsi="Times New Roman" w:eastAsia="宋体" w:cs="宋体"/>
                <w:kern w:val="0"/>
                <w:sz w:val="21"/>
                <w:szCs w:val="21"/>
                <w:lang w:eastAsia="zh-CN"/>
                <w14:ligatures w14:val="none"/>
              </w:rPr>
              <w:t>，</w:t>
            </w:r>
            <w:r>
              <w:rPr>
                <w:rFonts w:hint="eastAsia" w:ascii="Times New Roman" w:hAnsi="Times New Roman" w:eastAsia="宋体" w:cs="宋体"/>
                <w:kern w:val="0"/>
                <w:sz w:val="21"/>
                <w:szCs w:val="21"/>
                <w:lang w:val="en-US" w:eastAsia="zh-CN"/>
                <w14:ligatures w14:val="none"/>
              </w:rPr>
              <w:t>且满足要求</w:t>
            </w:r>
          </w:p>
        </w:tc>
        <w:tc>
          <w:tcPr>
            <w:tcW w:w="364" w:type="pct"/>
            <w:vAlign w:val="center"/>
          </w:tcPr>
          <w:p w14:paraId="4C2D573D">
            <w:pPr>
              <w:adjustRightInd w:val="0"/>
              <w:snapToGrid w:val="0"/>
              <w:spacing w:after="0" w:line="240" w:lineRule="auto"/>
              <w:jc w:val="both"/>
              <w:rPr>
                <w:rFonts w:hint="eastAsia" w:ascii="Times New Roman" w:hAnsi="Times New Roman" w:eastAsia="宋体" w:cs="宋体"/>
                <w:kern w:val="0"/>
                <w:sz w:val="21"/>
                <w:szCs w:val="21"/>
                <w:lang w:val="en-US" w:eastAsia="zh-CN"/>
                <w14:ligatures w14:val="none"/>
              </w:rPr>
            </w:pPr>
            <w:r>
              <w:rPr>
                <w:rFonts w:hint="eastAsia" w:ascii="Times New Roman" w:hAnsi="Times New Roman" w:eastAsia="宋体" w:cs="宋体"/>
                <w:kern w:val="0"/>
                <w:sz w:val="21"/>
                <w:szCs w:val="21"/>
                <w:lang w:val="en-US" w:eastAsia="zh-CN"/>
                <w14:ligatures w14:val="none"/>
              </w:rPr>
              <w:t>符合</w:t>
            </w:r>
          </w:p>
        </w:tc>
      </w:tr>
    </w:tbl>
    <w:p w14:paraId="189C32DD">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小结：通过对重大危险源管理及监控单元进行安全评价，共检查</w:t>
      </w:r>
      <w:r>
        <w:rPr>
          <w:rFonts w:hint="eastAsia" w:ascii="Times New Roman" w:hAnsi="Times New Roman" w:eastAsia="宋体" w:cs="Times New Roman"/>
          <w:sz w:val="28"/>
          <w:szCs w:val="28"/>
          <w:lang w:val="en-US" w:eastAsia="zh-CN"/>
          <w14:ligatures w14:val="none"/>
        </w:rPr>
        <w:t>46</w:t>
      </w:r>
      <w:r>
        <w:rPr>
          <w:rFonts w:hint="eastAsia" w:ascii="Times New Roman" w:hAnsi="Times New Roman" w:eastAsia="宋体" w:cs="Times New Roman"/>
          <w:sz w:val="28"/>
          <w:szCs w:val="28"/>
          <w14:ligatures w14:val="none"/>
        </w:rPr>
        <w:t>项，</w:t>
      </w:r>
      <w:r>
        <w:rPr>
          <w:rFonts w:hint="eastAsia" w:ascii="Times New Roman" w:hAnsi="Times New Roman" w:eastAsia="宋体" w:cs="Times New Roman"/>
          <w:sz w:val="28"/>
          <w:szCs w:val="28"/>
          <w:lang w:val="en-US" w:eastAsia="zh-CN"/>
          <w14:ligatures w14:val="none"/>
        </w:rPr>
        <w:t>其中1项为不符合项，其余45项为符合项</w:t>
      </w:r>
      <w:r>
        <w:rPr>
          <w:rFonts w:hint="eastAsia" w:ascii="Times New Roman" w:hAnsi="Times New Roman" w:eastAsia="宋体" w:cs="Times New Roman"/>
          <w:sz w:val="28"/>
          <w:szCs w:val="28"/>
          <w14:ligatures w14:val="none"/>
        </w:rPr>
        <w:t>。</w:t>
      </w:r>
    </w:p>
    <w:p w14:paraId="4113B153">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hint="eastAsia" w:ascii="Times New Roman" w:hAnsi="Times New Roman" w:eastAsia="宋体" w:cs="Times New Roman"/>
          <w:sz w:val="28"/>
          <w:szCs w:val="28"/>
          <w:highlight w:val="none"/>
          <w:lang w:val="en-US" w:eastAsia="zh-CN"/>
          <w14:ligatures w14:val="none"/>
        </w:rPr>
      </w:pPr>
      <w:r>
        <w:rPr>
          <w:rFonts w:hint="eastAsia" w:ascii="Times New Roman" w:hAnsi="Times New Roman" w:eastAsia="宋体" w:cs="Times New Roman"/>
          <w:sz w:val="28"/>
          <w:szCs w:val="28"/>
          <w:highlight w:val="none"/>
          <w:lang w:val="en-US" w:eastAsia="zh-CN"/>
          <w14:ligatures w14:val="none"/>
        </w:rPr>
        <w:t>不符合项为：</w:t>
      </w:r>
      <w:r>
        <w:rPr>
          <w:rFonts w:hint="eastAsia" w:ascii="Times New Roman" w:hAnsi="Times New Roman" w:eastAsia="宋体" w:cs="Times New Roman"/>
          <w:sz w:val="28"/>
          <w:szCs w:val="28"/>
          <w:highlight w:val="none"/>
          <w14:ligatures w14:val="none"/>
        </w:rPr>
        <w:t>现场报警器零点漂移，需调校</w:t>
      </w:r>
      <w:r>
        <w:rPr>
          <w:rFonts w:hint="eastAsia" w:ascii="Times New Roman" w:hAnsi="Times New Roman" w:eastAsia="宋体" w:cs="Times New Roman"/>
          <w:sz w:val="28"/>
          <w:szCs w:val="28"/>
          <w:highlight w:val="none"/>
          <w:lang w:eastAsia="zh-CN"/>
          <w14:ligatures w14:val="none"/>
        </w:rPr>
        <w:t>。</w:t>
      </w:r>
    </w:p>
    <w:p w14:paraId="5A21F856">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36" w:name="_Toc18968"/>
      <w:r>
        <w:rPr>
          <w:rFonts w:hint="eastAsia" w:ascii="Times New Roman" w:hAnsi="Times New Roman" w:eastAsia="楷体" w:cs="黑体"/>
          <w:b/>
          <w:sz w:val="32"/>
          <w:szCs w:val="32"/>
          <w14:ligatures w14:val="none"/>
        </w:rPr>
        <w:t>5.</w:t>
      </w:r>
      <w:r>
        <w:rPr>
          <w:rFonts w:hint="eastAsia" w:ascii="Times New Roman" w:hAnsi="Times New Roman" w:eastAsia="楷体" w:cs="黑体"/>
          <w:b/>
          <w:sz w:val="32"/>
          <w:szCs w:val="32"/>
          <w:lang w:val="en-US" w:eastAsia="zh-CN"/>
          <w14:ligatures w14:val="none"/>
        </w:rPr>
        <w:t>6</w:t>
      </w:r>
      <w:r>
        <w:rPr>
          <w:rFonts w:hint="eastAsia" w:ascii="Times New Roman" w:hAnsi="Times New Roman" w:eastAsia="楷体" w:cs="黑体"/>
          <w:b/>
          <w:sz w:val="32"/>
          <w:szCs w:val="32"/>
          <w14:ligatures w14:val="none"/>
        </w:rPr>
        <w:t>重大生产安全事故隐患单元</w:t>
      </w:r>
      <w:bookmarkEnd w:id="136"/>
    </w:p>
    <w:p w14:paraId="6440CF9C">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采用安全检查表法对</w:t>
      </w:r>
      <w:r>
        <w:rPr>
          <w:rFonts w:hint="eastAsia" w:ascii="Times New Roman" w:hAnsi="Times New Roman" w:eastAsia="宋体" w:cs="Times New Roman"/>
          <w:sz w:val="28"/>
          <w:szCs w:val="28"/>
          <w:lang w:eastAsia="zh-CN"/>
          <w14:ligatures w14:val="none"/>
        </w:rPr>
        <w:t>国能安储（东港）燃料供应有限公司</w:t>
      </w:r>
      <w:r>
        <w:rPr>
          <w:rFonts w:hint="eastAsia" w:ascii="Times New Roman" w:hAnsi="Times New Roman" w:eastAsia="宋体" w:cs="Times New Roman"/>
          <w:sz w:val="28"/>
          <w:szCs w:val="28"/>
          <w14:ligatures w14:val="none"/>
        </w:rPr>
        <w:t>重大生产安全事故隐患情况进行评价分析，见表5.</w:t>
      </w:r>
      <w:r>
        <w:rPr>
          <w:rFonts w:hint="eastAsia" w:ascii="Times New Roman" w:hAnsi="Times New Roman" w:eastAsia="宋体" w:cs="Times New Roman"/>
          <w:sz w:val="28"/>
          <w:szCs w:val="28"/>
          <w:lang w:val="en-US" w:eastAsia="zh-CN"/>
          <w14:ligatures w14:val="none"/>
        </w:rPr>
        <w:t>6</w:t>
      </w:r>
      <w:r>
        <w:rPr>
          <w:rFonts w:hint="eastAsia" w:ascii="Times New Roman" w:hAnsi="Times New Roman" w:eastAsia="宋体" w:cs="Times New Roman"/>
          <w:sz w:val="28"/>
          <w:szCs w:val="28"/>
          <w14:ligatures w14:val="none"/>
        </w:rPr>
        <w:t>-1。</w:t>
      </w:r>
    </w:p>
    <w:p w14:paraId="6DE5F5C1">
      <w:pPr>
        <w:keepNext/>
        <w:adjustRightInd w:val="0"/>
        <w:snapToGrid w:val="0"/>
        <w:spacing w:before="156" w:beforeLines="50" w:after="156" w:afterLines="50" w:line="240" w:lineRule="auto"/>
        <w:jc w:val="center"/>
        <w:rPr>
          <w:rFonts w:ascii="Times New Roman" w:hAnsi="Times New Roman" w:eastAsia="黑体" w:cs="Times New Roman"/>
          <w:sz w:val="24"/>
          <w14:ligatures w14:val="none"/>
        </w:rPr>
      </w:pPr>
      <w:r>
        <w:rPr>
          <w:rFonts w:hint="eastAsia" w:ascii="Times New Roman" w:hAnsi="Times New Roman" w:eastAsia="黑体" w:cs="Times New Roman"/>
          <w:sz w:val="24"/>
          <w14:ligatures w14:val="none"/>
        </w:rPr>
        <w:t>表5.</w:t>
      </w:r>
      <w:r>
        <w:rPr>
          <w:rFonts w:hint="eastAsia" w:ascii="Times New Roman" w:hAnsi="Times New Roman" w:eastAsia="黑体" w:cs="Times New Roman"/>
          <w:sz w:val="24"/>
          <w:lang w:val="en-US" w:eastAsia="zh-CN"/>
          <w14:ligatures w14:val="none"/>
        </w:rPr>
        <w:t>6</w:t>
      </w:r>
      <w:r>
        <w:rPr>
          <w:rFonts w:hint="eastAsia" w:ascii="Times New Roman" w:hAnsi="Times New Roman" w:eastAsia="黑体" w:cs="Times New Roman"/>
          <w:sz w:val="24"/>
          <w14:ligatures w14:val="none"/>
        </w:rPr>
        <w:t>-1  重大生产安全事故隐患单元安全检查表</w:t>
      </w:r>
    </w:p>
    <w:tbl>
      <w:tblPr>
        <w:tblStyle w:val="1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1"/>
        <w:gridCol w:w="3486"/>
        <w:gridCol w:w="2324"/>
        <w:gridCol w:w="2179"/>
        <w:gridCol w:w="690"/>
      </w:tblGrid>
      <w:tr w14:paraId="705B4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84" w:type="pct"/>
            <w:vAlign w:val="center"/>
          </w:tcPr>
          <w:p w14:paraId="06C0D34A">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序号</w:t>
            </w:r>
          </w:p>
        </w:tc>
        <w:tc>
          <w:tcPr>
            <w:tcW w:w="1854" w:type="pct"/>
            <w:vAlign w:val="center"/>
          </w:tcPr>
          <w:p w14:paraId="2E767388">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检查内容</w:t>
            </w:r>
          </w:p>
        </w:tc>
        <w:tc>
          <w:tcPr>
            <w:tcW w:w="1236" w:type="pct"/>
            <w:vAlign w:val="center"/>
          </w:tcPr>
          <w:p w14:paraId="113B0459">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检查依据</w:t>
            </w:r>
          </w:p>
        </w:tc>
        <w:tc>
          <w:tcPr>
            <w:tcW w:w="1159" w:type="pct"/>
            <w:vAlign w:val="center"/>
          </w:tcPr>
          <w:p w14:paraId="202278F1">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检查记录</w:t>
            </w:r>
          </w:p>
        </w:tc>
        <w:tc>
          <w:tcPr>
            <w:tcW w:w="367" w:type="pct"/>
            <w:vAlign w:val="center"/>
          </w:tcPr>
          <w:p w14:paraId="65866846">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结论</w:t>
            </w:r>
          </w:p>
        </w:tc>
      </w:tr>
      <w:tr w14:paraId="31C0F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78600B76">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17A49EC9">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危险化学品生产、经营单位主要负责人和安全生产管理人员未依法经考核合格</w:t>
            </w:r>
          </w:p>
        </w:tc>
        <w:tc>
          <w:tcPr>
            <w:tcW w:w="1236" w:type="pct"/>
            <w:vAlign w:val="center"/>
          </w:tcPr>
          <w:p w14:paraId="66305A52">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《化工和危险化学品生产经营单位重大生产安全事故隐患判定标准（试行）》第一条</w:t>
            </w:r>
          </w:p>
        </w:tc>
        <w:tc>
          <w:tcPr>
            <w:tcW w:w="1159" w:type="pct"/>
            <w:vAlign w:val="center"/>
          </w:tcPr>
          <w:p w14:paraId="6805DA1F">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主要负责人和安全生产管理人员考核合格</w:t>
            </w:r>
          </w:p>
        </w:tc>
        <w:tc>
          <w:tcPr>
            <w:tcW w:w="367" w:type="pct"/>
            <w:vAlign w:val="center"/>
          </w:tcPr>
          <w:p w14:paraId="438DCB67">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符合</w:t>
            </w:r>
          </w:p>
        </w:tc>
      </w:tr>
      <w:tr w14:paraId="65F4A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52C5FBE9">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105DF848">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特种作业人员未持证上岗</w:t>
            </w:r>
          </w:p>
        </w:tc>
        <w:tc>
          <w:tcPr>
            <w:tcW w:w="1236" w:type="pct"/>
            <w:vAlign w:val="center"/>
          </w:tcPr>
          <w:p w14:paraId="3FB4E02F">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《化工和危险化学品生产经营单位重大生产安全事故隐患判定标准（试行）》第二条</w:t>
            </w:r>
          </w:p>
        </w:tc>
        <w:tc>
          <w:tcPr>
            <w:tcW w:w="1159" w:type="pct"/>
            <w:vAlign w:val="center"/>
          </w:tcPr>
          <w:p w14:paraId="19095147">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特种作业人员持证上岗</w:t>
            </w:r>
          </w:p>
        </w:tc>
        <w:tc>
          <w:tcPr>
            <w:tcW w:w="367" w:type="pct"/>
            <w:vAlign w:val="center"/>
          </w:tcPr>
          <w:p w14:paraId="157FE158">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符合</w:t>
            </w:r>
          </w:p>
        </w:tc>
      </w:tr>
      <w:tr w14:paraId="3B261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764015A0">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138A87A0">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涉及</w:t>
            </w:r>
            <w:r>
              <w:rPr>
                <w:rFonts w:hint="eastAsia" w:ascii="Times New Roman" w:hAnsi="Times New Roman" w:eastAsia="宋体" w:cs="Times New Roman"/>
                <w:bCs/>
                <w:sz w:val="21"/>
                <w:szCs w:val="21"/>
                <w14:ligatures w14:val="none"/>
              </w:rPr>
              <w:t>“</w:t>
            </w:r>
            <w:r>
              <w:rPr>
                <w:rFonts w:ascii="Times New Roman" w:hAnsi="Times New Roman" w:eastAsia="宋体" w:cs="Times New Roman"/>
                <w:bCs/>
                <w:sz w:val="21"/>
                <w:szCs w:val="21"/>
                <w14:ligatures w14:val="none"/>
              </w:rPr>
              <w:t>两重点一重大</w:t>
            </w:r>
            <w:r>
              <w:rPr>
                <w:rFonts w:hint="eastAsia" w:ascii="Times New Roman" w:hAnsi="Times New Roman" w:eastAsia="宋体" w:cs="Times New Roman"/>
                <w:bCs/>
                <w:sz w:val="21"/>
                <w:szCs w:val="21"/>
                <w14:ligatures w14:val="none"/>
              </w:rPr>
              <w:t>”</w:t>
            </w:r>
            <w:r>
              <w:rPr>
                <w:rFonts w:ascii="Times New Roman" w:hAnsi="Times New Roman" w:eastAsia="宋体" w:cs="Times New Roman"/>
                <w:bCs/>
                <w:sz w:val="21"/>
                <w:szCs w:val="21"/>
                <w14:ligatures w14:val="none"/>
              </w:rPr>
              <w:t>的生产装置、储存设施外部安全防护距离是否符合国家标准要求</w:t>
            </w:r>
          </w:p>
        </w:tc>
        <w:tc>
          <w:tcPr>
            <w:tcW w:w="1236" w:type="pct"/>
            <w:vAlign w:val="center"/>
          </w:tcPr>
          <w:p w14:paraId="7E3EA83A">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《化工和危险化学品生产经营单位重大生产安全事故隐患判定标准（试行）》第三条</w:t>
            </w:r>
          </w:p>
        </w:tc>
        <w:tc>
          <w:tcPr>
            <w:tcW w:w="1159" w:type="pct"/>
            <w:vAlign w:val="center"/>
          </w:tcPr>
          <w:p w14:paraId="44C8B560">
            <w:pPr>
              <w:adjustRightInd w:val="0"/>
              <w:snapToGrid w:val="0"/>
              <w:spacing w:after="0" w:line="240" w:lineRule="auto"/>
              <w:jc w:val="both"/>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外部安全防护距离符合国家标准要求。</w:t>
            </w:r>
          </w:p>
        </w:tc>
        <w:tc>
          <w:tcPr>
            <w:tcW w:w="367" w:type="pct"/>
            <w:vAlign w:val="center"/>
          </w:tcPr>
          <w:p w14:paraId="62E30AE6">
            <w:pPr>
              <w:adjustRightInd w:val="0"/>
              <w:snapToGrid w:val="0"/>
              <w:spacing w:after="0" w:line="240" w:lineRule="auto"/>
              <w:jc w:val="both"/>
              <w:rPr>
                <w:rFonts w:hint="eastAsia" w:ascii="Times New Roman" w:hAnsi="Times New Roman" w:eastAsia="宋体" w:cs="Times New Roman"/>
                <w:bCs/>
                <w:sz w:val="21"/>
                <w:szCs w:val="21"/>
                <w:lang w:eastAsia="zh-CN"/>
                <w14:ligatures w14:val="none"/>
              </w:rPr>
            </w:pPr>
            <w:r>
              <w:rPr>
                <w:rFonts w:hint="eastAsia" w:ascii="Times New Roman" w:hAnsi="Times New Roman" w:eastAsia="宋体" w:cs="Times New Roman"/>
                <w:bCs/>
                <w:sz w:val="21"/>
                <w:szCs w:val="21"/>
                <w:lang w:val="en-US" w:eastAsia="zh-CN"/>
                <w14:ligatures w14:val="none"/>
              </w:rPr>
              <w:t>符合</w:t>
            </w:r>
          </w:p>
        </w:tc>
      </w:tr>
      <w:tr w14:paraId="58C8E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3E4FA951">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111F4BDD">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涉及重点监管危险化工工艺的装置未实现自动化控制，系统未实现紧急停车功能，装备的自动化控制系统、紧急停车系统未投入使用</w:t>
            </w:r>
          </w:p>
        </w:tc>
        <w:tc>
          <w:tcPr>
            <w:tcW w:w="1236" w:type="pct"/>
            <w:vAlign w:val="center"/>
          </w:tcPr>
          <w:p w14:paraId="482718A0">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《化工和危险化学品生产经营单位重大生产安全事故隐患判定标准（试行）》第四条</w:t>
            </w:r>
          </w:p>
        </w:tc>
        <w:tc>
          <w:tcPr>
            <w:tcW w:w="1159" w:type="pct"/>
            <w:vAlign w:val="center"/>
          </w:tcPr>
          <w:p w14:paraId="1EE88CB7">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未涉及重点监管危险工艺</w:t>
            </w:r>
          </w:p>
        </w:tc>
        <w:tc>
          <w:tcPr>
            <w:tcW w:w="367" w:type="pct"/>
            <w:vAlign w:val="center"/>
          </w:tcPr>
          <w:p w14:paraId="5A6B131C">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无关</w:t>
            </w:r>
          </w:p>
        </w:tc>
      </w:tr>
      <w:tr w14:paraId="170DC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2FA11174">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51275E0A">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构成一级、二级重大危险源的危险化学品罐区未实现紧急切断功能；涉及毒性气体、液化气体、剧毒液体的一级、二级重大危险源的危险化学品罐区未配备独立的安全仪表系统</w:t>
            </w:r>
          </w:p>
        </w:tc>
        <w:tc>
          <w:tcPr>
            <w:tcW w:w="1236" w:type="pct"/>
            <w:vAlign w:val="center"/>
          </w:tcPr>
          <w:p w14:paraId="19E60CB1">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《化工和危险化学品生产经营单位重大生产安全事故隐患判定标准（试行）》第五条</w:t>
            </w:r>
          </w:p>
        </w:tc>
        <w:tc>
          <w:tcPr>
            <w:tcW w:w="1159" w:type="pct"/>
            <w:vAlign w:val="center"/>
          </w:tcPr>
          <w:p w14:paraId="29819ACC">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构成</w:t>
            </w:r>
            <w:r>
              <w:rPr>
                <w:rFonts w:hint="eastAsia" w:ascii="Times New Roman" w:hAnsi="Times New Roman" w:eastAsia="宋体" w:cs="Times New Roman"/>
                <w:bCs/>
                <w:sz w:val="21"/>
                <w:szCs w:val="21"/>
                <w:lang w:val="en-US" w:eastAsia="zh-CN"/>
                <w14:ligatures w14:val="none"/>
              </w:rPr>
              <w:t>四级</w:t>
            </w:r>
            <w:r>
              <w:rPr>
                <w:rFonts w:ascii="Times New Roman" w:hAnsi="Times New Roman" w:eastAsia="宋体" w:cs="Times New Roman"/>
                <w:bCs/>
                <w:sz w:val="21"/>
                <w:szCs w:val="21"/>
                <w14:ligatures w14:val="none"/>
              </w:rPr>
              <w:t>危险化学品重大危险源</w:t>
            </w:r>
          </w:p>
        </w:tc>
        <w:tc>
          <w:tcPr>
            <w:tcW w:w="367" w:type="pct"/>
            <w:vAlign w:val="center"/>
          </w:tcPr>
          <w:p w14:paraId="6C1C5C4C">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无关</w:t>
            </w:r>
          </w:p>
        </w:tc>
      </w:tr>
      <w:tr w14:paraId="4051D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06B69E13">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26DB04E3">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全压力式液化烃储罐未按国家标准设置注水措施</w:t>
            </w:r>
          </w:p>
        </w:tc>
        <w:tc>
          <w:tcPr>
            <w:tcW w:w="1236" w:type="pct"/>
            <w:vAlign w:val="center"/>
          </w:tcPr>
          <w:p w14:paraId="6A690307">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《化工和危险化学品生产经营单位重大生产安全事故隐患判定标准（试行）》第六条</w:t>
            </w:r>
          </w:p>
        </w:tc>
        <w:tc>
          <w:tcPr>
            <w:tcW w:w="1159" w:type="pct"/>
            <w:vAlign w:val="center"/>
          </w:tcPr>
          <w:p w14:paraId="59A622B2">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未涉及全压力式液化烃储罐</w:t>
            </w:r>
          </w:p>
        </w:tc>
        <w:tc>
          <w:tcPr>
            <w:tcW w:w="367" w:type="pct"/>
            <w:vAlign w:val="center"/>
          </w:tcPr>
          <w:p w14:paraId="558DE9DE">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无关</w:t>
            </w:r>
          </w:p>
        </w:tc>
      </w:tr>
      <w:tr w14:paraId="4E31E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1E99C37F">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0BED8F78">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液化烃、液氨、液氯等易燃易爆、有毒有害液化气体的充装未使用万向管道充装系统</w:t>
            </w:r>
          </w:p>
        </w:tc>
        <w:tc>
          <w:tcPr>
            <w:tcW w:w="1236" w:type="pct"/>
            <w:vAlign w:val="center"/>
          </w:tcPr>
          <w:p w14:paraId="3702D687">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《化工和危险化学品生产经营单位重大生产安全事故隐患判定标准（试行）》第七条</w:t>
            </w:r>
          </w:p>
        </w:tc>
        <w:tc>
          <w:tcPr>
            <w:tcW w:w="1159" w:type="pct"/>
            <w:vAlign w:val="center"/>
          </w:tcPr>
          <w:p w14:paraId="02ECC207">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未涉及液化烃、液氨、液氯等易燃易爆、有毒有害液化气体的充装</w:t>
            </w:r>
          </w:p>
        </w:tc>
        <w:tc>
          <w:tcPr>
            <w:tcW w:w="367" w:type="pct"/>
            <w:vAlign w:val="center"/>
          </w:tcPr>
          <w:p w14:paraId="4FDC36DF">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无关</w:t>
            </w:r>
          </w:p>
        </w:tc>
      </w:tr>
      <w:tr w14:paraId="3B77D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6BC18364">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79DA957A">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光气、氯气等剧毒气体及硫化氢气体管道穿越除厂区</w:t>
            </w:r>
            <w:r>
              <w:rPr>
                <w:rFonts w:hint="eastAsia" w:ascii="Times New Roman" w:hAnsi="Times New Roman" w:eastAsia="宋体" w:cs="Times New Roman"/>
                <w:bCs/>
                <w:sz w:val="21"/>
                <w:szCs w:val="21"/>
                <w14:ligatures w14:val="none"/>
              </w:rPr>
              <w:t>（</w:t>
            </w:r>
            <w:r>
              <w:rPr>
                <w:rFonts w:ascii="Times New Roman" w:hAnsi="Times New Roman" w:eastAsia="宋体" w:cs="Times New Roman"/>
                <w:bCs/>
                <w:sz w:val="21"/>
                <w:szCs w:val="21"/>
                <w14:ligatures w14:val="none"/>
              </w:rPr>
              <w:t>包括化工园区、工业园区）外的公共区域</w:t>
            </w:r>
          </w:p>
        </w:tc>
        <w:tc>
          <w:tcPr>
            <w:tcW w:w="1236" w:type="pct"/>
            <w:vAlign w:val="center"/>
          </w:tcPr>
          <w:p w14:paraId="200B126B">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《化工和危险化学品生产经营单位重大生产安全事故隐患判定标准（试行）》第八条</w:t>
            </w:r>
          </w:p>
        </w:tc>
        <w:tc>
          <w:tcPr>
            <w:tcW w:w="1159" w:type="pct"/>
            <w:vAlign w:val="center"/>
          </w:tcPr>
          <w:p w14:paraId="63CE5D0C">
            <w:pPr>
              <w:adjustRightInd w:val="0"/>
              <w:snapToGrid w:val="0"/>
              <w:spacing w:after="0" w:line="240" w:lineRule="auto"/>
              <w:jc w:val="both"/>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lang w:val="en-US" w:eastAsia="zh-CN"/>
                <w14:ligatures w14:val="none"/>
              </w:rPr>
              <w:t>未涉及</w:t>
            </w:r>
            <w:r>
              <w:rPr>
                <w:rFonts w:ascii="Times New Roman" w:hAnsi="Times New Roman" w:eastAsia="宋体" w:cs="Times New Roman"/>
                <w:bCs/>
                <w:sz w:val="21"/>
                <w:szCs w:val="21"/>
                <w14:ligatures w14:val="none"/>
              </w:rPr>
              <w:t>剧毒气体存在的管道，且未穿越公共区域</w:t>
            </w:r>
          </w:p>
        </w:tc>
        <w:tc>
          <w:tcPr>
            <w:tcW w:w="367" w:type="pct"/>
            <w:vAlign w:val="center"/>
          </w:tcPr>
          <w:p w14:paraId="7ED48ED1">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无关</w:t>
            </w:r>
          </w:p>
        </w:tc>
      </w:tr>
      <w:tr w14:paraId="17688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7ED810C6">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4208752A">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地区架空电力线路穿越生产区且不符合国家标准要求</w:t>
            </w:r>
          </w:p>
        </w:tc>
        <w:tc>
          <w:tcPr>
            <w:tcW w:w="1236" w:type="pct"/>
            <w:vAlign w:val="center"/>
          </w:tcPr>
          <w:p w14:paraId="569DB78B">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《化工和危险化学品生产经营单位重大生产安全事故隐患判定标准（试行）》第九条</w:t>
            </w:r>
          </w:p>
        </w:tc>
        <w:tc>
          <w:tcPr>
            <w:tcW w:w="1159" w:type="pct"/>
            <w:vAlign w:val="center"/>
          </w:tcPr>
          <w:p w14:paraId="7B9738EB">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地区架空电力线路未穿越本企业生产区</w:t>
            </w:r>
          </w:p>
        </w:tc>
        <w:tc>
          <w:tcPr>
            <w:tcW w:w="367" w:type="pct"/>
            <w:vAlign w:val="center"/>
          </w:tcPr>
          <w:p w14:paraId="736F7F03">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符合</w:t>
            </w:r>
          </w:p>
        </w:tc>
      </w:tr>
      <w:tr w14:paraId="7A602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20552446">
            <w:pPr>
              <w:numPr>
                <w:ilvl w:val="0"/>
                <w:numId w:val="9"/>
              </w:numPr>
              <w:adjustRightInd w:val="0"/>
              <w:snapToGrid w:val="0"/>
              <w:spacing w:after="0" w:line="240" w:lineRule="auto"/>
              <w:jc w:val="center"/>
              <w:rPr>
                <w:rFonts w:ascii="Times New Roman" w:hAnsi="Times New Roman" w:eastAsia="宋体" w:cs="Times New Roman"/>
                <w:bCs/>
                <w:color w:val="000000" w:themeColor="text1"/>
                <w:sz w:val="21"/>
                <w:szCs w:val="21"/>
                <w14:textFill>
                  <w14:solidFill>
                    <w14:schemeClr w14:val="tx1"/>
                  </w14:solidFill>
                </w14:textFill>
                <w14:ligatures w14:val="none"/>
              </w:rPr>
            </w:pPr>
          </w:p>
        </w:tc>
        <w:tc>
          <w:tcPr>
            <w:tcW w:w="1854" w:type="pct"/>
            <w:vAlign w:val="center"/>
          </w:tcPr>
          <w:p w14:paraId="7D5D584F">
            <w:pPr>
              <w:adjustRightInd w:val="0"/>
              <w:snapToGrid w:val="0"/>
              <w:spacing w:after="0" w:line="240" w:lineRule="auto"/>
              <w:jc w:val="both"/>
              <w:rPr>
                <w:rFonts w:ascii="Times New Roman" w:hAnsi="Times New Roman" w:eastAsia="宋体" w:cs="Times New Roman"/>
                <w:bCs/>
                <w:color w:val="000000" w:themeColor="text1"/>
                <w:sz w:val="21"/>
                <w:szCs w:val="21"/>
                <w14:textFill>
                  <w14:solidFill>
                    <w14:schemeClr w14:val="tx1"/>
                  </w14:solidFill>
                </w14:textFill>
                <w14:ligatures w14:val="none"/>
              </w:rPr>
            </w:pPr>
            <w:r>
              <w:rPr>
                <w:rFonts w:ascii="Times New Roman" w:hAnsi="Times New Roman" w:eastAsia="宋体" w:cs="Times New Roman"/>
                <w:bCs/>
                <w:color w:val="000000" w:themeColor="text1"/>
                <w:sz w:val="21"/>
                <w:szCs w:val="21"/>
                <w14:textFill>
                  <w14:solidFill>
                    <w14:schemeClr w14:val="tx1"/>
                  </w14:solidFill>
                </w14:textFill>
                <w14:ligatures w14:val="none"/>
              </w:rPr>
              <w:t>在役化工装置未经正规设计且未进行安全设计诊断</w:t>
            </w:r>
          </w:p>
        </w:tc>
        <w:tc>
          <w:tcPr>
            <w:tcW w:w="1236" w:type="pct"/>
            <w:vAlign w:val="center"/>
          </w:tcPr>
          <w:p w14:paraId="74334210">
            <w:pPr>
              <w:adjustRightInd w:val="0"/>
              <w:snapToGrid w:val="0"/>
              <w:spacing w:after="0" w:line="240" w:lineRule="auto"/>
              <w:jc w:val="both"/>
              <w:rPr>
                <w:rFonts w:ascii="Times New Roman" w:hAnsi="Times New Roman" w:eastAsia="宋体" w:cs="Times New Roman"/>
                <w:bCs/>
                <w:color w:val="000000" w:themeColor="text1"/>
                <w:sz w:val="21"/>
                <w:szCs w:val="21"/>
                <w14:textFill>
                  <w14:solidFill>
                    <w14:schemeClr w14:val="tx1"/>
                  </w14:solidFill>
                </w14:textFill>
                <w14:ligatures w14:val="none"/>
              </w:rPr>
            </w:pPr>
            <w:r>
              <w:rPr>
                <w:rFonts w:ascii="Times New Roman" w:hAnsi="Times New Roman" w:eastAsia="宋体" w:cs="Times New Roman"/>
                <w:bCs/>
                <w:color w:val="000000" w:themeColor="text1"/>
                <w:sz w:val="21"/>
                <w:szCs w:val="21"/>
                <w14:textFill>
                  <w14:solidFill>
                    <w14:schemeClr w14:val="tx1"/>
                  </w14:solidFill>
                </w14:textFill>
                <w14:ligatures w14:val="none"/>
              </w:rPr>
              <w:t>《化工和危险化学品生产经营单位重大生产安全事故隐患判定标准（试行）》第十条</w:t>
            </w:r>
          </w:p>
        </w:tc>
        <w:tc>
          <w:tcPr>
            <w:tcW w:w="2179" w:type="dxa"/>
            <w:vAlign w:val="center"/>
          </w:tcPr>
          <w:p w14:paraId="6D7A5CE7">
            <w:pPr>
              <w:adjustRightInd w:val="0"/>
              <w:snapToGrid w:val="0"/>
              <w:spacing w:after="0" w:line="240" w:lineRule="auto"/>
              <w:jc w:val="both"/>
              <w:rPr>
                <w:rFonts w:hint="default" w:ascii="Times New Roman" w:hAnsi="Times New Roman" w:eastAsia="宋体" w:cs="Times New Roman"/>
                <w:bCs/>
                <w:color w:val="000000" w:themeColor="text1"/>
                <w:sz w:val="21"/>
                <w:szCs w:val="21"/>
                <w:lang w:val="en-US" w:eastAsia="zh-CN"/>
                <w14:textFill>
                  <w14:solidFill>
                    <w14:schemeClr w14:val="tx1"/>
                  </w14:solidFill>
                </w14:textFill>
                <w14:ligatures w14:val="none"/>
              </w:rPr>
            </w:pPr>
            <w:r>
              <w:rPr>
                <w:rFonts w:hint="eastAsia" w:ascii="Times New Roman" w:hAnsi="Times New Roman" w:eastAsia="宋体" w:cs="Times New Roman"/>
                <w:bCs/>
                <w:color w:val="000000" w:themeColor="text1"/>
                <w:sz w:val="21"/>
                <w:szCs w:val="21"/>
                <w14:textFill>
                  <w14:solidFill>
                    <w14:schemeClr w14:val="tx1"/>
                  </w14:solidFill>
                </w14:textFill>
                <w14:ligatures w14:val="none"/>
              </w:rPr>
              <w:t>在役化工装置经正规设计</w:t>
            </w:r>
          </w:p>
        </w:tc>
        <w:tc>
          <w:tcPr>
            <w:tcW w:w="367" w:type="pct"/>
            <w:vAlign w:val="center"/>
          </w:tcPr>
          <w:p w14:paraId="0A4B0088">
            <w:pPr>
              <w:adjustRightInd w:val="0"/>
              <w:snapToGrid w:val="0"/>
              <w:spacing w:after="0" w:line="240" w:lineRule="auto"/>
              <w:jc w:val="center"/>
              <w:rPr>
                <w:rFonts w:ascii="Times New Roman" w:hAnsi="Times New Roman" w:eastAsia="宋体" w:cs="Times New Roman"/>
                <w:bCs/>
                <w:color w:val="000000" w:themeColor="text1"/>
                <w:sz w:val="21"/>
                <w:szCs w:val="21"/>
                <w14:textFill>
                  <w14:solidFill>
                    <w14:schemeClr w14:val="tx1"/>
                  </w14:solidFill>
                </w14:textFill>
                <w14:ligatures w14:val="none"/>
              </w:rPr>
            </w:pPr>
            <w:r>
              <w:rPr>
                <w:rFonts w:ascii="Times New Roman" w:hAnsi="Times New Roman" w:eastAsia="宋体" w:cs="Times New Roman"/>
                <w:bCs/>
                <w:color w:val="000000" w:themeColor="text1"/>
                <w:sz w:val="21"/>
                <w:szCs w:val="21"/>
                <w14:textFill>
                  <w14:solidFill>
                    <w14:schemeClr w14:val="tx1"/>
                  </w14:solidFill>
                </w14:textFill>
                <w14:ligatures w14:val="none"/>
              </w:rPr>
              <w:t>符合</w:t>
            </w:r>
          </w:p>
        </w:tc>
      </w:tr>
      <w:tr w14:paraId="1BBC8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56275014">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3D37F64B">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使用淘汰落后安全技术工艺、设备目录列出的工艺、设备</w:t>
            </w:r>
          </w:p>
        </w:tc>
        <w:tc>
          <w:tcPr>
            <w:tcW w:w="1236" w:type="pct"/>
            <w:vAlign w:val="center"/>
          </w:tcPr>
          <w:p w14:paraId="61378BAF">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《化工和危险化学品生产经营单位重大生产安全事故隐患判定标准（试行）》第十一条</w:t>
            </w:r>
          </w:p>
        </w:tc>
        <w:tc>
          <w:tcPr>
            <w:tcW w:w="1159" w:type="pct"/>
            <w:vAlign w:val="center"/>
          </w:tcPr>
          <w:p w14:paraId="2AF69689">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未使用淘汰落后安全技术工艺、设备目录列出的工艺、设备</w:t>
            </w:r>
          </w:p>
        </w:tc>
        <w:tc>
          <w:tcPr>
            <w:tcW w:w="367" w:type="pct"/>
            <w:vAlign w:val="center"/>
          </w:tcPr>
          <w:p w14:paraId="50F9D711">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符合</w:t>
            </w:r>
          </w:p>
        </w:tc>
      </w:tr>
      <w:tr w14:paraId="16265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2A2422D3">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4758C288">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涉及可燃和有毒有害气体泄漏的场所未按国家标准设置检测报警装置，爆炸危险场所未按国家标准安装使用防爆电气设备</w:t>
            </w:r>
          </w:p>
        </w:tc>
        <w:tc>
          <w:tcPr>
            <w:tcW w:w="1236" w:type="pct"/>
            <w:vAlign w:val="center"/>
          </w:tcPr>
          <w:p w14:paraId="7775A7F7">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《化工和危险化学品生产经营单位重大生产安全事故隐患判定标准（试行）》第十二条</w:t>
            </w:r>
          </w:p>
        </w:tc>
        <w:tc>
          <w:tcPr>
            <w:tcW w:w="1159" w:type="pct"/>
            <w:vAlign w:val="center"/>
          </w:tcPr>
          <w:p w14:paraId="77B9B094">
            <w:pPr>
              <w:adjustRightInd w:val="0"/>
              <w:snapToGrid w:val="0"/>
              <w:spacing w:after="0" w:line="240" w:lineRule="auto"/>
              <w:jc w:val="both"/>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装有检测报警装置，爆炸危险场所使用防爆电器</w:t>
            </w:r>
          </w:p>
        </w:tc>
        <w:tc>
          <w:tcPr>
            <w:tcW w:w="367" w:type="pct"/>
            <w:vAlign w:val="center"/>
          </w:tcPr>
          <w:p w14:paraId="29B815BA">
            <w:pPr>
              <w:adjustRightInd w:val="0"/>
              <w:snapToGrid w:val="0"/>
              <w:spacing w:after="0" w:line="240" w:lineRule="auto"/>
              <w:jc w:val="center"/>
              <w:rPr>
                <w:rFonts w:hint="eastAsia" w:ascii="Times New Roman" w:hAnsi="Times New Roman" w:eastAsia="宋体" w:cs="Times New Roman"/>
                <w:bCs/>
                <w:sz w:val="21"/>
                <w:szCs w:val="21"/>
                <w:lang w:eastAsia="zh-CN"/>
                <w14:ligatures w14:val="none"/>
              </w:rPr>
            </w:pPr>
            <w:r>
              <w:rPr>
                <w:rFonts w:hint="eastAsia" w:ascii="Times New Roman" w:hAnsi="Times New Roman" w:eastAsia="宋体" w:cs="Times New Roman"/>
                <w:bCs/>
                <w:sz w:val="21"/>
                <w:szCs w:val="21"/>
                <w:lang w:val="en-US" w:eastAsia="zh-CN"/>
                <w14:ligatures w14:val="none"/>
              </w:rPr>
              <w:t>符合</w:t>
            </w:r>
          </w:p>
        </w:tc>
      </w:tr>
      <w:tr w14:paraId="0AEBF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574D8C7D">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55138507">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控制室或机柜间面向具有火灾、爆炸危险性装置一侧不满足国家标准关于防火防爆的要求</w:t>
            </w:r>
          </w:p>
        </w:tc>
        <w:tc>
          <w:tcPr>
            <w:tcW w:w="1236" w:type="pct"/>
            <w:vAlign w:val="center"/>
          </w:tcPr>
          <w:p w14:paraId="05A29D5E">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《化工和危险化学品生产经营单位重大生产安全事故隐患判定标准（试行）》第十三条</w:t>
            </w:r>
          </w:p>
        </w:tc>
        <w:tc>
          <w:tcPr>
            <w:tcW w:w="1159" w:type="pct"/>
            <w:vAlign w:val="center"/>
          </w:tcPr>
          <w:p w14:paraId="4A7BCCA1">
            <w:pPr>
              <w:adjustRightInd w:val="0"/>
              <w:snapToGrid w:val="0"/>
              <w:spacing w:after="0" w:line="240" w:lineRule="auto"/>
              <w:jc w:val="both"/>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lang w:val="en-US" w:eastAsia="zh-CN"/>
                <w14:ligatures w14:val="none"/>
              </w:rPr>
              <w:t>不涉及</w:t>
            </w:r>
            <w:r>
              <w:rPr>
                <w:rFonts w:ascii="Times New Roman" w:hAnsi="Times New Roman" w:eastAsia="宋体" w:cs="Times New Roman"/>
                <w:bCs/>
                <w:sz w:val="21"/>
                <w:szCs w:val="21"/>
                <w14:ligatures w14:val="none"/>
              </w:rPr>
              <w:t>控制室</w:t>
            </w:r>
            <w:r>
              <w:rPr>
                <w:rFonts w:hint="eastAsia" w:ascii="Times New Roman" w:hAnsi="Times New Roman" w:eastAsia="宋体" w:cs="Times New Roman"/>
                <w:bCs/>
                <w:sz w:val="21"/>
                <w:szCs w:val="21"/>
                <w14:ligatures w14:val="none"/>
              </w:rPr>
              <w:t>面向具有火灾、爆炸危险性装置一侧</w:t>
            </w:r>
          </w:p>
        </w:tc>
        <w:tc>
          <w:tcPr>
            <w:tcW w:w="367" w:type="pct"/>
            <w:vAlign w:val="center"/>
          </w:tcPr>
          <w:p w14:paraId="0A662026">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符合</w:t>
            </w:r>
          </w:p>
        </w:tc>
      </w:tr>
      <w:tr w14:paraId="36487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192C4882">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52E655CD">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化工生产装置未按国家标准要求设置双重电源供电，自动化控制系统未设置不间断电源</w:t>
            </w:r>
          </w:p>
        </w:tc>
        <w:tc>
          <w:tcPr>
            <w:tcW w:w="1236" w:type="pct"/>
            <w:vAlign w:val="center"/>
          </w:tcPr>
          <w:p w14:paraId="3C396B39">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《化工和危险化学品生产经营单位重大生产安全事故隐患判定标准（试行）》第十四条</w:t>
            </w:r>
          </w:p>
        </w:tc>
        <w:tc>
          <w:tcPr>
            <w:tcW w:w="1159" w:type="pct"/>
            <w:vAlign w:val="center"/>
          </w:tcPr>
          <w:p w14:paraId="214EBDF9">
            <w:pPr>
              <w:adjustRightInd w:val="0"/>
              <w:snapToGrid w:val="0"/>
              <w:spacing w:after="0" w:line="240" w:lineRule="auto"/>
              <w:jc w:val="both"/>
              <w:rPr>
                <w:rFonts w:hint="eastAsia"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自动化控制系统设置了UPS 电源。</w:t>
            </w:r>
          </w:p>
        </w:tc>
        <w:tc>
          <w:tcPr>
            <w:tcW w:w="367" w:type="pct"/>
            <w:vAlign w:val="center"/>
          </w:tcPr>
          <w:p w14:paraId="64DABB18">
            <w:pPr>
              <w:adjustRightInd w:val="0"/>
              <w:snapToGrid w:val="0"/>
              <w:spacing w:after="0" w:line="240" w:lineRule="auto"/>
              <w:jc w:val="both"/>
              <w:rPr>
                <w:rFonts w:hint="eastAsia" w:ascii="Times New Roman" w:hAnsi="Times New Roman" w:eastAsia="宋体" w:cs="Times New Roman"/>
                <w:bCs/>
                <w:sz w:val="21"/>
                <w:szCs w:val="21"/>
                <w:lang w:eastAsia="zh-CN"/>
                <w14:ligatures w14:val="none"/>
              </w:rPr>
            </w:pPr>
            <w:r>
              <w:rPr>
                <w:rFonts w:hint="eastAsia" w:ascii="Times New Roman" w:hAnsi="Times New Roman" w:eastAsia="宋体" w:cs="Times New Roman"/>
                <w:bCs/>
                <w:sz w:val="21"/>
                <w:szCs w:val="21"/>
                <w:lang w:val="en-US" w:eastAsia="zh-CN"/>
                <w14:ligatures w14:val="none"/>
              </w:rPr>
              <w:t>无关</w:t>
            </w:r>
          </w:p>
        </w:tc>
      </w:tr>
      <w:tr w14:paraId="482E5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15F26D29">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10528707">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安全阀、爆破片等安全附件未正常投用</w:t>
            </w:r>
          </w:p>
        </w:tc>
        <w:tc>
          <w:tcPr>
            <w:tcW w:w="1236" w:type="pct"/>
            <w:vAlign w:val="center"/>
          </w:tcPr>
          <w:p w14:paraId="5E3337F8">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《化工和危险化学品生产经营单位重大生产安全事故隐患判定标准（试行）》第十五条</w:t>
            </w:r>
          </w:p>
        </w:tc>
        <w:tc>
          <w:tcPr>
            <w:tcW w:w="1159" w:type="pct"/>
            <w:vAlign w:val="center"/>
          </w:tcPr>
          <w:p w14:paraId="6DF715C9">
            <w:pPr>
              <w:adjustRightInd w:val="0"/>
              <w:snapToGrid w:val="0"/>
              <w:spacing w:after="0" w:line="240" w:lineRule="auto"/>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无安全阀及爆破片等，压力表正常投用</w:t>
            </w:r>
          </w:p>
        </w:tc>
        <w:tc>
          <w:tcPr>
            <w:tcW w:w="367" w:type="pct"/>
            <w:vAlign w:val="center"/>
          </w:tcPr>
          <w:p w14:paraId="3B0BA10D">
            <w:pPr>
              <w:adjustRightInd w:val="0"/>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符合</w:t>
            </w:r>
          </w:p>
        </w:tc>
      </w:tr>
      <w:tr w14:paraId="0D2E6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34165BFC">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58D39A41">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未建立与岗位相匹配的全员安全生产责任制或者未制定实施生产安全事故隐患排查治理制度</w:t>
            </w:r>
          </w:p>
        </w:tc>
        <w:tc>
          <w:tcPr>
            <w:tcW w:w="1236" w:type="pct"/>
            <w:vAlign w:val="center"/>
          </w:tcPr>
          <w:p w14:paraId="1154493A">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《化工和危险化学品生产经营单位重大生产安全事故隐患判定标准（试行）》第十六条</w:t>
            </w:r>
          </w:p>
        </w:tc>
        <w:tc>
          <w:tcPr>
            <w:tcW w:w="1159" w:type="pct"/>
            <w:vAlign w:val="center"/>
          </w:tcPr>
          <w:p w14:paraId="698A014C">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已经建立与岗位相匹配的全员安全生产责任制；并制定实施生产安全事故隐患排查治理制度</w:t>
            </w:r>
          </w:p>
        </w:tc>
        <w:tc>
          <w:tcPr>
            <w:tcW w:w="367" w:type="pct"/>
            <w:vAlign w:val="center"/>
          </w:tcPr>
          <w:p w14:paraId="6E60A888">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符合</w:t>
            </w:r>
          </w:p>
        </w:tc>
      </w:tr>
      <w:tr w14:paraId="3894F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48377BC3">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1393BDB6">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未制定操作规程和工艺控制指标</w:t>
            </w:r>
          </w:p>
        </w:tc>
        <w:tc>
          <w:tcPr>
            <w:tcW w:w="1236" w:type="pct"/>
            <w:vAlign w:val="center"/>
          </w:tcPr>
          <w:p w14:paraId="0C55D933">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《化工和危险化学品生产经营单位重大生产安全事故隐患判定标准（试行）》第十七条</w:t>
            </w:r>
          </w:p>
        </w:tc>
        <w:tc>
          <w:tcPr>
            <w:tcW w:w="1159" w:type="pct"/>
            <w:vAlign w:val="center"/>
          </w:tcPr>
          <w:p w14:paraId="547A310C">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制定操作规程和工艺控制指标</w:t>
            </w:r>
          </w:p>
        </w:tc>
        <w:tc>
          <w:tcPr>
            <w:tcW w:w="367" w:type="pct"/>
            <w:vAlign w:val="center"/>
          </w:tcPr>
          <w:p w14:paraId="6EB88A0D">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符合</w:t>
            </w:r>
          </w:p>
        </w:tc>
      </w:tr>
      <w:tr w14:paraId="052DB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45A4CFA5">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5EBEC14F">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未按照国家标准制定动火、进入受限空间等特殊作业管理制度，或者制度未有效执行</w:t>
            </w:r>
          </w:p>
        </w:tc>
        <w:tc>
          <w:tcPr>
            <w:tcW w:w="1236" w:type="pct"/>
            <w:vAlign w:val="center"/>
          </w:tcPr>
          <w:p w14:paraId="5531A60B">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《化工和危险化学品生产经营单位重大生产安全事故隐患判定标准（试行）》第十八条</w:t>
            </w:r>
          </w:p>
        </w:tc>
        <w:tc>
          <w:tcPr>
            <w:tcW w:w="1159" w:type="pct"/>
            <w:vAlign w:val="center"/>
          </w:tcPr>
          <w:p w14:paraId="6CBBC7FD">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已经制定动火、进入受限空间等特殊作业管理制度，并有效执行</w:t>
            </w:r>
          </w:p>
        </w:tc>
        <w:tc>
          <w:tcPr>
            <w:tcW w:w="367" w:type="pct"/>
            <w:vAlign w:val="center"/>
          </w:tcPr>
          <w:p w14:paraId="7AF431F6">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符合</w:t>
            </w:r>
          </w:p>
        </w:tc>
      </w:tr>
      <w:tr w14:paraId="2B3E9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44E12A2E">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0D1C0E6A">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新开发的危险化学品生产工艺未经小试、中试、工业化试验直接进行工业化生产；国内首次使用的化工工艺未经过省级人民政府有关部门组织的安全可靠性论证；新建装置未制定试生产方案投料开车；精细化工企业未按规范性文件要求开展反应安全风险评估</w:t>
            </w:r>
          </w:p>
        </w:tc>
        <w:tc>
          <w:tcPr>
            <w:tcW w:w="1236" w:type="pct"/>
            <w:vAlign w:val="center"/>
          </w:tcPr>
          <w:p w14:paraId="72C52013">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《化工和危险化学品生产经营单位重大生产安全事故隐患判定标准（试行）》第十九条</w:t>
            </w:r>
          </w:p>
        </w:tc>
        <w:tc>
          <w:tcPr>
            <w:tcW w:w="1159" w:type="pct"/>
            <w:vAlign w:val="center"/>
          </w:tcPr>
          <w:p w14:paraId="0F6C5D3C">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未涉及上述事项</w:t>
            </w:r>
          </w:p>
        </w:tc>
        <w:tc>
          <w:tcPr>
            <w:tcW w:w="367" w:type="pct"/>
            <w:vAlign w:val="center"/>
          </w:tcPr>
          <w:p w14:paraId="4B4182AA">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无关</w:t>
            </w:r>
          </w:p>
        </w:tc>
      </w:tr>
      <w:tr w14:paraId="73FC1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4" w:type="pct"/>
            <w:vAlign w:val="center"/>
          </w:tcPr>
          <w:p w14:paraId="1A8B8F97">
            <w:pPr>
              <w:numPr>
                <w:ilvl w:val="0"/>
                <w:numId w:val="9"/>
              </w:numPr>
              <w:adjustRightInd w:val="0"/>
              <w:snapToGrid w:val="0"/>
              <w:spacing w:after="0" w:line="240" w:lineRule="auto"/>
              <w:jc w:val="center"/>
              <w:rPr>
                <w:rFonts w:ascii="Times New Roman" w:hAnsi="Times New Roman" w:eastAsia="宋体" w:cs="Times New Roman"/>
                <w:bCs/>
                <w:sz w:val="21"/>
                <w:szCs w:val="21"/>
                <w14:ligatures w14:val="none"/>
              </w:rPr>
            </w:pPr>
          </w:p>
        </w:tc>
        <w:tc>
          <w:tcPr>
            <w:tcW w:w="1854" w:type="pct"/>
            <w:vAlign w:val="center"/>
          </w:tcPr>
          <w:p w14:paraId="771065AD">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未按国家标准分区分类储存危险化学品，超量、超品种储存危险化学品，相互禁配物质混放混存</w:t>
            </w:r>
          </w:p>
        </w:tc>
        <w:tc>
          <w:tcPr>
            <w:tcW w:w="1236" w:type="pct"/>
            <w:vAlign w:val="center"/>
          </w:tcPr>
          <w:p w14:paraId="592CE06D">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《化工和危险化学品生产经营单位重大生产安全事故隐患判定标准（试行）》第二十条</w:t>
            </w:r>
          </w:p>
        </w:tc>
        <w:tc>
          <w:tcPr>
            <w:tcW w:w="1159" w:type="pct"/>
            <w:vAlign w:val="center"/>
          </w:tcPr>
          <w:p w14:paraId="29AA9402">
            <w:pPr>
              <w:adjustRightInd w:val="0"/>
              <w:snapToGrid w:val="0"/>
              <w:spacing w:after="0" w:line="240" w:lineRule="auto"/>
              <w:jc w:val="both"/>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按国家标准分区分类储存危险化学品，未超量、超品种存放，无禁配物质混存情况</w:t>
            </w:r>
          </w:p>
        </w:tc>
        <w:tc>
          <w:tcPr>
            <w:tcW w:w="367" w:type="pct"/>
            <w:vAlign w:val="center"/>
          </w:tcPr>
          <w:p w14:paraId="0FFCE579">
            <w:pPr>
              <w:adjustRightInd w:val="0"/>
              <w:snapToGrid w:val="0"/>
              <w:spacing w:after="0" w:line="240" w:lineRule="auto"/>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 xml:space="preserve">符合 </w:t>
            </w:r>
          </w:p>
        </w:tc>
      </w:tr>
    </w:tbl>
    <w:p w14:paraId="5F449394">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小结：通过对重大生产安全事故隐患单元进行安全评价，共检查20项，</w:t>
      </w:r>
      <w:r>
        <w:rPr>
          <w:rFonts w:hint="eastAsia" w:ascii="Times New Roman" w:hAnsi="Times New Roman" w:eastAsia="宋体" w:cs="Times New Roman"/>
          <w:sz w:val="28"/>
          <w:szCs w:val="28"/>
          <w:lang w:val="en-US" w:eastAsia="zh-CN"/>
          <w14:ligatures w14:val="none"/>
        </w:rPr>
        <w:t>其中7项为无关项，13项为符合项</w:t>
      </w:r>
      <w:r>
        <w:rPr>
          <w:rFonts w:hint="eastAsia" w:ascii="Times New Roman" w:hAnsi="Times New Roman" w:eastAsia="宋体" w:cs="Times New Roman"/>
          <w:sz w:val="28"/>
          <w:szCs w:val="28"/>
          <w14:ligatures w14:val="none"/>
        </w:rPr>
        <w:t>。</w:t>
      </w:r>
    </w:p>
    <w:p w14:paraId="01F58B2F">
      <w:pPr>
        <w:adjustRightInd w:val="0"/>
        <w:snapToGrid w:val="0"/>
        <w:spacing w:before="240" w:beforeLines="100" w:after="120" w:afterLines="50" w:line="360" w:lineRule="auto"/>
        <w:jc w:val="center"/>
        <w:outlineLvl w:val="1"/>
        <w:rPr>
          <w:rFonts w:ascii="Times New Roman" w:hAnsi="Times New Roman" w:eastAsia="楷体" w:cs="Times New Roman"/>
          <w:b/>
          <w:bCs/>
          <w:color w:val="auto"/>
          <w:kern w:val="28"/>
          <w:sz w:val="32"/>
          <w:szCs w:val="32"/>
          <w14:ligatures w14:val="none"/>
        </w:rPr>
      </w:pPr>
      <w:bookmarkStart w:id="137" w:name="_Toc20482"/>
      <w:bookmarkStart w:id="138" w:name="_Toc15941"/>
      <w:r>
        <w:rPr>
          <w:rFonts w:hint="eastAsia" w:ascii="Times New Roman" w:hAnsi="Times New Roman" w:eastAsia="楷体" w:cs="Times New Roman"/>
          <w:b/>
          <w:bCs/>
          <w:color w:val="auto"/>
          <w:kern w:val="28"/>
          <w:sz w:val="32"/>
          <w:szCs w:val="32"/>
          <w14:ligatures w14:val="none"/>
        </w:rPr>
        <w:t>5</w:t>
      </w:r>
      <w:r>
        <w:rPr>
          <w:rFonts w:ascii="Times New Roman" w:hAnsi="Times New Roman" w:eastAsia="楷体" w:cs="Times New Roman"/>
          <w:b/>
          <w:bCs/>
          <w:color w:val="auto"/>
          <w:kern w:val="28"/>
          <w:sz w:val="32"/>
          <w:szCs w:val="32"/>
          <w14:ligatures w14:val="none"/>
        </w:rPr>
        <w:t>.</w:t>
      </w:r>
      <w:r>
        <w:rPr>
          <w:rFonts w:hint="eastAsia" w:ascii="Times New Roman" w:hAnsi="Times New Roman" w:eastAsia="楷体" w:cs="Times New Roman"/>
          <w:b/>
          <w:bCs/>
          <w:color w:val="auto"/>
          <w:kern w:val="28"/>
          <w:sz w:val="32"/>
          <w:szCs w:val="32"/>
          <w:lang w:val="en-US" w:eastAsia="zh-CN"/>
          <w14:ligatures w14:val="none"/>
        </w:rPr>
        <w:t>7</w:t>
      </w:r>
      <w:r>
        <w:rPr>
          <w:rFonts w:ascii="Times New Roman" w:hAnsi="Times New Roman" w:eastAsia="楷体" w:cs="Times New Roman"/>
          <w:b/>
          <w:bCs/>
          <w:color w:val="auto"/>
          <w:kern w:val="28"/>
          <w:sz w:val="32"/>
          <w:szCs w:val="32"/>
          <w14:ligatures w14:val="none"/>
        </w:rPr>
        <w:t>安全检查表检查结果</w:t>
      </w:r>
      <w:bookmarkEnd w:id="137"/>
      <w:bookmarkEnd w:id="138"/>
    </w:p>
    <w:p w14:paraId="7BD2FB37">
      <w:pPr>
        <w:autoSpaceDE w:val="0"/>
        <w:autoSpaceDN w:val="0"/>
        <w:adjustRightInd w:val="0"/>
        <w:snapToGrid w:val="0"/>
        <w:spacing w:after="0" w:line="360" w:lineRule="auto"/>
        <w:ind w:firstLine="560" w:firstLineChars="200"/>
        <w:jc w:val="left"/>
        <w:rPr>
          <w:rFonts w:ascii="Times New Roman" w:hAnsi="Times New Roman" w:eastAsia="宋体" w:cs="Times New Roman"/>
          <w:color w:val="auto"/>
          <w:kern w:val="28"/>
          <w:sz w:val="28"/>
          <w:szCs w:val="28"/>
          <w14:ligatures w14:val="none"/>
        </w:rPr>
      </w:pPr>
      <w:r>
        <w:rPr>
          <w:rFonts w:ascii="Times New Roman" w:hAnsi="Times New Roman" w:eastAsia="宋体" w:cs="Times New Roman"/>
          <w:color w:val="auto"/>
          <w:kern w:val="28"/>
          <w:sz w:val="28"/>
          <w:szCs w:val="28"/>
          <w14:ligatures w14:val="none"/>
        </w:rPr>
        <w:t>安全检查表的检查结果（见表</w:t>
      </w:r>
      <w:r>
        <w:rPr>
          <w:rFonts w:hint="eastAsia" w:ascii="Times New Roman" w:hAnsi="Times New Roman" w:eastAsia="宋体" w:cs="Times New Roman"/>
          <w:color w:val="auto"/>
          <w:kern w:val="28"/>
          <w:sz w:val="28"/>
          <w:szCs w:val="28"/>
          <w14:ligatures w14:val="none"/>
        </w:rPr>
        <w:t>5.</w:t>
      </w:r>
      <w:r>
        <w:rPr>
          <w:rFonts w:hint="eastAsia" w:ascii="Times New Roman" w:hAnsi="Times New Roman" w:eastAsia="宋体" w:cs="Times New Roman"/>
          <w:color w:val="auto"/>
          <w:kern w:val="28"/>
          <w:sz w:val="28"/>
          <w:szCs w:val="28"/>
          <w:lang w:val="en-US" w:eastAsia="zh-CN"/>
          <w14:ligatures w14:val="none"/>
        </w:rPr>
        <w:t>7</w:t>
      </w:r>
      <w:r>
        <w:rPr>
          <w:rFonts w:ascii="Times New Roman" w:hAnsi="Times New Roman" w:eastAsia="宋体" w:cs="Times New Roman"/>
          <w:color w:val="auto"/>
          <w:kern w:val="28"/>
          <w:sz w:val="28"/>
          <w:szCs w:val="28"/>
          <w14:ligatures w14:val="none"/>
        </w:rPr>
        <w:t>-</w:t>
      </w:r>
      <w:r>
        <w:rPr>
          <w:rFonts w:hint="eastAsia" w:ascii="Times New Roman" w:hAnsi="Times New Roman" w:eastAsia="宋体" w:cs="Times New Roman"/>
          <w:color w:val="auto"/>
          <w:kern w:val="28"/>
          <w:sz w:val="28"/>
          <w:szCs w:val="28"/>
          <w14:ligatures w14:val="none"/>
        </w:rPr>
        <w:t>1</w:t>
      </w:r>
      <w:r>
        <w:rPr>
          <w:rFonts w:ascii="Times New Roman" w:hAnsi="Times New Roman" w:eastAsia="宋体" w:cs="Times New Roman"/>
          <w:color w:val="auto"/>
          <w:kern w:val="28"/>
          <w:sz w:val="28"/>
          <w:szCs w:val="28"/>
          <w14:ligatures w14:val="none"/>
        </w:rPr>
        <w:t>）为：</w:t>
      </w:r>
      <w:r>
        <w:rPr>
          <w:rFonts w:hint="eastAsia" w:ascii="Times New Roman" w:hAnsi="Times New Roman" w:eastAsia="宋体" w:cs="Times New Roman"/>
          <w:color w:val="auto"/>
          <w:kern w:val="28"/>
          <w:sz w:val="28"/>
          <w:szCs w:val="28"/>
          <w:lang w:val="en-US" w:eastAsia="zh-CN"/>
          <w14:ligatures w14:val="none"/>
        </w:rPr>
        <w:t>6</w:t>
      </w:r>
      <w:r>
        <w:rPr>
          <w:rFonts w:ascii="Times New Roman" w:hAnsi="Times New Roman" w:eastAsia="宋体" w:cs="Times New Roman"/>
          <w:color w:val="auto"/>
          <w:kern w:val="28"/>
          <w:sz w:val="28"/>
          <w:szCs w:val="28"/>
          <w14:ligatures w14:val="none"/>
        </w:rPr>
        <w:t>个评价单元总检查项目为</w:t>
      </w:r>
      <w:r>
        <w:rPr>
          <w:rFonts w:hint="eastAsia" w:ascii="Times New Roman" w:hAnsi="Times New Roman" w:eastAsia="宋体" w:cs="Times New Roman"/>
          <w:color w:val="auto"/>
          <w:kern w:val="28"/>
          <w:sz w:val="28"/>
          <w:szCs w:val="28"/>
          <w:lang w:val="en-US" w:eastAsia="zh-CN"/>
          <w14:ligatures w14:val="none"/>
        </w:rPr>
        <w:t>209</w:t>
      </w:r>
      <w:r>
        <w:rPr>
          <w:rFonts w:ascii="Times New Roman" w:hAnsi="Times New Roman" w:eastAsia="宋体" w:cs="Times New Roman"/>
          <w:color w:val="auto"/>
          <w:kern w:val="28"/>
          <w:sz w:val="28"/>
          <w:szCs w:val="28"/>
          <w14:ligatures w14:val="none"/>
        </w:rPr>
        <w:t>项，其中</w:t>
      </w:r>
      <w:r>
        <w:rPr>
          <w:rFonts w:hint="eastAsia" w:ascii="Times New Roman" w:hAnsi="Times New Roman" w:eastAsia="宋体" w:cs="Times New Roman"/>
          <w:color w:val="auto"/>
          <w:kern w:val="28"/>
          <w:sz w:val="28"/>
          <w:szCs w:val="28"/>
          <w:lang w:val="en-US" w:eastAsia="zh-CN"/>
          <w14:ligatures w14:val="none"/>
        </w:rPr>
        <w:t>1项为不符合项，7</w:t>
      </w:r>
      <w:r>
        <w:rPr>
          <w:rFonts w:ascii="Times New Roman" w:hAnsi="Times New Roman" w:eastAsia="宋体" w:cs="Times New Roman"/>
          <w:color w:val="auto"/>
          <w:kern w:val="28"/>
          <w:sz w:val="28"/>
          <w:szCs w:val="28"/>
          <w14:ligatures w14:val="none"/>
        </w:rPr>
        <w:t>项</w:t>
      </w:r>
      <w:r>
        <w:rPr>
          <w:rFonts w:hint="eastAsia" w:ascii="Times New Roman" w:hAnsi="Times New Roman" w:eastAsia="宋体" w:cs="Times New Roman"/>
          <w:color w:val="auto"/>
          <w:kern w:val="28"/>
          <w:sz w:val="28"/>
          <w:szCs w:val="28"/>
          <w:lang w:val="en-US" w:eastAsia="zh-CN"/>
          <w14:ligatures w14:val="none"/>
        </w:rPr>
        <w:t>为</w:t>
      </w:r>
      <w:r>
        <w:rPr>
          <w:rFonts w:ascii="Times New Roman" w:hAnsi="Times New Roman" w:eastAsia="宋体" w:cs="Times New Roman"/>
          <w:color w:val="auto"/>
          <w:kern w:val="28"/>
          <w:sz w:val="28"/>
          <w:szCs w:val="28"/>
          <w14:ligatures w14:val="none"/>
        </w:rPr>
        <w:t>无关项</w:t>
      </w:r>
      <w:r>
        <w:rPr>
          <w:rFonts w:hint="eastAsia" w:ascii="Times New Roman" w:hAnsi="Times New Roman" w:eastAsia="宋体" w:cs="Times New Roman"/>
          <w:color w:val="auto"/>
          <w:kern w:val="28"/>
          <w:sz w:val="28"/>
          <w:szCs w:val="28"/>
          <w:lang w:eastAsia="zh-CN"/>
          <w14:ligatures w14:val="none"/>
        </w:rPr>
        <w:t>，</w:t>
      </w:r>
      <w:r>
        <w:rPr>
          <w:rFonts w:hint="eastAsia" w:ascii="Times New Roman" w:hAnsi="Times New Roman" w:eastAsia="宋体" w:cs="Times New Roman"/>
          <w:color w:val="auto"/>
          <w:kern w:val="28"/>
          <w:sz w:val="28"/>
          <w:szCs w:val="28"/>
          <w:lang w:val="en-US" w:eastAsia="zh-CN"/>
          <w14:ligatures w14:val="none"/>
        </w:rPr>
        <w:t>其余201</w:t>
      </w:r>
      <w:r>
        <w:rPr>
          <w:rFonts w:ascii="Times New Roman" w:hAnsi="Times New Roman" w:eastAsia="宋体" w:cs="Times New Roman"/>
          <w:color w:val="auto"/>
          <w:kern w:val="28"/>
          <w:sz w:val="28"/>
          <w:szCs w:val="28"/>
          <w14:ligatures w14:val="none"/>
        </w:rPr>
        <w:t>项为符合项。</w:t>
      </w:r>
    </w:p>
    <w:p w14:paraId="6C719070">
      <w:pPr>
        <w:adjustRightInd w:val="0"/>
        <w:snapToGrid w:val="0"/>
        <w:spacing w:before="120" w:beforeLines="50" w:after="120" w:afterLines="50" w:line="240" w:lineRule="auto"/>
        <w:jc w:val="center"/>
        <w:rPr>
          <w:rFonts w:ascii="Times New Roman" w:hAnsi="Times New Roman" w:eastAsia="黑体" w:cs="Times New Roman"/>
          <w:color w:val="auto"/>
          <w:kern w:val="28"/>
          <w:sz w:val="24"/>
          <w:highlight w:val="none"/>
          <w14:ligatures w14:val="none"/>
        </w:rPr>
      </w:pPr>
      <w:r>
        <w:rPr>
          <w:rFonts w:ascii="Times New Roman" w:hAnsi="Times New Roman" w:eastAsia="黑体" w:cs="Times New Roman"/>
          <w:color w:val="auto"/>
          <w:kern w:val="28"/>
          <w:sz w:val="24"/>
          <w:highlight w:val="none"/>
          <w14:ligatures w14:val="none"/>
        </w:rPr>
        <w:t>表</w:t>
      </w:r>
      <w:r>
        <w:rPr>
          <w:rFonts w:hint="eastAsia" w:ascii="Times New Roman" w:hAnsi="Times New Roman" w:eastAsia="黑体" w:cs="Times New Roman"/>
          <w:color w:val="auto"/>
          <w:kern w:val="28"/>
          <w:sz w:val="24"/>
          <w:highlight w:val="none"/>
          <w14:ligatures w14:val="none"/>
        </w:rPr>
        <w:t>5.</w:t>
      </w:r>
      <w:r>
        <w:rPr>
          <w:rFonts w:hint="eastAsia" w:ascii="Times New Roman" w:hAnsi="Times New Roman" w:eastAsia="黑体" w:cs="Times New Roman"/>
          <w:color w:val="auto"/>
          <w:kern w:val="28"/>
          <w:sz w:val="24"/>
          <w:highlight w:val="none"/>
          <w:lang w:val="en-US" w:eastAsia="zh-CN"/>
          <w14:ligatures w14:val="none"/>
        </w:rPr>
        <w:t>7</w:t>
      </w:r>
      <w:r>
        <w:rPr>
          <w:rFonts w:hint="eastAsia" w:ascii="Times New Roman" w:hAnsi="Times New Roman" w:eastAsia="黑体" w:cs="Times New Roman"/>
          <w:color w:val="auto"/>
          <w:kern w:val="28"/>
          <w:sz w:val="24"/>
          <w:highlight w:val="none"/>
          <w14:ligatures w14:val="none"/>
        </w:rPr>
        <w:t>-1</w:t>
      </w:r>
      <w:r>
        <w:rPr>
          <w:rFonts w:hint="eastAsia" w:ascii="Times New Roman" w:hAnsi="Times New Roman" w:eastAsia="黑体" w:cs="Times New Roman"/>
          <w:color w:val="auto"/>
          <w:kern w:val="28"/>
          <w:sz w:val="24"/>
          <w:highlight w:val="none"/>
          <w:lang w:val="en-US" w:eastAsia="zh-CN"/>
          <w14:ligatures w14:val="none"/>
        </w:rPr>
        <w:t xml:space="preserve">  </w:t>
      </w:r>
      <w:r>
        <w:rPr>
          <w:rFonts w:ascii="Times New Roman" w:hAnsi="Times New Roman" w:eastAsia="黑体" w:cs="Times New Roman"/>
          <w:color w:val="auto"/>
          <w:kern w:val="28"/>
          <w:sz w:val="24"/>
          <w:highlight w:val="none"/>
          <w14:ligatures w14:val="none"/>
        </w:rPr>
        <w:t>检查结论汇总表</w:t>
      </w:r>
    </w:p>
    <w:tbl>
      <w:tblPr>
        <w:tblStyle w:val="14"/>
        <w:tblW w:w="475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91"/>
        <w:gridCol w:w="1533"/>
        <w:gridCol w:w="1864"/>
        <w:gridCol w:w="1567"/>
        <w:gridCol w:w="1789"/>
      </w:tblGrid>
      <w:tr w14:paraId="4B267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2140" w:type="dxa"/>
            <w:tcBorders>
              <w:tl2br w:val="single" w:color="auto" w:sz="4" w:space="0"/>
            </w:tcBorders>
            <w:noWrap w:val="0"/>
            <w:vAlign w:val="center"/>
          </w:tcPr>
          <w:p w14:paraId="70A1A34F">
            <w:pPr>
              <w:adjustRightInd w:val="0"/>
              <w:snapToGrid w:val="0"/>
              <w:spacing w:after="0" w:line="240" w:lineRule="auto"/>
              <w:jc w:val="both"/>
              <w:rPr>
                <w:rFonts w:ascii="Times New Roman" w:hAnsi="Times New Roman" w:eastAsia="宋体" w:cs="Times New Roman"/>
                <w:color w:val="auto"/>
                <w:spacing w:val="24"/>
                <w:kern w:val="28"/>
                <w:sz w:val="21"/>
                <w:szCs w:val="21"/>
                <w14:ligatures w14:val="none"/>
              </w:rPr>
            </w:pPr>
            <w:r>
              <w:rPr>
                <w:rFonts w:ascii="Times New Roman" w:hAnsi="Times New Roman" w:eastAsia="宋体" w:cs="Times New Roman"/>
                <w:color w:val="auto"/>
                <w:kern w:val="28"/>
                <w:sz w:val="21"/>
                <w:szCs w:val="21"/>
                <w14:ligatures w14:val="none"/>
              </w:rPr>
              <w:t xml:space="preserve">      </w:t>
            </w:r>
            <w:r>
              <w:rPr>
                <w:rFonts w:hint="eastAsia" w:ascii="Times New Roman" w:hAnsi="Times New Roman" w:eastAsia="宋体" w:cs="Times New Roman"/>
                <w:color w:val="auto"/>
                <w:kern w:val="28"/>
                <w:sz w:val="21"/>
                <w:szCs w:val="21"/>
                <w14:ligatures w14:val="none"/>
              </w:rPr>
              <w:t xml:space="preserve">      </w:t>
            </w:r>
            <w:r>
              <w:rPr>
                <w:rFonts w:ascii="Times New Roman" w:hAnsi="Times New Roman" w:eastAsia="宋体" w:cs="Times New Roman"/>
                <w:color w:val="auto"/>
                <w:spacing w:val="24"/>
                <w:kern w:val="28"/>
                <w:sz w:val="21"/>
                <w:szCs w:val="21"/>
                <w14:ligatures w14:val="none"/>
              </w:rPr>
              <w:t>类别</w:t>
            </w:r>
          </w:p>
          <w:p w14:paraId="7E5A7476">
            <w:pPr>
              <w:adjustRightInd w:val="0"/>
              <w:snapToGrid w:val="0"/>
              <w:spacing w:after="0" w:line="240" w:lineRule="auto"/>
              <w:jc w:val="both"/>
              <w:rPr>
                <w:rFonts w:ascii="Times New Roman" w:hAnsi="Times New Roman" w:eastAsia="宋体" w:cs="Times New Roman"/>
                <w:color w:val="auto"/>
                <w:spacing w:val="24"/>
                <w:kern w:val="28"/>
                <w:sz w:val="21"/>
                <w:szCs w:val="21"/>
                <w14:ligatures w14:val="none"/>
              </w:rPr>
            </w:pPr>
            <w:r>
              <w:rPr>
                <w:rFonts w:ascii="Times New Roman" w:hAnsi="Times New Roman" w:eastAsia="宋体" w:cs="Times New Roman"/>
                <w:color w:val="auto"/>
                <w:spacing w:val="24"/>
                <w:kern w:val="28"/>
                <w:sz w:val="21"/>
                <w:szCs w:val="21"/>
                <w14:ligatures w14:val="none"/>
              </w:rPr>
              <w:t>单元</w:t>
            </w:r>
          </w:p>
        </w:tc>
        <w:tc>
          <w:tcPr>
            <w:tcW w:w="1498" w:type="dxa"/>
            <w:noWrap w:val="0"/>
            <w:vAlign w:val="center"/>
          </w:tcPr>
          <w:p w14:paraId="3B4A2249">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总 项</w:t>
            </w:r>
          </w:p>
        </w:tc>
        <w:tc>
          <w:tcPr>
            <w:tcW w:w="1821" w:type="dxa"/>
            <w:noWrap w:val="0"/>
            <w:vAlign w:val="center"/>
          </w:tcPr>
          <w:p w14:paraId="5DCBC8AA">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符 合</w:t>
            </w:r>
          </w:p>
        </w:tc>
        <w:tc>
          <w:tcPr>
            <w:tcW w:w="1531" w:type="dxa"/>
            <w:noWrap w:val="0"/>
            <w:vAlign w:val="center"/>
          </w:tcPr>
          <w:p w14:paraId="09E44A85">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不 符 合</w:t>
            </w:r>
          </w:p>
        </w:tc>
        <w:tc>
          <w:tcPr>
            <w:tcW w:w="1748" w:type="dxa"/>
            <w:noWrap w:val="0"/>
            <w:vAlign w:val="center"/>
          </w:tcPr>
          <w:p w14:paraId="55C12B8A">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无关</w:t>
            </w:r>
          </w:p>
        </w:tc>
      </w:tr>
      <w:tr w14:paraId="33F60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140" w:type="dxa"/>
            <w:noWrap w:val="0"/>
            <w:vAlign w:val="center"/>
          </w:tcPr>
          <w:p w14:paraId="5D0D7F0D">
            <w:pPr>
              <w:adjustRightInd w:val="0"/>
              <w:snapToGrid w:val="0"/>
              <w:spacing w:after="0" w:line="240" w:lineRule="auto"/>
              <w:jc w:val="center"/>
              <w:rPr>
                <w:rFonts w:hint="eastAsia" w:ascii="Times New Roman" w:hAnsi="Times New Roman" w:eastAsia="宋体" w:cs="Times New Roman"/>
                <w:color w:val="auto"/>
                <w:kern w:val="28"/>
                <w:sz w:val="21"/>
                <w:szCs w:val="21"/>
                <w:highlight w:val="none"/>
                <w14:ligatures w14:val="none"/>
              </w:rPr>
            </w:pPr>
            <w:r>
              <w:rPr>
                <w:rFonts w:hint="eastAsia" w:ascii="Times New Roman" w:hAnsi="Times New Roman" w:eastAsia="宋体" w:cs="Times New Roman"/>
                <w:color w:val="auto"/>
                <w:kern w:val="28"/>
                <w:sz w:val="21"/>
                <w:szCs w:val="21"/>
                <w:highlight w:val="none"/>
                <w14:ligatures w14:val="none"/>
              </w:rPr>
              <w:t>经营条件及安全管理单元</w:t>
            </w:r>
          </w:p>
        </w:tc>
        <w:tc>
          <w:tcPr>
            <w:tcW w:w="1498" w:type="dxa"/>
            <w:noWrap w:val="0"/>
            <w:vAlign w:val="center"/>
          </w:tcPr>
          <w:p w14:paraId="7EA89AC3">
            <w:pPr>
              <w:adjustRightInd w:val="0"/>
              <w:snapToGrid w:val="0"/>
              <w:spacing w:after="0" w:line="240" w:lineRule="auto"/>
              <w:jc w:val="center"/>
              <w:rPr>
                <w:rFonts w:hint="default" w:ascii="Times New Roman" w:hAnsi="Times New Roman" w:eastAsia="宋体" w:cs="Times New Roman"/>
                <w:color w:val="auto"/>
                <w:kern w:val="28"/>
                <w:sz w:val="21"/>
                <w:szCs w:val="21"/>
                <w:highlight w:val="none"/>
                <w:lang w:val="en-US" w:eastAsia="zh-CN"/>
                <w14:ligatures w14:val="none"/>
              </w:rPr>
            </w:pPr>
            <w:r>
              <w:rPr>
                <w:rFonts w:hint="eastAsia" w:ascii="Times New Roman" w:hAnsi="Times New Roman" w:eastAsia="宋体" w:cs="Times New Roman"/>
                <w:color w:val="auto"/>
                <w:kern w:val="28"/>
                <w:sz w:val="21"/>
                <w:szCs w:val="21"/>
                <w:highlight w:val="none"/>
                <w:lang w:val="en-US" w:eastAsia="zh-CN"/>
                <w14:ligatures w14:val="none"/>
              </w:rPr>
              <w:t>25</w:t>
            </w:r>
          </w:p>
        </w:tc>
        <w:tc>
          <w:tcPr>
            <w:tcW w:w="1821" w:type="dxa"/>
            <w:noWrap w:val="0"/>
            <w:vAlign w:val="center"/>
          </w:tcPr>
          <w:p w14:paraId="5499C709">
            <w:pPr>
              <w:adjustRightInd w:val="0"/>
              <w:snapToGrid w:val="0"/>
              <w:spacing w:after="0" w:line="240" w:lineRule="auto"/>
              <w:jc w:val="center"/>
              <w:rPr>
                <w:rFonts w:hint="default" w:ascii="Times New Roman" w:hAnsi="Times New Roman" w:eastAsia="宋体" w:cs="Times New Roman"/>
                <w:color w:val="auto"/>
                <w:kern w:val="28"/>
                <w:sz w:val="21"/>
                <w:szCs w:val="21"/>
                <w:highlight w:val="none"/>
                <w:lang w:val="en-US" w:eastAsia="zh-CN"/>
                <w14:ligatures w14:val="none"/>
              </w:rPr>
            </w:pPr>
            <w:r>
              <w:rPr>
                <w:rFonts w:hint="eastAsia" w:ascii="Times New Roman" w:hAnsi="Times New Roman" w:eastAsia="宋体" w:cs="Times New Roman"/>
                <w:color w:val="auto"/>
                <w:kern w:val="28"/>
                <w:sz w:val="21"/>
                <w:szCs w:val="21"/>
                <w:highlight w:val="none"/>
                <w:lang w:val="en-US" w:eastAsia="zh-CN"/>
                <w14:ligatures w14:val="none"/>
              </w:rPr>
              <w:t>25</w:t>
            </w:r>
          </w:p>
        </w:tc>
        <w:tc>
          <w:tcPr>
            <w:tcW w:w="1531" w:type="dxa"/>
            <w:noWrap w:val="0"/>
            <w:vAlign w:val="center"/>
          </w:tcPr>
          <w:p w14:paraId="411A6209">
            <w:pPr>
              <w:adjustRightInd w:val="0"/>
              <w:snapToGrid w:val="0"/>
              <w:spacing w:after="0" w:line="240" w:lineRule="auto"/>
              <w:jc w:val="center"/>
              <w:rPr>
                <w:rFonts w:ascii="Times New Roman" w:hAnsi="Times New Roman" w:eastAsia="宋体" w:cs="Times New Roman"/>
                <w:color w:val="auto"/>
                <w:kern w:val="28"/>
                <w:sz w:val="21"/>
                <w:szCs w:val="21"/>
                <w:highlight w:val="none"/>
                <w14:ligatures w14:val="none"/>
              </w:rPr>
            </w:pPr>
            <w:r>
              <w:rPr>
                <w:rFonts w:ascii="Times New Roman" w:hAnsi="Times New Roman" w:eastAsia="宋体" w:cs="Times New Roman"/>
                <w:color w:val="auto"/>
                <w:kern w:val="28"/>
                <w:sz w:val="21"/>
                <w:szCs w:val="21"/>
                <w:highlight w:val="none"/>
                <w14:ligatures w14:val="none"/>
              </w:rPr>
              <w:t>0</w:t>
            </w:r>
          </w:p>
        </w:tc>
        <w:tc>
          <w:tcPr>
            <w:tcW w:w="1748" w:type="dxa"/>
            <w:noWrap w:val="0"/>
            <w:vAlign w:val="center"/>
          </w:tcPr>
          <w:p w14:paraId="68744027">
            <w:pPr>
              <w:adjustRightInd w:val="0"/>
              <w:snapToGrid w:val="0"/>
              <w:spacing w:after="0" w:line="240" w:lineRule="auto"/>
              <w:jc w:val="center"/>
              <w:rPr>
                <w:rFonts w:ascii="Times New Roman" w:hAnsi="Times New Roman" w:eastAsia="宋体" w:cs="Times New Roman"/>
                <w:color w:val="auto"/>
                <w:kern w:val="28"/>
                <w:sz w:val="21"/>
                <w:szCs w:val="21"/>
                <w:highlight w:val="none"/>
                <w14:ligatures w14:val="none"/>
              </w:rPr>
            </w:pPr>
            <w:r>
              <w:rPr>
                <w:rFonts w:ascii="Times New Roman" w:hAnsi="Times New Roman" w:eastAsia="宋体" w:cs="Times New Roman"/>
                <w:color w:val="auto"/>
                <w:kern w:val="28"/>
                <w:sz w:val="21"/>
                <w:szCs w:val="21"/>
                <w:highlight w:val="none"/>
                <w14:ligatures w14:val="none"/>
              </w:rPr>
              <w:t>0</w:t>
            </w:r>
          </w:p>
        </w:tc>
      </w:tr>
      <w:tr w14:paraId="50A24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140" w:type="dxa"/>
            <w:noWrap w:val="0"/>
            <w:vAlign w:val="center"/>
          </w:tcPr>
          <w:p w14:paraId="01591C33">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hint="eastAsia" w:ascii="Times New Roman" w:hAnsi="Times New Roman" w:eastAsia="宋体" w:cs="Times New Roman"/>
                <w:color w:val="auto"/>
                <w:kern w:val="28"/>
                <w:sz w:val="21"/>
                <w:szCs w:val="21"/>
                <w14:ligatures w14:val="none"/>
              </w:rPr>
              <w:t>周边环境及平面布置单元</w:t>
            </w:r>
          </w:p>
        </w:tc>
        <w:tc>
          <w:tcPr>
            <w:tcW w:w="1498" w:type="dxa"/>
            <w:noWrap w:val="0"/>
            <w:vAlign w:val="center"/>
          </w:tcPr>
          <w:p w14:paraId="04F6F90F">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hint="eastAsia" w:ascii="Times New Roman" w:hAnsi="Times New Roman" w:eastAsia="宋体" w:cs="Times New Roman"/>
                <w:color w:val="auto"/>
                <w:kern w:val="28"/>
                <w:sz w:val="21"/>
                <w:szCs w:val="21"/>
                <w14:ligatures w14:val="none"/>
              </w:rPr>
              <w:t>22</w:t>
            </w:r>
          </w:p>
        </w:tc>
        <w:tc>
          <w:tcPr>
            <w:tcW w:w="1821" w:type="dxa"/>
            <w:noWrap w:val="0"/>
            <w:vAlign w:val="center"/>
          </w:tcPr>
          <w:p w14:paraId="3A737EA1">
            <w:pPr>
              <w:adjustRightInd w:val="0"/>
              <w:snapToGrid w:val="0"/>
              <w:spacing w:after="0" w:line="240" w:lineRule="auto"/>
              <w:jc w:val="center"/>
              <w:rPr>
                <w:rFonts w:hint="default" w:ascii="Times New Roman" w:hAnsi="Times New Roman" w:eastAsia="宋体" w:cs="Times New Roman"/>
                <w:color w:val="auto"/>
                <w:kern w:val="28"/>
                <w:sz w:val="21"/>
                <w:szCs w:val="21"/>
                <w:lang w:val="en-US" w:eastAsia="zh-CN"/>
                <w14:ligatures w14:val="none"/>
              </w:rPr>
            </w:pPr>
            <w:r>
              <w:rPr>
                <w:rFonts w:hint="eastAsia" w:ascii="Times New Roman" w:hAnsi="Times New Roman" w:eastAsia="宋体" w:cs="Times New Roman"/>
                <w:color w:val="auto"/>
                <w:kern w:val="28"/>
                <w:sz w:val="21"/>
                <w:szCs w:val="21"/>
                <w:lang w:val="en-US" w:eastAsia="zh-CN"/>
                <w14:ligatures w14:val="none"/>
              </w:rPr>
              <w:t>22</w:t>
            </w:r>
          </w:p>
        </w:tc>
        <w:tc>
          <w:tcPr>
            <w:tcW w:w="1531" w:type="dxa"/>
            <w:noWrap w:val="0"/>
            <w:vAlign w:val="center"/>
          </w:tcPr>
          <w:p w14:paraId="26682BA5">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hint="eastAsia" w:ascii="Times New Roman" w:hAnsi="Times New Roman" w:eastAsia="宋体" w:cs="Times New Roman"/>
                <w:color w:val="auto"/>
                <w:kern w:val="28"/>
                <w:sz w:val="21"/>
                <w:szCs w:val="21"/>
                <w14:ligatures w14:val="none"/>
              </w:rPr>
              <w:t>0</w:t>
            </w:r>
          </w:p>
        </w:tc>
        <w:tc>
          <w:tcPr>
            <w:tcW w:w="1748" w:type="dxa"/>
            <w:noWrap w:val="0"/>
            <w:vAlign w:val="center"/>
          </w:tcPr>
          <w:p w14:paraId="7943F1C0">
            <w:pPr>
              <w:adjustRightInd w:val="0"/>
              <w:snapToGrid w:val="0"/>
              <w:spacing w:after="0" w:line="240" w:lineRule="auto"/>
              <w:jc w:val="center"/>
              <w:rPr>
                <w:rFonts w:hint="eastAsia" w:ascii="Times New Roman" w:hAnsi="Times New Roman" w:eastAsia="宋体" w:cs="Times New Roman"/>
                <w:color w:val="auto"/>
                <w:kern w:val="28"/>
                <w:sz w:val="21"/>
                <w:szCs w:val="21"/>
                <w:lang w:eastAsia="zh-CN"/>
                <w14:ligatures w14:val="none"/>
              </w:rPr>
            </w:pPr>
            <w:r>
              <w:rPr>
                <w:rFonts w:hint="eastAsia" w:ascii="Times New Roman" w:hAnsi="Times New Roman" w:eastAsia="宋体" w:cs="Times New Roman"/>
                <w:color w:val="auto"/>
                <w:kern w:val="28"/>
                <w:sz w:val="21"/>
                <w:szCs w:val="21"/>
                <w:lang w:val="en-US" w:eastAsia="zh-CN"/>
                <w14:ligatures w14:val="none"/>
              </w:rPr>
              <w:t>0</w:t>
            </w:r>
          </w:p>
        </w:tc>
      </w:tr>
      <w:tr w14:paraId="6D6F9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140" w:type="dxa"/>
            <w:noWrap w:val="0"/>
            <w:vAlign w:val="center"/>
          </w:tcPr>
          <w:p w14:paraId="0B269F3B">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hint="eastAsia" w:ascii="Times New Roman" w:hAnsi="Times New Roman" w:eastAsia="宋体" w:cs="Times New Roman"/>
                <w:color w:val="auto"/>
                <w:kern w:val="28"/>
                <w:sz w:val="21"/>
                <w:szCs w:val="21"/>
                <w14:ligatures w14:val="none"/>
              </w:rPr>
              <w:t>工艺及设施</w:t>
            </w:r>
          </w:p>
        </w:tc>
        <w:tc>
          <w:tcPr>
            <w:tcW w:w="1498" w:type="dxa"/>
            <w:noWrap w:val="0"/>
            <w:vAlign w:val="center"/>
          </w:tcPr>
          <w:p w14:paraId="47E7D6F1">
            <w:pPr>
              <w:adjustRightInd w:val="0"/>
              <w:snapToGrid w:val="0"/>
              <w:spacing w:after="0" w:line="240" w:lineRule="auto"/>
              <w:jc w:val="center"/>
              <w:rPr>
                <w:rFonts w:hint="default" w:ascii="Times New Roman" w:hAnsi="Times New Roman" w:eastAsia="宋体" w:cs="Times New Roman"/>
                <w:color w:val="auto"/>
                <w:kern w:val="28"/>
                <w:sz w:val="21"/>
                <w:szCs w:val="21"/>
                <w:lang w:val="en-US" w:eastAsia="zh-CN"/>
                <w14:ligatures w14:val="none"/>
              </w:rPr>
            </w:pPr>
            <w:r>
              <w:rPr>
                <w:rFonts w:hint="eastAsia" w:ascii="Times New Roman" w:hAnsi="Times New Roman" w:eastAsia="宋体" w:cs="Times New Roman"/>
                <w:color w:val="auto"/>
                <w:kern w:val="28"/>
                <w:sz w:val="21"/>
                <w:szCs w:val="21"/>
                <w:lang w:val="en-US" w:eastAsia="zh-CN"/>
                <w14:ligatures w14:val="none"/>
              </w:rPr>
              <w:t>47</w:t>
            </w:r>
          </w:p>
        </w:tc>
        <w:tc>
          <w:tcPr>
            <w:tcW w:w="1821" w:type="dxa"/>
            <w:noWrap w:val="0"/>
            <w:vAlign w:val="center"/>
          </w:tcPr>
          <w:p w14:paraId="1B33C10C">
            <w:pPr>
              <w:adjustRightInd w:val="0"/>
              <w:snapToGrid w:val="0"/>
              <w:spacing w:after="0" w:line="240" w:lineRule="auto"/>
              <w:jc w:val="center"/>
              <w:rPr>
                <w:rFonts w:hint="default" w:ascii="Times New Roman" w:hAnsi="Times New Roman" w:eastAsia="宋体" w:cs="Times New Roman"/>
                <w:color w:val="auto"/>
                <w:kern w:val="28"/>
                <w:sz w:val="21"/>
                <w:szCs w:val="21"/>
                <w:lang w:val="en-US" w:eastAsia="zh-CN"/>
                <w14:ligatures w14:val="none"/>
              </w:rPr>
            </w:pPr>
            <w:r>
              <w:rPr>
                <w:rFonts w:hint="eastAsia" w:ascii="Times New Roman" w:hAnsi="Times New Roman" w:eastAsia="宋体" w:cs="Times New Roman"/>
                <w:color w:val="auto"/>
                <w:kern w:val="28"/>
                <w:sz w:val="21"/>
                <w:szCs w:val="21"/>
                <w:lang w:val="en-US" w:eastAsia="zh-CN"/>
                <w14:ligatures w14:val="none"/>
              </w:rPr>
              <w:t>47</w:t>
            </w:r>
          </w:p>
        </w:tc>
        <w:tc>
          <w:tcPr>
            <w:tcW w:w="1531" w:type="dxa"/>
            <w:noWrap w:val="0"/>
            <w:vAlign w:val="center"/>
          </w:tcPr>
          <w:p w14:paraId="7A1B050C">
            <w:pPr>
              <w:adjustRightInd w:val="0"/>
              <w:snapToGrid w:val="0"/>
              <w:spacing w:after="0" w:line="240" w:lineRule="auto"/>
              <w:jc w:val="center"/>
              <w:rPr>
                <w:rFonts w:hint="eastAsia" w:ascii="Times New Roman" w:hAnsi="Times New Roman" w:eastAsia="宋体" w:cs="Times New Roman"/>
                <w:color w:val="auto"/>
                <w:kern w:val="28"/>
                <w:sz w:val="21"/>
                <w:szCs w:val="21"/>
                <w:lang w:eastAsia="zh-CN"/>
                <w14:ligatures w14:val="none"/>
              </w:rPr>
            </w:pPr>
            <w:r>
              <w:rPr>
                <w:rFonts w:hint="eastAsia" w:ascii="Times New Roman" w:hAnsi="Times New Roman" w:eastAsia="宋体" w:cs="Times New Roman"/>
                <w:color w:val="auto"/>
                <w:kern w:val="28"/>
                <w:sz w:val="21"/>
                <w:szCs w:val="21"/>
                <w:lang w:val="en-US" w:eastAsia="zh-CN"/>
                <w14:ligatures w14:val="none"/>
              </w:rPr>
              <w:t>0</w:t>
            </w:r>
          </w:p>
        </w:tc>
        <w:tc>
          <w:tcPr>
            <w:tcW w:w="1748" w:type="dxa"/>
            <w:noWrap w:val="0"/>
            <w:vAlign w:val="center"/>
          </w:tcPr>
          <w:p w14:paraId="10AF0CA1">
            <w:pPr>
              <w:adjustRightInd w:val="0"/>
              <w:snapToGrid w:val="0"/>
              <w:spacing w:after="0" w:line="240" w:lineRule="auto"/>
              <w:jc w:val="center"/>
              <w:rPr>
                <w:rFonts w:hint="default" w:ascii="Times New Roman" w:hAnsi="Times New Roman" w:eastAsia="宋体" w:cs="Times New Roman"/>
                <w:color w:val="auto"/>
                <w:kern w:val="28"/>
                <w:sz w:val="21"/>
                <w:szCs w:val="21"/>
                <w:lang w:val="en-US" w:eastAsia="zh-CN"/>
                <w14:ligatures w14:val="none"/>
              </w:rPr>
            </w:pPr>
            <w:r>
              <w:rPr>
                <w:rFonts w:hint="eastAsia" w:ascii="Times New Roman" w:hAnsi="Times New Roman" w:eastAsia="宋体" w:cs="Times New Roman"/>
                <w:color w:val="auto"/>
                <w:kern w:val="28"/>
                <w:sz w:val="21"/>
                <w:szCs w:val="21"/>
                <w:lang w:val="en-US" w:eastAsia="zh-CN"/>
                <w14:ligatures w14:val="none"/>
              </w:rPr>
              <w:t>0</w:t>
            </w:r>
          </w:p>
        </w:tc>
      </w:tr>
      <w:tr w14:paraId="42D35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140" w:type="dxa"/>
            <w:noWrap w:val="0"/>
            <w:vAlign w:val="center"/>
          </w:tcPr>
          <w:p w14:paraId="3532A184">
            <w:pPr>
              <w:adjustRightInd w:val="0"/>
              <w:snapToGrid w:val="0"/>
              <w:spacing w:after="0" w:line="240" w:lineRule="auto"/>
              <w:jc w:val="center"/>
              <w:rPr>
                <w:rFonts w:hint="eastAsia" w:ascii="Times New Roman" w:hAnsi="Times New Roman" w:eastAsia="宋体" w:cs="Times New Roman"/>
                <w:color w:val="auto"/>
                <w:kern w:val="28"/>
                <w:sz w:val="21"/>
                <w:szCs w:val="21"/>
                <w14:ligatures w14:val="none"/>
              </w:rPr>
            </w:pPr>
            <w:r>
              <w:rPr>
                <w:rFonts w:hint="eastAsia" w:ascii="Times New Roman" w:hAnsi="Times New Roman" w:eastAsia="宋体" w:cs="Times New Roman"/>
                <w:color w:val="auto"/>
                <w:kern w:val="28"/>
                <w:sz w:val="21"/>
                <w:szCs w:val="21"/>
                <w14:ligatures w14:val="none"/>
              </w:rPr>
              <w:t>公辅工程及辅助设施</w:t>
            </w:r>
          </w:p>
        </w:tc>
        <w:tc>
          <w:tcPr>
            <w:tcW w:w="1498" w:type="dxa"/>
            <w:noWrap w:val="0"/>
            <w:vAlign w:val="center"/>
          </w:tcPr>
          <w:p w14:paraId="5E818C77">
            <w:pPr>
              <w:adjustRightInd w:val="0"/>
              <w:snapToGrid w:val="0"/>
              <w:spacing w:after="0" w:line="240" w:lineRule="auto"/>
              <w:jc w:val="center"/>
              <w:rPr>
                <w:rFonts w:hint="default" w:ascii="Times New Roman" w:hAnsi="Times New Roman" w:eastAsia="宋体" w:cs="Times New Roman"/>
                <w:color w:val="auto"/>
                <w:kern w:val="28"/>
                <w:sz w:val="21"/>
                <w:szCs w:val="21"/>
                <w:highlight w:val="none"/>
                <w:lang w:val="en-US" w:eastAsia="zh-CN"/>
                <w14:ligatures w14:val="none"/>
              </w:rPr>
            </w:pPr>
            <w:r>
              <w:rPr>
                <w:rFonts w:hint="eastAsia" w:ascii="Times New Roman" w:hAnsi="Times New Roman" w:eastAsia="宋体" w:cs="Times New Roman"/>
                <w:color w:val="auto"/>
                <w:kern w:val="28"/>
                <w:sz w:val="21"/>
                <w:szCs w:val="21"/>
                <w:highlight w:val="none"/>
                <w:lang w:val="en-US" w:eastAsia="zh-CN"/>
                <w14:ligatures w14:val="none"/>
              </w:rPr>
              <w:t>49</w:t>
            </w:r>
          </w:p>
        </w:tc>
        <w:tc>
          <w:tcPr>
            <w:tcW w:w="1821" w:type="dxa"/>
            <w:noWrap w:val="0"/>
            <w:vAlign w:val="center"/>
          </w:tcPr>
          <w:p w14:paraId="6D1CD729">
            <w:pPr>
              <w:adjustRightInd w:val="0"/>
              <w:snapToGrid w:val="0"/>
              <w:spacing w:after="0" w:line="240" w:lineRule="auto"/>
              <w:jc w:val="center"/>
              <w:rPr>
                <w:rFonts w:hint="default" w:ascii="Times New Roman" w:hAnsi="Times New Roman" w:eastAsia="宋体" w:cs="Times New Roman"/>
                <w:color w:val="auto"/>
                <w:kern w:val="28"/>
                <w:sz w:val="21"/>
                <w:szCs w:val="21"/>
                <w:highlight w:val="none"/>
                <w:lang w:val="en-US" w:eastAsia="zh-CN"/>
                <w14:ligatures w14:val="none"/>
              </w:rPr>
            </w:pPr>
            <w:r>
              <w:rPr>
                <w:rFonts w:hint="eastAsia" w:ascii="Times New Roman" w:hAnsi="Times New Roman" w:eastAsia="宋体" w:cs="Times New Roman"/>
                <w:color w:val="auto"/>
                <w:kern w:val="28"/>
                <w:sz w:val="21"/>
                <w:szCs w:val="21"/>
                <w:highlight w:val="none"/>
                <w:lang w:val="en-US" w:eastAsia="zh-CN"/>
                <w14:ligatures w14:val="none"/>
              </w:rPr>
              <w:t>49</w:t>
            </w:r>
          </w:p>
        </w:tc>
        <w:tc>
          <w:tcPr>
            <w:tcW w:w="1531" w:type="dxa"/>
            <w:noWrap w:val="0"/>
            <w:vAlign w:val="center"/>
          </w:tcPr>
          <w:p w14:paraId="21924C52">
            <w:pPr>
              <w:adjustRightInd w:val="0"/>
              <w:snapToGrid w:val="0"/>
              <w:spacing w:after="0" w:line="240" w:lineRule="auto"/>
              <w:jc w:val="center"/>
              <w:rPr>
                <w:rFonts w:hint="eastAsia" w:ascii="Times New Roman" w:hAnsi="Times New Roman" w:eastAsia="宋体" w:cs="Times New Roman"/>
                <w:color w:val="auto"/>
                <w:kern w:val="28"/>
                <w:sz w:val="21"/>
                <w:szCs w:val="21"/>
                <w:highlight w:val="none"/>
                <w14:ligatures w14:val="none"/>
              </w:rPr>
            </w:pPr>
            <w:r>
              <w:rPr>
                <w:rFonts w:hint="eastAsia" w:ascii="Times New Roman" w:hAnsi="Times New Roman" w:eastAsia="宋体" w:cs="Times New Roman"/>
                <w:color w:val="auto"/>
                <w:kern w:val="28"/>
                <w:sz w:val="21"/>
                <w:szCs w:val="21"/>
                <w:highlight w:val="none"/>
                <w14:ligatures w14:val="none"/>
              </w:rPr>
              <w:t>0</w:t>
            </w:r>
          </w:p>
        </w:tc>
        <w:tc>
          <w:tcPr>
            <w:tcW w:w="1748" w:type="dxa"/>
            <w:noWrap w:val="0"/>
            <w:vAlign w:val="center"/>
          </w:tcPr>
          <w:p w14:paraId="4B061277">
            <w:pPr>
              <w:adjustRightInd w:val="0"/>
              <w:snapToGrid w:val="0"/>
              <w:spacing w:after="0" w:line="240" w:lineRule="auto"/>
              <w:jc w:val="center"/>
              <w:rPr>
                <w:rFonts w:hint="default" w:ascii="Times New Roman" w:hAnsi="Times New Roman" w:eastAsia="宋体" w:cs="Times New Roman"/>
                <w:color w:val="auto"/>
                <w:kern w:val="28"/>
                <w:sz w:val="21"/>
                <w:szCs w:val="21"/>
                <w:highlight w:val="none"/>
                <w:lang w:val="en-US" w:eastAsia="zh-CN"/>
                <w14:ligatures w14:val="none"/>
              </w:rPr>
            </w:pPr>
            <w:r>
              <w:rPr>
                <w:rFonts w:hint="eastAsia" w:ascii="Times New Roman" w:hAnsi="Times New Roman" w:eastAsia="宋体" w:cs="Times New Roman"/>
                <w:color w:val="auto"/>
                <w:kern w:val="28"/>
                <w:sz w:val="21"/>
                <w:szCs w:val="21"/>
                <w:highlight w:val="none"/>
                <w:lang w:val="en-US" w:eastAsia="zh-CN"/>
                <w14:ligatures w14:val="none"/>
              </w:rPr>
              <w:t>0</w:t>
            </w:r>
          </w:p>
        </w:tc>
      </w:tr>
      <w:tr w14:paraId="3FF30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140" w:type="dxa"/>
            <w:noWrap w:val="0"/>
            <w:vAlign w:val="center"/>
          </w:tcPr>
          <w:p w14:paraId="33B1D9E8">
            <w:pPr>
              <w:adjustRightInd w:val="0"/>
              <w:snapToGrid w:val="0"/>
              <w:spacing w:after="0" w:line="240" w:lineRule="auto"/>
              <w:jc w:val="center"/>
              <w:rPr>
                <w:rFonts w:hint="eastAsia" w:ascii="Times New Roman" w:hAnsi="Times New Roman" w:eastAsia="宋体" w:cs="Times New Roman"/>
                <w:color w:val="auto"/>
                <w:kern w:val="28"/>
                <w:sz w:val="21"/>
                <w:szCs w:val="21"/>
                <w14:ligatures w14:val="none"/>
              </w:rPr>
            </w:pPr>
            <w:r>
              <w:rPr>
                <w:rFonts w:hint="eastAsia" w:ascii="Times New Roman" w:hAnsi="Times New Roman" w:eastAsia="宋体" w:cs="Times New Roman"/>
                <w:color w:val="auto"/>
                <w:kern w:val="28"/>
                <w:sz w:val="21"/>
                <w:szCs w:val="21"/>
                <w14:ligatures w14:val="none"/>
              </w:rPr>
              <w:t>重大危险源管理及监控</w:t>
            </w:r>
          </w:p>
        </w:tc>
        <w:tc>
          <w:tcPr>
            <w:tcW w:w="1498" w:type="dxa"/>
            <w:noWrap w:val="0"/>
            <w:vAlign w:val="center"/>
          </w:tcPr>
          <w:p w14:paraId="1DC2E36D">
            <w:pPr>
              <w:adjustRightInd w:val="0"/>
              <w:snapToGrid w:val="0"/>
              <w:spacing w:after="0" w:line="240" w:lineRule="auto"/>
              <w:jc w:val="center"/>
              <w:rPr>
                <w:rFonts w:hint="default" w:ascii="Times New Roman" w:hAnsi="Times New Roman" w:eastAsia="宋体" w:cs="Times New Roman"/>
                <w:color w:val="auto"/>
                <w:kern w:val="28"/>
                <w:sz w:val="21"/>
                <w:szCs w:val="21"/>
                <w:highlight w:val="none"/>
                <w:lang w:val="en-US" w:eastAsia="zh-CN"/>
                <w14:ligatures w14:val="none"/>
              </w:rPr>
            </w:pPr>
            <w:r>
              <w:rPr>
                <w:rFonts w:hint="eastAsia" w:ascii="Times New Roman" w:hAnsi="Times New Roman" w:eastAsia="宋体" w:cs="Times New Roman"/>
                <w:color w:val="auto"/>
                <w:kern w:val="28"/>
                <w:sz w:val="21"/>
                <w:szCs w:val="21"/>
                <w:highlight w:val="none"/>
                <w:lang w:val="en-US" w:eastAsia="zh-CN"/>
                <w14:ligatures w14:val="none"/>
              </w:rPr>
              <w:t>46</w:t>
            </w:r>
          </w:p>
        </w:tc>
        <w:tc>
          <w:tcPr>
            <w:tcW w:w="1821" w:type="dxa"/>
            <w:noWrap w:val="0"/>
            <w:vAlign w:val="center"/>
          </w:tcPr>
          <w:p w14:paraId="4C18AB87">
            <w:pPr>
              <w:adjustRightInd w:val="0"/>
              <w:snapToGrid w:val="0"/>
              <w:spacing w:after="0" w:line="240" w:lineRule="auto"/>
              <w:jc w:val="center"/>
              <w:rPr>
                <w:rFonts w:hint="default" w:ascii="Times New Roman" w:hAnsi="Times New Roman" w:eastAsia="宋体" w:cs="Times New Roman"/>
                <w:color w:val="auto"/>
                <w:kern w:val="28"/>
                <w:sz w:val="21"/>
                <w:szCs w:val="21"/>
                <w:highlight w:val="none"/>
                <w:lang w:val="en-US" w:eastAsia="zh-CN"/>
                <w14:ligatures w14:val="none"/>
              </w:rPr>
            </w:pPr>
            <w:r>
              <w:rPr>
                <w:rFonts w:hint="eastAsia" w:ascii="Times New Roman" w:hAnsi="Times New Roman" w:eastAsia="宋体" w:cs="Times New Roman"/>
                <w:color w:val="auto"/>
                <w:kern w:val="28"/>
                <w:sz w:val="21"/>
                <w:szCs w:val="21"/>
                <w:highlight w:val="none"/>
                <w:lang w:val="en-US" w:eastAsia="zh-CN"/>
                <w14:ligatures w14:val="none"/>
              </w:rPr>
              <w:t>45</w:t>
            </w:r>
          </w:p>
        </w:tc>
        <w:tc>
          <w:tcPr>
            <w:tcW w:w="1531" w:type="dxa"/>
            <w:noWrap w:val="0"/>
            <w:vAlign w:val="center"/>
          </w:tcPr>
          <w:p w14:paraId="61DCB295">
            <w:pPr>
              <w:adjustRightInd w:val="0"/>
              <w:snapToGrid w:val="0"/>
              <w:spacing w:after="0" w:line="240" w:lineRule="auto"/>
              <w:jc w:val="center"/>
              <w:rPr>
                <w:rFonts w:hint="eastAsia" w:ascii="Times New Roman" w:hAnsi="Times New Roman" w:eastAsia="宋体" w:cs="Times New Roman"/>
                <w:color w:val="auto"/>
                <w:kern w:val="28"/>
                <w:sz w:val="21"/>
                <w:szCs w:val="21"/>
                <w:highlight w:val="none"/>
                <w:lang w:val="en-US" w:eastAsia="zh-CN"/>
                <w14:ligatures w14:val="none"/>
              </w:rPr>
            </w:pPr>
            <w:r>
              <w:rPr>
                <w:rFonts w:hint="eastAsia" w:ascii="Times New Roman" w:hAnsi="Times New Roman" w:eastAsia="宋体" w:cs="Times New Roman"/>
                <w:color w:val="auto"/>
                <w:kern w:val="28"/>
                <w:sz w:val="21"/>
                <w:szCs w:val="21"/>
                <w:highlight w:val="none"/>
                <w:lang w:val="en-US" w:eastAsia="zh-CN"/>
                <w14:ligatures w14:val="none"/>
              </w:rPr>
              <w:t>1</w:t>
            </w:r>
          </w:p>
        </w:tc>
        <w:tc>
          <w:tcPr>
            <w:tcW w:w="1748" w:type="dxa"/>
            <w:noWrap w:val="0"/>
            <w:vAlign w:val="center"/>
          </w:tcPr>
          <w:p w14:paraId="35F5220B">
            <w:pPr>
              <w:adjustRightInd w:val="0"/>
              <w:snapToGrid w:val="0"/>
              <w:spacing w:after="0" w:line="240" w:lineRule="auto"/>
              <w:jc w:val="center"/>
              <w:rPr>
                <w:rFonts w:hint="default" w:ascii="Times New Roman" w:hAnsi="Times New Roman" w:eastAsia="宋体" w:cs="Times New Roman"/>
                <w:color w:val="auto"/>
                <w:kern w:val="28"/>
                <w:sz w:val="21"/>
                <w:szCs w:val="21"/>
                <w:highlight w:val="none"/>
                <w:lang w:val="en-US" w:eastAsia="zh-CN"/>
                <w14:ligatures w14:val="none"/>
              </w:rPr>
            </w:pPr>
            <w:r>
              <w:rPr>
                <w:rFonts w:hint="eastAsia" w:ascii="Times New Roman" w:hAnsi="Times New Roman" w:eastAsia="宋体" w:cs="Times New Roman"/>
                <w:color w:val="auto"/>
                <w:kern w:val="28"/>
                <w:sz w:val="21"/>
                <w:szCs w:val="21"/>
                <w:highlight w:val="none"/>
                <w:lang w:val="en-US" w:eastAsia="zh-CN"/>
                <w14:ligatures w14:val="none"/>
              </w:rPr>
              <w:t>0</w:t>
            </w:r>
          </w:p>
        </w:tc>
      </w:tr>
      <w:tr w14:paraId="045D0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140" w:type="dxa"/>
            <w:noWrap w:val="0"/>
            <w:vAlign w:val="center"/>
          </w:tcPr>
          <w:p w14:paraId="6143EB4B">
            <w:pPr>
              <w:adjustRightInd w:val="0"/>
              <w:snapToGrid w:val="0"/>
              <w:spacing w:after="0" w:line="240" w:lineRule="auto"/>
              <w:jc w:val="center"/>
              <w:rPr>
                <w:rFonts w:hint="eastAsia" w:ascii="Times New Roman" w:hAnsi="Times New Roman" w:eastAsia="宋体" w:cs="Times New Roman"/>
                <w:color w:val="auto"/>
                <w:kern w:val="28"/>
                <w:sz w:val="21"/>
                <w:szCs w:val="21"/>
                <w14:ligatures w14:val="none"/>
              </w:rPr>
            </w:pPr>
            <w:r>
              <w:rPr>
                <w:rFonts w:hint="eastAsia" w:ascii="Times New Roman" w:hAnsi="Times New Roman" w:eastAsia="宋体" w:cs="Times New Roman"/>
                <w:color w:val="auto"/>
                <w:kern w:val="28"/>
                <w:sz w:val="21"/>
                <w:szCs w:val="21"/>
                <w14:ligatures w14:val="none"/>
              </w:rPr>
              <w:t>重大生产安全事故隐患单元</w:t>
            </w:r>
          </w:p>
        </w:tc>
        <w:tc>
          <w:tcPr>
            <w:tcW w:w="1498" w:type="dxa"/>
            <w:noWrap w:val="0"/>
            <w:vAlign w:val="center"/>
          </w:tcPr>
          <w:p w14:paraId="50C9183D">
            <w:pPr>
              <w:adjustRightInd w:val="0"/>
              <w:snapToGrid w:val="0"/>
              <w:spacing w:after="0" w:line="240" w:lineRule="auto"/>
              <w:jc w:val="center"/>
              <w:rPr>
                <w:rFonts w:hint="default" w:ascii="Times New Roman" w:hAnsi="Times New Roman" w:eastAsia="宋体" w:cs="Times New Roman"/>
                <w:color w:val="auto"/>
                <w:kern w:val="28"/>
                <w:sz w:val="21"/>
                <w:szCs w:val="21"/>
                <w:lang w:val="en-US" w:eastAsia="zh-CN"/>
                <w14:ligatures w14:val="none"/>
              </w:rPr>
            </w:pPr>
            <w:r>
              <w:rPr>
                <w:rFonts w:hint="eastAsia" w:ascii="Times New Roman" w:hAnsi="Times New Roman" w:eastAsia="宋体" w:cs="Times New Roman"/>
                <w:color w:val="auto"/>
                <w:kern w:val="28"/>
                <w:sz w:val="21"/>
                <w:szCs w:val="21"/>
                <w:lang w:val="en-US" w:eastAsia="zh-CN"/>
                <w14:ligatures w14:val="none"/>
              </w:rPr>
              <w:t>20</w:t>
            </w:r>
          </w:p>
        </w:tc>
        <w:tc>
          <w:tcPr>
            <w:tcW w:w="1821" w:type="dxa"/>
            <w:noWrap w:val="0"/>
            <w:vAlign w:val="center"/>
          </w:tcPr>
          <w:p w14:paraId="2A9B4F22">
            <w:pPr>
              <w:adjustRightInd w:val="0"/>
              <w:snapToGrid w:val="0"/>
              <w:spacing w:after="0" w:line="240" w:lineRule="auto"/>
              <w:jc w:val="center"/>
              <w:rPr>
                <w:rFonts w:hint="default" w:ascii="Times New Roman" w:hAnsi="Times New Roman" w:eastAsia="宋体" w:cs="Times New Roman"/>
                <w:color w:val="auto"/>
                <w:kern w:val="28"/>
                <w:sz w:val="21"/>
                <w:szCs w:val="21"/>
                <w:lang w:val="en-US" w:eastAsia="zh-CN"/>
                <w14:ligatures w14:val="none"/>
              </w:rPr>
            </w:pPr>
            <w:r>
              <w:rPr>
                <w:rFonts w:hint="eastAsia" w:ascii="Times New Roman" w:hAnsi="Times New Roman" w:eastAsia="宋体" w:cs="Times New Roman"/>
                <w:color w:val="auto"/>
                <w:kern w:val="28"/>
                <w:sz w:val="21"/>
                <w:szCs w:val="21"/>
                <w:lang w:val="en-US" w:eastAsia="zh-CN"/>
                <w14:ligatures w14:val="none"/>
              </w:rPr>
              <w:t>13</w:t>
            </w:r>
          </w:p>
        </w:tc>
        <w:tc>
          <w:tcPr>
            <w:tcW w:w="1531" w:type="dxa"/>
            <w:noWrap w:val="0"/>
            <w:vAlign w:val="center"/>
          </w:tcPr>
          <w:p w14:paraId="546774ED">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hint="eastAsia" w:ascii="Times New Roman" w:hAnsi="Times New Roman" w:eastAsia="宋体" w:cs="Times New Roman"/>
                <w:color w:val="auto"/>
                <w:kern w:val="28"/>
                <w:sz w:val="21"/>
                <w:szCs w:val="21"/>
                <w14:ligatures w14:val="none"/>
              </w:rPr>
              <w:t>0</w:t>
            </w:r>
          </w:p>
        </w:tc>
        <w:tc>
          <w:tcPr>
            <w:tcW w:w="1748" w:type="dxa"/>
            <w:noWrap w:val="0"/>
            <w:vAlign w:val="center"/>
          </w:tcPr>
          <w:p w14:paraId="73FA537F">
            <w:pPr>
              <w:adjustRightInd w:val="0"/>
              <w:snapToGrid w:val="0"/>
              <w:spacing w:after="0" w:line="240" w:lineRule="auto"/>
              <w:jc w:val="center"/>
              <w:rPr>
                <w:rFonts w:hint="default" w:ascii="Times New Roman" w:hAnsi="Times New Roman" w:eastAsia="宋体" w:cs="Times New Roman"/>
                <w:color w:val="auto"/>
                <w:kern w:val="28"/>
                <w:sz w:val="21"/>
                <w:szCs w:val="21"/>
                <w:lang w:val="en-US" w:eastAsia="zh-CN"/>
                <w14:ligatures w14:val="none"/>
              </w:rPr>
            </w:pPr>
            <w:r>
              <w:rPr>
                <w:rFonts w:hint="eastAsia" w:ascii="Times New Roman" w:hAnsi="Times New Roman" w:eastAsia="宋体" w:cs="Times New Roman"/>
                <w:color w:val="auto"/>
                <w:kern w:val="28"/>
                <w:sz w:val="21"/>
                <w:szCs w:val="21"/>
                <w:lang w:val="en-US" w:eastAsia="zh-CN"/>
                <w14:ligatures w14:val="none"/>
              </w:rPr>
              <w:t>7</w:t>
            </w:r>
          </w:p>
        </w:tc>
      </w:tr>
      <w:tr w14:paraId="2F294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jc w:val="center"/>
        </w:trPr>
        <w:tc>
          <w:tcPr>
            <w:tcW w:w="2140" w:type="dxa"/>
            <w:noWrap w:val="0"/>
            <w:vAlign w:val="center"/>
          </w:tcPr>
          <w:p w14:paraId="7DDF4C36">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合  计</w:t>
            </w:r>
          </w:p>
        </w:tc>
        <w:tc>
          <w:tcPr>
            <w:tcW w:w="1498" w:type="dxa"/>
            <w:noWrap w:val="0"/>
            <w:vAlign w:val="center"/>
          </w:tcPr>
          <w:p w14:paraId="0A985ACE">
            <w:pPr>
              <w:adjustRightInd w:val="0"/>
              <w:snapToGrid w:val="0"/>
              <w:spacing w:after="0" w:line="240" w:lineRule="auto"/>
              <w:jc w:val="center"/>
              <w:rPr>
                <w:rFonts w:hint="default" w:ascii="Times New Roman" w:hAnsi="Times New Roman" w:eastAsia="宋体" w:cs="Times New Roman"/>
                <w:color w:val="auto"/>
                <w:kern w:val="28"/>
                <w:sz w:val="21"/>
                <w:szCs w:val="21"/>
                <w:lang w:val="en-US" w:eastAsia="zh-CN"/>
                <w14:ligatures w14:val="none"/>
              </w:rPr>
            </w:pPr>
            <w:r>
              <w:rPr>
                <w:rFonts w:hint="eastAsia" w:ascii="Times New Roman" w:hAnsi="Times New Roman" w:eastAsia="宋体" w:cs="Times New Roman"/>
                <w:color w:val="auto"/>
                <w:kern w:val="28"/>
                <w:sz w:val="21"/>
                <w:szCs w:val="21"/>
                <w:lang w:val="en-US" w:eastAsia="zh-CN"/>
                <w14:ligatures w14:val="none"/>
              </w:rPr>
              <w:t>209</w:t>
            </w:r>
          </w:p>
        </w:tc>
        <w:tc>
          <w:tcPr>
            <w:tcW w:w="1821" w:type="dxa"/>
            <w:noWrap w:val="0"/>
            <w:vAlign w:val="center"/>
          </w:tcPr>
          <w:p w14:paraId="5E0478EC">
            <w:pPr>
              <w:adjustRightInd w:val="0"/>
              <w:snapToGrid w:val="0"/>
              <w:spacing w:after="0" w:line="240" w:lineRule="auto"/>
              <w:jc w:val="center"/>
              <w:rPr>
                <w:rFonts w:hint="default" w:ascii="Times New Roman" w:hAnsi="Times New Roman" w:eastAsia="宋体" w:cs="Times New Roman"/>
                <w:color w:val="auto"/>
                <w:kern w:val="28"/>
                <w:sz w:val="21"/>
                <w:szCs w:val="21"/>
                <w:lang w:val="en-US" w:eastAsia="zh-CN"/>
                <w14:ligatures w14:val="none"/>
              </w:rPr>
            </w:pPr>
            <w:r>
              <w:rPr>
                <w:rFonts w:hint="eastAsia" w:ascii="Times New Roman" w:hAnsi="Times New Roman" w:eastAsia="宋体" w:cs="Times New Roman"/>
                <w:color w:val="auto"/>
                <w:kern w:val="28"/>
                <w:sz w:val="21"/>
                <w:szCs w:val="21"/>
                <w:lang w:val="en-US" w:eastAsia="zh-CN"/>
                <w14:ligatures w14:val="none"/>
              </w:rPr>
              <w:t>201</w:t>
            </w:r>
          </w:p>
        </w:tc>
        <w:tc>
          <w:tcPr>
            <w:tcW w:w="1531" w:type="dxa"/>
            <w:noWrap w:val="0"/>
            <w:vAlign w:val="center"/>
          </w:tcPr>
          <w:p w14:paraId="008851A2">
            <w:pPr>
              <w:adjustRightInd w:val="0"/>
              <w:snapToGrid w:val="0"/>
              <w:spacing w:after="0" w:line="240" w:lineRule="auto"/>
              <w:jc w:val="center"/>
              <w:rPr>
                <w:rFonts w:hint="eastAsia" w:ascii="Times New Roman" w:hAnsi="Times New Roman" w:eastAsia="宋体" w:cs="Times New Roman"/>
                <w:color w:val="auto"/>
                <w:kern w:val="28"/>
                <w:sz w:val="21"/>
                <w:szCs w:val="21"/>
                <w:lang w:val="en-US" w:eastAsia="zh-CN"/>
                <w14:ligatures w14:val="none"/>
              </w:rPr>
            </w:pPr>
            <w:r>
              <w:rPr>
                <w:rFonts w:hint="eastAsia" w:ascii="Times New Roman" w:hAnsi="Times New Roman" w:eastAsia="宋体" w:cs="Times New Roman"/>
                <w:color w:val="auto"/>
                <w:kern w:val="28"/>
                <w:sz w:val="21"/>
                <w:szCs w:val="21"/>
                <w:lang w:val="en-US" w:eastAsia="zh-CN"/>
                <w14:ligatures w14:val="none"/>
              </w:rPr>
              <w:t>1</w:t>
            </w:r>
          </w:p>
        </w:tc>
        <w:tc>
          <w:tcPr>
            <w:tcW w:w="1748" w:type="dxa"/>
            <w:noWrap w:val="0"/>
            <w:vAlign w:val="center"/>
          </w:tcPr>
          <w:p w14:paraId="6159EC71">
            <w:pPr>
              <w:adjustRightInd w:val="0"/>
              <w:snapToGrid w:val="0"/>
              <w:spacing w:after="0" w:line="240" w:lineRule="auto"/>
              <w:jc w:val="center"/>
              <w:rPr>
                <w:rFonts w:hint="default" w:ascii="Times New Roman" w:hAnsi="Times New Roman" w:eastAsia="宋体" w:cs="Times New Roman"/>
                <w:color w:val="auto"/>
                <w:kern w:val="28"/>
                <w:sz w:val="21"/>
                <w:szCs w:val="21"/>
                <w:lang w:val="en-US" w:eastAsia="zh-CN"/>
                <w14:ligatures w14:val="none"/>
              </w:rPr>
            </w:pPr>
            <w:r>
              <w:rPr>
                <w:rFonts w:hint="eastAsia" w:ascii="Times New Roman" w:hAnsi="Times New Roman" w:eastAsia="宋体" w:cs="Times New Roman"/>
                <w:color w:val="auto"/>
                <w:kern w:val="28"/>
                <w:sz w:val="21"/>
                <w:szCs w:val="21"/>
                <w:lang w:val="en-US" w:eastAsia="zh-CN"/>
                <w14:ligatures w14:val="none"/>
              </w:rPr>
              <w:t>7</w:t>
            </w:r>
          </w:p>
        </w:tc>
      </w:tr>
    </w:tbl>
    <w:p w14:paraId="07D0AC10">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ascii="Times New Roman" w:hAnsi="Times New Roman" w:eastAsia="宋体" w:cs="Times New Roman"/>
          <w:sz w:val="28"/>
          <w:szCs w:val="28"/>
          <w14:ligatures w14:val="none"/>
        </w:rPr>
      </w:pPr>
      <w:r>
        <w:rPr>
          <w:rFonts w:ascii="Times New Roman" w:hAnsi="Times New Roman" w:eastAsia="宋体" w:cs="Times New Roman"/>
          <w:sz w:val="28"/>
          <w:szCs w:val="28"/>
          <w14:ligatures w14:val="none"/>
        </w:rPr>
        <w:br w:type="page"/>
      </w:r>
    </w:p>
    <w:p w14:paraId="7AF3BA44">
      <w:pPr>
        <w:adjustRightInd w:val="0"/>
        <w:snapToGrid w:val="0"/>
        <w:spacing w:before="468" w:beforeLines="150" w:after="468" w:afterLines="150" w:line="360" w:lineRule="auto"/>
        <w:jc w:val="center"/>
        <w:outlineLvl w:val="0"/>
        <w:rPr>
          <w:rFonts w:hint="eastAsia" w:ascii="Times New Roman" w:hAnsi="Times New Roman" w:eastAsia="黑体" w:cs="黑体"/>
          <w:b/>
          <w:kern w:val="44"/>
          <w:sz w:val="32"/>
          <w:szCs w:val="44"/>
          <w14:ligatures w14:val="none"/>
        </w:rPr>
      </w:pPr>
      <w:bookmarkStart w:id="139" w:name="_Toc3207"/>
      <w:r>
        <w:rPr>
          <w:rFonts w:hint="eastAsia" w:ascii="Times New Roman" w:hAnsi="Times New Roman" w:eastAsia="黑体" w:cs="黑体"/>
          <w:b/>
          <w:kern w:val="44"/>
          <w:sz w:val="32"/>
          <w:szCs w:val="44"/>
          <w:lang w:val="en-US" w:eastAsia="zh-CN"/>
          <w14:ligatures w14:val="none"/>
        </w:rPr>
        <w:t>6</w:t>
      </w:r>
      <w:r>
        <w:rPr>
          <w:rFonts w:hint="eastAsia" w:ascii="Times New Roman" w:hAnsi="Times New Roman" w:eastAsia="黑体" w:cs="黑体"/>
          <w:b/>
          <w:kern w:val="44"/>
          <w:sz w:val="32"/>
          <w:szCs w:val="44"/>
          <w14:ligatures w14:val="none"/>
        </w:rPr>
        <w:t>定</w:t>
      </w:r>
      <w:r>
        <w:rPr>
          <w:rFonts w:hint="eastAsia" w:ascii="Times New Roman" w:hAnsi="Times New Roman" w:eastAsia="黑体" w:cs="黑体"/>
          <w:b/>
          <w:kern w:val="44"/>
          <w:sz w:val="32"/>
          <w:szCs w:val="44"/>
          <w:lang w:val="en-US" w:eastAsia="zh-CN"/>
          <w14:ligatures w14:val="none"/>
        </w:rPr>
        <w:t>量</w:t>
      </w:r>
      <w:r>
        <w:rPr>
          <w:rFonts w:hint="eastAsia" w:ascii="Times New Roman" w:hAnsi="Times New Roman" w:eastAsia="黑体" w:cs="黑体"/>
          <w:b/>
          <w:kern w:val="44"/>
          <w:sz w:val="32"/>
          <w:szCs w:val="44"/>
          <w14:ligatures w14:val="none"/>
        </w:rPr>
        <w:t>评价</w:t>
      </w:r>
      <w:bookmarkEnd w:id="139"/>
    </w:p>
    <w:p w14:paraId="2EB209E1">
      <w:pPr>
        <w:widowControl w:val="0"/>
        <w:adjustRightInd w:val="0"/>
        <w:snapToGrid w:val="0"/>
        <w:spacing w:before="312" w:beforeLines="100" w:after="312" w:afterLines="100" w:line="360" w:lineRule="auto"/>
        <w:ind w:firstLine="0" w:firstLineChars="0"/>
        <w:jc w:val="center"/>
        <w:outlineLvl w:val="1"/>
        <w:rPr>
          <w:rFonts w:hint="eastAsia" w:ascii="Times New Roman" w:hAnsi="Times New Roman" w:eastAsia="楷体" w:cs="Times New Roman"/>
          <w:b/>
          <w:bCs/>
          <w:kern w:val="2"/>
          <w:sz w:val="32"/>
          <w:szCs w:val="32"/>
          <w:lang w:val="en-US" w:eastAsia="zh-CN" w:bidi="ar-SA"/>
          <w14:ligatures w14:val="standardContextual"/>
        </w:rPr>
      </w:pPr>
      <w:bookmarkStart w:id="140" w:name="_Toc12110"/>
      <w:bookmarkStart w:id="141" w:name="_Toc21458"/>
      <w:r>
        <w:rPr>
          <w:rFonts w:hint="eastAsia" w:ascii="Times New Roman" w:hAnsi="Times New Roman" w:eastAsia="楷体" w:cs="Times New Roman"/>
          <w:b/>
          <w:bCs/>
          <w:kern w:val="2"/>
          <w:sz w:val="32"/>
          <w:szCs w:val="32"/>
          <w:lang w:val="en-US" w:eastAsia="zh-CN" w:bidi="ar-SA"/>
          <w14:ligatures w14:val="standardContextual"/>
        </w:rPr>
        <w:t>6</w:t>
      </w:r>
      <w:r>
        <w:rPr>
          <w:rFonts w:ascii="Times New Roman" w:hAnsi="Times New Roman" w:eastAsia="楷体" w:cs="Times New Roman"/>
          <w:b/>
          <w:bCs/>
          <w:kern w:val="2"/>
          <w:sz w:val="32"/>
          <w:szCs w:val="32"/>
          <w:lang w:val="en-US" w:eastAsia="zh-CN" w:bidi="ar-SA"/>
          <w14:ligatures w14:val="standardContextual"/>
        </w:rPr>
        <w:t>.1</w:t>
      </w:r>
      <w:r>
        <w:rPr>
          <w:rFonts w:hint="eastAsia" w:ascii="Times New Roman" w:hAnsi="Times New Roman" w:eastAsia="楷体" w:cs="Times New Roman"/>
          <w:b/>
          <w:bCs/>
          <w:kern w:val="2"/>
          <w:sz w:val="32"/>
          <w:szCs w:val="32"/>
          <w:lang w:val="en-US" w:eastAsia="zh-CN" w:bidi="ar-SA"/>
          <w14:ligatures w14:val="standardContextual"/>
        </w:rPr>
        <w:t>个人风险和社会风险评价</w:t>
      </w:r>
      <w:bookmarkEnd w:id="140"/>
      <w:bookmarkEnd w:id="141"/>
    </w:p>
    <w:p w14:paraId="4AD56ADD">
      <w:pPr>
        <w:widowControl w:val="0"/>
        <w:adjustRightInd w:val="0"/>
        <w:snapToGrid w:val="0"/>
        <w:spacing w:before="156" w:beforeLines="50" w:after="156" w:afterLines="50" w:line="360" w:lineRule="auto"/>
        <w:ind w:firstLine="560" w:firstLineChars="200"/>
        <w:jc w:val="both"/>
        <w:outlineLvl w:val="2"/>
        <w:rPr>
          <w:rFonts w:hint="eastAsia" w:ascii="黑体" w:hAnsi="黑体" w:eastAsia="黑体" w:cstheme="minorBidi"/>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6</w:t>
      </w:r>
      <w:r>
        <w:rPr>
          <w:rFonts w:ascii="Times New Roman" w:hAnsi="Times New Roman" w:eastAsia="黑体" w:cs="Times New Roman"/>
          <w:b/>
          <w:bCs/>
          <w:kern w:val="2"/>
          <w:sz w:val="28"/>
          <w:szCs w:val="24"/>
          <w:lang w:val="en-US" w:eastAsia="zh-CN" w:bidi="ar-SA"/>
          <w14:ligatures w14:val="standardContextual"/>
        </w:rPr>
        <w:t>.1.1</w:t>
      </w:r>
      <w:r>
        <w:rPr>
          <w:rFonts w:hint="eastAsia" w:ascii="Times New Roman" w:hAnsi="Times New Roman" w:eastAsia="黑体" w:cs="Times New Roman"/>
          <w:b/>
          <w:bCs/>
          <w:kern w:val="2"/>
          <w:sz w:val="28"/>
          <w:szCs w:val="24"/>
          <w:lang w:val="en-US" w:eastAsia="zh-CN" w:bidi="ar-SA"/>
          <w14:ligatures w14:val="standardContextual"/>
        </w:rPr>
        <w:t>可容许风险标准</w:t>
      </w:r>
    </w:p>
    <w:p w14:paraId="2403E4FB">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（1）可容许个人风险标准</w:t>
      </w:r>
    </w:p>
    <w:p w14:paraId="65A75897">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国能安储（东港）燃料供应有限公司重大危险源不属于《危险化学品重大危险源监督管理暂行规定》（国家安全监管总局令第40号，根据2015年5月27日国家安全生产监督管理总局令第79号修正）第九条规定的情形。因此，采用《危险化学品生产装置和储存设施风险基准》GB36894-2018规定个人风险标准。危险化学品单位周边重要目标和敏感场所承受的个人风险应满足表6.1-1中可容许风险标准要求。</w:t>
      </w:r>
    </w:p>
    <w:p w14:paraId="152081C3">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eastAsia" w:ascii="黑体" w:hAnsi="黑体" w:eastAsia="黑体" w:cstheme="minorBidi"/>
          <w:kern w:val="2"/>
          <w:sz w:val="24"/>
          <w:szCs w:val="24"/>
          <w:lang w:val="en-US" w:eastAsia="zh-CN" w:bidi="ar-SA"/>
          <w14:ligatures w14:val="standardContextual"/>
        </w:rPr>
        <w:t>表</w:t>
      </w:r>
      <w:r>
        <w:rPr>
          <w:rFonts w:hint="eastAsia" w:ascii="Times New Roman" w:hAnsi="Times New Roman" w:eastAsia="黑体" w:cs="Times New Roman"/>
          <w:kern w:val="2"/>
          <w:sz w:val="24"/>
          <w:szCs w:val="24"/>
          <w:lang w:val="en-US" w:eastAsia="zh-CN" w:bidi="ar-SA"/>
          <w14:ligatures w14:val="standardContextual"/>
        </w:rPr>
        <w:t>6.1</w:t>
      </w:r>
      <w:r>
        <w:rPr>
          <w:rFonts w:ascii="Times New Roman" w:hAnsi="Times New Roman" w:eastAsia="黑体" w:cs="Times New Roman"/>
          <w:kern w:val="2"/>
          <w:sz w:val="24"/>
          <w:szCs w:val="24"/>
          <w:lang w:val="en-US" w:eastAsia="zh-CN" w:bidi="ar-SA"/>
          <w14:ligatures w14:val="standardContextual"/>
        </w:rPr>
        <w:t>-1</w:t>
      </w:r>
      <w:r>
        <w:rPr>
          <w:rFonts w:hint="eastAsia" w:ascii="黑体" w:hAnsi="黑体" w:eastAsia="黑体" w:cstheme="minorBidi"/>
          <w:kern w:val="2"/>
          <w:sz w:val="24"/>
          <w:szCs w:val="24"/>
          <w:lang w:val="en-US" w:eastAsia="zh-CN" w:bidi="ar-SA"/>
          <w14:ligatures w14:val="standardContextual"/>
        </w:rPr>
        <w:t xml:space="preserve">  个人风险基准</w:t>
      </w:r>
    </w:p>
    <w:tbl>
      <w:tblPr>
        <w:tblStyle w:val="15"/>
        <w:tblW w:w="5000" w:type="pct"/>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3480"/>
        <w:gridCol w:w="5920"/>
      </w:tblGrid>
      <w:tr w14:paraId="3E2A1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trPr>
        <w:tc>
          <w:tcPr>
            <w:tcW w:w="1851" w:type="pct"/>
            <w:vMerge w:val="restart"/>
            <w:vAlign w:val="center"/>
          </w:tcPr>
          <w:p w14:paraId="6140DCF5">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防护目标</w:t>
            </w:r>
          </w:p>
        </w:tc>
        <w:tc>
          <w:tcPr>
            <w:tcW w:w="3149" w:type="pct"/>
          </w:tcPr>
          <w:p w14:paraId="10699948">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个人风险基准/（次/年）</w:t>
            </w:r>
          </w:p>
        </w:tc>
      </w:tr>
      <w:tr w14:paraId="53C38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trPr>
        <w:tc>
          <w:tcPr>
            <w:tcW w:w="1851" w:type="pct"/>
            <w:vMerge w:val="continue"/>
          </w:tcPr>
          <w:p w14:paraId="705E73E8">
            <w:pPr>
              <w:spacing w:after="0" w:line="240" w:lineRule="auto"/>
              <w:jc w:val="center"/>
              <w:rPr>
                <w:rFonts w:ascii="Times New Roman" w:hAnsi="Times New Roman" w:eastAsia="宋体"/>
                <w:b/>
                <w:bCs/>
                <w:sz w:val="21"/>
                <w:szCs w:val="21"/>
              </w:rPr>
            </w:pPr>
          </w:p>
        </w:tc>
        <w:tc>
          <w:tcPr>
            <w:tcW w:w="3149" w:type="pct"/>
          </w:tcPr>
          <w:p w14:paraId="729185B6">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危险化学品在役生产装置和储存设施</w:t>
            </w:r>
          </w:p>
        </w:tc>
      </w:tr>
      <w:tr w14:paraId="76FCD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1851" w:type="pct"/>
          </w:tcPr>
          <w:p w14:paraId="10718379">
            <w:pPr>
              <w:spacing w:after="0" w:line="240" w:lineRule="auto"/>
              <w:rPr>
                <w:rFonts w:ascii="Times New Roman" w:hAnsi="Times New Roman" w:eastAsia="宋体"/>
                <w:sz w:val="21"/>
                <w:szCs w:val="21"/>
              </w:rPr>
            </w:pPr>
            <w:r>
              <w:rPr>
                <w:rFonts w:hint="eastAsia" w:ascii="Times New Roman" w:hAnsi="Times New Roman" w:eastAsia="宋体"/>
                <w:sz w:val="21"/>
                <w:szCs w:val="21"/>
              </w:rPr>
              <w:t>高敏感防护目标</w:t>
            </w:r>
          </w:p>
          <w:p w14:paraId="6DCD690F">
            <w:pPr>
              <w:spacing w:after="0" w:line="240" w:lineRule="auto"/>
              <w:rPr>
                <w:rFonts w:ascii="Times New Roman" w:hAnsi="Times New Roman" w:eastAsia="宋体"/>
                <w:sz w:val="21"/>
                <w:szCs w:val="21"/>
              </w:rPr>
            </w:pPr>
            <w:r>
              <w:rPr>
                <w:rFonts w:hint="eastAsia" w:ascii="Times New Roman" w:hAnsi="Times New Roman" w:eastAsia="宋体"/>
                <w:sz w:val="21"/>
                <w:szCs w:val="21"/>
              </w:rPr>
              <w:t>重要防护目标</w:t>
            </w:r>
          </w:p>
          <w:p w14:paraId="7C4455D0">
            <w:pPr>
              <w:spacing w:after="0" w:line="240" w:lineRule="auto"/>
              <w:rPr>
                <w:rFonts w:ascii="Times New Roman" w:hAnsi="Times New Roman" w:eastAsia="宋体"/>
                <w:sz w:val="21"/>
                <w:szCs w:val="21"/>
              </w:rPr>
            </w:pPr>
            <w:r>
              <w:rPr>
                <w:rFonts w:hint="eastAsia" w:ascii="Times New Roman" w:hAnsi="Times New Roman" w:eastAsia="宋体"/>
                <w:sz w:val="21"/>
                <w:szCs w:val="21"/>
              </w:rPr>
              <w:t>一般防护目标中的一类防护目标</w:t>
            </w:r>
          </w:p>
        </w:tc>
        <w:tc>
          <w:tcPr>
            <w:tcW w:w="3149" w:type="pct"/>
            <w:vAlign w:val="center"/>
          </w:tcPr>
          <w:p w14:paraId="649D0605">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3×10</w:t>
            </w:r>
            <w:r>
              <w:rPr>
                <w:rFonts w:hint="eastAsia" w:ascii="Times New Roman" w:hAnsi="Times New Roman" w:eastAsia="宋体"/>
                <w:sz w:val="21"/>
                <w:szCs w:val="21"/>
                <w:vertAlign w:val="superscript"/>
              </w:rPr>
              <w:t>-6</w:t>
            </w:r>
          </w:p>
        </w:tc>
      </w:tr>
      <w:tr w14:paraId="7DEF2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1851" w:type="pct"/>
          </w:tcPr>
          <w:p w14:paraId="5D0DEC79">
            <w:pPr>
              <w:spacing w:after="0" w:line="240" w:lineRule="auto"/>
              <w:rPr>
                <w:rFonts w:ascii="Times New Roman" w:hAnsi="Times New Roman" w:eastAsia="宋体"/>
                <w:sz w:val="21"/>
                <w:szCs w:val="21"/>
              </w:rPr>
            </w:pPr>
            <w:r>
              <w:rPr>
                <w:rFonts w:hint="eastAsia" w:ascii="Times New Roman" w:hAnsi="Times New Roman" w:eastAsia="宋体"/>
                <w:sz w:val="21"/>
                <w:szCs w:val="21"/>
              </w:rPr>
              <w:t>一般防护目标中的二类防护目标</w:t>
            </w:r>
          </w:p>
        </w:tc>
        <w:tc>
          <w:tcPr>
            <w:tcW w:w="3149" w:type="pct"/>
          </w:tcPr>
          <w:p w14:paraId="7A35D311">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1×10</w:t>
            </w:r>
            <w:r>
              <w:rPr>
                <w:rFonts w:hint="eastAsia" w:ascii="Times New Roman" w:hAnsi="Times New Roman" w:eastAsia="宋体"/>
                <w:sz w:val="21"/>
                <w:szCs w:val="21"/>
                <w:vertAlign w:val="superscript"/>
              </w:rPr>
              <w:t>-5</w:t>
            </w:r>
          </w:p>
        </w:tc>
      </w:tr>
      <w:tr w14:paraId="4BE45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1851" w:type="pct"/>
          </w:tcPr>
          <w:p w14:paraId="5C060865">
            <w:pPr>
              <w:spacing w:after="0" w:line="240" w:lineRule="auto"/>
              <w:rPr>
                <w:rFonts w:ascii="Times New Roman" w:hAnsi="Times New Roman" w:eastAsia="宋体"/>
                <w:sz w:val="21"/>
                <w:szCs w:val="21"/>
              </w:rPr>
            </w:pPr>
            <w:r>
              <w:rPr>
                <w:rFonts w:hint="eastAsia" w:ascii="Times New Roman" w:hAnsi="Times New Roman" w:eastAsia="宋体"/>
                <w:sz w:val="21"/>
                <w:szCs w:val="21"/>
              </w:rPr>
              <w:t>一般防护目标中的三类防护目标</w:t>
            </w:r>
          </w:p>
        </w:tc>
        <w:tc>
          <w:tcPr>
            <w:tcW w:w="3149" w:type="pct"/>
          </w:tcPr>
          <w:p w14:paraId="6E7CFC35">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3×10</w:t>
            </w:r>
            <w:r>
              <w:rPr>
                <w:rFonts w:hint="eastAsia" w:ascii="Times New Roman" w:hAnsi="Times New Roman" w:eastAsia="宋体"/>
                <w:sz w:val="21"/>
                <w:szCs w:val="21"/>
                <w:vertAlign w:val="superscript"/>
              </w:rPr>
              <w:t>-5</w:t>
            </w:r>
          </w:p>
        </w:tc>
      </w:tr>
    </w:tbl>
    <w:p w14:paraId="2AE391B7">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（2）可容许社会风险标准</w:t>
      </w:r>
    </w:p>
    <w:p w14:paraId="7759E48E">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社会风险是指能够引起大于等于N人死亡的事故累积频率（F），也即单位时间内（通常为年）的死亡人数。通常用社会风险曲线（F-N曲线）表示。</w:t>
      </w:r>
    </w:p>
    <w:p w14:paraId="4EA21BF0">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可容许社会风险标准采用ALARP（As Low As Reasonable Practice）原则作为可接受原则。ALARP原则通过两个风险分界线将风险划分为3个区域，即：不可容许区、尽可能降低区（ALARP）和可容许区。</w:t>
      </w:r>
    </w:p>
    <w:p w14:paraId="3C16A5DF">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宋体" w:hAnsi="宋体" w:eastAsia="宋体" w:cstheme="minorBidi"/>
          <w:kern w:val="2"/>
          <w:sz w:val="28"/>
          <w:szCs w:val="24"/>
          <w:lang w:val="en-US" w:eastAsia="zh-CN" w:bidi="ar-SA"/>
          <w14:ligatures w14:val="standardContextual"/>
        </w:rPr>
        <w:t>①</w:t>
      </w:r>
      <w:r>
        <w:rPr>
          <w:rFonts w:hint="eastAsia" w:ascii="Times New Roman" w:hAnsi="Times New Roman" w:eastAsia="宋体" w:cstheme="minorBidi"/>
          <w:kern w:val="2"/>
          <w:sz w:val="28"/>
          <w:szCs w:val="24"/>
          <w:lang w:val="en-US" w:eastAsia="zh-CN" w:bidi="ar-SA"/>
          <w14:ligatures w14:val="standardContextual"/>
        </w:rPr>
        <w:t>若社会风险曲线落在不可容许区，除特殊情况外，该风险无论如何不能被接受。</w:t>
      </w:r>
    </w:p>
    <w:p w14:paraId="4BE63421">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宋体" w:hAnsi="宋体" w:eastAsia="宋体" w:cstheme="minorBidi"/>
          <w:kern w:val="2"/>
          <w:sz w:val="28"/>
          <w:szCs w:val="24"/>
          <w:lang w:val="en-US" w:eastAsia="zh-CN" w:bidi="ar-SA"/>
          <w14:ligatures w14:val="standardContextual"/>
        </w:rPr>
        <w:t>②</w:t>
      </w:r>
      <w:r>
        <w:rPr>
          <w:rFonts w:hint="eastAsia" w:ascii="Times New Roman" w:hAnsi="Times New Roman" w:eastAsia="宋体" w:cstheme="minorBidi"/>
          <w:kern w:val="2"/>
          <w:sz w:val="28"/>
          <w:szCs w:val="24"/>
          <w:lang w:val="en-US" w:eastAsia="zh-CN" w:bidi="ar-SA"/>
          <w14:ligatures w14:val="standardContextual"/>
        </w:rPr>
        <w:t>若落在可容许区，风险处于很低的水平，该风险是可以被接受的，无需采取安全改进措施。</w:t>
      </w:r>
    </w:p>
    <w:p w14:paraId="596AA0D7">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宋体" w:hAnsi="宋体" w:eastAsia="宋体" w:cstheme="minorBidi"/>
          <w:kern w:val="2"/>
          <w:sz w:val="28"/>
          <w:szCs w:val="24"/>
          <w:lang w:val="en-US" w:eastAsia="zh-CN" w:bidi="ar-SA"/>
          <w14:ligatures w14:val="standardContextual"/>
        </w:rPr>
        <w:t>③</w:t>
      </w:r>
      <w:r>
        <w:rPr>
          <w:rFonts w:hint="eastAsia" w:ascii="Times New Roman" w:hAnsi="Times New Roman" w:eastAsia="宋体" w:cstheme="minorBidi"/>
          <w:kern w:val="2"/>
          <w:sz w:val="28"/>
          <w:szCs w:val="24"/>
          <w:lang w:val="en-US" w:eastAsia="zh-CN" w:bidi="ar-SA"/>
          <w14:ligatures w14:val="standardContextual"/>
        </w:rPr>
        <w:t>若落在尽可能降低区，则需要在可能的情况下尽量减少风险，即对各种风险处理措施方案进行成本效益分析等，以决定是否采取这些措施。</w:t>
      </w:r>
    </w:p>
    <w:p w14:paraId="5D67894C">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通过定量风险评价，危险化学品重大危险源产生的社会风险应满足图6.1-1中可容许社会风险标准要求。</w:t>
      </w:r>
    </w:p>
    <w:p w14:paraId="026A1574">
      <w:pPr>
        <w:widowControl w:val="0"/>
        <w:spacing w:after="0" w:line="360" w:lineRule="auto"/>
        <w:ind w:firstLine="0" w:firstLineChars="0"/>
        <w:jc w:val="both"/>
        <w:rPr>
          <w:rFonts w:ascii="Times New Roman" w:hAnsi="Times New Roman" w:eastAsia="宋体" w:cstheme="minorBidi"/>
          <w:kern w:val="2"/>
          <w:sz w:val="28"/>
          <w:szCs w:val="24"/>
          <w:lang w:val="en-US" w:eastAsia="zh-CN" w:bidi="ar-SA"/>
          <w14:ligatures w14:val="standardContextual"/>
        </w:rPr>
      </w:pPr>
    </w:p>
    <w:p w14:paraId="1F5BE9A7">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eastAsia" w:ascii="黑体" w:hAnsi="黑体" w:eastAsia="黑体" w:cstheme="minorBidi"/>
          <w:kern w:val="2"/>
          <w:sz w:val="24"/>
          <w:szCs w:val="24"/>
          <w:lang w:val="en-US" w:eastAsia="zh-CN" w:bidi="ar-SA"/>
          <w14:ligatures w14:val="standardContextual"/>
        </w:rPr>
        <w:t>图</w:t>
      </w:r>
      <w:r>
        <w:rPr>
          <w:rFonts w:hint="eastAsia" w:ascii="Times New Roman" w:hAnsi="Times New Roman" w:eastAsia="黑体" w:cs="Times New Roman"/>
          <w:kern w:val="2"/>
          <w:sz w:val="24"/>
          <w:szCs w:val="24"/>
          <w:lang w:val="en-US" w:eastAsia="zh-CN" w:bidi="ar-SA"/>
          <w14:ligatures w14:val="standardContextual"/>
        </w:rPr>
        <w:t>6.1</w:t>
      </w:r>
      <w:r>
        <w:rPr>
          <w:rFonts w:ascii="Times New Roman" w:hAnsi="Times New Roman" w:eastAsia="黑体" w:cs="Times New Roman"/>
          <w:kern w:val="2"/>
          <w:sz w:val="24"/>
          <w:szCs w:val="24"/>
          <w:lang w:val="en-US" w:eastAsia="zh-CN" w:bidi="ar-SA"/>
          <w14:ligatures w14:val="standardContextual"/>
        </w:rPr>
        <w:t>-1</w:t>
      </w:r>
      <w:r>
        <w:rPr>
          <w:rFonts w:hint="eastAsia" w:ascii="黑体" w:hAnsi="黑体" w:eastAsia="黑体" w:cstheme="minorBidi"/>
          <w:kern w:val="2"/>
          <w:sz w:val="24"/>
          <w:szCs w:val="24"/>
          <w:lang w:val="en-US" w:eastAsia="zh-CN" w:bidi="ar-SA"/>
          <w14:ligatures w14:val="standardContextual"/>
        </w:rPr>
        <w:t xml:space="preserve">  可容许社会风险标准（F-N）曲线</w:t>
      </w:r>
    </w:p>
    <w:p w14:paraId="60BE2EBE">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6.1</w:t>
      </w:r>
      <w:r>
        <w:rPr>
          <w:rFonts w:ascii="Times New Roman" w:hAnsi="Times New Roman" w:eastAsia="黑体" w:cs="Times New Roman"/>
          <w:b/>
          <w:bCs/>
          <w:kern w:val="2"/>
          <w:sz w:val="28"/>
          <w:szCs w:val="24"/>
          <w:lang w:val="en-US" w:eastAsia="zh-CN" w:bidi="ar-SA"/>
          <w14:ligatures w14:val="standardContextual"/>
        </w:rPr>
        <w:t>.</w:t>
      </w:r>
      <w:r>
        <w:rPr>
          <w:rFonts w:hint="eastAsia" w:ascii="Times New Roman" w:hAnsi="Times New Roman" w:eastAsia="黑体" w:cs="Times New Roman"/>
          <w:b/>
          <w:bCs/>
          <w:kern w:val="2"/>
          <w:sz w:val="28"/>
          <w:szCs w:val="24"/>
          <w:lang w:val="en-US" w:eastAsia="zh-CN" w:bidi="ar-SA"/>
          <w14:ligatures w14:val="standardContextual"/>
        </w:rPr>
        <w:t>2定量计算及分析</w:t>
      </w:r>
    </w:p>
    <w:p w14:paraId="32BB8201">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根据《危险化学品生产装置和储存设施风险基准》（GB36894-2018），本次评估采用“定量风险评价法”计算个人风险和社会风险。</w:t>
      </w:r>
    </w:p>
    <w:p w14:paraId="64859E59">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（1）区域环境参数</w:t>
      </w:r>
    </w:p>
    <w:p w14:paraId="699298F7">
      <w:pPr>
        <w:keepNext/>
        <w:keepLines/>
        <w:widowControl w:val="0"/>
        <w:spacing w:before="156" w:beforeLines="50" w:after="156" w:afterLines="50" w:line="240" w:lineRule="auto"/>
        <w:ind w:firstLine="0" w:firstLineChars="0"/>
        <w:jc w:val="center"/>
        <w:rPr>
          <w:rFonts w:hint="default" w:ascii="Times New Roman" w:hAnsi="Times New Roman" w:eastAsia="黑体" w:cs="Times New Roman"/>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表</w:t>
      </w:r>
      <w:r>
        <w:rPr>
          <w:rFonts w:hint="eastAsia" w:ascii="Times New Roman" w:hAnsi="Times New Roman" w:eastAsia="黑体" w:cs="Times New Roman"/>
          <w:kern w:val="2"/>
          <w:sz w:val="24"/>
          <w:szCs w:val="24"/>
          <w:lang w:val="en-US" w:eastAsia="zh-CN" w:bidi="ar-SA"/>
          <w14:ligatures w14:val="standardContextual"/>
        </w:rPr>
        <w:t>6.1</w:t>
      </w:r>
      <w:r>
        <w:rPr>
          <w:rFonts w:hint="default" w:ascii="Times New Roman" w:hAnsi="Times New Roman" w:eastAsia="黑体" w:cs="Times New Roman"/>
          <w:kern w:val="2"/>
          <w:sz w:val="24"/>
          <w:szCs w:val="24"/>
          <w:lang w:val="en-US" w:eastAsia="zh-CN" w:bidi="ar-SA"/>
          <w14:ligatures w14:val="standardContextual"/>
        </w:rPr>
        <w:t>-</w:t>
      </w:r>
      <w:r>
        <w:rPr>
          <w:rFonts w:hint="eastAsia" w:ascii="Times New Roman" w:hAnsi="Times New Roman" w:eastAsia="黑体" w:cs="Times New Roman"/>
          <w:kern w:val="2"/>
          <w:sz w:val="24"/>
          <w:szCs w:val="24"/>
          <w:lang w:val="en-US" w:eastAsia="zh-CN" w:bidi="ar-SA"/>
          <w14:ligatures w14:val="standardContextual"/>
        </w:rPr>
        <w:t>2</w:t>
      </w:r>
      <w:r>
        <w:rPr>
          <w:rFonts w:hint="default" w:ascii="Times New Roman" w:hAnsi="Times New Roman" w:eastAsia="黑体" w:cs="Times New Roman"/>
          <w:kern w:val="2"/>
          <w:sz w:val="24"/>
          <w:szCs w:val="24"/>
          <w:lang w:val="en-US" w:eastAsia="zh-CN" w:bidi="ar-SA"/>
          <w14:ligatures w14:val="standardContextual"/>
        </w:rPr>
        <w:t xml:space="preserve">  区域环境参数表</w:t>
      </w:r>
    </w:p>
    <w:tbl>
      <w:tblPr>
        <w:tblStyle w:val="1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4700"/>
        <w:gridCol w:w="4700"/>
      </w:tblGrid>
      <w:tr w14:paraId="44204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2BB0C9D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en-US" w:bidi="ar-SA"/>
                <w14:ligatures w14:val="standardContextual"/>
              </w:rPr>
            </w:pPr>
            <w:r>
              <w:rPr>
                <w:rFonts w:hint="default" w:ascii="Times New Roman" w:hAnsi="Times New Roman" w:eastAsia="宋体" w:cs="Times New Roman"/>
                <w:b w:val="0"/>
                <w:bCs w:val="0"/>
                <w:spacing w:val="8"/>
                <w:kern w:val="2"/>
                <w:sz w:val="21"/>
                <w:szCs w:val="21"/>
                <w:lang w:val="en-US" w:eastAsia="en-US" w:bidi="ar-SA"/>
                <w14:ligatures w14:val="standardContextual"/>
              </w:rPr>
              <w:t>参数名称</w:t>
            </w:r>
          </w:p>
        </w:tc>
        <w:tc>
          <w:tcPr>
            <w:tcW w:w="4261" w:type="dxa"/>
            <w:shd w:val="clear" w:color="auto" w:fill="auto"/>
            <w:vAlign w:val="center"/>
          </w:tcPr>
          <w:p w14:paraId="03E64B3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en-US" w:bidi="ar-SA"/>
                <w14:ligatures w14:val="standardContextual"/>
              </w:rPr>
            </w:pPr>
            <w:r>
              <w:rPr>
                <w:rFonts w:hint="default" w:ascii="Times New Roman" w:hAnsi="Times New Roman" w:eastAsia="宋体" w:cs="Times New Roman"/>
                <w:b w:val="0"/>
                <w:bCs w:val="0"/>
                <w:spacing w:val="8"/>
                <w:kern w:val="2"/>
                <w:sz w:val="21"/>
                <w:szCs w:val="21"/>
                <w:lang w:val="en-US" w:eastAsia="en-US" w:bidi="ar-SA"/>
                <w14:ligatures w14:val="standardContextual"/>
              </w:rPr>
              <w:t>参数取值</w:t>
            </w:r>
          </w:p>
        </w:tc>
      </w:tr>
      <w:tr w14:paraId="36545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7CF9AD7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en-US" w:bidi="ar-SA"/>
                <w14:ligatures w14:val="standardContextual"/>
              </w:rPr>
            </w:pPr>
            <w:r>
              <w:rPr>
                <w:rFonts w:hint="default" w:ascii="Times New Roman" w:hAnsi="Times New Roman" w:eastAsia="宋体" w:cs="Times New Roman"/>
                <w:b w:val="0"/>
                <w:bCs w:val="0"/>
                <w:spacing w:val="8"/>
                <w:kern w:val="2"/>
                <w:sz w:val="21"/>
                <w:szCs w:val="21"/>
                <w:lang w:val="en-US" w:eastAsia="en-US" w:bidi="ar-SA"/>
                <w14:ligatures w14:val="standardContextual"/>
              </w:rPr>
              <w:t>所在区域</w:t>
            </w:r>
          </w:p>
        </w:tc>
        <w:tc>
          <w:tcPr>
            <w:tcW w:w="4261" w:type="dxa"/>
            <w:shd w:val="clear" w:color="auto" w:fill="auto"/>
            <w:vAlign w:val="center"/>
          </w:tcPr>
          <w:p w14:paraId="60307E1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zh-CN" w:bidi="ar-SA"/>
                <w14:ligatures w14:val="standardContextual"/>
              </w:rPr>
            </w:pPr>
            <w:r>
              <w:rPr>
                <w:rFonts w:hint="default" w:ascii="Times New Roman" w:hAnsi="Times New Roman" w:eastAsia="宋体" w:cs="Times New Roman"/>
                <w:b w:val="0"/>
                <w:bCs w:val="0"/>
                <w:spacing w:val="8"/>
                <w:kern w:val="2"/>
                <w:sz w:val="21"/>
                <w:szCs w:val="21"/>
                <w:lang w:val="en-US" w:eastAsia="zh-CN" w:bidi="ar-SA"/>
                <w14:ligatures w14:val="standardContextual"/>
              </w:rPr>
              <w:t>丹东</w:t>
            </w:r>
          </w:p>
        </w:tc>
      </w:tr>
      <w:tr w14:paraId="0C55E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1019F37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en-US" w:bidi="ar-SA"/>
                <w14:ligatures w14:val="standardContextual"/>
              </w:rPr>
            </w:pPr>
            <w:r>
              <w:rPr>
                <w:rFonts w:hint="default" w:ascii="Times New Roman" w:hAnsi="Times New Roman" w:eastAsia="宋体" w:cs="Times New Roman"/>
                <w:b w:val="0"/>
                <w:bCs w:val="0"/>
                <w:spacing w:val="8"/>
                <w:kern w:val="2"/>
                <w:sz w:val="21"/>
                <w:szCs w:val="21"/>
                <w:lang w:val="en-US" w:eastAsia="en-US" w:bidi="ar-SA"/>
                <w14:ligatures w14:val="standardContextual"/>
              </w:rPr>
              <w:t>地面类型</w:t>
            </w:r>
          </w:p>
        </w:tc>
        <w:tc>
          <w:tcPr>
            <w:tcW w:w="4261" w:type="dxa"/>
            <w:shd w:val="clear" w:color="auto" w:fill="auto"/>
            <w:vAlign w:val="center"/>
          </w:tcPr>
          <w:p w14:paraId="4EBCC5D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en-US" w:bidi="ar-SA"/>
                <w14:ligatures w14:val="standardContextual"/>
              </w:rPr>
            </w:pPr>
            <w:r>
              <w:rPr>
                <w:rFonts w:hint="default" w:ascii="Times New Roman" w:hAnsi="Times New Roman" w:eastAsia="宋体" w:cs="Times New Roman"/>
                <w:b w:val="0"/>
                <w:bCs w:val="0"/>
                <w:spacing w:val="8"/>
                <w:kern w:val="2"/>
                <w:sz w:val="21"/>
                <w:szCs w:val="21"/>
                <w:lang w:val="en-US" w:eastAsia="zh-CN" w:bidi="ar-SA"/>
                <w14:ligatures w14:val="standardContextual"/>
              </w:rPr>
              <w:t>草原、平坦开阔地</w:t>
            </w:r>
          </w:p>
        </w:tc>
      </w:tr>
      <w:tr w14:paraId="130E3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62B415C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en-US" w:bidi="ar-SA"/>
                <w14:ligatures w14:val="standardContextual"/>
              </w:rPr>
            </w:pPr>
            <w:r>
              <w:rPr>
                <w:rFonts w:hint="default" w:ascii="Times New Roman" w:hAnsi="Times New Roman" w:eastAsia="宋体" w:cs="Times New Roman"/>
                <w:b w:val="0"/>
                <w:bCs w:val="0"/>
                <w:spacing w:val="8"/>
                <w:kern w:val="2"/>
                <w:sz w:val="21"/>
                <w:szCs w:val="21"/>
                <w:lang w:val="en-US" w:eastAsia="en-US" w:bidi="ar-SA"/>
                <w14:ligatures w14:val="standardContextual"/>
              </w:rPr>
              <w:t>辐射强度</w:t>
            </w:r>
          </w:p>
        </w:tc>
        <w:tc>
          <w:tcPr>
            <w:tcW w:w="4261" w:type="dxa"/>
            <w:shd w:val="clear" w:color="auto" w:fill="auto"/>
            <w:vAlign w:val="center"/>
          </w:tcPr>
          <w:p w14:paraId="799D902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zh-CN" w:bidi="ar-SA"/>
                <w14:ligatures w14:val="standardContextual"/>
              </w:rPr>
            </w:pPr>
            <w:r>
              <w:rPr>
                <w:rFonts w:hint="default" w:ascii="Times New Roman" w:hAnsi="Times New Roman" w:eastAsia="宋体" w:cs="Times New Roman"/>
                <w:b w:val="0"/>
                <w:bCs w:val="0"/>
                <w:spacing w:val="8"/>
                <w:kern w:val="2"/>
                <w:sz w:val="21"/>
                <w:szCs w:val="21"/>
                <w:lang w:val="en-US" w:eastAsia="zh-CN" w:bidi="ar-SA"/>
                <w14:ligatures w14:val="standardContextual"/>
              </w:rPr>
              <w:t>中等(白天日照)</w:t>
            </w:r>
          </w:p>
        </w:tc>
      </w:tr>
      <w:tr w14:paraId="74E16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330F4CA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en-US" w:bidi="ar-SA"/>
                <w14:ligatures w14:val="standardContextual"/>
              </w:rPr>
            </w:pPr>
            <w:r>
              <w:rPr>
                <w:rFonts w:hint="default" w:ascii="Times New Roman" w:hAnsi="Times New Roman" w:eastAsia="宋体" w:cs="Times New Roman"/>
                <w:b w:val="0"/>
                <w:bCs w:val="0"/>
                <w:spacing w:val="8"/>
                <w:kern w:val="2"/>
                <w:sz w:val="21"/>
                <w:szCs w:val="21"/>
                <w:lang w:val="en-US" w:eastAsia="en-US" w:bidi="ar-SA"/>
                <w14:ligatures w14:val="standardContextual"/>
              </w:rPr>
              <w:t>大气稳定度</w:t>
            </w:r>
          </w:p>
        </w:tc>
        <w:tc>
          <w:tcPr>
            <w:tcW w:w="4261" w:type="dxa"/>
            <w:shd w:val="clear" w:color="auto" w:fill="auto"/>
            <w:vAlign w:val="center"/>
          </w:tcPr>
          <w:p w14:paraId="0C8D83B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zh-CN" w:bidi="ar-SA"/>
                <w14:ligatures w14:val="standardContextual"/>
              </w:rPr>
            </w:pPr>
            <w:r>
              <w:rPr>
                <w:rFonts w:hint="default" w:ascii="Times New Roman" w:hAnsi="Times New Roman" w:eastAsia="宋体" w:cs="Times New Roman"/>
                <w:b w:val="0"/>
                <w:bCs w:val="0"/>
                <w:spacing w:val="8"/>
                <w:kern w:val="2"/>
                <w:sz w:val="21"/>
                <w:szCs w:val="21"/>
                <w:lang w:val="en-US" w:eastAsia="zh-CN" w:bidi="ar-SA"/>
                <w14:ligatures w14:val="standardContextual"/>
              </w:rPr>
              <w:t>B</w:t>
            </w:r>
          </w:p>
        </w:tc>
      </w:tr>
      <w:tr w14:paraId="4AC01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2D957ED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en-US" w:bidi="ar-SA"/>
                <w14:ligatures w14:val="standardContextual"/>
              </w:rPr>
            </w:pPr>
            <w:r>
              <w:rPr>
                <w:rFonts w:hint="default" w:ascii="Times New Roman" w:hAnsi="Times New Roman" w:eastAsia="宋体" w:cs="Times New Roman"/>
                <w:b w:val="0"/>
                <w:bCs w:val="0"/>
                <w:spacing w:val="8"/>
                <w:kern w:val="2"/>
                <w:sz w:val="21"/>
                <w:szCs w:val="21"/>
                <w:lang w:val="en-US" w:eastAsia="en-US" w:bidi="ar-SA"/>
                <w14:ligatures w14:val="standardContextual"/>
              </w:rPr>
              <w:t>环境压力（pa）</w:t>
            </w:r>
          </w:p>
        </w:tc>
        <w:tc>
          <w:tcPr>
            <w:tcW w:w="4261" w:type="dxa"/>
            <w:shd w:val="clear" w:color="auto" w:fill="auto"/>
            <w:vAlign w:val="center"/>
          </w:tcPr>
          <w:p w14:paraId="259F657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en-US" w:bidi="ar-SA"/>
                <w14:ligatures w14:val="standardContextual"/>
              </w:rPr>
            </w:pPr>
            <w:r>
              <w:rPr>
                <w:rFonts w:hint="default" w:ascii="Times New Roman" w:hAnsi="Times New Roman" w:eastAsia="宋体" w:cs="Times New Roman"/>
                <w:b w:val="0"/>
                <w:bCs w:val="0"/>
                <w:spacing w:val="8"/>
                <w:kern w:val="2"/>
                <w:sz w:val="21"/>
                <w:szCs w:val="21"/>
                <w:lang w:val="en-US" w:eastAsia="zh-CN" w:bidi="ar-SA"/>
                <w14:ligatures w14:val="standardContextual"/>
              </w:rPr>
              <w:t>101325</w:t>
            </w:r>
          </w:p>
        </w:tc>
      </w:tr>
      <w:tr w14:paraId="350C9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5D72566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en-US" w:bidi="ar-SA"/>
                <w14:ligatures w14:val="standardContextual"/>
              </w:rPr>
            </w:pPr>
            <w:r>
              <w:rPr>
                <w:rFonts w:hint="default" w:ascii="Times New Roman" w:hAnsi="Times New Roman" w:eastAsia="宋体" w:cs="Times New Roman"/>
                <w:b w:val="0"/>
                <w:bCs w:val="0"/>
                <w:spacing w:val="8"/>
                <w:kern w:val="2"/>
                <w:sz w:val="21"/>
                <w:szCs w:val="21"/>
                <w:lang w:val="en-US" w:eastAsia="en-US" w:bidi="ar-SA"/>
                <w14:ligatures w14:val="standardContextual"/>
              </w:rPr>
              <w:t>环境平均风速（m/s）</w:t>
            </w:r>
          </w:p>
        </w:tc>
        <w:tc>
          <w:tcPr>
            <w:tcW w:w="4261" w:type="dxa"/>
            <w:shd w:val="clear" w:color="auto" w:fill="auto"/>
            <w:vAlign w:val="center"/>
          </w:tcPr>
          <w:p w14:paraId="4EA6235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zh-CN" w:bidi="ar-SA"/>
                <w14:ligatures w14:val="standardContextual"/>
              </w:rPr>
            </w:pPr>
            <w:r>
              <w:rPr>
                <w:rFonts w:hint="default" w:ascii="Times New Roman" w:hAnsi="Times New Roman" w:eastAsia="宋体" w:cs="Times New Roman"/>
                <w:b w:val="0"/>
                <w:bCs w:val="0"/>
                <w:spacing w:val="8"/>
                <w:kern w:val="2"/>
                <w:sz w:val="21"/>
                <w:szCs w:val="21"/>
                <w:lang w:val="en-US" w:eastAsia="zh-CN" w:bidi="ar-SA"/>
                <w14:ligatures w14:val="standardContextual"/>
              </w:rPr>
              <w:t>3.1</w:t>
            </w:r>
          </w:p>
        </w:tc>
      </w:tr>
      <w:tr w14:paraId="223EB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44E26FF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en-US" w:bidi="ar-SA"/>
                <w14:ligatures w14:val="standardContextual"/>
              </w:rPr>
            </w:pPr>
            <w:r>
              <w:rPr>
                <w:rFonts w:hint="default" w:ascii="Times New Roman" w:hAnsi="Times New Roman" w:eastAsia="宋体" w:cs="Times New Roman"/>
                <w:b w:val="0"/>
                <w:bCs w:val="0"/>
                <w:spacing w:val="8"/>
                <w:kern w:val="2"/>
                <w:sz w:val="21"/>
                <w:szCs w:val="21"/>
                <w:lang w:val="en-US" w:eastAsia="en-US" w:bidi="ar-SA"/>
                <w14:ligatures w14:val="standardContextual"/>
              </w:rPr>
              <w:t>环境大气密度（kg/m3）</w:t>
            </w:r>
          </w:p>
        </w:tc>
        <w:tc>
          <w:tcPr>
            <w:tcW w:w="4261" w:type="dxa"/>
            <w:shd w:val="clear" w:color="auto" w:fill="auto"/>
            <w:vAlign w:val="center"/>
          </w:tcPr>
          <w:p w14:paraId="08FBF34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zh-CN" w:bidi="ar-SA"/>
                <w14:ligatures w14:val="standardContextual"/>
              </w:rPr>
            </w:pPr>
            <w:r>
              <w:rPr>
                <w:rFonts w:hint="default" w:ascii="Times New Roman" w:hAnsi="Times New Roman" w:eastAsia="宋体" w:cs="Times New Roman"/>
                <w:b w:val="0"/>
                <w:bCs w:val="0"/>
                <w:spacing w:val="8"/>
                <w:kern w:val="2"/>
                <w:sz w:val="21"/>
                <w:szCs w:val="21"/>
                <w:lang w:val="en-US" w:eastAsia="zh-CN" w:bidi="ar-SA"/>
                <w14:ligatures w14:val="standardContextual"/>
              </w:rPr>
              <w:t>1.293</w:t>
            </w:r>
          </w:p>
        </w:tc>
      </w:tr>
      <w:tr w14:paraId="1CC00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5F18E5F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en-US" w:bidi="ar-SA"/>
                <w14:ligatures w14:val="standardContextual"/>
              </w:rPr>
            </w:pPr>
            <w:r>
              <w:rPr>
                <w:rFonts w:hint="default" w:ascii="Times New Roman" w:hAnsi="Times New Roman" w:eastAsia="宋体" w:cs="Times New Roman"/>
                <w:b w:val="0"/>
                <w:bCs w:val="0"/>
                <w:spacing w:val="8"/>
                <w:kern w:val="2"/>
                <w:sz w:val="21"/>
                <w:szCs w:val="21"/>
                <w:lang w:val="en-US" w:eastAsia="en-US" w:bidi="ar-SA"/>
                <w14:ligatures w14:val="standardContextual"/>
              </w:rPr>
              <w:t>环境温度（K）</w:t>
            </w:r>
          </w:p>
        </w:tc>
        <w:tc>
          <w:tcPr>
            <w:tcW w:w="4261" w:type="dxa"/>
            <w:shd w:val="clear" w:color="auto" w:fill="auto"/>
            <w:vAlign w:val="center"/>
          </w:tcPr>
          <w:p w14:paraId="60D2A61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zh-CN" w:bidi="ar-SA"/>
                <w14:ligatures w14:val="standardContextual"/>
              </w:rPr>
            </w:pPr>
            <w:r>
              <w:rPr>
                <w:rFonts w:hint="default" w:ascii="Times New Roman" w:hAnsi="Times New Roman" w:eastAsia="宋体" w:cs="Times New Roman"/>
                <w:b w:val="0"/>
                <w:bCs w:val="0"/>
                <w:spacing w:val="8"/>
                <w:kern w:val="2"/>
                <w:sz w:val="21"/>
                <w:szCs w:val="21"/>
                <w:lang w:val="en-US" w:eastAsia="zh-CN" w:bidi="ar-SA"/>
                <w14:ligatures w14:val="standardContextual"/>
              </w:rPr>
              <w:t>298</w:t>
            </w:r>
          </w:p>
        </w:tc>
      </w:tr>
      <w:tr w14:paraId="4E045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1972652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en-US" w:bidi="ar-SA"/>
                <w14:ligatures w14:val="standardContextual"/>
              </w:rPr>
            </w:pPr>
            <w:r>
              <w:rPr>
                <w:rFonts w:hint="default" w:ascii="Times New Roman" w:hAnsi="Times New Roman" w:eastAsia="宋体" w:cs="Times New Roman"/>
                <w:b w:val="0"/>
                <w:bCs w:val="0"/>
                <w:spacing w:val="8"/>
                <w:kern w:val="2"/>
                <w:sz w:val="21"/>
                <w:szCs w:val="21"/>
                <w:lang w:val="en-US" w:eastAsia="en-US" w:bidi="ar-SA"/>
                <w14:ligatures w14:val="standardContextual"/>
              </w:rPr>
              <w:t>建筑物占地百分比</w:t>
            </w:r>
          </w:p>
        </w:tc>
        <w:tc>
          <w:tcPr>
            <w:tcW w:w="4261" w:type="dxa"/>
            <w:shd w:val="clear" w:color="auto" w:fill="auto"/>
            <w:vAlign w:val="center"/>
          </w:tcPr>
          <w:p w14:paraId="75C8FB3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lang w:val="en-US" w:eastAsia="zh-CN" w:bidi="ar-SA"/>
                <w14:ligatures w14:val="standardContextual"/>
              </w:rPr>
            </w:pPr>
            <w:r>
              <w:rPr>
                <w:rFonts w:hint="default" w:ascii="Times New Roman" w:hAnsi="Times New Roman" w:eastAsia="宋体" w:cs="Times New Roman"/>
                <w:b w:val="0"/>
                <w:bCs w:val="0"/>
                <w:spacing w:val="8"/>
                <w:kern w:val="2"/>
                <w:sz w:val="21"/>
                <w:szCs w:val="21"/>
                <w:lang w:val="en-US" w:eastAsia="zh-CN" w:bidi="ar-SA"/>
                <w14:ligatures w14:val="standardContextual"/>
              </w:rPr>
              <w:t>0.03</w:t>
            </w:r>
          </w:p>
        </w:tc>
      </w:tr>
    </w:tbl>
    <w:p w14:paraId="06C9D007">
      <w:pPr>
        <w:spacing w:line="44" w:lineRule="exact"/>
      </w:pPr>
    </w:p>
    <w:p w14:paraId="6B86AB34">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（2）个人风险标准详细配置情况</w:t>
      </w:r>
    </w:p>
    <w:p w14:paraId="201BA8C2">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本报告采用的个人风险标准详细配置情况，见下表：</w:t>
      </w:r>
    </w:p>
    <w:p w14:paraId="1D5D23D9">
      <w:pPr>
        <w:keepNext/>
        <w:keepLines/>
        <w:widowControl w:val="0"/>
        <w:spacing w:before="156" w:beforeLines="50" w:after="156" w:afterLines="50" w:line="240" w:lineRule="auto"/>
        <w:ind w:firstLine="0" w:firstLineChars="0"/>
        <w:jc w:val="center"/>
        <w:rPr>
          <w:rFonts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表</w:t>
      </w:r>
      <w:r>
        <w:rPr>
          <w:rFonts w:hint="eastAsia" w:ascii="Times New Roman" w:hAnsi="Times New Roman" w:eastAsia="黑体" w:cs="Times New Roman"/>
          <w:kern w:val="2"/>
          <w:sz w:val="24"/>
          <w:szCs w:val="24"/>
          <w:lang w:val="en-US" w:eastAsia="zh-CN" w:bidi="ar-SA"/>
          <w14:ligatures w14:val="standardContextual"/>
        </w:rPr>
        <w:t>6.1</w:t>
      </w:r>
      <w:r>
        <w:rPr>
          <w:rFonts w:hint="default" w:ascii="Times New Roman" w:hAnsi="Times New Roman" w:eastAsia="黑体" w:cs="Times New Roman"/>
          <w:kern w:val="2"/>
          <w:sz w:val="24"/>
          <w:szCs w:val="24"/>
          <w:lang w:val="en-US" w:eastAsia="zh-CN" w:bidi="ar-SA"/>
          <w14:ligatures w14:val="standardContextual"/>
        </w:rPr>
        <w:t>-</w:t>
      </w:r>
      <w:r>
        <w:rPr>
          <w:rFonts w:hint="eastAsia" w:ascii="Times New Roman" w:hAnsi="Times New Roman" w:eastAsia="黑体" w:cs="Times New Roman"/>
          <w:kern w:val="2"/>
          <w:sz w:val="24"/>
          <w:szCs w:val="24"/>
          <w:lang w:val="en-US" w:eastAsia="zh-CN" w:bidi="ar-SA"/>
          <w14:ligatures w14:val="standardContextual"/>
        </w:rPr>
        <w:t>3</w:t>
      </w:r>
      <w:r>
        <w:rPr>
          <w:rFonts w:hint="default" w:ascii="Times New Roman" w:hAnsi="Times New Roman" w:eastAsia="黑体" w:cs="Times New Roman"/>
          <w:kern w:val="2"/>
          <w:sz w:val="24"/>
          <w:szCs w:val="24"/>
          <w:lang w:val="en-US" w:eastAsia="zh-CN" w:bidi="ar-SA"/>
          <w14:ligatures w14:val="standardContextual"/>
        </w:rPr>
        <w:t xml:space="preserve">  个人风险标准详细配</w:t>
      </w:r>
      <w:r>
        <w:rPr>
          <w:rFonts w:hint="eastAsia" w:ascii="黑体" w:hAnsi="黑体" w:eastAsia="黑体" w:cstheme="minorBidi"/>
          <w:kern w:val="2"/>
          <w:sz w:val="24"/>
          <w:szCs w:val="24"/>
          <w:lang w:val="en-US" w:eastAsia="zh-CN" w:bidi="ar-SA"/>
          <w14:ligatures w14:val="standardContextual"/>
        </w:rPr>
        <w:t>置（单位：次/年）</w:t>
      </w:r>
    </w:p>
    <w:tbl>
      <w:tblPr>
        <w:tblStyle w:val="36"/>
        <w:tblW w:w="5000" w:type="pct"/>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68"/>
        <w:gridCol w:w="3174"/>
        <w:gridCol w:w="3148"/>
      </w:tblGrid>
      <w:tr w14:paraId="04F11A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2894" w:type="dxa"/>
            <w:vAlign w:val="center"/>
          </w:tcPr>
          <w:p w14:paraId="0A836C5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kern w:val="2"/>
                <w:sz w:val="21"/>
                <w:szCs w:val="21"/>
                <w:lang w:val="en-US" w:eastAsia="en-US" w:bidi="ar-SA"/>
                <w14:ligatures w14:val="standardContextual"/>
              </w:rPr>
            </w:pPr>
            <w:r>
              <w:rPr>
                <w:rFonts w:hint="default" w:ascii="Times New Roman" w:hAnsi="Times New Roman" w:eastAsia="宋体" w:cs="Times New Roman"/>
                <w:b w:val="0"/>
                <w:bCs w:val="0"/>
                <w:spacing w:val="6"/>
                <w:kern w:val="2"/>
                <w:sz w:val="21"/>
                <w:szCs w:val="21"/>
                <w:lang w:val="en-US" w:eastAsia="en-US" w:bidi="ar-SA"/>
                <w14:ligatures w14:val="standardContextual"/>
              </w:rPr>
              <w:t>风险等级</w:t>
            </w:r>
          </w:p>
        </w:tc>
        <w:tc>
          <w:tcPr>
            <w:tcW w:w="3203" w:type="dxa"/>
            <w:vAlign w:val="center"/>
          </w:tcPr>
          <w:p w14:paraId="7DD225B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kern w:val="2"/>
                <w:sz w:val="21"/>
                <w:szCs w:val="21"/>
                <w:lang w:val="en-US" w:eastAsia="en-US" w:bidi="ar-SA"/>
                <w14:ligatures w14:val="standardContextual"/>
              </w:rPr>
            </w:pPr>
            <w:r>
              <w:rPr>
                <w:rFonts w:hint="default" w:ascii="Times New Roman" w:hAnsi="Times New Roman" w:eastAsia="宋体" w:cs="Times New Roman"/>
                <w:b w:val="0"/>
                <w:bCs w:val="0"/>
                <w:spacing w:val="5"/>
                <w:kern w:val="2"/>
                <w:sz w:val="21"/>
                <w:szCs w:val="21"/>
                <w:lang w:val="en-US" w:eastAsia="en-US" w:bidi="ar-SA"/>
                <w14:ligatures w14:val="standardContextual"/>
              </w:rPr>
              <w:t>风险值</w:t>
            </w:r>
          </w:p>
        </w:tc>
        <w:tc>
          <w:tcPr>
            <w:tcW w:w="3177" w:type="dxa"/>
            <w:vAlign w:val="center"/>
          </w:tcPr>
          <w:p w14:paraId="456B56A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kern w:val="2"/>
                <w:sz w:val="21"/>
                <w:szCs w:val="21"/>
                <w:lang w:val="en-US" w:eastAsia="en-US" w:bidi="ar-SA"/>
                <w14:ligatures w14:val="standardContextual"/>
              </w:rPr>
            </w:pPr>
            <w:r>
              <w:rPr>
                <w:rFonts w:hint="default" w:ascii="Times New Roman" w:hAnsi="Times New Roman" w:eastAsia="宋体" w:cs="Times New Roman"/>
                <w:b w:val="0"/>
                <w:bCs w:val="0"/>
                <w:spacing w:val="6"/>
                <w:kern w:val="2"/>
                <w:sz w:val="21"/>
                <w:szCs w:val="21"/>
                <w:lang w:val="en-US" w:eastAsia="en-US" w:bidi="ar-SA"/>
                <w14:ligatures w14:val="standardContextual"/>
              </w:rPr>
              <w:t>风险颜色</w:t>
            </w:r>
          </w:p>
        </w:tc>
      </w:tr>
      <w:tr w14:paraId="0021DF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2894" w:type="dxa"/>
            <w:vAlign w:val="center"/>
          </w:tcPr>
          <w:p w14:paraId="756F6F0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kern w:val="2"/>
                <w:sz w:val="21"/>
                <w:szCs w:val="21"/>
                <w:lang w:val="en-US" w:eastAsia="en-US" w:bidi="ar-SA"/>
                <w14:ligatures w14:val="standardContextual"/>
              </w:rPr>
            </w:pPr>
            <w:r>
              <w:rPr>
                <w:rFonts w:hint="default" w:ascii="Times New Roman" w:hAnsi="Times New Roman" w:eastAsia="宋体" w:cs="Times New Roman"/>
                <w:b w:val="0"/>
                <w:bCs w:val="0"/>
                <w:spacing w:val="6"/>
                <w:kern w:val="2"/>
                <w:sz w:val="21"/>
                <w:szCs w:val="21"/>
                <w:lang w:val="en-US" w:eastAsia="en-US" w:bidi="ar-SA"/>
                <w14:ligatures w14:val="standardContextual"/>
              </w:rPr>
              <w:t>一级风险</w:t>
            </w:r>
          </w:p>
        </w:tc>
        <w:tc>
          <w:tcPr>
            <w:tcW w:w="3203" w:type="dxa"/>
            <w:vAlign w:val="center"/>
          </w:tcPr>
          <w:p w14:paraId="640E064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kern w:val="2"/>
                <w:sz w:val="21"/>
                <w:szCs w:val="21"/>
                <w:lang w:val="en-US" w:eastAsia="en-US" w:bidi="ar-SA"/>
                <w14:ligatures w14:val="standardContextual"/>
              </w:rPr>
            </w:pPr>
            <w:r>
              <w:rPr>
                <w:rFonts w:hint="eastAsia" w:ascii="Times New Roman" w:hAnsi="Times New Roman" w:eastAsia="宋体" w:cs="Times New Roman"/>
                <w:b w:val="0"/>
                <w:bCs w:val="0"/>
                <w:spacing w:val="1"/>
                <w:kern w:val="2"/>
                <w:position w:val="1"/>
                <w:sz w:val="21"/>
                <w:szCs w:val="21"/>
                <w:lang w:val="en-US" w:eastAsia="zh-CN" w:bidi="ar-SA"/>
                <w14:ligatures w14:val="standardContextual"/>
              </w:rPr>
              <w:t>3</w:t>
            </w:r>
            <w:r>
              <w:rPr>
                <w:rFonts w:hint="default" w:ascii="Times New Roman" w:hAnsi="Times New Roman" w:eastAsia="宋体" w:cs="Times New Roman"/>
                <w:b w:val="0"/>
                <w:bCs w:val="0"/>
                <w:spacing w:val="1"/>
                <w:kern w:val="2"/>
                <w:position w:val="1"/>
                <w:sz w:val="21"/>
                <w:szCs w:val="21"/>
                <w:lang w:val="en-US" w:eastAsia="en-US" w:bidi="ar-SA"/>
                <w14:ligatures w14:val="standardContextual"/>
              </w:rPr>
              <w:t>.0E-5</w:t>
            </w:r>
          </w:p>
        </w:tc>
        <w:tc>
          <w:tcPr>
            <w:tcW w:w="3177" w:type="dxa"/>
            <w:shd w:val="clear" w:color="auto" w:fill="FF0000"/>
            <w:vAlign w:val="center"/>
          </w:tcPr>
          <w:p w14:paraId="620BB78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cs="Times New Roman"/>
                <w:b w:val="0"/>
                <w:bCs w:val="0"/>
                <w:sz w:val="21"/>
                <w:szCs w:val="21"/>
              </w:rPr>
            </w:pPr>
          </w:p>
        </w:tc>
      </w:tr>
      <w:tr w14:paraId="3B3410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2894" w:type="dxa"/>
            <w:vAlign w:val="center"/>
          </w:tcPr>
          <w:p w14:paraId="66C6DBB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kern w:val="2"/>
                <w:sz w:val="21"/>
                <w:szCs w:val="21"/>
                <w:lang w:val="en-US" w:eastAsia="en-US" w:bidi="ar-SA"/>
                <w14:ligatures w14:val="standardContextual"/>
              </w:rPr>
            </w:pPr>
            <w:r>
              <w:rPr>
                <w:rFonts w:hint="default" w:ascii="Times New Roman" w:hAnsi="Times New Roman" w:eastAsia="宋体" w:cs="Times New Roman"/>
                <w:b w:val="0"/>
                <w:bCs w:val="0"/>
                <w:spacing w:val="6"/>
                <w:kern w:val="2"/>
                <w:sz w:val="21"/>
                <w:szCs w:val="21"/>
                <w:lang w:val="en-US" w:eastAsia="en-US" w:bidi="ar-SA"/>
                <w14:ligatures w14:val="standardContextual"/>
              </w:rPr>
              <w:t>二级风险</w:t>
            </w:r>
          </w:p>
        </w:tc>
        <w:tc>
          <w:tcPr>
            <w:tcW w:w="3203" w:type="dxa"/>
            <w:vAlign w:val="center"/>
          </w:tcPr>
          <w:p w14:paraId="4880894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eastAsia" w:ascii="Times New Roman" w:hAnsi="Times New Roman" w:eastAsia="宋体" w:cs="Times New Roman"/>
                <w:b w:val="0"/>
                <w:bCs w:val="0"/>
                <w:kern w:val="2"/>
                <w:sz w:val="21"/>
                <w:szCs w:val="21"/>
                <w:lang w:val="en-US" w:eastAsia="zh-CN" w:bidi="ar-SA"/>
                <w14:ligatures w14:val="standardContextual"/>
              </w:rPr>
            </w:pPr>
            <w:r>
              <w:rPr>
                <w:rFonts w:hint="eastAsia" w:ascii="Times New Roman" w:hAnsi="Times New Roman" w:eastAsia="宋体" w:cs="Times New Roman"/>
                <w:b w:val="0"/>
                <w:bCs w:val="0"/>
                <w:spacing w:val="2"/>
                <w:kern w:val="2"/>
                <w:position w:val="1"/>
                <w:sz w:val="21"/>
                <w:szCs w:val="21"/>
                <w:lang w:val="en-US" w:eastAsia="zh-CN" w:bidi="ar-SA"/>
                <w14:ligatures w14:val="standardContextual"/>
              </w:rPr>
              <w:t>1</w:t>
            </w:r>
            <w:r>
              <w:rPr>
                <w:rFonts w:hint="default" w:ascii="Times New Roman" w:hAnsi="Times New Roman" w:eastAsia="宋体" w:cs="Times New Roman"/>
                <w:b w:val="0"/>
                <w:bCs w:val="0"/>
                <w:spacing w:val="2"/>
                <w:kern w:val="2"/>
                <w:position w:val="1"/>
                <w:sz w:val="21"/>
                <w:szCs w:val="21"/>
                <w:lang w:val="en-US" w:eastAsia="en-US" w:bidi="ar-SA"/>
                <w14:ligatures w14:val="standardContextual"/>
              </w:rPr>
              <w:t>.0E-</w:t>
            </w:r>
            <w:r>
              <w:rPr>
                <w:rFonts w:hint="eastAsia" w:ascii="Times New Roman" w:hAnsi="Times New Roman" w:eastAsia="宋体" w:cs="Times New Roman"/>
                <w:b w:val="0"/>
                <w:bCs w:val="0"/>
                <w:spacing w:val="2"/>
                <w:kern w:val="2"/>
                <w:position w:val="1"/>
                <w:sz w:val="21"/>
                <w:szCs w:val="21"/>
                <w:lang w:val="en-US" w:eastAsia="zh-CN" w:bidi="ar-SA"/>
                <w14:ligatures w14:val="standardContextual"/>
              </w:rPr>
              <w:t>5</w:t>
            </w:r>
          </w:p>
        </w:tc>
        <w:tc>
          <w:tcPr>
            <w:tcW w:w="3177" w:type="dxa"/>
            <w:shd w:val="clear" w:color="auto" w:fill="FFFF00"/>
            <w:vAlign w:val="center"/>
          </w:tcPr>
          <w:p w14:paraId="0F277FF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cs="Times New Roman"/>
                <w:b w:val="0"/>
                <w:bCs w:val="0"/>
                <w:sz w:val="21"/>
                <w:szCs w:val="21"/>
              </w:rPr>
            </w:pPr>
          </w:p>
        </w:tc>
      </w:tr>
      <w:tr w14:paraId="313688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2894" w:type="dxa"/>
            <w:vAlign w:val="center"/>
          </w:tcPr>
          <w:p w14:paraId="15A72C4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kern w:val="2"/>
                <w:sz w:val="21"/>
                <w:szCs w:val="21"/>
                <w:lang w:val="en-US" w:eastAsia="en-US" w:bidi="ar-SA"/>
                <w14:ligatures w14:val="standardContextual"/>
              </w:rPr>
            </w:pPr>
            <w:r>
              <w:rPr>
                <w:rFonts w:hint="default" w:ascii="Times New Roman" w:hAnsi="Times New Roman" w:eastAsia="宋体" w:cs="Times New Roman"/>
                <w:b w:val="0"/>
                <w:bCs w:val="0"/>
                <w:spacing w:val="7"/>
                <w:kern w:val="2"/>
                <w:sz w:val="21"/>
                <w:szCs w:val="21"/>
                <w:lang w:val="en-US" w:eastAsia="en-US" w:bidi="ar-SA"/>
                <w14:ligatures w14:val="standardContextual"/>
              </w:rPr>
              <w:t>三级风险</w:t>
            </w:r>
          </w:p>
        </w:tc>
        <w:tc>
          <w:tcPr>
            <w:tcW w:w="3203" w:type="dxa"/>
            <w:vAlign w:val="center"/>
          </w:tcPr>
          <w:p w14:paraId="518932C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eastAsia" w:ascii="Times New Roman" w:hAnsi="Times New Roman" w:eastAsia="宋体" w:cs="Times New Roman"/>
                <w:b w:val="0"/>
                <w:bCs w:val="0"/>
                <w:kern w:val="2"/>
                <w:sz w:val="21"/>
                <w:szCs w:val="21"/>
                <w:lang w:val="en-US" w:eastAsia="zh-CN" w:bidi="ar-SA"/>
                <w14:ligatures w14:val="standardContextual"/>
              </w:rPr>
            </w:pPr>
            <w:r>
              <w:rPr>
                <w:rFonts w:hint="default" w:ascii="Times New Roman" w:hAnsi="Times New Roman" w:eastAsia="宋体" w:cs="Times New Roman"/>
                <w:b w:val="0"/>
                <w:bCs w:val="0"/>
                <w:spacing w:val="2"/>
                <w:kern w:val="2"/>
                <w:position w:val="1"/>
                <w:sz w:val="21"/>
                <w:szCs w:val="21"/>
                <w:lang w:val="en-US" w:eastAsia="en-US" w:bidi="ar-SA"/>
                <w14:ligatures w14:val="standardContextual"/>
              </w:rPr>
              <w:t>3.0E-</w:t>
            </w:r>
            <w:r>
              <w:rPr>
                <w:rFonts w:hint="eastAsia" w:ascii="Times New Roman" w:hAnsi="Times New Roman" w:eastAsia="宋体" w:cs="Times New Roman"/>
                <w:b w:val="0"/>
                <w:bCs w:val="0"/>
                <w:spacing w:val="2"/>
                <w:kern w:val="2"/>
                <w:position w:val="1"/>
                <w:sz w:val="21"/>
                <w:szCs w:val="21"/>
                <w:lang w:val="en-US" w:eastAsia="zh-CN" w:bidi="ar-SA"/>
                <w14:ligatures w14:val="standardContextual"/>
              </w:rPr>
              <w:t>6</w:t>
            </w:r>
          </w:p>
        </w:tc>
        <w:tc>
          <w:tcPr>
            <w:tcW w:w="3177" w:type="dxa"/>
            <w:shd w:val="clear" w:color="auto" w:fill="0000FF"/>
            <w:vAlign w:val="center"/>
          </w:tcPr>
          <w:p w14:paraId="0D89FBC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cs="Times New Roman"/>
                <w:b w:val="0"/>
                <w:bCs w:val="0"/>
                <w:sz w:val="21"/>
                <w:szCs w:val="21"/>
              </w:rPr>
            </w:pPr>
          </w:p>
        </w:tc>
      </w:tr>
    </w:tbl>
    <w:p w14:paraId="5D1F6E13">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（3）风向玫瑰图</w:t>
      </w:r>
    </w:p>
    <w:p w14:paraId="11688E89">
      <w:pPr>
        <w:widowControl w:val="0"/>
        <w:adjustRightInd w:val="0"/>
        <w:snapToGrid w:val="0"/>
        <w:spacing w:after="0" w:line="360" w:lineRule="auto"/>
        <w:ind w:firstLine="560" w:firstLineChars="200"/>
        <w:jc w:val="center"/>
        <w:rPr>
          <w:rFonts w:hint="eastAsia" w:ascii="Times New Roman" w:hAnsi="Times New Roman" w:eastAsia="宋体" w:cstheme="minorBidi"/>
          <w:kern w:val="2"/>
          <w:sz w:val="28"/>
          <w:szCs w:val="24"/>
          <w:lang w:val="en-US" w:eastAsia="zh-CN" w:bidi="ar-SA"/>
          <w14:ligatures w14:val="standardContextual"/>
        </w:rPr>
      </w:pPr>
    </w:p>
    <w:p w14:paraId="37FEE895">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eastAsia" w:ascii="黑体" w:hAnsi="黑体" w:eastAsia="黑体" w:cstheme="minorBidi"/>
          <w:kern w:val="2"/>
          <w:sz w:val="24"/>
          <w:szCs w:val="24"/>
          <w:lang w:val="en-US" w:eastAsia="zh-CN" w:bidi="ar-SA"/>
          <w14:ligatures w14:val="standardContextual"/>
        </w:rPr>
        <w:t>图</w:t>
      </w:r>
      <w:r>
        <w:rPr>
          <w:rFonts w:hint="eastAsia" w:ascii="Times New Roman" w:hAnsi="Times New Roman" w:eastAsia="黑体" w:cs="Times New Roman"/>
          <w:kern w:val="2"/>
          <w:sz w:val="24"/>
          <w:szCs w:val="24"/>
          <w:lang w:val="en-US" w:eastAsia="zh-CN" w:bidi="ar-SA"/>
          <w14:ligatures w14:val="standardContextual"/>
        </w:rPr>
        <w:t>6.1</w:t>
      </w:r>
      <w:r>
        <w:rPr>
          <w:rFonts w:hint="default" w:ascii="Times New Roman" w:hAnsi="Times New Roman" w:eastAsia="黑体" w:cs="Times New Roman"/>
          <w:kern w:val="2"/>
          <w:sz w:val="24"/>
          <w:szCs w:val="24"/>
          <w:lang w:val="en-US" w:eastAsia="zh-CN" w:bidi="ar-SA"/>
          <w14:ligatures w14:val="standardContextual"/>
        </w:rPr>
        <w:t xml:space="preserve">-2 </w:t>
      </w:r>
      <w:r>
        <w:rPr>
          <w:rFonts w:hint="eastAsia" w:ascii="黑体" w:hAnsi="黑体" w:eastAsia="黑体" w:cstheme="minorBidi"/>
          <w:kern w:val="2"/>
          <w:sz w:val="24"/>
          <w:szCs w:val="24"/>
          <w:lang w:val="en-US" w:eastAsia="zh-CN" w:bidi="ar-SA"/>
          <w14:ligatures w14:val="standardContextual"/>
        </w:rPr>
        <w:t xml:space="preserve"> 风向玫瑰图</w:t>
      </w:r>
    </w:p>
    <w:p w14:paraId="6B7B8EC9">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（4）人口区域密度</w:t>
      </w:r>
    </w:p>
    <w:p w14:paraId="74C14072">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区域人口密度（个/m</w:t>
      </w:r>
      <w:r>
        <w:rPr>
          <w:rFonts w:hint="eastAsia" w:ascii="Times New Roman" w:hAnsi="Times New Roman" w:eastAsia="宋体" w:cstheme="minorBidi"/>
          <w:kern w:val="2"/>
          <w:sz w:val="28"/>
          <w:szCs w:val="24"/>
          <w:vertAlign w:val="superscript"/>
          <w:lang w:val="en-US" w:eastAsia="zh-CN" w:bidi="ar-SA"/>
          <w14:ligatures w14:val="standardContextual"/>
        </w:rPr>
        <w:t>2</w:t>
      </w:r>
      <w:r>
        <w:rPr>
          <w:rFonts w:hint="eastAsia" w:ascii="Times New Roman" w:hAnsi="Times New Roman" w:eastAsia="宋体" w:cstheme="minorBidi"/>
          <w:kern w:val="2"/>
          <w:sz w:val="28"/>
          <w:szCs w:val="24"/>
          <w:lang w:val="en-US" w:eastAsia="zh-CN" w:bidi="ar-SA"/>
          <w14:ligatures w14:val="standardContextual"/>
        </w:rPr>
        <w:t xml:space="preserve"> ）：0.001</w:t>
      </w:r>
    </w:p>
    <w:p w14:paraId="1859789B">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（5）1#柴油储罐装置基本参数</w:t>
      </w:r>
    </w:p>
    <w:p w14:paraId="4A9B2667">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1）储罐装置基本信息</w:t>
      </w:r>
    </w:p>
    <w:p w14:paraId="2D94AA63">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装置名称：1#柴油储罐</w:t>
      </w:r>
    </w:p>
    <w:p w14:paraId="0589EF9D">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装置编号：TK101</w:t>
      </w:r>
    </w:p>
    <w:p w14:paraId="291FBA45">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装置坐标: 517.3，406.3</w:t>
      </w:r>
    </w:p>
    <w:p w14:paraId="73B47D03">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物料名称: 柴油</w:t>
      </w:r>
    </w:p>
    <w:p w14:paraId="40D9F479">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装置类型: 固定的常压容器和储罐</w:t>
      </w:r>
    </w:p>
    <w:p w14:paraId="54D3FD91">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是否修正: 否</w:t>
      </w:r>
    </w:p>
    <w:p w14:paraId="4F2E55FE">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装置体积（m³）：1900</w:t>
      </w:r>
    </w:p>
    <w:p w14:paraId="32D4D12D">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泄漏模式: 泄漏到大气中-中孔泄漏，泄漏到大气中-小孔泄漏，泄漏到大气中-大孔泄漏，泄漏到大气中-完全破裂</w:t>
      </w:r>
    </w:p>
    <w:p w14:paraId="18211FD7">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物料类型: 易燃液体</w:t>
      </w:r>
    </w:p>
    <w:p w14:paraId="51A32AFC">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事故类型: 蒸气云爆炸，池火灾</w:t>
      </w:r>
    </w:p>
    <w:p w14:paraId="7ED0BDE2">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容器最大存量（kg）：1615000</w:t>
      </w:r>
    </w:p>
    <w:p w14:paraId="3770362A">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2）事故情景描述</w:t>
      </w:r>
    </w:p>
    <w:p w14:paraId="6F5E2B36">
      <w:pPr>
        <w:widowControl w:val="0"/>
        <w:adjustRightInd w:val="0"/>
        <w:snapToGrid w:val="0"/>
        <w:spacing w:after="0" w:line="360" w:lineRule="auto"/>
        <w:ind w:left="558" w:leftChars="254" w:firstLine="0" w:firstLineChars="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物料名称：柴油</w:t>
      </w:r>
    </w:p>
    <w:p w14:paraId="4CA245F4">
      <w:pPr>
        <w:widowControl w:val="0"/>
        <w:adjustRightInd w:val="0"/>
        <w:snapToGrid w:val="0"/>
        <w:spacing w:after="0" w:line="360" w:lineRule="auto"/>
        <w:ind w:left="558" w:leftChars="254" w:firstLine="0" w:firstLineChars="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容器最大存量：1615000</w:t>
      </w:r>
    </w:p>
    <w:p w14:paraId="5782B210">
      <w:pPr>
        <w:widowControl w:val="0"/>
        <w:adjustRightInd w:val="0"/>
        <w:snapToGrid w:val="0"/>
        <w:spacing w:after="0" w:line="360" w:lineRule="auto"/>
        <w:ind w:left="558" w:leftChars="254" w:firstLine="0" w:firstLineChars="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容器内液体密度(kg/m</w:t>
      </w:r>
      <w:r>
        <w:rPr>
          <w:rFonts w:hint="eastAsia" w:ascii="Times New Roman" w:hAnsi="Times New Roman" w:eastAsia="宋体" w:cstheme="minorBidi"/>
          <w:kern w:val="2"/>
          <w:sz w:val="28"/>
          <w:szCs w:val="24"/>
          <w:vertAlign w:val="superscript"/>
          <w:lang w:val="en-US" w:eastAsia="zh-CN" w:bidi="ar-SA"/>
          <w14:ligatures w14:val="standardContextual"/>
        </w:rPr>
        <w:t>3</w:t>
      </w:r>
      <w:r>
        <w:rPr>
          <w:rFonts w:hint="eastAsia" w:ascii="Times New Roman" w:hAnsi="Times New Roman" w:eastAsia="宋体" w:cstheme="minorBidi"/>
          <w:kern w:val="2"/>
          <w:sz w:val="28"/>
          <w:szCs w:val="24"/>
          <w:lang w:val="en-US" w:eastAsia="zh-CN" w:bidi="ar-SA"/>
          <w14:ligatures w14:val="standardContextual"/>
        </w:rPr>
        <w:t>)：850</w:t>
      </w:r>
    </w:p>
    <w:p w14:paraId="0DBA5669">
      <w:pPr>
        <w:widowControl w:val="0"/>
        <w:adjustRightInd w:val="0"/>
        <w:snapToGrid w:val="0"/>
        <w:spacing w:after="0" w:line="360" w:lineRule="auto"/>
        <w:ind w:left="558" w:leftChars="254" w:firstLine="0" w:firstLineChars="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容器内介质绝对压力（Pa）：101326</w:t>
      </w:r>
    </w:p>
    <w:p w14:paraId="1510DA7E">
      <w:pPr>
        <w:widowControl w:val="0"/>
        <w:adjustRightInd w:val="0"/>
        <w:snapToGrid w:val="0"/>
        <w:spacing w:after="0" w:line="360" w:lineRule="auto"/>
        <w:ind w:left="558" w:leftChars="254" w:firstLine="0" w:firstLineChars="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泄漏孔上方液体高度（m）: 0.5</w:t>
      </w:r>
    </w:p>
    <w:p w14:paraId="64284686">
      <w:pPr>
        <w:widowControl w:val="0"/>
        <w:adjustRightInd w:val="0"/>
        <w:snapToGrid w:val="0"/>
        <w:spacing w:after="0" w:line="360" w:lineRule="auto"/>
        <w:ind w:left="558" w:leftChars="254" w:firstLine="0" w:firstLineChars="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泄漏孔上方液体质量：100</w:t>
      </w:r>
    </w:p>
    <w:p w14:paraId="79A1CBB2">
      <w:pPr>
        <w:widowControl w:val="0"/>
        <w:adjustRightInd w:val="0"/>
        <w:snapToGrid w:val="0"/>
        <w:spacing w:after="0" w:line="360" w:lineRule="auto"/>
        <w:ind w:left="558" w:leftChars="254" w:firstLine="0" w:firstLineChars="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探测系统类型：专门设计的仪器仪表，用来探测系统的运行工况变化所造成的物质损失（即压力损失或流量损失）</w:t>
      </w:r>
    </w:p>
    <w:p w14:paraId="44E0196E">
      <w:pPr>
        <w:widowControl w:val="0"/>
        <w:adjustRightInd w:val="0"/>
        <w:snapToGrid w:val="0"/>
        <w:spacing w:after="0" w:line="360" w:lineRule="auto"/>
        <w:ind w:left="558" w:leftChars="254" w:firstLine="0" w:firstLineChars="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连锁切断系统类型：直接在工艺仪表或探测器启动，而无需操作者干预的切断或停机系统</w:t>
      </w:r>
    </w:p>
    <w:p w14:paraId="5D6A55BC">
      <w:pPr>
        <w:keepNext/>
        <w:keepLines/>
        <w:widowControl w:val="0"/>
        <w:spacing w:before="156" w:beforeLines="50" w:after="156" w:afterLines="50" w:line="240" w:lineRule="auto"/>
        <w:ind w:firstLine="0" w:firstLineChars="0"/>
        <w:jc w:val="center"/>
        <w:rPr>
          <w:rFonts w:hint="eastAsia" w:ascii="Times New Roman" w:hAnsi="Times New Roman" w:eastAsia="黑体" w:cs="Times New Roman"/>
          <w:kern w:val="2"/>
          <w:sz w:val="24"/>
          <w:szCs w:val="24"/>
          <w:highlight w:val="none"/>
          <w:lang w:val="en-US" w:eastAsia="zh-CN" w:bidi="ar-SA"/>
          <w14:ligatures w14:val="none"/>
        </w:rPr>
      </w:pPr>
      <w:r>
        <w:rPr>
          <w:rFonts w:hint="default" w:ascii="Times New Roman" w:hAnsi="Times New Roman" w:eastAsia="黑体" w:cs="Times New Roman"/>
          <w:kern w:val="2"/>
          <w:sz w:val="24"/>
          <w:szCs w:val="24"/>
          <w:highlight w:val="none"/>
          <w:lang w:val="en-US" w:eastAsia="zh-CN" w:bidi="ar-SA"/>
          <w14:ligatures w14:val="none"/>
        </w:rPr>
        <w:t>表</w:t>
      </w:r>
      <w:r>
        <w:rPr>
          <w:rFonts w:hint="eastAsia" w:ascii="Times New Roman" w:hAnsi="Times New Roman" w:eastAsia="黑体" w:cs="Times New Roman"/>
          <w:kern w:val="2"/>
          <w:sz w:val="24"/>
          <w:szCs w:val="24"/>
          <w:highlight w:val="none"/>
          <w:lang w:val="en-US" w:eastAsia="zh-CN" w:bidi="ar-SA"/>
          <w14:ligatures w14:val="none"/>
        </w:rPr>
        <w:t>6.1-4</w:t>
      </w:r>
      <w:r>
        <w:rPr>
          <w:rFonts w:hint="default" w:ascii="Times New Roman" w:hAnsi="Times New Roman" w:eastAsia="黑体" w:cs="Times New Roman"/>
          <w:kern w:val="2"/>
          <w:sz w:val="24"/>
          <w:szCs w:val="24"/>
          <w:highlight w:val="none"/>
          <w:lang w:val="en-US" w:eastAsia="zh-CN" w:bidi="ar-SA"/>
          <w14:ligatures w14:val="none"/>
        </w:rPr>
        <w:t xml:space="preserve">  </w:t>
      </w:r>
      <w:r>
        <w:rPr>
          <w:rFonts w:hint="eastAsia" w:ascii="Times New Roman" w:hAnsi="Times New Roman" w:eastAsia="黑体" w:cs="Times New Roman"/>
          <w:kern w:val="2"/>
          <w:sz w:val="24"/>
          <w:szCs w:val="24"/>
          <w:highlight w:val="none"/>
          <w:lang w:val="en-US" w:eastAsia="zh-CN" w:bidi="ar-SA"/>
          <w14:ligatures w14:val="none"/>
        </w:rPr>
        <w:t>1#柴油储罐不同泄漏模式的泄漏情况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2721CCE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233A67E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1382" w:type="dxa"/>
            <w:shd w:val="clear" w:color="auto" w:fill="auto"/>
            <w:vAlign w:val="center"/>
          </w:tcPr>
          <w:p w14:paraId="16D3058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泄漏孔尺寸（mm）</w:t>
            </w:r>
          </w:p>
        </w:tc>
        <w:tc>
          <w:tcPr>
            <w:tcW w:w="1382" w:type="dxa"/>
            <w:shd w:val="clear" w:color="auto" w:fill="auto"/>
            <w:vAlign w:val="center"/>
          </w:tcPr>
          <w:p w14:paraId="7D54FE2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泄漏速率（kg/s）</w:t>
            </w:r>
          </w:p>
        </w:tc>
        <w:tc>
          <w:tcPr>
            <w:tcW w:w="1382" w:type="dxa"/>
            <w:shd w:val="clear" w:color="auto" w:fill="auto"/>
            <w:vAlign w:val="center"/>
          </w:tcPr>
          <w:p w14:paraId="3D8618B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泄漏时间（s）</w:t>
            </w:r>
          </w:p>
        </w:tc>
        <w:tc>
          <w:tcPr>
            <w:tcW w:w="1382" w:type="dxa"/>
            <w:shd w:val="clear" w:color="auto" w:fill="auto"/>
            <w:vAlign w:val="center"/>
          </w:tcPr>
          <w:p w14:paraId="6BF114D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1382" w:type="dxa"/>
            <w:shd w:val="clear" w:color="auto" w:fill="auto"/>
            <w:vAlign w:val="center"/>
          </w:tcPr>
          <w:p w14:paraId="0366A04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事故类型</w:t>
            </w:r>
          </w:p>
        </w:tc>
      </w:tr>
      <w:tr w14:paraId="15187F6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2981A89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1382" w:type="dxa"/>
            <w:shd w:val="clear" w:color="auto" w:fill="auto"/>
            <w:vAlign w:val="center"/>
          </w:tcPr>
          <w:p w14:paraId="0DDB561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w:t>
            </w:r>
          </w:p>
        </w:tc>
        <w:tc>
          <w:tcPr>
            <w:tcW w:w="1382" w:type="dxa"/>
            <w:shd w:val="clear" w:color="auto" w:fill="auto"/>
            <w:vAlign w:val="center"/>
          </w:tcPr>
          <w:p w14:paraId="1C83CA2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0.032</w:t>
            </w:r>
          </w:p>
        </w:tc>
        <w:tc>
          <w:tcPr>
            <w:tcW w:w="1382" w:type="dxa"/>
            <w:shd w:val="clear" w:color="auto" w:fill="auto"/>
            <w:vAlign w:val="center"/>
          </w:tcPr>
          <w:p w14:paraId="641DE52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120</w:t>
            </w:r>
          </w:p>
        </w:tc>
        <w:tc>
          <w:tcPr>
            <w:tcW w:w="1382" w:type="dxa"/>
            <w:shd w:val="clear" w:color="auto" w:fill="auto"/>
            <w:vAlign w:val="center"/>
          </w:tcPr>
          <w:p w14:paraId="3683956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1382" w:type="dxa"/>
            <w:shd w:val="clear" w:color="auto" w:fill="auto"/>
            <w:vAlign w:val="center"/>
          </w:tcPr>
          <w:p w14:paraId="502ECA6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28AF13A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26BD44E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1382" w:type="dxa"/>
            <w:shd w:val="clear" w:color="auto" w:fill="auto"/>
            <w:vAlign w:val="center"/>
          </w:tcPr>
          <w:p w14:paraId="19375B0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25</w:t>
            </w:r>
          </w:p>
        </w:tc>
        <w:tc>
          <w:tcPr>
            <w:tcW w:w="1382" w:type="dxa"/>
            <w:shd w:val="clear" w:color="auto" w:fill="auto"/>
            <w:vAlign w:val="center"/>
          </w:tcPr>
          <w:p w14:paraId="0EFD3FF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0.796</w:t>
            </w:r>
          </w:p>
        </w:tc>
        <w:tc>
          <w:tcPr>
            <w:tcW w:w="1382" w:type="dxa"/>
            <w:shd w:val="clear" w:color="auto" w:fill="auto"/>
            <w:vAlign w:val="center"/>
          </w:tcPr>
          <w:p w14:paraId="20537E9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60</w:t>
            </w:r>
          </w:p>
        </w:tc>
        <w:tc>
          <w:tcPr>
            <w:tcW w:w="1382" w:type="dxa"/>
            <w:shd w:val="clear" w:color="auto" w:fill="auto"/>
            <w:vAlign w:val="center"/>
          </w:tcPr>
          <w:p w14:paraId="0E00B64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1382" w:type="dxa"/>
            <w:shd w:val="clear" w:color="auto" w:fill="auto"/>
            <w:vAlign w:val="center"/>
          </w:tcPr>
          <w:p w14:paraId="39A5A67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623FE15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3A7551D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1382" w:type="dxa"/>
            <w:shd w:val="clear" w:color="auto" w:fill="auto"/>
            <w:vAlign w:val="center"/>
          </w:tcPr>
          <w:p w14:paraId="3C606D8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3ECF6A2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12.743</w:t>
            </w:r>
          </w:p>
        </w:tc>
        <w:tc>
          <w:tcPr>
            <w:tcW w:w="1382" w:type="dxa"/>
            <w:shd w:val="clear" w:color="auto" w:fill="auto"/>
            <w:vAlign w:val="center"/>
          </w:tcPr>
          <w:p w14:paraId="2141159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30</w:t>
            </w:r>
          </w:p>
        </w:tc>
        <w:tc>
          <w:tcPr>
            <w:tcW w:w="1382" w:type="dxa"/>
            <w:shd w:val="clear" w:color="auto" w:fill="auto"/>
            <w:vAlign w:val="center"/>
          </w:tcPr>
          <w:p w14:paraId="2789E2A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zh-CN" w:bidi="ar-SA"/>
                <w14:ligatures w14:val="none"/>
              </w:rPr>
              <w:t>10</w:t>
            </w: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63F0BA2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7ADAA9D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3188B06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1382" w:type="dxa"/>
            <w:shd w:val="clear" w:color="auto" w:fill="auto"/>
            <w:vAlign w:val="center"/>
          </w:tcPr>
          <w:p w14:paraId="48EBEBD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087F967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w:t>
            </w:r>
          </w:p>
        </w:tc>
        <w:tc>
          <w:tcPr>
            <w:tcW w:w="1382" w:type="dxa"/>
            <w:shd w:val="clear" w:color="auto" w:fill="auto"/>
            <w:vAlign w:val="center"/>
          </w:tcPr>
          <w:p w14:paraId="6A7F686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w:t>
            </w:r>
          </w:p>
        </w:tc>
        <w:tc>
          <w:tcPr>
            <w:tcW w:w="1382" w:type="dxa"/>
            <w:shd w:val="clear" w:color="auto" w:fill="auto"/>
            <w:vAlign w:val="center"/>
          </w:tcPr>
          <w:p w14:paraId="142E7F3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1615000</w:t>
            </w:r>
          </w:p>
        </w:tc>
        <w:tc>
          <w:tcPr>
            <w:tcW w:w="1382" w:type="dxa"/>
            <w:shd w:val="clear" w:color="auto" w:fill="auto"/>
            <w:vAlign w:val="center"/>
          </w:tcPr>
          <w:p w14:paraId="004F334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bl>
    <w:p w14:paraId="7C571C2A">
      <w:pPr>
        <w:keepNext w:val="0"/>
        <w:keepLines w:val="0"/>
        <w:pageBreakBefore w:val="0"/>
        <w:widowControl w:val="0"/>
        <w:numPr>
          <w:ilvl w:val="0"/>
          <w:numId w:val="10"/>
        </w:numPr>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事故类型</w:t>
      </w:r>
    </w:p>
    <w:p w14:paraId="0E1530DE">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蒸气云爆炸</w:t>
      </w:r>
    </w:p>
    <w:p w14:paraId="6EB3296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燃料燃烧热（Kj/Kg）: 43000</w:t>
      </w:r>
    </w:p>
    <w:p w14:paraId="2E059B71">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eastAsia"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6.1-5</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1#柴油储罐发生</w:t>
      </w:r>
      <w:r>
        <w:rPr>
          <w:rFonts w:hint="default" w:ascii="Times New Roman" w:hAnsi="Times New Roman" w:eastAsia="黑体" w:cs="Times New Roman"/>
          <w:kern w:val="2"/>
          <w:sz w:val="24"/>
          <w:szCs w:val="24"/>
          <w:highlight w:val="none"/>
          <w:lang w:val="en-US" w:eastAsia="zh-CN" w:bidi="ar-SA"/>
        </w:rPr>
        <w:t>蒸气云爆炸</w:t>
      </w:r>
      <w:r>
        <w:rPr>
          <w:rFonts w:hint="eastAsia" w:ascii="Times New Roman" w:hAnsi="Times New Roman" w:eastAsia="黑体" w:cs="Times New Roman"/>
          <w:kern w:val="2"/>
          <w:sz w:val="24"/>
          <w:szCs w:val="24"/>
          <w:highlight w:val="none"/>
          <w:lang w:val="en-US" w:eastAsia="zh-CN" w:bidi="ar-SA"/>
        </w:rPr>
        <w:t>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43E02BD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2F5CE87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2764" w:type="dxa"/>
            <w:shd w:val="clear" w:color="auto" w:fill="auto"/>
            <w:vAlign w:val="center"/>
          </w:tcPr>
          <w:p w14:paraId="2A5C72B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2764" w:type="dxa"/>
            <w:shd w:val="clear" w:color="auto" w:fill="auto"/>
            <w:vAlign w:val="center"/>
          </w:tcPr>
          <w:p w14:paraId="16317BD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 xml:space="preserve">蒸气云质量(kg) </w:t>
            </w:r>
          </w:p>
        </w:tc>
      </w:tr>
      <w:tr w14:paraId="790B1B8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25DFD02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2764" w:type="dxa"/>
            <w:shd w:val="clear" w:color="auto" w:fill="auto"/>
            <w:vAlign w:val="center"/>
          </w:tcPr>
          <w:p w14:paraId="2681052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2764" w:type="dxa"/>
            <w:shd w:val="clear" w:color="auto" w:fill="auto"/>
            <w:vAlign w:val="center"/>
          </w:tcPr>
          <w:p w14:paraId="3A471C7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0.0384</w:t>
            </w:r>
          </w:p>
        </w:tc>
      </w:tr>
      <w:tr w14:paraId="6821159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78E6495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2764" w:type="dxa"/>
            <w:shd w:val="clear" w:color="auto" w:fill="auto"/>
            <w:vAlign w:val="center"/>
          </w:tcPr>
          <w:p w14:paraId="3789F4A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2764" w:type="dxa"/>
            <w:shd w:val="clear" w:color="auto" w:fill="auto"/>
            <w:vAlign w:val="center"/>
          </w:tcPr>
          <w:p w14:paraId="07EA547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0.047</w:t>
            </w:r>
          </w:p>
        </w:tc>
      </w:tr>
      <w:tr w14:paraId="031D0B5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08E48DC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2764" w:type="dxa"/>
            <w:shd w:val="clear" w:color="auto" w:fill="auto"/>
            <w:vAlign w:val="center"/>
          </w:tcPr>
          <w:p w14:paraId="2F90E4E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2764" w:type="dxa"/>
            <w:shd w:val="clear" w:color="auto" w:fill="auto"/>
            <w:vAlign w:val="center"/>
          </w:tcPr>
          <w:p w14:paraId="6A742C9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0.05</w:t>
            </w:r>
          </w:p>
        </w:tc>
      </w:tr>
      <w:tr w14:paraId="54E2680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2786036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2764" w:type="dxa"/>
            <w:shd w:val="clear" w:color="auto" w:fill="auto"/>
            <w:vAlign w:val="center"/>
          </w:tcPr>
          <w:p w14:paraId="7C98B38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1615000</w:t>
            </w:r>
          </w:p>
        </w:tc>
        <w:tc>
          <w:tcPr>
            <w:tcW w:w="2764" w:type="dxa"/>
            <w:shd w:val="clear" w:color="auto" w:fill="auto"/>
            <w:vAlign w:val="center"/>
          </w:tcPr>
          <w:p w14:paraId="5A86199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zh-CN" w:bidi="ar-SA"/>
                <w14:ligatures w14:val="none"/>
              </w:rPr>
            </w:pPr>
            <w:r>
              <w:rPr>
                <w:rFonts w:hint="eastAsia" w:ascii="Times New Roman" w:hAnsi="Times New Roman" w:eastAsia="宋体" w:cs="Times New Roman"/>
                <w:b w:val="0"/>
                <w:bCs w:val="0"/>
                <w:spacing w:val="8"/>
                <w:kern w:val="2"/>
                <w:sz w:val="21"/>
                <w:szCs w:val="21"/>
                <w:highlight w:val="none"/>
                <w:lang w:val="en-US" w:eastAsia="zh-CN" w:bidi="ar-SA"/>
                <w14:ligatures w14:val="none"/>
              </w:rPr>
              <w:t>1615</w:t>
            </w:r>
          </w:p>
        </w:tc>
      </w:tr>
    </w:tbl>
    <w:p w14:paraId="6C80CE47">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池火灾</w:t>
      </w:r>
    </w:p>
    <w:p w14:paraId="0AB723EB">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危险单元类型: 有防火堤</w:t>
      </w:r>
    </w:p>
    <w:p w14:paraId="15CAB53D">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液池面积(m</w:t>
      </w:r>
      <w:r>
        <w:rPr>
          <w:rFonts w:hint="default" w:ascii="Times New Roman" w:hAnsi="Times New Roman" w:eastAsia="宋体" w:cstheme="minorBidi"/>
          <w:kern w:val="2"/>
          <w:sz w:val="28"/>
          <w:szCs w:val="24"/>
          <w:vertAlign w:val="superscript"/>
          <w:lang w:val="en-US" w:eastAsia="zh-CN" w:bidi="ar-SA"/>
          <w14:ligatures w14:val="standardContextual"/>
        </w:rPr>
        <w:t>2</w:t>
      </w:r>
      <w:r>
        <w:rPr>
          <w:rFonts w:hint="default" w:ascii="Times New Roman" w:hAnsi="Times New Roman" w:eastAsia="宋体" w:cstheme="minorBidi"/>
          <w:kern w:val="2"/>
          <w:sz w:val="28"/>
          <w:szCs w:val="24"/>
          <w:lang w:val="en-US" w:eastAsia="zh-CN" w:bidi="ar-SA"/>
          <w14:ligatures w14:val="standardContextual"/>
        </w:rPr>
        <w:t>): 3200</w:t>
      </w:r>
    </w:p>
    <w:p w14:paraId="65D697AB">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燃料燃烧热（Kj/Kg）: 43000</w:t>
      </w:r>
    </w:p>
    <w:p w14:paraId="751F3C8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定压比热（Kj/(Kg.K)）: 2.03</w:t>
      </w:r>
    </w:p>
    <w:p w14:paraId="544919F2">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液体蒸发潜热（Kj/Kg）: 300</w:t>
      </w:r>
    </w:p>
    <w:p w14:paraId="12D562C8">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液体常压沸点（K）: 583</w:t>
      </w:r>
    </w:p>
    <w:p w14:paraId="42CB7AF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人员暴露时间（s）: 20</w:t>
      </w:r>
    </w:p>
    <w:p w14:paraId="716C2B00">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6.1-6</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1#柴油储罐发生池火灾时的泄漏情况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04C507D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7AA8E3F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4147" w:type="dxa"/>
            <w:shd w:val="clear" w:color="auto" w:fill="auto"/>
            <w:vAlign w:val="center"/>
          </w:tcPr>
          <w:p w14:paraId="5B427DA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燃料泄漏量（kg）</w:t>
            </w:r>
          </w:p>
        </w:tc>
      </w:tr>
      <w:tr w14:paraId="4DE53EB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317B592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4147" w:type="dxa"/>
            <w:shd w:val="clear" w:color="auto" w:fill="auto"/>
            <w:vAlign w:val="center"/>
          </w:tcPr>
          <w:p w14:paraId="16ECF2D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r>
      <w:tr w14:paraId="3D42779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28AF9B6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4147" w:type="dxa"/>
            <w:shd w:val="clear" w:color="auto" w:fill="auto"/>
            <w:vAlign w:val="center"/>
          </w:tcPr>
          <w:p w14:paraId="1FB001C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r>
      <w:tr w14:paraId="67ED4B1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D49A8D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4147" w:type="dxa"/>
            <w:shd w:val="clear" w:color="auto" w:fill="auto"/>
            <w:vAlign w:val="center"/>
          </w:tcPr>
          <w:p w14:paraId="79749AC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zh-CN" w:bidi="ar-SA"/>
                <w14:ligatures w14:val="none"/>
              </w:rPr>
            </w:pPr>
            <w:r>
              <w:rPr>
                <w:rFonts w:hint="eastAsia" w:ascii="Times New Roman" w:hAnsi="Times New Roman" w:eastAsia="宋体" w:cs="Times New Roman"/>
                <w:b w:val="0"/>
                <w:bCs w:val="0"/>
                <w:spacing w:val="8"/>
                <w:kern w:val="2"/>
                <w:sz w:val="21"/>
                <w:szCs w:val="21"/>
                <w:highlight w:val="none"/>
                <w:lang w:val="en-US" w:eastAsia="zh-CN" w:bidi="ar-SA"/>
                <w14:ligatures w14:val="none"/>
              </w:rPr>
              <w:t>100</w:t>
            </w:r>
          </w:p>
        </w:tc>
      </w:tr>
      <w:tr w14:paraId="2593523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1857F01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4147" w:type="dxa"/>
            <w:shd w:val="clear" w:color="auto" w:fill="auto"/>
            <w:vAlign w:val="center"/>
          </w:tcPr>
          <w:p w14:paraId="683B568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1615000</w:t>
            </w:r>
          </w:p>
        </w:tc>
      </w:tr>
    </w:tbl>
    <w:p w14:paraId="2DFF0BFD">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（6）2#柴油储罐装置基本参数</w:t>
      </w:r>
    </w:p>
    <w:p w14:paraId="60BF6D79">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1）储罐装置基本信息</w:t>
      </w:r>
    </w:p>
    <w:p w14:paraId="7DE88417">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装置名称：2#柴油储罐</w:t>
      </w:r>
    </w:p>
    <w:p w14:paraId="7A721B8A">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装置编号：TK102</w:t>
      </w:r>
    </w:p>
    <w:p w14:paraId="09F5BF68">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装置坐标: 514.3，348.3</w:t>
      </w:r>
    </w:p>
    <w:p w14:paraId="4D853A94">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物料名称: 柴油</w:t>
      </w:r>
    </w:p>
    <w:p w14:paraId="16042EDC">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装置类型: 固定的常压容器和储罐</w:t>
      </w:r>
    </w:p>
    <w:p w14:paraId="3141CA01">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是否修正: 否</w:t>
      </w:r>
    </w:p>
    <w:p w14:paraId="7C14FB35">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装置体积（m³）：2000</w:t>
      </w:r>
    </w:p>
    <w:p w14:paraId="1F122981">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泄漏模式: 泄漏到大气中-中孔泄漏，泄漏到大气中-小孔泄漏，泄漏到大气中-大孔泄漏，泄漏到大气中-完全破裂</w:t>
      </w:r>
    </w:p>
    <w:p w14:paraId="68D41A47">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物料类型: 易燃液体</w:t>
      </w:r>
    </w:p>
    <w:p w14:paraId="1171C061">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事故类型: 蒸气云爆炸，池火灾</w:t>
      </w:r>
    </w:p>
    <w:p w14:paraId="492C7329">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容器最大存量（kg）：1700000</w:t>
      </w:r>
    </w:p>
    <w:p w14:paraId="267B33C3">
      <w:pPr>
        <w:widowControl w:val="0"/>
        <w:numPr>
          <w:ilvl w:val="0"/>
          <w:numId w:val="11"/>
        </w:numPr>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事故情景描述</w:t>
      </w:r>
    </w:p>
    <w:p w14:paraId="3343B804">
      <w:pPr>
        <w:widowControl w:val="0"/>
        <w:numPr>
          <w:ilvl w:val="0"/>
          <w:numId w:val="0"/>
        </w:numPr>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物料名称：柴油</w:t>
      </w:r>
    </w:p>
    <w:p w14:paraId="16374973">
      <w:pPr>
        <w:widowControl w:val="0"/>
        <w:numPr>
          <w:ilvl w:val="0"/>
          <w:numId w:val="0"/>
        </w:numPr>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容器最大存量：1700000</w:t>
      </w:r>
    </w:p>
    <w:p w14:paraId="3E2E8722">
      <w:pPr>
        <w:widowControl w:val="0"/>
        <w:numPr>
          <w:ilvl w:val="0"/>
          <w:numId w:val="0"/>
        </w:numPr>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容器内液体密度(kg/m</w:t>
      </w:r>
      <w:r>
        <w:rPr>
          <w:rFonts w:hint="eastAsia" w:ascii="Times New Roman" w:hAnsi="Times New Roman" w:eastAsia="宋体" w:cstheme="minorBidi"/>
          <w:kern w:val="2"/>
          <w:sz w:val="28"/>
          <w:szCs w:val="24"/>
          <w:vertAlign w:val="superscript"/>
          <w:lang w:val="en-US" w:eastAsia="zh-CN" w:bidi="ar-SA"/>
          <w14:ligatures w14:val="standardContextual"/>
        </w:rPr>
        <w:t>3</w:t>
      </w:r>
      <w:r>
        <w:rPr>
          <w:rFonts w:hint="eastAsia" w:ascii="Times New Roman" w:hAnsi="Times New Roman" w:eastAsia="宋体" w:cstheme="minorBidi"/>
          <w:kern w:val="2"/>
          <w:sz w:val="28"/>
          <w:szCs w:val="24"/>
          <w:lang w:val="en-US" w:eastAsia="zh-CN" w:bidi="ar-SA"/>
          <w14:ligatures w14:val="standardContextual"/>
        </w:rPr>
        <w:t>)：850</w:t>
      </w:r>
    </w:p>
    <w:p w14:paraId="546A9C18">
      <w:pPr>
        <w:widowControl w:val="0"/>
        <w:numPr>
          <w:ilvl w:val="0"/>
          <w:numId w:val="0"/>
        </w:numPr>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容器内介质绝对压力（Pa）：101326</w:t>
      </w:r>
    </w:p>
    <w:p w14:paraId="001663A3">
      <w:pPr>
        <w:widowControl w:val="0"/>
        <w:numPr>
          <w:ilvl w:val="0"/>
          <w:numId w:val="0"/>
        </w:numPr>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泄漏孔上方液体高度（m）: 0.5</w:t>
      </w:r>
    </w:p>
    <w:p w14:paraId="38C8DE7E">
      <w:pPr>
        <w:widowControl w:val="0"/>
        <w:numPr>
          <w:ilvl w:val="0"/>
          <w:numId w:val="0"/>
        </w:numPr>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泄漏孔上方液体质量：100</w:t>
      </w:r>
    </w:p>
    <w:p w14:paraId="361F0061">
      <w:pPr>
        <w:widowControl w:val="0"/>
        <w:numPr>
          <w:ilvl w:val="0"/>
          <w:numId w:val="0"/>
        </w:numPr>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探测系统类型：专门设计的仪器仪表，用来探测系统的运行工况变化所造成的物质损失（即压力损失或流量损失）</w:t>
      </w:r>
    </w:p>
    <w:p w14:paraId="61B55A68">
      <w:pPr>
        <w:widowControl w:val="0"/>
        <w:numPr>
          <w:ilvl w:val="0"/>
          <w:numId w:val="0"/>
        </w:numPr>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连锁切断系统类型：直接在工艺仪表或探测器启动，而无需操作者干预的切断或停机系统</w:t>
      </w:r>
    </w:p>
    <w:p w14:paraId="7B036367">
      <w:pPr>
        <w:keepNext/>
        <w:keepLines/>
        <w:widowControl w:val="0"/>
        <w:spacing w:before="156" w:beforeLines="50" w:after="156" w:afterLines="50" w:line="240" w:lineRule="auto"/>
        <w:ind w:firstLine="0" w:firstLineChars="0"/>
        <w:jc w:val="center"/>
        <w:rPr>
          <w:rFonts w:hint="eastAsia"/>
          <w:lang w:val="en-US" w:eastAsia="zh-CN"/>
        </w:rPr>
      </w:pPr>
      <w:r>
        <w:rPr>
          <w:rFonts w:hint="default" w:ascii="Times New Roman" w:hAnsi="Times New Roman" w:eastAsia="黑体" w:cs="Times New Roman"/>
          <w:kern w:val="2"/>
          <w:sz w:val="24"/>
          <w:szCs w:val="24"/>
          <w:highlight w:val="none"/>
          <w:lang w:val="en-US" w:eastAsia="zh-CN" w:bidi="ar-SA"/>
          <w14:ligatures w14:val="none"/>
        </w:rPr>
        <w:t>表</w:t>
      </w:r>
      <w:r>
        <w:rPr>
          <w:rFonts w:hint="eastAsia" w:ascii="Times New Roman" w:hAnsi="Times New Roman" w:eastAsia="黑体" w:cs="Times New Roman"/>
          <w:kern w:val="2"/>
          <w:sz w:val="24"/>
          <w:szCs w:val="24"/>
          <w:highlight w:val="none"/>
          <w:lang w:val="en-US" w:eastAsia="zh-CN" w:bidi="ar-SA"/>
          <w14:ligatures w14:val="none"/>
        </w:rPr>
        <w:t>6.1-7</w:t>
      </w:r>
      <w:r>
        <w:rPr>
          <w:rFonts w:hint="default" w:ascii="Times New Roman" w:hAnsi="Times New Roman" w:eastAsia="黑体" w:cs="Times New Roman"/>
          <w:kern w:val="2"/>
          <w:sz w:val="24"/>
          <w:szCs w:val="24"/>
          <w:highlight w:val="none"/>
          <w:lang w:val="en-US" w:eastAsia="zh-CN" w:bidi="ar-SA"/>
          <w14:ligatures w14:val="none"/>
        </w:rPr>
        <w:t xml:space="preserve">  </w:t>
      </w:r>
      <w:r>
        <w:rPr>
          <w:rFonts w:hint="eastAsia" w:ascii="Times New Roman" w:hAnsi="Times New Roman" w:eastAsia="黑体" w:cs="Times New Roman"/>
          <w:kern w:val="2"/>
          <w:sz w:val="24"/>
          <w:szCs w:val="24"/>
          <w:highlight w:val="none"/>
          <w:lang w:val="en-US" w:eastAsia="zh-CN" w:bidi="ar-SA"/>
          <w14:ligatures w14:val="none"/>
        </w:rPr>
        <w:t>2#柴油储罐不同泄漏模式的泄漏情况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3FD0CBF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661858F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1382" w:type="dxa"/>
            <w:shd w:val="clear" w:color="auto" w:fill="auto"/>
            <w:vAlign w:val="center"/>
          </w:tcPr>
          <w:p w14:paraId="04690D9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泄漏孔尺寸（mm）</w:t>
            </w:r>
          </w:p>
        </w:tc>
        <w:tc>
          <w:tcPr>
            <w:tcW w:w="1382" w:type="dxa"/>
            <w:shd w:val="clear" w:color="auto" w:fill="auto"/>
            <w:vAlign w:val="center"/>
          </w:tcPr>
          <w:p w14:paraId="4463E77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泄漏速率（kg/s）</w:t>
            </w:r>
          </w:p>
        </w:tc>
        <w:tc>
          <w:tcPr>
            <w:tcW w:w="1382" w:type="dxa"/>
            <w:shd w:val="clear" w:color="auto" w:fill="auto"/>
            <w:vAlign w:val="center"/>
          </w:tcPr>
          <w:p w14:paraId="0F671ED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泄漏时间（s）</w:t>
            </w:r>
          </w:p>
        </w:tc>
        <w:tc>
          <w:tcPr>
            <w:tcW w:w="1382" w:type="dxa"/>
            <w:shd w:val="clear" w:color="auto" w:fill="auto"/>
            <w:vAlign w:val="center"/>
          </w:tcPr>
          <w:p w14:paraId="00D3FB8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1382" w:type="dxa"/>
            <w:shd w:val="clear" w:color="auto" w:fill="auto"/>
            <w:vAlign w:val="center"/>
          </w:tcPr>
          <w:p w14:paraId="2866472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事故类型</w:t>
            </w:r>
          </w:p>
        </w:tc>
      </w:tr>
      <w:tr w14:paraId="6CD82DB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607B295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1382" w:type="dxa"/>
            <w:shd w:val="clear" w:color="auto" w:fill="auto"/>
            <w:vAlign w:val="center"/>
          </w:tcPr>
          <w:p w14:paraId="38ADBE8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w:t>
            </w:r>
          </w:p>
        </w:tc>
        <w:tc>
          <w:tcPr>
            <w:tcW w:w="1382" w:type="dxa"/>
            <w:shd w:val="clear" w:color="auto" w:fill="auto"/>
            <w:vAlign w:val="center"/>
          </w:tcPr>
          <w:p w14:paraId="36FD899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0.032</w:t>
            </w:r>
          </w:p>
        </w:tc>
        <w:tc>
          <w:tcPr>
            <w:tcW w:w="1382" w:type="dxa"/>
            <w:shd w:val="clear" w:color="auto" w:fill="auto"/>
            <w:vAlign w:val="center"/>
          </w:tcPr>
          <w:p w14:paraId="1CFBC53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120</w:t>
            </w:r>
          </w:p>
        </w:tc>
        <w:tc>
          <w:tcPr>
            <w:tcW w:w="1382" w:type="dxa"/>
            <w:shd w:val="clear" w:color="auto" w:fill="auto"/>
            <w:vAlign w:val="center"/>
          </w:tcPr>
          <w:p w14:paraId="15BB44C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1382" w:type="dxa"/>
            <w:shd w:val="clear" w:color="auto" w:fill="auto"/>
            <w:vAlign w:val="center"/>
          </w:tcPr>
          <w:p w14:paraId="17F886B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5EDFFC0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5150875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1382" w:type="dxa"/>
            <w:shd w:val="clear" w:color="auto" w:fill="auto"/>
            <w:vAlign w:val="center"/>
          </w:tcPr>
          <w:p w14:paraId="541A331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25</w:t>
            </w:r>
          </w:p>
        </w:tc>
        <w:tc>
          <w:tcPr>
            <w:tcW w:w="1382" w:type="dxa"/>
            <w:shd w:val="clear" w:color="auto" w:fill="auto"/>
            <w:vAlign w:val="center"/>
          </w:tcPr>
          <w:p w14:paraId="2D5439A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0.796</w:t>
            </w:r>
          </w:p>
        </w:tc>
        <w:tc>
          <w:tcPr>
            <w:tcW w:w="1382" w:type="dxa"/>
            <w:shd w:val="clear" w:color="auto" w:fill="auto"/>
            <w:vAlign w:val="center"/>
          </w:tcPr>
          <w:p w14:paraId="0C38B92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60</w:t>
            </w:r>
          </w:p>
        </w:tc>
        <w:tc>
          <w:tcPr>
            <w:tcW w:w="1382" w:type="dxa"/>
            <w:shd w:val="clear" w:color="auto" w:fill="auto"/>
            <w:vAlign w:val="center"/>
          </w:tcPr>
          <w:p w14:paraId="312BF2F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1382" w:type="dxa"/>
            <w:shd w:val="clear" w:color="auto" w:fill="auto"/>
            <w:vAlign w:val="center"/>
          </w:tcPr>
          <w:p w14:paraId="09D3C5F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5265C5E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17BE833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1382" w:type="dxa"/>
            <w:shd w:val="clear" w:color="auto" w:fill="auto"/>
            <w:vAlign w:val="center"/>
          </w:tcPr>
          <w:p w14:paraId="2A797AA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1CC4DF0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12.743</w:t>
            </w:r>
          </w:p>
        </w:tc>
        <w:tc>
          <w:tcPr>
            <w:tcW w:w="1382" w:type="dxa"/>
            <w:shd w:val="clear" w:color="auto" w:fill="auto"/>
            <w:vAlign w:val="center"/>
          </w:tcPr>
          <w:p w14:paraId="38EBF3A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30</w:t>
            </w:r>
          </w:p>
        </w:tc>
        <w:tc>
          <w:tcPr>
            <w:tcW w:w="1382" w:type="dxa"/>
            <w:shd w:val="clear" w:color="auto" w:fill="auto"/>
            <w:vAlign w:val="center"/>
          </w:tcPr>
          <w:p w14:paraId="06CE024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3628207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460B3CB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2318482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1382" w:type="dxa"/>
            <w:shd w:val="clear" w:color="auto" w:fill="auto"/>
            <w:vAlign w:val="center"/>
          </w:tcPr>
          <w:p w14:paraId="3EA8DF6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4979C14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189B0EA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6A310DA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1700000</w:t>
            </w:r>
          </w:p>
        </w:tc>
        <w:tc>
          <w:tcPr>
            <w:tcW w:w="1382" w:type="dxa"/>
            <w:shd w:val="clear" w:color="auto" w:fill="auto"/>
            <w:vAlign w:val="center"/>
          </w:tcPr>
          <w:p w14:paraId="00514DC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bl>
    <w:p w14:paraId="2D3684DA">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3）事故类型</w:t>
      </w:r>
    </w:p>
    <w:p w14:paraId="71B88F1E">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蒸气云爆炸</w:t>
      </w:r>
    </w:p>
    <w:p w14:paraId="795A79A9">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燃料燃烧热（Kj/Kg）: 43000</w:t>
      </w:r>
    </w:p>
    <w:p w14:paraId="10B92A06">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eastAsia"/>
          <w:lang w:val="en-US" w:eastAsia="zh-CN"/>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6.1-8</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2#柴油储罐发生</w:t>
      </w:r>
      <w:r>
        <w:rPr>
          <w:rFonts w:hint="default" w:ascii="Times New Roman" w:hAnsi="Times New Roman" w:eastAsia="黑体" w:cs="Times New Roman"/>
          <w:kern w:val="2"/>
          <w:sz w:val="24"/>
          <w:szCs w:val="24"/>
          <w:highlight w:val="none"/>
          <w:lang w:val="en-US" w:eastAsia="zh-CN" w:bidi="ar-SA"/>
        </w:rPr>
        <w:t>蒸气云爆炸</w:t>
      </w:r>
      <w:r>
        <w:rPr>
          <w:rFonts w:hint="eastAsia" w:ascii="Times New Roman" w:hAnsi="Times New Roman" w:eastAsia="黑体" w:cs="Times New Roman"/>
          <w:kern w:val="2"/>
          <w:sz w:val="24"/>
          <w:szCs w:val="24"/>
          <w:highlight w:val="none"/>
          <w:lang w:val="en-US" w:eastAsia="zh-CN" w:bidi="ar-SA"/>
        </w:rPr>
        <w:t>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011504A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018BB4B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2764" w:type="dxa"/>
            <w:shd w:val="clear" w:color="auto" w:fill="auto"/>
            <w:vAlign w:val="center"/>
          </w:tcPr>
          <w:p w14:paraId="15303A8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2764" w:type="dxa"/>
            <w:shd w:val="clear" w:color="auto" w:fill="auto"/>
            <w:vAlign w:val="center"/>
          </w:tcPr>
          <w:p w14:paraId="408E71A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 xml:space="preserve">蒸气云质量(kg) </w:t>
            </w:r>
          </w:p>
        </w:tc>
      </w:tr>
      <w:tr w14:paraId="7247AFA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6C041C0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2764" w:type="dxa"/>
            <w:shd w:val="clear" w:color="auto" w:fill="auto"/>
            <w:vAlign w:val="center"/>
          </w:tcPr>
          <w:p w14:paraId="1A94C83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2764" w:type="dxa"/>
            <w:shd w:val="clear" w:color="auto" w:fill="auto"/>
            <w:vAlign w:val="center"/>
          </w:tcPr>
          <w:p w14:paraId="59DC63D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0.0384</w:t>
            </w:r>
          </w:p>
        </w:tc>
      </w:tr>
      <w:tr w14:paraId="1270C67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3F18F94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2764" w:type="dxa"/>
            <w:shd w:val="clear" w:color="auto" w:fill="auto"/>
            <w:vAlign w:val="center"/>
          </w:tcPr>
          <w:p w14:paraId="13E4C15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2764" w:type="dxa"/>
            <w:shd w:val="clear" w:color="auto" w:fill="auto"/>
            <w:vAlign w:val="center"/>
          </w:tcPr>
          <w:p w14:paraId="205F36D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0.047</w:t>
            </w:r>
          </w:p>
        </w:tc>
      </w:tr>
      <w:tr w14:paraId="6622E20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7FE8C61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2764" w:type="dxa"/>
            <w:shd w:val="clear" w:color="auto" w:fill="auto"/>
            <w:vAlign w:val="center"/>
          </w:tcPr>
          <w:p w14:paraId="2B186E0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2764" w:type="dxa"/>
            <w:shd w:val="clear" w:color="auto" w:fill="auto"/>
            <w:vAlign w:val="center"/>
          </w:tcPr>
          <w:p w14:paraId="72E53B3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0.1</w:t>
            </w:r>
          </w:p>
        </w:tc>
      </w:tr>
      <w:tr w14:paraId="4E2AB3B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6A858BC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2764" w:type="dxa"/>
            <w:shd w:val="clear" w:color="auto" w:fill="auto"/>
            <w:vAlign w:val="center"/>
          </w:tcPr>
          <w:p w14:paraId="175B255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1700000</w:t>
            </w:r>
          </w:p>
        </w:tc>
        <w:tc>
          <w:tcPr>
            <w:tcW w:w="2764" w:type="dxa"/>
            <w:shd w:val="clear" w:color="auto" w:fill="auto"/>
            <w:vAlign w:val="center"/>
          </w:tcPr>
          <w:p w14:paraId="57EF808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zh-CN" w:bidi="ar-SA"/>
                <w14:ligatures w14:val="none"/>
              </w:rPr>
            </w:pPr>
            <w:r>
              <w:rPr>
                <w:rFonts w:hint="eastAsia" w:ascii="Times New Roman" w:hAnsi="Times New Roman" w:eastAsia="宋体" w:cs="Times New Roman"/>
                <w:b w:val="0"/>
                <w:bCs w:val="0"/>
                <w:spacing w:val="8"/>
                <w:kern w:val="2"/>
                <w:sz w:val="21"/>
                <w:szCs w:val="21"/>
                <w:highlight w:val="none"/>
                <w:lang w:val="en-US" w:eastAsia="zh-CN" w:bidi="ar-SA"/>
                <w14:ligatures w14:val="none"/>
              </w:rPr>
              <w:t>1700</w:t>
            </w:r>
          </w:p>
        </w:tc>
      </w:tr>
    </w:tbl>
    <w:p w14:paraId="63F59B38">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池火灾</w:t>
      </w:r>
    </w:p>
    <w:p w14:paraId="3D46BC90">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危险单元类型: 有防火堤</w:t>
      </w:r>
    </w:p>
    <w:p w14:paraId="7EDD48D3">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液池面积(m</w:t>
      </w:r>
      <w:r>
        <w:rPr>
          <w:rFonts w:hint="default" w:ascii="Times New Roman" w:hAnsi="Times New Roman" w:eastAsia="宋体" w:cstheme="minorBidi"/>
          <w:kern w:val="2"/>
          <w:sz w:val="28"/>
          <w:szCs w:val="24"/>
          <w:vertAlign w:val="superscript"/>
          <w:lang w:val="en-US" w:eastAsia="zh-CN" w:bidi="ar-SA"/>
          <w14:ligatures w14:val="standardContextual"/>
        </w:rPr>
        <w:t>2</w:t>
      </w:r>
      <w:r>
        <w:rPr>
          <w:rFonts w:hint="default" w:ascii="Times New Roman" w:hAnsi="Times New Roman" w:eastAsia="宋体" w:cstheme="minorBidi"/>
          <w:kern w:val="2"/>
          <w:sz w:val="28"/>
          <w:szCs w:val="24"/>
          <w:lang w:val="en-US" w:eastAsia="zh-CN" w:bidi="ar-SA"/>
          <w14:ligatures w14:val="standardContextual"/>
        </w:rPr>
        <w:t>): 3200</w:t>
      </w:r>
    </w:p>
    <w:p w14:paraId="35D61AF2">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燃料燃烧热（Kj/Kg）: 43000</w:t>
      </w:r>
    </w:p>
    <w:p w14:paraId="2D404577">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定压比热（Kj/(Kg.K)）: 2.03</w:t>
      </w:r>
    </w:p>
    <w:p w14:paraId="58BEA139">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液体蒸发潜热（Kj/Kg）: 300</w:t>
      </w:r>
    </w:p>
    <w:p w14:paraId="64F85532">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液体常压沸点（K）: 583</w:t>
      </w:r>
    </w:p>
    <w:p w14:paraId="0B5250B6">
      <w:pPr>
        <w:widowControl w:val="0"/>
        <w:adjustRightInd w:val="0"/>
        <w:snapToGrid w:val="0"/>
        <w:spacing w:after="0" w:line="360" w:lineRule="auto"/>
        <w:ind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人员暴露时间（s）: 20</w:t>
      </w:r>
    </w:p>
    <w:p w14:paraId="145FAF2B">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lang w:val="en-US" w:eastAsia="zh-CN"/>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6.1-9</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2#柴油储罐发生池火灾时的泄漏情况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0A6F651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34DA648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4147" w:type="dxa"/>
            <w:shd w:val="clear" w:color="auto" w:fill="auto"/>
            <w:vAlign w:val="center"/>
          </w:tcPr>
          <w:p w14:paraId="79E6ED5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燃料泄漏量（kg）</w:t>
            </w:r>
          </w:p>
        </w:tc>
      </w:tr>
      <w:tr w14:paraId="6B91640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1BCCE5A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4147" w:type="dxa"/>
            <w:shd w:val="clear" w:color="auto" w:fill="auto"/>
            <w:vAlign w:val="center"/>
          </w:tcPr>
          <w:p w14:paraId="6B5687C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r>
      <w:tr w14:paraId="5D3254E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36A75FA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4147" w:type="dxa"/>
            <w:shd w:val="clear" w:color="auto" w:fill="auto"/>
            <w:vAlign w:val="center"/>
          </w:tcPr>
          <w:p w14:paraId="4E33D1D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r>
      <w:tr w14:paraId="37654C6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738265D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4147" w:type="dxa"/>
            <w:shd w:val="clear" w:color="auto" w:fill="auto"/>
            <w:vAlign w:val="center"/>
          </w:tcPr>
          <w:p w14:paraId="7145C68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r>
      <w:tr w14:paraId="6F931B7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3E127DD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4147" w:type="dxa"/>
            <w:shd w:val="clear" w:color="auto" w:fill="auto"/>
            <w:vAlign w:val="center"/>
          </w:tcPr>
          <w:p w14:paraId="6B74CCA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1700000</w:t>
            </w:r>
          </w:p>
        </w:tc>
      </w:tr>
    </w:tbl>
    <w:p w14:paraId="06E6145E">
      <w:pPr>
        <w:widowControl w:val="0"/>
        <w:numPr>
          <w:ilvl w:val="0"/>
          <w:numId w:val="0"/>
        </w:numPr>
        <w:adjustRightInd w:val="0"/>
        <w:snapToGrid w:val="0"/>
        <w:spacing w:after="0" w:line="360" w:lineRule="auto"/>
        <w:ind w:leftChars="200"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（7）3#柴油储罐装置基本参数</w:t>
      </w:r>
    </w:p>
    <w:p w14:paraId="66900676">
      <w:pPr>
        <w:widowControl w:val="0"/>
        <w:numPr>
          <w:ilvl w:val="0"/>
          <w:numId w:val="0"/>
        </w:numPr>
        <w:adjustRightInd w:val="0"/>
        <w:snapToGrid w:val="0"/>
        <w:spacing w:after="0" w:line="360" w:lineRule="auto"/>
        <w:ind w:leftChars="200"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1）储罐装置基本信息</w:t>
      </w:r>
    </w:p>
    <w:p w14:paraId="6452B649">
      <w:pPr>
        <w:widowControl w:val="0"/>
        <w:numPr>
          <w:ilvl w:val="0"/>
          <w:numId w:val="0"/>
        </w:numPr>
        <w:adjustRightInd w:val="0"/>
        <w:snapToGrid w:val="0"/>
        <w:spacing w:after="0" w:line="360" w:lineRule="auto"/>
        <w:ind w:leftChars="200"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装置名称：3#柴油储罐</w:t>
      </w:r>
    </w:p>
    <w:p w14:paraId="1C449E36">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装置编号：TK103</w:t>
      </w:r>
    </w:p>
    <w:p w14:paraId="74905DB1">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装置坐标: 512.3，293.3</w:t>
      </w:r>
    </w:p>
    <w:p w14:paraId="679712B6">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物料名称: 柴油</w:t>
      </w:r>
    </w:p>
    <w:p w14:paraId="246EC92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装置类型: 固定的常压容器和储罐</w:t>
      </w:r>
    </w:p>
    <w:p w14:paraId="11CDDA9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是否修正: 否</w:t>
      </w:r>
    </w:p>
    <w:p w14:paraId="6F0EEFA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装置体积（m³）：2000</w:t>
      </w:r>
    </w:p>
    <w:p w14:paraId="3B14DD9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泄漏模式: 泄漏到大气中-中孔泄漏，泄漏到大气中-小孔泄漏，泄漏到大气中-大孔泄漏，泄漏到大气中-完全破裂</w:t>
      </w:r>
    </w:p>
    <w:p w14:paraId="26C3B0B2">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物料类型: 易燃液体</w:t>
      </w:r>
    </w:p>
    <w:p w14:paraId="185981B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事故类型: 蒸气云爆炸，池火灾</w:t>
      </w:r>
    </w:p>
    <w:p w14:paraId="48276BE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容器最大存量（kg）：1700000</w:t>
      </w:r>
    </w:p>
    <w:p w14:paraId="0AC7EB21">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2）事故情景描述</w:t>
      </w:r>
    </w:p>
    <w:p w14:paraId="3AF6B23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物料名称：柴油</w:t>
      </w:r>
    </w:p>
    <w:p w14:paraId="5AF6BF71">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容器最大存量：1700000</w:t>
      </w:r>
    </w:p>
    <w:p w14:paraId="63187B0A">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容器内液体密度(kg/m</w:t>
      </w:r>
      <w:r>
        <w:rPr>
          <w:rFonts w:hint="default" w:ascii="Times New Roman" w:hAnsi="Times New Roman" w:eastAsia="宋体" w:cstheme="minorBidi"/>
          <w:kern w:val="2"/>
          <w:sz w:val="28"/>
          <w:szCs w:val="24"/>
          <w:vertAlign w:val="superscript"/>
          <w:lang w:val="en-US" w:eastAsia="zh-CN" w:bidi="ar-SA"/>
          <w14:ligatures w14:val="standardContextual"/>
        </w:rPr>
        <w:t>3</w:t>
      </w:r>
      <w:r>
        <w:rPr>
          <w:rFonts w:hint="default" w:ascii="Times New Roman" w:hAnsi="Times New Roman" w:eastAsia="宋体" w:cstheme="minorBidi"/>
          <w:kern w:val="2"/>
          <w:sz w:val="28"/>
          <w:szCs w:val="24"/>
          <w:lang w:val="en-US" w:eastAsia="zh-CN" w:bidi="ar-SA"/>
          <w14:ligatures w14:val="standardContextual"/>
        </w:rPr>
        <w:t>)：850</w:t>
      </w:r>
    </w:p>
    <w:p w14:paraId="06DCDBE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容器内介质绝对压力（Pa）：101326</w:t>
      </w:r>
    </w:p>
    <w:p w14:paraId="4E8A37B9">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泄漏孔上方液体高度（m）: 0.5</w:t>
      </w:r>
    </w:p>
    <w:p w14:paraId="30A13AD1">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泄漏孔上方液体质量：100</w:t>
      </w:r>
    </w:p>
    <w:p w14:paraId="33E42B5C">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探测系统类型：专门设计的仪器仪表，用来探测系统的运行工况变化所造成的物质损失（即压力损失或流量损失）</w:t>
      </w:r>
    </w:p>
    <w:p w14:paraId="500AD3B4">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连锁切断系统类型：直接在工艺仪表或探测器启动，而无需操作者干预的切断或停机系统</w:t>
      </w:r>
    </w:p>
    <w:p w14:paraId="7081FBC0">
      <w:pPr>
        <w:keepNext/>
        <w:keepLines/>
        <w:widowControl w:val="0"/>
        <w:spacing w:before="156" w:beforeLines="50" w:after="156" w:afterLines="50" w:line="240" w:lineRule="auto"/>
        <w:ind w:firstLine="0" w:firstLineChars="0"/>
        <w:jc w:val="center"/>
        <w:rPr>
          <w:rFonts w:hint="default"/>
          <w:lang w:val="en-US" w:eastAsia="zh-CN"/>
        </w:rPr>
      </w:pPr>
      <w:r>
        <w:rPr>
          <w:rFonts w:hint="default" w:ascii="Times New Roman" w:hAnsi="Times New Roman" w:eastAsia="黑体" w:cs="Times New Roman"/>
          <w:kern w:val="2"/>
          <w:sz w:val="24"/>
          <w:szCs w:val="24"/>
          <w:highlight w:val="none"/>
          <w:lang w:val="en-US" w:eastAsia="zh-CN" w:bidi="ar-SA"/>
          <w14:ligatures w14:val="none"/>
        </w:rPr>
        <w:t>表</w:t>
      </w:r>
      <w:r>
        <w:rPr>
          <w:rFonts w:hint="eastAsia" w:ascii="Times New Roman" w:hAnsi="Times New Roman" w:eastAsia="黑体" w:cs="Times New Roman"/>
          <w:kern w:val="2"/>
          <w:sz w:val="24"/>
          <w:szCs w:val="24"/>
          <w:highlight w:val="none"/>
          <w:lang w:val="en-US" w:eastAsia="zh-CN" w:bidi="ar-SA"/>
          <w14:ligatures w14:val="none"/>
        </w:rPr>
        <w:t>6.1-10</w:t>
      </w:r>
      <w:r>
        <w:rPr>
          <w:rFonts w:hint="default" w:ascii="Times New Roman" w:hAnsi="Times New Roman" w:eastAsia="黑体" w:cs="Times New Roman"/>
          <w:kern w:val="2"/>
          <w:sz w:val="24"/>
          <w:szCs w:val="24"/>
          <w:highlight w:val="none"/>
          <w:lang w:val="en-US" w:eastAsia="zh-CN" w:bidi="ar-SA"/>
          <w14:ligatures w14:val="none"/>
        </w:rPr>
        <w:t xml:space="preserve">  </w:t>
      </w:r>
      <w:r>
        <w:rPr>
          <w:rFonts w:hint="eastAsia" w:ascii="Times New Roman" w:hAnsi="Times New Roman" w:eastAsia="黑体" w:cs="Times New Roman"/>
          <w:kern w:val="2"/>
          <w:sz w:val="24"/>
          <w:szCs w:val="24"/>
          <w:highlight w:val="none"/>
          <w:lang w:val="en-US" w:eastAsia="zh-CN" w:bidi="ar-SA"/>
          <w14:ligatures w14:val="none"/>
        </w:rPr>
        <w:t>3#柴油储罐不同泄漏模式的泄漏情况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71B696D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702FD9C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1382" w:type="dxa"/>
            <w:shd w:val="clear" w:color="auto" w:fill="auto"/>
            <w:vAlign w:val="center"/>
          </w:tcPr>
          <w:p w14:paraId="75F6298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泄漏孔尺寸（mm）</w:t>
            </w:r>
          </w:p>
        </w:tc>
        <w:tc>
          <w:tcPr>
            <w:tcW w:w="1382" w:type="dxa"/>
            <w:shd w:val="clear" w:color="auto" w:fill="auto"/>
            <w:vAlign w:val="center"/>
          </w:tcPr>
          <w:p w14:paraId="25FA1E4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泄漏速率（kg/s）</w:t>
            </w:r>
          </w:p>
        </w:tc>
        <w:tc>
          <w:tcPr>
            <w:tcW w:w="1382" w:type="dxa"/>
            <w:shd w:val="clear" w:color="auto" w:fill="auto"/>
            <w:vAlign w:val="center"/>
          </w:tcPr>
          <w:p w14:paraId="1BDE545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泄漏时间（s）</w:t>
            </w:r>
          </w:p>
        </w:tc>
        <w:tc>
          <w:tcPr>
            <w:tcW w:w="1382" w:type="dxa"/>
            <w:shd w:val="clear" w:color="auto" w:fill="auto"/>
            <w:vAlign w:val="center"/>
          </w:tcPr>
          <w:p w14:paraId="0BFF897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1382" w:type="dxa"/>
            <w:shd w:val="clear" w:color="auto" w:fill="auto"/>
            <w:vAlign w:val="center"/>
          </w:tcPr>
          <w:p w14:paraId="029FF90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事故类型</w:t>
            </w:r>
          </w:p>
        </w:tc>
      </w:tr>
      <w:tr w14:paraId="219E7BD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28F1D0D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1382" w:type="dxa"/>
            <w:shd w:val="clear" w:color="auto" w:fill="auto"/>
            <w:vAlign w:val="center"/>
          </w:tcPr>
          <w:p w14:paraId="0868BBF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w:t>
            </w:r>
          </w:p>
        </w:tc>
        <w:tc>
          <w:tcPr>
            <w:tcW w:w="1382" w:type="dxa"/>
            <w:shd w:val="clear" w:color="auto" w:fill="auto"/>
            <w:vAlign w:val="center"/>
          </w:tcPr>
          <w:p w14:paraId="1D4878A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0.032</w:t>
            </w:r>
          </w:p>
        </w:tc>
        <w:tc>
          <w:tcPr>
            <w:tcW w:w="1382" w:type="dxa"/>
            <w:shd w:val="clear" w:color="auto" w:fill="auto"/>
            <w:vAlign w:val="center"/>
          </w:tcPr>
          <w:p w14:paraId="0FD8CCB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120</w:t>
            </w:r>
          </w:p>
        </w:tc>
        <w:tc>
          <w:tcPr>
            <w:tcW w:w="1382" w:type="dxa"/>
            <w:shd w:val="clear" w:color="auto" w:fill="auto"/>
            <w:vAlign w:val="center"/>
          </w:tcPr>
          <w:p w14:paraId="27043DB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1382" w:type="dxa"/>
            <w:shd w:val="clear" w:color="auto" w:fill="auto"/>
            <w:vAlign w:val="center"/>
          </w:tcPr>
          <w:p w14:paraId="4B3F8B4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2BF84C7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6E2899A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1382" w:type="dxa"/>
            <w:shd w:val="clear" w:color="auto" w:fill="auto"/>
            <w:vAlign w:val="center"/>
          </w:tcPr>
          <w:p w14:paraId="1E78ADE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25</w:t>
            </w:r>
          </w:p>
        </w:tc>
        <w:tc>
          <w:tcPr>
            <w:tcW w:w="1382" w:type="dxa"/>
            <w:shd w:val="clear" w:color="auto" w:fill="auto"/>
            <w:vAlign w:val="center"/>
          </w:tcPr>
          <w:p w14:paraId="29990A6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0.796</w:t>
            </w:r>
          </w:p>
        </w:tc>
        <w:tc>
          <w:tcPr>
            <w:tcW w:w="1382" w:type="dxa"/>
            <w:shd w:val="clear" w:color="auto" w:fill="auto"/>
            <w:vAlign w:val="center"/>
          </w:tcPr>
          <w:p w14:paraId="7507C8C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60</w:t>
            </w:r>
          </w:p>
        </w:tc>
        <w:tc>
          <w:tcPr>
            <w:tcW w:w="1382" w:type="dxa"/>
            <w:shd w:val="clear" w:color="auto" w:fill="auto"/>
            <w:vAlign w:val="center"/>
          </w:tcPr>
          <w:p w14:paraId="17F66B5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1382" w:type="dxa"/>
            <w:shd w:val="clear" w:color="auto" w:fill="auto"/>
            <w:vAlign w:val="center"/>
          </w:tcPr>
          <w:p w14:paraId="7E6434A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24E6973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5848DF4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1382" w:type="dxa"/>
            <w:shd w:val="clear" w:color="auto" w:fill="auto"/>
            <w:vAlign w:val="center"/>
          </w:tcPr>
          <w:p w14:paraId="71A10CA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71BCC36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12.743</w:t>
            </w:r>
          </w:p>
        </w:tc>
        <w:tc>
          <w:tcPr>
            <w:tcW w:w="1382" w:type="dxa"/>
            <w:shd w:val="clear" w:color="auto" w:fill="auto"/>
            <w:vAlign w:val="center"/>
          </w:tcPr>
          <w:p w14:paraId="17C6FAC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30</w:t>
            </w:r>
          </w:p>
        </w:tc>
        <w:tc>
          <w:tcPr>
            <w:tcW w:w="1382" w:type="dxa"/>
            <w:shd w:val="clear" w:color="auto" w:fill="auto"/>
            <w:vAlign w:val="center"/>
          </w:tcPr>
          <w:p w14:paraId="59A37C0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1B46D20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7425052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12D9DD2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1382" w:type="dxa"/>
            <w:shd w:val="clear" w:color="auto" w:fill="auto"/>
            <w:vAlign w:val="center"/>
          </w:tcPr>
          <w:p w14:paraId="48E7C0F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632B80A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3EA9CE5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0612A71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1700000</w:t>
            </w:r>
          </w:p>
        </w:tc>
        <w:tc>
          <w:tcPr>
            <w:tcW w:w="1382" w:type="dxa"/>
            <w:shd w:val="clear" w:color="auto" w:fill="auto"/>
            <w:vAlign w:val="center"/>
          </w:tcPr>
          <w:p w14:paraId="0E74301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bl>
    <w:p w14:paraId="77A8CA12">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3）事故类型</w:t>
      </w:r>
    </w:p>
    <w:p w14:paraId="0D3ABE64">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蒸气云爆炸</w:t>
      </w:r>
    </w:p>
    <w:p w14:paraId="5C4E1DEA">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 xml:space="preserve">燃料燃烧热（Kj/Kg）: </w:t>
      </w:r>
      <w:r>
        <w:rPr>
          <w:rFonts w:hint="eastAsia" w:ascii="Times New Roman" w:hAnsi="Times New Roman" w:eastAsia="宋体" w:cstheme="minorBidi"/>
          <w:kern w:val="2"/>
          <w:sz w:val="28"/>
          <w:szCs w:val="24"/>
          <w:lang w:val="en-US" w:eastAsia="zh-CN" w:bidi="ar-SA"/>
          <w14:ligatures w14:val="standardContextual"/>
        </w:rPr>
        <w:t>43000</w:t>
      </w:r>
    </w:p>
    <w:p w14:paraId="446FE89F">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eastAsia"/>
          <w:lang w:val="en-US" w:eastAsia="zh-CN"/>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6.1-11</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3#柴油储罐发生</w:t>
      </w:r>
      <w:r>
        <w:rPr>
          <w:rFonts w:hint="default" w:ascii="Times New Roman" w:hAnsi="Times New Roman" w:eastAsia="黑体" w:cs="Times New Roman"/>
          <w:kern w:val="2"/>
          <w:sz w:val="24"/>
          <w:szCs w:val="24"/>
          <w:highlight w:val="none"/>
          <w:lang w:val="en-US" w:eastAsia="zh-CN" w:bidi="ar-SA"/>
        </w:rPr>
        <w:t>蒸气云爆炸</w:t>
      </w:r>
      <w:r>
        <w:rPr>
          <w:rFonts w:hint="eastAsia" w:ascii="Times New Roman" w:hAnsi="Times New Roman" w:eastAsia="黑体" w:cs="Times New Roman"/>
          <w:kern w:val="2"/>
          <w:sz w:val="24"/>
          <w:szCs w:val="24"/>
          <w:highlight w:val="none"/>
          <w:lang w:val="en-US" w:eastAsia="zh-CN" w:bidi="ar-SA"/>
        </w:rPr>
        <w:t>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2D51A65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0A466FC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2764" w:type="dxa"/>
            <w:shd w:val="clear" w:color="auto" w:fill="auto"/>
            <w:vAlign w:val="center"/>
          </w:tcPr>
          <w:p w14:paraId="0496588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2764" w:type="dxa"/>
            <w:shd w:val="clear" w:color="auto" w:fill="auto"/>
            <w:vAlign w:val="center"/>
          </w:tcPr>
          <w:p w14:paraId="05A64B0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 xml:space="preserve">蒸气云质量(kg) </w:t>
            </w:r>
          </w:p>
        </w:tc>
      </w:tr>
      <w:tr w14:paraId="066EE85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08396BB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2764" w:type="dxa"/>
            <w:shd w:val="clear" w:color="auto" w:fill="auto"/>
            <w:vAlign w:val="center"/>
          </w:tcPr>
          <w:p w14:paraId="7E1C8EB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2764" w:type="dxa"/>
            <w:shd w:val="clear" w:color="auto" w:fill="auto"/>
            <w:vAlign w:val="center"/>
          </w:tcPr>
          <w:p w14:paraId="0A77CE9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0.0384</w:t>
            </w:r>
          </w:p>
        </w:tc>
      </w:tr>
      <w:tr w14:paraId="79D9E50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582207E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2764" w:type="dxa"/>
            <w:shd w:val="clear" w:color="auto" w:fill="auto"/>
            <w:vAlign w:val="center"/>
          </w:tcPr>
          <w:p w14:paraId="71A395B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2764" w:type="dxa"/>
            <w:shd w:val="clear" w:color="auto" w:fill="auto"/>
            <w:vAlign w:val="center"/>
          </w:tcPr>
          <w:p w14:paraId="24ACAB2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0.047</w:t>
            </w:r>
          </w:p>
        </w:tc>
      </w:tr>
      <w:tr w14:paraId="3D37A15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6706962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2764" w:type="dxa"/>
            <w:shd w:val="clear" w:color="auto" w:fill="auto"/>
            <w:vAlign w:val="center"/>
          </w:tcPr>
          <w:p w14:paraId="4FA3843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2764" w:type="dxa"/>
            <w:shd w:val="clear" w:color="auto" w:fill="auto"/>
            <w:vAlign w:val="center"/>
          </w:tcPr>
          <w:p w14:paraId="6C05349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0.1</w:t>
            </w:r>
          </w:p>
        </w:tc>
      </w:tr>
      <w:tr w14:paraId="77F31FC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35DEF28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2764" w:type="dxa"/>
            <w:shd w:val="clear" w:color="auto" w:fill="auto"/>
            <w:vAlign w:val="center"/>
          </w:tcPr>
          <w:p w14:paraId="79D726D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1700000</w:t>
            </w:r>
          </w:p>
        </w:tc>
        <w:tc>
          <w:tcPr>
            <w:tcW w:w="2764" w:type="dxa"/>
            <w:shd w:val="clear" w:color="auto" w:fill="auto"/>
            <w:vAlign w:val="center"/>
          </w:tcPr>
          <w:p w14:paraId="3CEA9FC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zh-CN" w:bidi="ar-SA"/>
                <w14:ligatures w14:val="none"/>
              </w:rPr>
            </w:pPr>
            <w:r>
              <w:rPr>
                <w:rFonts w:hint="eastAsia" w:ascii="Times New Roman" w:hAnsi="Times New Roman" w:eastAsia="宋体" w:cs="Times New Roman"/>
                <w:b w:val="0"/>
                <w:bCs w:val="0"/>
                <w:spacing w:val="8"/>
                <w:kern w:val="2"/>
                <w:sz w:val="21"/>
                <w:szCs w:val="21"/>
                <w:highlight w:val="none"/>
                <w:lang w:val="en-US" w:eastAsia="zh-CN" w:bidi="ar-SA"/>
                <w14:ligatures w14:val="none"/>
              </w:rPr>
              <w:t>1700</w:t>
            </w:r>
          </w:p>
        </w:tc>
      </w:tr>
    </w:tbl>
    <w:p w14:paraId="1F42AB8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池火灾</w:t>
      </w:r>
    </w:p>
    <w:p w14:paraId="43070AEC">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危险单元类型: 有防火堤</w:t>
      </w:r>
    </w:p>
    <w:p w14:paraId="7AF7B92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液池面积(m</w:t>
      </w:r>
      <w:r>
        <w:rPr>
          <w:rFonts w:hint="default" w:ascii="Times New Roman" w:hAnsi="Times New Roman" w:eastAsia="宋体" w:cstheme="minorBidi"/>
          <w:kern w:val="2"/>
          <w:sz w:val="28"/>
          <w:szCs w:val="24"/>
          <w:vertAlign w:val="superscript"/>
          <w:lang w:val="en-US" w:eastAsia="zh-CN" w:bidi="ar-SA"/>
          <w14:ligatures w14:val="standardContextual"/>
        </w:rPr>
        <w:t>2</w:t>
      </w:r>
      <w:r>
        <w:rPr>
          <w:rFonts w:hint="default" w:ascii="Times New Roman" w:hAnsi="Times New Roman" w:eastAsia="宋体" w:cstheme="minorBidi"/>
          <w:kern w:val="2"/>
          <w:sz w:val="28"/>
          <w:szCs w:val="24"/>
          <w:lang w:val="en-US" w:eastAsia="zh-CN" w:bidi="ar-SA"/>
          <w14:ligatures w14:val="standardContextual"/>
        </w:rPr>
        <w:t>): 3200</w:t>
      </w:r>
    </w:p>
    <w:p w14:paraId="50700C75">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燃料燃烧热（Kj/Kg）: 43000</w:t>
      </w:r>
    </w:p>
    <w:p w14:paraId="71EF0BB3">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定压比热（Kj/(Kg.K)）: 2.03</w:t>
      </w:r>
    </w:p>
    <w:p w14:paraId="3CE9FE1C">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液体蒸发潜热（Kj/Kg）: 300</w:t>
      </w:r>
    </w:p>
    <w:p w14:paraId="1B9E5C9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液体常压沸点（K）: 583</w:t>
      </w:r>
    </w:p>
    <w:p w14:paraId="4475A3A5">
      <w:pPr>
        <w:widowControl w:val="0"/>
        <w:numPr>
          <w:ilvl w:val="0"/>
          <w:numId w:val="0"/>
        </w:numPr>
        <w:adjustRightInd w:val="0"/>
        <w:snapToGrid w:val="0"/>
        <w:spacing w:after="0" w:line="360" w:lineRule="auto"/>
        <w:ind w:leftChars="200" w:firstLine="560" w:firstLineChars="200"/>
        <w:jc w:val="both"/>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人员暴露时间（s）: 20</w:t>
      </w:r>
    </w:p>
    <w:p w14:paraId="4DC1D827">
      <w:pPr>
        <w:widowControl w:val="0"/>
        <w:numPr>
          <w:ilvl w:val="0"/>
          <w:numId w:val="0"/>
        </w:numPr>
        <w:adjustRightInd w:val="0"/>
        <w:snapToGrid w:val="0"/>
        <w:spacing w:after="0" w:line="360" w:lineRule="auto"/>
        <w:ind w:leftChars="200" w:firstLine="560" w:firstLineChars="200"/>
        <w:jc w:val="both"/>
        <w:rPr>
          <w:rFonts w:hint="default" w:ascii="Times New Roman" w:hAnsi="Times New Roman" w:eastAsia="宋体" w:cstheme="minorBidi"/>
          <w:kern w:val="2"/>
          <w:sz w:val="28"/>
          <w:szCs w:val="24"/>
          <w:lang w:val="en-US" w:eastAsia="zh-CN" w:bidi="ar-SA"/>
          <w14:ligatures w14:val="standardContextual"/>
        </w:rPr>
      </w:pPr>
    </w:p>
    <w:p w14:paraId="4A0EAE48">
      <w:pPr>
        <w:widowControl w:val="0"/>
        <w:numPr>
          <w:ilvl w:val="0"/>
          <w:numId w:val="0"/>
        </w:numPr>
        <w:adjustRightInd w:val="0"/>
        <w:snapToGrid w:val="0"/>
        <w:spacing w:after="0" w:line="360" w:lineRule="auto"/>
        <w:ind w:leftChars="200" w:firstLine="560" w:firstLineChars="200"/>
        <w:jc w:val="both"/>
        <w:rPr>
          <w:rFonts w:hint="default" w:ascii="Times New Roman" w:hAnsi="Times New Roman" w:eastAsia="宋体" w:cstheme="minorBidi"/>
          <w:kern w:val="2"/>
          <w:sz w:val="28"/>
          <w:szCs w:val="24"/>
          <w:lang w:val="en-US" w:eastAsia="zh-CN" w:bidi="ar-SA"/>
          <w14:ligatures w14:val="standardContextual"/>
        </w:rPr>
      </w:pPr>
    </w:p>
    <w:p w14:paraId="56F773DA">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lang w:val="en-US" w:eastAsia="zh-CN"/>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6.1-12</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3#柴油储罐发生池火灾时的泄漏情况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22F5256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2A2A631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4147" w:type="dxa"/>
            <w:shd w:val="clear" w:color="auto" w:fill="auto"/>
            <w:vAlign w:val="center"/>
          </w:tcPr>
          <w:p w14:paraId="2AC5B1E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燃料泄漏量（kg）</w:t>
            </w:r>
          </w:p>
        </w:tc>
      </w:tr>
      <w:tr w14:paraId="492688E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4D7F81C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4147" w:type="dxa"/>
            <w:shd w:val="clear" w:color="auto" w:fill="auto"/>
            <w:vAlign w:val="center"/>
          </w:tcPr>
          <w:p w14:paraId="3BC24E9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r>
      <w:tr w14:paraId="38EB1C3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02DDF6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4147" w:type="dxa"/>
            <w:shd w:val="clear" w:color="auto" w:fill="auto"/>
            <w:vAlign w:val="center"/>
          </w:tcPr>
          <w:p w14:paraId="5647D2F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r>
      <w:tr w14:paraId="0B455D1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19E519F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4147" w:type="dxa"/>
            <w:shd w:val="clear" w:color="auto" w:fill="auto"/>
            <w:vAlign w:val="center"/>
          </w:tcPr>
          <w:p w14:paraId="11A1B5F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r>
      <w:tr w14:paraId="245AA47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3FEB25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4147" w:type="dxa"/>
            <w:shd w:val="clear" w:color="auto" w:fill="auto"/>
            <w:vAlign w:val="center"/>
          </w:tcPr>
          <w:p w14:paraId="111B237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1700000</w:t>
            </w:r>
          </w:p>
        </w:tc>
      </w:tr>
    </w:tbl>
    <w:p w14:paraId="0CEF3EB9">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（8）4#柴油储罐装置基本参数</w:t>
      </w:r>
    </w:p>
    <w:p w14:paraId="41196EA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1）储罐装置基本信息</w:t>
      </w:r>
    </w:p>
    <w:p w14:paraId="4C8B6EE5">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装置名称：4#柴油储罐</w:t>
      </w:r>
    </w:p>
    <w:p w14:paraId="5FFAF46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装置编号：TK104</w:t>
      </w:r>
    </w:p>
    <w:p w14:paraId="118EFB60">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装置坐标: 560.3，412.3</w:t>
      </w:r>
    </w:p>
    <w:p w14:paraId="19E19331">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物料名称: 柴油</w:t>
      </w:r>
    </w:p>
    <w:p w14:paraId="76EF538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装置类型: 固定的常压容器和储罐</w:t>
      </w:r>
    </w:p>
    <w:p w14:paraId="0D76EC52">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是否修正: 否</w:t>
      </w:r>
    </w:p>
    <w:p w14:paraId="7A46613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装置体积（m³）：2000</w:t>
      </w:r>
    </w:p>
    <w:p w14:paraId="06376EF5">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泄漏模式: 泄漏到大气中-中孔泄漏，泄漏到大气中-小孔泄漏，泄漏到大气中-大孔泄漏，泄漏到大气中-完全破裂</w:t>
      </w:r>
    </w:p>
    <w:p w14:paraId="15A2053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物料类型: 易燃液体</w:t>
      </w:r>
    </w:p>
    <w:p w14:paraId="4BDA3C89">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事故类型: 蒸气云爆炸，池火灾</w:t>
      </w:r>
    </w:p>
    <w:p w14:paraId="69C7D49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容器最大存量（kg）：850000</w:t>
      </w:r>
    </w:p>
    <w:p w14:paraId="0E3F60B1">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2）事故情景描述</w:t>
      </w:r>
    </w:p>
    <w:p w14:paraId="5C37BDB1">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物料名称：柴油</w:t>
      </w:r>
    </w:p>
    <w:p w14:paraId="327285FC">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容器最大存量：850000</w:t>
      </w:r>
    </w:p>
    <w:p w14:paraId="02CAE421">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容器内液体密度(kg/m</w:t>
      </w:r>
      <w:r>
        <w:rPr>
          <w:rFonts w:hint="default" w:ascii="Times New Roman" w:hAnsi="Times New Roman" w:eastAsia="宋体" w:cstheme="minorBidi"/>
          <w:kern w:val="2"/>
          <w:sz w:val="28"/>
          <w:szCs w:val="24"/>
          <w:vertAlign w:val="superscript"/>
          <w:lang w:val="en-US" w:eastAsia="zh-CN" w:bidi="ar-SA"/>
          <w14:ligatures w14:val="standardContextual"/>
        </w:rPr>
        <w:t>3</w:t>
      </w:r>
      <w:r>
        <w:rPr>
          <w:rFonts w:hint="default" w:ascii="Times New Roman" w:hAnsi="Times New Roman" w:eastAsia="宋体" w:cstheme="minorBidi"/>
          <w:kern w:val="2"/>
          <w:sz w:val="28"/>
          <w:szCs w:val="24"/>
          <w:lang w:val="en-US" w:eastAsia="zh-CN" w:bidi="ar-SA"/>
          <w14:ligatures w14:val="standardContextual"/>
        </w:rPr>
        <w:t>)：850</w:t>
      </w:r>
    </w:p>
    <w:p w14:paraId="0F210E3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容器内介质绝对压力（Pa）：101326</w:t>
      </w:r>
    </w:p>
    <w:p w14:paraId="2153BDC1">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泄漏孔上方液体高度（m）: 0.5</w:t>
      </w:r>
    </w:p>
    <w:p w14:paraId="31A3D77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泄漏孔上方液体质量：50</w:t>
      </w:r>
    </w:p>
    <w:p w14:paraId="588FF3AC">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探测系统类型：专门设计的仪器仪表，用来探测系统的运行工况变化所造成的物质损失（即压力损失或流量损失）</w:t>
      </w:r>
    </w:p>
    <w:p w14:paraId="0377FDF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连锁切断系统类型：直接在工艺仪表或探测器启动，而无需操作者干预的切断或停机系统</w:t>
      </w:r>
    </w:p>
    <w:p w14:paraId="59510B90">
      <w:pPr>
        <w:keepNext/>
        <w:keepLines/>
        <w:widowControl w:val="0"/>
        <w:spacing w:before="156" w:beforeLines="50" w:after="156" w:afterLines="50" w:line="240" w:lineRule="auto"/>
        <w:ind w:firstLine="0" w:firstLineChars="0"/>
        <w:jc w:val="center"/>
        <w:rPr>
          <w:rFonts w:hint="default"/>
          <w:lang w:val="en-US" w:eastAsia="zh-CN"/>
        </w:rPr>
      </w:pPr>
      <w:r>
        <w:rPr>
          <w:rFonts w:hint="default" w:ascii="Times New Roman" w:hAnsi="Times New Roman" w:eastAsia="黑体" w:cs="Times New Roman"/>
          <w:kern w:val="2"/>
          <w:sz w:val="24"/>
          <w:szCs w:val="24"/>
          <w:highlight w:val="none"/>
          <w:lang w:val="en-US" w:eastAsia="zh-CN" w:bidi="ar-SA"/>
          <w14:ligatures w14:val="none"/>
        </w:rPr>
        <w:t>表</w:t>
      </w:r>
      <w:r>
        <w:rPr>
          <w:rFonts w:hint="eastAsia" w:ascii="Times New Roman" w:hAnsi="Times New Roman" w:eastAsia="黑体" w:cs="Times New Roman"/>
          <w:kern w:val="2"/>
          <w:sz w:val="24"/>
          <w:szCs w:val="24"/>
          <w:highlight w:val="none"/>
          <w:lang w:val="en-US" w:eastAsia="zh-CN" w:bidi="ar-SA"/>
          <w14:ligatures w14:val="none"/>
        </w:rPr>
        <w:t>6.1-13</w:t>
      </w:r>
      <w:r>
        <w:rPr>
          <w:rFonts w:hint="default" w:ascii="Times New Roman" w:hAnsi="Times New Roman" w:eastAsia="黑体" w:cs="Times New Roman"/>
          <w:kern w:val="2"/>
          <w:sz w:val="24"/>
          <w:szCs w:val="24"/>
          <w:highlight w:val="none"/>
          <w:lang w:val="en-US" w:eastAsia="zh-CN" w:bidi="ar-SA"/>
          <w14:ligatures w14:val="none"/>
        </w:rPr>
        <w:t xml:space="preserve">  </w:t>
      </w:r>
      <w:r>
        <w:rPr>
          <w:rFonts w:hint="eastAsia" w:ascii="Times New Roman" w:hAnsi="Times New Roman" w:eastAsia="黑体" w:cs="Times New Roman"/>
          <w:kern w:val="2"/>
          <w:sz w:val="24"/>
          <w:szCs w:val="24"/>
          <w:highlight w:val="none"/>
          <w:lang w:val="en-US" w:eastAsia="zh-CN" w:bidi="ar-SA"/>
          <w14:ligatures w14:val="none"/>
        </w:rPr>
        <w:t>4#柴油储罐不同泄漏模式的泄漏情况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70825DF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07962D5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1382" w:type="dxa"/>
            <w:shd w:val="clear" w:color="auto" w:fill="auto"/>
            <w:vAlign w:val="center"/>
          </w:tcPr>
          <w:p w14:paraId="292F64C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泄漏孔尺寸（mm）</w:t>
            </w:r>
          </w:p>
        </w:tc>
        <w:tc>
          <w:tcPr>
            <w:tcW w:w="1382" w:type="dxa"/>
            <w:shd w:val="clear" w:color="auto" w:fill="auto"/>
            <w:vAlign w:val="center"/>
          </w:tcPr>
          <w:p w14:paraId="769E842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泄漏速率（kg/s）</w:t>
            </w:r>
          </w:p>
        </w:tc>
        <w:tc>
          <w:tcPr>
            <w:tcW w:w="1382" w:type="dxa"/>
            <w:shd w:val="clear" w:color="auto" w:fill="auto"/>
            <w:vAlign w:val="center"/>
          </w:tcPr>
          <w:p w14:paraId="16298E2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泄漏时间（s）</w:t>
            </w:r>
          </w:p>
        </w:tc>
        <w:tc>
          <w:tcPr>
            <w:tcW w:w="1382" w:type="dxa"/>
            <w:shd w:val="clear" w:color="auto" w:fill="auto"/>
            <w:vAlign w:val="center"/>
          </w:tcPr>
          <w:p w14:paraId="4316B68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1382" w:type="dxa"/>
            <w:shd w:val="clear" w:color="auto" w:fill="auto"/>
            <w:vAlign w:val="center"/>
          </w:tcPr>
          <w:p w14:paraId="1ACB096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事故类型</w:t>
            </w:r>
          </w:p>
        </w:tc>
      </w:tr>
      <w:tr w14:paraId="0CDEEAB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79C5FBE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1382" w:type="dxa"/>
            <w:shd w:val="clear" w:color="auto" w:fill="auto"/>
            <w:vAlign w:val="center"/>
          </w:tcPr>
          <w:p w14:paraId="4871978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w:t>
            </w:r>
          </w:p>
        </w:tc>
        <w:tc>
          <w:tcPr>
            <w:tcW w:w="1382" w:type="dxa"/>
            <w:shd w:val="clear" w:color="auto" w:fill="auto"/>
            <w:vAlign w:val="center"/>
          </w:tcPr>
          <w:p w14:paraId="131747C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0.032</w:t>
            </w:r>
          </w:p>
        </w:tc>
        <w:tc>
          <w:tcPr>
            <w:tcW w:w="1382" w:type="dxa"/>
            <w:shd w:val="clear" w:color="auto" w:fill="auto"/>
            <w:vAlign w:val="center"/>
          </w:tcPr>
          <w:p w14:paraId="438D306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120</w:t>
            </w:r>
          </w:p>
        </w:tc>
        <w:tc>
          <w:tcPr>
            <w:tcW w:w="1382" w:type="dxa"/>
            <w:shd w:val="clear" w:color="auto" w:fill="auto"/>
            <w:vAlign w:val="center"/>
          </w:tcPr>
          <w:p w14:paraId="50ED756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1382" w:type="dxa"/>
            <w:shd w:val="clear" w:color="auto" w:fill="auto"/>
            <w:vAlign w:val="center"/>
          </w:tcPr>
          <w:p w14:paraId="5AC8BBD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1A5D6AD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44839CB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1382" w:type="dxa"/>
            <w:shd w:val="clear" w:color="auto" w:fill="auto"/>
            <w:vAlign w:val="center"/>
          </w:tcPr>
          <w:p w14:paraId="5F6DA69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25</w:t>
            </w:r>
          </w:p>
        </w:tc>
        <w:tc>
          <w:tcPr>
            <w:tcW w:w="1382" w:type="dxa"/>
            <w:shd w:val="clear" w:color="auto" w:fill="auto"/>
            <w:vAlign w:val="center"/>
          </w:tcPr>
          <w:p w14:paraId="593C054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0.796</w:t>
            </w:r>
          </w:p>
        </w:tc>
        <w:tc>
          <w:tcPr>
            <w:tcW w:w="1382" w:type="dxa"/>
            <w:shd w:val="clear" w:color="auto" w:fill="auto"/>
            <w:vAlign w:val="center"/>
          </w:tcPr>
          <w:p w14:paraId="5F80E97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60</w:t>
            </w:r>
          </w:p>
        </w:tc>
        <w:tc>
          <w:tcPr>
            <w:tcW w:w="1382" w:type="dxa"/>
            <w:shd w:val="clear" w:color="auto" w:fill="auto"/>
            <w:vAlign w:val="center"/>
          </w:tcPr>
          <w:p w14:paraId="7574BA8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1382" w:type="dxa"/>
            <w:shd w:val="clear" w:color="auto" w:fill="auto"/>
            <w:vAlign w:val="center"/>
          </w:tcPr>
          <w:p w14:paraId="45D1BA9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320333A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514C4D4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1382" w:type="dxa"/>
            <w:shd w:val="clear" w:color="auto" w:fill="auto"/>
            <w:vAlign w:val="center"/>
          </w:tcPr>
          <w:p w14:paraId="6E77D11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11F0300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12.743</w:t>
            </w:r>
          </w:p>
        </w:tc>
        <w:tc>
          <w:tcPr>
            <w:tcW w:w="1382" w:type="dxa"/>
            <w:shd w:val="clear" w:color="auto" w:fill="auto"/>
            <w:vAlign w:val="center"/>
          </w:tcPr>
          <w:p w14:paraId="486845E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30</w:t>
            </w:r>
          </w:p>
        </w:tc>
        <w:tc>
          <w:tcPr>
            <w:tcW w:w="1382" w:type="dxa"/>
            <w:shd w:val="clear" w:color="auto" w:fill="auto"/>
            <w:vAlign w:val="center"/>
          </w:tcPr>
          <w:p w14:paraId="3A57982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1382" w:type="dxa"/>
            <w:shd w:val="clear" w:color="auto" w:fill="auto"/>
            <w:vAlign w:val="center"/>
          </w:tcPr>
          <w:p w14:paraId="2E5DEF4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45068A5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5CD27C2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1382" w:type="dxa"/>
            <w:shd w:val="clear" w:color="auto" w:fill="auto"/>
            <w:vAlign w:val="center"/>
          </w:tcPr>
          <w:p w14:paraId="0EEBE60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399CD5B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38588E9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59CFC40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c>
          <w:tcPr>
            <w:tcW w:w="1382" w:type="dxa"/>
            <w:shd w:val="clear" w:color="auto" w:fill="auto"/>
            <w:vAlign w:val="center"/>
          </w:tcPr>
          <w:p w14:paraId="350780E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bl>
    <w:p w14:paraId="0F36E41E">
      <w:pPr>
        <w:keepNext w:val="0"/>
        <w:keepLines w:val="0"/>
        <w:pageBreakBefore w:val="0"/>
        <w:widowControl w:val="0"/>
        <w:numPr>
          <w:ilvl w:val="0"/>
          <w:numId w:val="11"/>
        </w:numPr>
        <w:kinsoku/>
        <w:wordWrap/>
        <w:overflowPunct/>
        <w:topLinePunct w:val="0"/>
        <w:autoSpaceDE/>
        <w:autoSpaceDN/>
        <w:bidi w:val="0"/>
        <w:adjustRightInd w:val="0"/>
        <w:snapToGrid w:val="0"/>
        <w:spacing w:after="0" w:line="360" w:lineRule="auto"/>
        <w:ind w:left="0"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事故类型</w:t>
      </w:r>
    </w:p>
    <w:p w14:paraId="3E7C6C13">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蒸气云爆炸</w:t>
      </w:r>
    </w:p>
    <w:p w14:paraId="66850AF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燃料燃烧热（Kj/Kg）: 4</w:t>
      </w:r>
      <w:r>
        <w:rPr>
          <w:rFonts w:hint="eastAsia" w:ascii="Times New Roman" w:hAnsi="Times New Roman" w:eastAsia="宋体" w:cstheme="minorBidi"/>
          <w:kern w:val="2"/>
          <w:sz w:val="28"/>
          <w:szCs w:val="24"/>
          <w:lang w:val="en-US" w:eastAsia="zh-CN" w:bidi="ar-SA"/>
          <w14:ligatures w14:val="standardContextual"/>
        </w:rPr>
        <w:t>3000</w:t>
      </w:r>
    </w:p>
    <w:p w14:paraId="1AE503E1">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eastAsia"/>
          <w:lang w:val="en-US" w:eastAsia="zh-CN"/>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6.1-14</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4#柴油储罐发生</w:t>
      </w:r>
      <w:r>
        <w:rPr>
          <w:rFonts w:hint="default" w:ascii="Times New Roman" w:hAnsi="Times New Roman" w:eastAsia="黑体" w:cs="Times New Roman"/>
          <w:kern w:val="2"/>
          <w:sz w:val="24"/>
          <w:szCs w:val="24"/>
          <w:highlight w:val="none"/>
          <w:lang w:val="en-US" w:eastAsia="zh-CN" w:bidi="ar-SA"/>
        </w:rPr>
        <w:t>蒸气云爆炸</w:t>
      </w:r>
      <w:r>
        <w:rPr>
          <w:rFonts w:hint="eastAsia" w:ascii="Times New Roman" w:hAnsi="Times New Roman" w:eastAsia="黑体" w:cs="Times New Roman"/>
          <w:kern w:val="2"/>
          <w:sz w:val="24"/>
          <w:szCs w:val="24"/>
          <w:highlight w:val="none"/>
          <w:lang w:val="en-US" w:eastAsia="zh-CN" w:bidi="ar-SA"/>
        </w:rPr>
        <w:t>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09D9DDD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5EB67BF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2764" w:type="dxa"/>
            <w:shd w:val="clear" w:color="auto" w:fill="auto"/>
            <w:vAlign w:val="center"/>
          </w:tcPr>
          <w:p w14:paraId="7D5A0AE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2764" w:type="dxa"/>
            <w:shd w:val="clear" w:color="auto" w:fill="auto"/>
            <w:vAlign w:val="center"/>
          </w:tcPr>
          <w:p w14:paraId="0A2E4D3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 xml:space="preserve">蒸气云质量(kg) </w:t>
            </w:r>
          </w:p>
        </w:tc>
      </w:tr>
      <w:tr w14:paraId="7E77D11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2026886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2764" w:type="dxa"/>
            <w:shd w:val="clear" w:color="auto" w:fill="auto"/>
            <w:vAlign w:val="center"/>
          </w:tcPr>
          <w:p w14:paraId="21CCD20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2764" w:type="dxa"/>
            <w:shd w:val="clear" w:color="auto" w:fill="auto"/>
            <w:vAlign w:val="center"/>
          </w:tcPr>
          <w:p w14:paraId="462BB88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0.0384</w:t>
            </w:r>
          </w:p>
        </w:tc>
      </w:tr>
      <w:tr w14:paraId="4D11142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32B1BA6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2764" w:type="dxa"/>
            <w:shd w:val="clear" w:color="auto" w:fill="auto"/>
            <w:vAlign w:val="center"/>
          </w:tcPr>
          <w:p w14:paraId="5DFEB01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2764" w:type="dxa"/>
            <w:shd w:val="clear" w:color="auto" w:fill="auto"/>
            <w:vAlign w:val="center"/>
          </w:tcPr>
          <w:p w14:paraId="5C5415E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0.047</w:t>
            </w:r>
          </w:p>
        </w:tc>
      </w:tr>
      <w:tr w14:paraId="195EF45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12643C3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2764" w:type="dxa"/>
            <w:shd w:val="clear" w:color="auto" w:fill="auto"/>
            <w:vAlign w:val="center"/>
          </w:tcPr>
          <w:p w14:paraId="5E2D2B4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2764" w:type="dxa"/>
            <w:shd w:val="clear" w:color="auto" w:fill="auto"/>
            <w:vAlign w:val="center"/>
          </w:tcPr>
          <w:p w14:paraId="3C89B51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0.05</w:t>
            </w:r>
          </w:p>
        </w:tc>
      </w:tr>
      <w:tr w14:paraId="0799EA6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6028B06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2764" w:type="dxa"/>
            <w:shd w:val="clear" w:color="auto" w:fill="auto"/>
            <w:vAlign w:val="center"/>
          </w:tcPr>
          <w:p w14:paraId="72C0495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c>
          <w:tcPr>
            <w:tcW w:w="2764" w:type="dxa"/>
            <w:shd w:val="clear" w:color="auto" w:fill="auto"/>
            <w:vAlign w:val="center"/>
          </w:tcPr>
          <w:p w14:paraId="4E681DC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zh-CN" w:bidi="ar-SA"/>
                <w14:ligatures w14:val="none"/>
              </w:rPr>
            </w:pPr>
            <w:r>
              <w:rPr>
                <w:rFonts w:hint="eastAsia" w:ascii="Times New Roman" w:hAnsi="Times New Roman" w:eastAsia="宋体" w:cs="Times New Roman"/>
                <w:b w:val="0"/>
                <w:bCs w:val="0"/>
                <w:spacing w:val="8"/>
                <w:kern w:val="2"/>
                <w:sz w:val="21"/>
                <w:szCs w:val="21"/>
                <w:highlight w:val="none"/>
                <w:lang w:val="en-US" w:eastAsia="zh-CN" w:bidi="ar-SA"/>
                <w14:ligatures w14:val="none"/>
              </w:rPr>
              <w:t>850</w:t>
            </w:r>
          </w:p>
        </w:tc>
      </w:tr>
    </w:tbl>
    <w:p w14:paraId="3A399E3F">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池火灾</w:t>
      </w:r>
    </w:p>
    <w:p w14:paraId="715C02C0">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危险单元类型: 有防火堤</w:t>
      </w:r>
    </w:p>
    <w:p w14:paraId="7ACE80A0">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液池面积(m</w:t>
      </w:r>
      <w:r>
        <w:rPr>
          <w:rFonts w:hint="default" w:ascii="Times New Roman" w:hAnsi="Times New Roman" w:eastAsia="宋体" w:cstheme="minorBidi"/>
          <w:kern w:val="2"/>
          <w:sz w:val="28"/>
          <w:szCs w:val="24"/>
          <w:vertAlign w:val="superscript"/>
          <w:lang w:val="en-US" w:eastAsia="zh-CN" w:bidi="ar-SA"/>
          <w14:ligatures w14:val="standardContextual"/>
        </w:rPr>
        <w:t>2</w:t>
      </w:r>
      <w:r>
        <w:rPr>
          <w:rFonts w:hint="default" w:ascii="Times New Roman" w:hAnsi="Times New Roman" w:eastAsia="宋体" w:cstheme="minorBidi"/>
          <w:kern w:val="2"/>
          <w:sz w:val="28"/>
          <w:szCs w:val="24"/>
          <w:lang w:val="en-US" w:eastAsia="zh-CN" w:bidi="ar-SA"/>
          <w14:ligatures w14:val="standardContextual"/>
        </w:rPr>
        <w:t>): 3200</w:t>
      </w:r>
    </w:p>
    <w:p w14:paraId="110E2E0C">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燃料燃烧热（Kj/Kg）: 43000</w:t>
      </w:r>
    </w:p>
    <w:p w14:paraId="5CC7099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定压比热（Kj/(Kg.K)）: 2.03</w:t>
      </w:r>
    </w:p>
    <w:p w14:paraId="6224EFA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液体蒸发潜热（Kj/Kg）: 300</w:t>
      </w:r>
    </w:p>
    <w:p w14:paraId="11162327">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液体常压沸点（K）: 583</w:t>
      </w:r>
    </w:p>
    <w:p w14:paraId="1197276C">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人员暴露时间（s）: 20</w:t>
      </w:r>
    </w:p>
    <w:p w14:paraId="223E419B">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lang w:val="en-US" w:eastAsia="zh-CN"/>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6.1-15</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4#柴油储罐发生池火灾时的泄漏情况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25E8816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54278A4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4147" w:type="dxa"/>
            <w:shd w:val="clear" w:color="auto" w:fill="auto"/>
            <w:vAlign w:val="center"/>
          </w:tcPr>
          <w:p w14:paraId="20D06B5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燃料泄漏量（kg）</w:t>
            </w:r>
          </w:p>
        </w:tc>
      </w:tr>
      <w:tr w14:paraId="5C292AF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590ABDD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4147" w:type="dxa"/>
            <w:shd w:val="clear" w:color="auto" w:fill="auto"/>
            <w:vAlign w:val="center"/>
          </w:tcPr>
          <w:p w14:paraId="44CDC8E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r>
      <w:tr w14:paraId="1D3BEBD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02F1617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4147" w:type="dxa"/>
            <w:shd w:val="clear" w:color="auto" w:fill="auto"/>
            <w:vAlign w:val="center"/>
          </w:tcPr>
          <w:p w14:paraId="29FAA39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r>
      <w:tr w14:paraId="44AD8C1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57A3D9A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4147" w:type="dxa"/>
            <w:shd w:val="clear" w:color="auto" w:fill="auto"/>
            <w:vAlign w:val="center"/>
          </w:tcPr>
          <w:p w14:paraId="29B53DD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r>
      <w:tr w14:paraId="1ED9B07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ABB07E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4147" w:type="dxa"/>
            <w:shd w:val="clear" w:color="auto" w:fill="auto"/>
            <w:vAlign w:val="center"/>
          </w:tcPr>
          <w:p w14:paraId="2A7E305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r>
    </w:tbl>
    <w:p w14:paraId="44CBEEA0">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（9）5#柴油储罐装置基本参数</w:t>
      </w:r>
    </w:p>
    <w:p w14:paraId="72F3AFD4">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1）储罐装置基本信息</w:t>
      </w:r>
    </w:p>
    <w:p w14:paraId="4BD45281">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装置名称：5#柴油储罐</w:t>
      </w:r>
    </w:p>
    <w:p w14:paraId="53F8389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装置编号：TK105</w:t>
      </w:r>
    </w:p>
    <w:p w14:paraId="54F14642">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装置坐标: 559.3，356.3</w:t>
      </w:r>
    </w:p>
    <w:p w14:paraId="5F4C18F6">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物料名称: 柴油</w:t>
      </w:r>
    </w:p>
    <w:p w14:paraId="709561C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装置类型: 固定的常压容器和储罐</w:t>
      </w:r>
    </w:p>
    <w:p w14:paraId="5DF43EF9">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是否修正: 否</w:t>
      </w:r>
    </w:p>
    <w:p w14:paraId="7C81EBAC">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装置体积（m³）：2000</w:t>
      </w:r>
    </w:p>
    <w:p w14:paraId="06251290">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泄漏模式: 泄漏到大气中-中孔泄漏，泄漏到大气中-小孔泄漏，泄漏到大气中-大孔泄漏，泄漏到大气中-完全破裂</w:t>
      </w:r>
    </w:p>
    <w:p w14:paraId="702B5CB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物料类型: 易燃液体</w:t>
      </w:r>
    </w:p>
    <w:p w14:paraId="2A16DD64">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事故类型: 蒸气云爆炸，池火灾</w:t>
      </w:r>
    </w:p>
    <w:p w14:paraId="711D6A07">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容器最大存量（kg）：850000</w:t>
      </w:r>
    </w:p>
    <w:p w14:paraId="0100F3C8">
      <w:pPr>
        <w:keepNext w:val="0"/>
        <w:keepLines w:val="0"/>
        <w:pageBreakBefore w:val="0"/>
        <w:widowControl w:val="0"/>
        <w:numPr>
          <w:ilvl w:val="0"/>
          <w:numId w:val="12"/>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事故情景描述</w:t>
      </w:r>
    </w:p>
    <w:p w14:paraId="644F21A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物料名称：柴油</w:t>
      </w:r>
    </w:p>
    <w:p w14:paraId="244AD35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容器最大存量：850000</w:t>
      </w:r>
    </w:p>
    <w:p w14:paraId="351338A5">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容器内液体密度(kg/m</w:t>
      </w:r>
      <w:r>
        <w:rPr>
          <w:rFonts w:hint="default" w:ascii="Times New Roman" w:hAnsi="Times New Roman" w:eastAsia="宋体" w:cstheme="minorBidi"/>
          <w:kern w:val="2"/>
          <w:sz w:val="28"/>
          <w:szCs w:val="24"/>
          <w:vertAlign w:val="superscript"/>
          <w:lang w:val="en-US" w:eastAsia="zh-CN" w:bidi="ar-SA"/>
          <w14:ligatures w14:val="standardContextual"/>
        </w:rPr>
        <w:t>3</w:t>
      </w:r>
      <w:r>
        <w:rPr>
          <w:rFonts w:hint="default" w:ascii="Times New Roman" w:hAnsi="Times New Roman" w:eastAsia="宋体" w:cstheme="minorBidi"/>
          <w:kern w:val="2"/>
          <w:sz w:val="28"/>
          <w:szCs w:val="24"/>
          <w:lang w:val="en-US" w:eastAsia="zh-CN" w:bidi="ar-SA"/>
          <w14:ligatures w14:val="standardContextual"/>
        </w:rPr>
        <w:t>)：850</w:t>
      </w:r>
    </w:p>
    <w:p w14:paraId="7D41629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容器内介质绝对压力（Pa）：101326</w:t>
      </w:r>
    </w:p>
    <w:p w14:paraId="4963E55F">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泄漏孔上方液体高度（m）: 0.5</w:t>
      </w:r>
    </w:p>
    <w:p w14:paraId="302AB084">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泄漏孔上方液体质量：50</w:t>
      </w:r>
    </w:p>
    <w:p w14:paraId="5803D183">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探测系统类型：专门设计的仪器仪表，用来探测系统的运行工况变化所造成的物质损失（即压力损失或流量损失）</w:t>
      </w:r>
    </w:p>
    <w:p w14:paraId="7478C93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连锁切断系统类型：直接在工艺仪表或探测器启动，而无需操作者干预的切断或停机系统</w:t>
      </w:r>
    </w:p>
    <w:p w14:paraId="6F974E0D">
      <w:pPr>
        <w:keepNext/>
        <w:keepLines/>
        <w:widowControl w:val="0"/>
        <w:spacing w:before="156" w:beforeLines="50" w:after="156" w:afterLines="50" w:line="240" w:lineRule="auto"/>
        <w:ind w:firstLine="0" w:firstLineChars="0"/>
        <w:jc w:val="center"/>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黑体" w:cs="Times New Roman"/>
          <w:kern w:val="2"/>
          <w:sz w:val="24"/>
          <w:szCs w:val="24"/>
          <w:highlight w:val="none"/>
          <w:lang w:val="en-US" w:eastAsia="zh-CN" w:bidi="ar-SA"/>
          <w14:ligatures w14:val="none"/>
        </w:rPr>
        <w:t>表</w:t>
      </w:r>
      <w:r>
        <w:rPr>
          <w:rFonts w:hint="eastAsia" w:ascii="Times New Roman" w:hAnsi="Times New Roman" w:eastAsia="黑体" w:cs="Times New Roman"/>
          <w:kern w:val="2"/>
          <w:sz w:val="24"/>
          <w:szCs w:val="24"/>
          <w:highlight w:val="none"/>
          <w:lang w:val="en-US" w:eastAsia="zh-CN" w:bidi="ar-SA"/>
          <w14:ligatures w14:val="none"/>
        </w:rPr>
        <w:t>6.1-16</w:t>
      </w:r>
      <w:r>
        <w:rPr>
          <w:rFonts w:hint="default" w:ascii="Times New Roman" w:hAnsi="Times New Roman" w:eastAsia="黑体" w:cs="Times New Roman"/>
          <w:kern w:val="2"/>
          <w:sz w:val="24"/>
          <w:szCs w:val="24"/>
          <w:highlight w:val="none"/>
          <w:lang w:val="en-US" w:eastAsia="zh-CN" w:bidi="ar-SA"/>
          <w14:ligatures w14:val="none"/>
        </w:rPr>
        <w:t xml:space="preserve">  </w:t>
      </w:r>
      <w:r>
        <w:rPr>
          <w:rFonts w:hint="eastAsia" w:ascii="Times New Roman" w:hAnsi="Times New Roman" w:eastAsia="黑体" w:cs="Times New Roman"/>
          <w:kern w:val="2"/>
          <w:sz w:val="24"/>
          <w:szCs w:val="24"/>
          <w:highlight w:val="none"/>
          <w:lang w:val="en-US" w:eastAsia="zh-CN" w:bidi="ar-SA"/>
          <w14:ligatures w14:val="none"/>
        </w:rPr>
        <w:t>5#柴油储罐不同泄漏模式的泄漏情况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6279A73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2B23C93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1382" w:type="dxa"/>
            <w:shd w:val="clear" w:color="auto" w:fill="auto"/>
            <w:vAlign w:val="center"/>
          </w:tcPr>
          <w:p w14:paraId="6144E74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泄漏孔尺寸（mm）</w:t>
            </w:r>
          </w:p>
        </w:tc>
        <w:tc>
          <w:tcPr>
            <w:tcW w:w="1382" w:type="dxa"/>
            <w:shd w:val="clear" w:color="auto" w:fill="auto"/>
            <w:vAlign w:val="center"/>
          </w:tcPr>
          <w:p w14:paraId="1A9FFAE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泄漏速率（kg/s）</w:t>
            </w:r>
          </w:p>
        </w:tc>
        <w:tc>
          <w:tcPr>
            <w:tcW w:w="1382" w:type="dxa"/>
            <w:shd w:val="clear" w:color="auto" w:fill="auto"/>
            <w:vAlign w:val="center"/>
          </w:tcPr>
          <w:p w14:paraId="58E69B8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泄漏时间（s）</w:t>
            </w:r>
          </w:p>
        </w:tc>
        <w:tc>
          <w:tcPr>
            <w:tcW w:w="1382" w:type="dxa"/>
            <w:shd w:val="clear" w:color="auto" w:fill="auto"/>
            <w:vAlign w:val="center"/>
          </w:tcPr>
          <w:p w14:paraId="62705ED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1382" w:type="dxa"/>
            <w:shd w:val="clear" w:color="auto" w:fill="auto"/>
            <w:vAlign w:val="center"/>
          </w:tcPr>
          <w:p w14:paraId="312387F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事故类型</w:t>
            </w:r>
          </w:p>
        </w:tc>
      </w:tr>
      <w:tr w14:paraId="385FD03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6A711E8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1382" w:type="dxa"/>
            <w:shd w:val="clear" w:color="auto" w:fill="auto"/>
            <w:vAlign w:val="center"/>
          </w:tcPr>
          <w:p w14:paraId="12C3669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w:t>
            </w:r>
          </w:p>
        </w:tc>
        <w:tc>
          <w:tcPr>
            <w:tcW w:w="1382" w:type="dxa"/>
            <w:shd w:val="clear" w:color="auto" w:fill="auto"/>
            <w:vAlign w:val="center"/>
          </w:tcPr>
          <w:p w14:paraId="07EDF9A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0.032</w:t>
            </w:r>
          </w:p>
        </w:tc>
        <w:tc>
          <w:tcPr>
            <w:tcW w:w="1382" w:type="dxa"/>
            <w:shd w:val="clear" w:color="auto" w:fill="auto"/>
            <w:vAlign w:val="center"/>
          </w:tcPr>
          <w:p w14:paraId="1860C77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120</w:t>
            </w:r>
          </w:p>
        </w:tc>
        <w:tc>
          <w:tcPr>
            <w:tcW w:w="1382" w:type="dxa"/>
            <w:shd w:val="clear" w:color="auto" w:fill="auto"/>
            <w:vAlign w:val="center"/>
          </w:tcPr>
          <w:p w14:paraId="4F278BA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1382" w:type="dxa"/>
            <w:shd w:val="clear" w:color="auto" w:fill="auto"/>
            <w:vAlign w:val="center"/>
          </w:tcPr>
          <w:p w14:paraId="67EEC30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382B7DF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0483402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1382" w:type="dxa"/>
            <w:shd w:val="clear" w:color="auto" w:fill="auto"/>
            <w:vAlign w:val="center"/>
          </w:tcPr>
          <w:p w14:paraId="49B1773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25</w:t>
            </w:r>
          </w:p>
        </w:tc>
        <w:tc>
          <w:tcPr>
            <w:tcW w:w="1382" w:type="dxa"/>
            <w:shd w:val="clear" w:color="auto" w:fill="auto"/>
            <w:vAlign w:val="center"/>
          </w:tcPr>
          <w:p w14:paraId="4762D79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0.796</w:t>
            </w:r>
          </w:p>
        </w:tc>
        <w:tc>
          <w:tcPr>
            <w:tcW w:w="1382" w:type="dxa"/>
            <w:shd w:val="clear" w:color="auto" w:fill="auto"/>
            <w:vAlign w:val="center"/>
          </w:tcPr>
          <w:p w14:paraId="2253D5A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60</w:t>
            </w:r>
          </w:p>
        </w:tc>
        <w:tc>
          <w:tcPr>
            <w:tcW w:w="1382" w:type="dxa"/>
            <w:shd w:val="clear" w:color="auto" w:fill="auto"/>
            <w:vAlign w:val="center"/>
          </w:tcPr>
          <w:p w14:paraId="12CC6BA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1382" w:type="dxa"/>
            <w:shd w:val="clear" w:color="auto" w:fill="auto"/>
            <w:vAlign w:val="center"/>
          </w:tcPr>
          <w:p w14:paraId="12DA8E4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1F78047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41CA532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1382" w:type="dxa"/>
            <w:shd w:val="clear" w:color="auto" w:fill="auto"/>
            <w:vAlign w:val="center"/>
          </w:tcPr>
          <w:p w14:paraId="020D414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251F398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12.743</w:t>
            </w:r>
          </w:p>
        </w:tc>
        <w:tc>
          <w:tcPr>
            <w:tcW w:w="1382" w:type="dxa"/>
            <w:shd w:val="clear" w:color="auto" w:fill="auto"/>
            <w:vAlign w:val="center"/>
          </w:tcPr>
          <w:p w14:paraId="7696340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30</w:t>
            </w:r>
          </w:p>
        </w:tc>
        <w:tc>
          <w:tcPr>
            <w:tcW w:w="1382" w:type="dxa"/>
            <w:shd w:val="clear" w:color="auto" w:fill="auto"/>
            <w:vAlign w:val="center"/>
          </w:tcPr>
          <w:p w14:paraId="0517417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1382" w:type="dxa"/>
            <w:shd w:val="clear" w:color="auto" w:fill="auto"/>
            <w:vAlign w:val="center"/>
          </w:tcPr>
          <w:p w14:paraId="0E7BDD2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75BD48B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366C685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1382" w:type="dxa"/>
            <w:shd w:val="clear" w:color="auto" w:fill="auto"/>
            <w:vAlign w:val="center"/>
          </w:tcPr>
          <w:p w14:paraId="7D99672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46DC0FF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5E5D80A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40DA0BA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c>
          <w:tcPr>
            <w:tcW w:w="1382" w:type="dxa"/>
            <w:shd w:val="clear" w:color="auto" w:fill="auto"/>
            <w:vAlign w:val="center"/>
          </w:tcPr>
          <w:p w14:paraId="4180A45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bl>
    <w:p w14:paraId="655EAAD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3）事故类型</w:t>
      </w:r>
    </w:p>
    <w:p w14:paraId="12016C2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蒸气云爆炸</w:t>
      </w:r>
    </w:p>
    <w:p w14:paraId="2E579250">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燃料燃烧热（Kj/Kg）: 43000</w:t>
      </w:r>
    </w:p>
    <w:p w14:paraId="53EDF94C">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6.1-17</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5#柴油储罐发生</w:t>
      </w:r>
      <w:r>
        <w:rPr>
          <w:rFonts w:hint="default" w:ascii="Times New Roman" w:hAnsi="Times New Roman" w:eastAsia="黑体" w:cs="Times New Roman"/>
          <w:kern w:val="2"/>
          <w:sz w:val="24"/>
          <w:szCs w:val="24"/>
          <w:highlight w:val="none"/>
          <w:lang w:val="en-US" w:eastAsia="zh-CN" w:bidi="ar-SA"/>
        </w:rPr>
        <w:t>蒸气云爆炸</w:t>
      </w:r>
      <w:r>
        <w:rPr>
          <w:rFonts w:hint="eastAsia" w:ascii="Times New Roman" w:hAnsi="Times New Roman" w:eastAsia="黑体" w:cs="Times New Roman"/>
          <w:kern w:val="2"/>
          <w:sz w:val="24"/>
          <w:szCs w:val="24"/>
          <w:highlight w:val="none"/>
          <w:lang w:val="en-US" w:eastAsia="zh-CN" w:bidi="ar-SA"/>
        </w:rPr>
        <w:t>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6A7B5C2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1E690DE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2764" w:type="dxa"/>
            <w:shd w:val="clear" w:color="auto" w:fill="auto"/>
            <w:vAlign w:val="center"/>
          </w:tcPr>
          <w:p w14:paraId="41CB8BB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2764" w:type="dxa"/>
            <w:shd w:val="clear" w:color="auto" w:fill="auto"/>
            <w:vAlign w:val="center"/>
          </w:tcPr>
          <w:p w14:paraId="2D0EA17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 xml:space="preserve">蒸气云质量(kg) </w:t>
            </w:r>
          </w:p>
        </w:tc>
      </w:tr>
      <w:tr w14:paraId="00104B4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17EE22B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2764" w:type="dxa"/>
            <w:shd w:val="clear" w:color="auto" w:fill="auto"/>
            <w:vAlign w:val="center"/>
          </w:tcPr>
          <w:p w14:paraId="7B14D2D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2764" w:type="dxa"/>
            <w:shd w:val="clear" w:color="auto" w:fill="auto"/>
            <w:vAlign w:val="center"/>
          </w:tcPr>
          <w:p w14:paraId="7029DDC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0.0384</w:t>
            </w:r>
          </w:p>
        </w:tc>
      </w:tr>
      <w:tr w14:paraId="7D5C3FF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481A37E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2764" w:type="dxa"/>
            <w:shd w:val="clear" w:color="auto" w:fill="auto"/>
            <w:vAlign w:val="center"/>
          </w:tcPr>
          <w:p w14:paraId="464CECA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2764" w:type="dxa"/>
            <w:shd w:val="clear" w:color="auto" w:fill="auto"/>
            <w:vAlign w:val="center"/>
          </w:tcPr>
          <w:p w14:paraId="5F7DFA1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0.047</w:t>
            </w:r>
          </w:p>
        </w:tc>
      </w:tr>
      <w:tr w14:paraId="15434E0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35D94E3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2764" w:type="dxa"/>
            <w:shd w:val="clear" w:color="auto" w:fill="auto"/>
            <w:vAlign w:val="center"/>
          </w:tcPr>
          <w:p w14:paraId="41318B3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2764" w:type="dxa"/>
            <w:shd w:val="clear" w:color="auto" w:fill="auto"/>
            <w:vAlign w:val="center"/>
          </w:tcPr>
          <w:p w14:paraId="0059F43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0.05</w:t>
            </w:r>
          </w:p>
        </w:tc>
      </w:tr>
      <w:tr w14:paraId="2C42101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2B5C6FA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2764" w:type="dxa"/>
            <w:shd w:val="clear" w:color="auto" w:fill="auto"/>
            <w:vAlign w:val="center"/>
          </w:tcPr>
          <w:p w14:paraId="48D46DD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c>
          <w:tcPr>
            <w:tcW w:w="2764" w:type="dxa"/>
            <w:shd w:val="clear" w:color="auto" w:fill="auto"/>
            <w:vAlign w:val="center"/>
          </w:tcPr>
          <w:p w14:paraId="73509FB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zh-CN" w:bidi="ar-SA"/>
                <w14:ligatures w14:val="none"/>
              </w:rPr>
            </w:pPr>
            <w:r>
              <w:rPr>
                <w:rFonts w:hint="eastAsia" w:ascii="Times New Roman" w:hAnsi="Times New Roman" w:eastAsia="宋体" w:cs="Times New Roman"/>
                <w:b w:val="0"/>
                <w:bCs w:val="0"/>
                <w:spacing w:val="8"/>
                <w:kern w:val="2"/>
                <w:sz w:val="21"/>
                <w:szCs w:val="21"/>
                <w:highlight w:val="none"/>
                <w:lang w:val="en-US" w:eastAsia="zh-CN" w:bidi="ar-SA"/>
                <w14:ligatures w14:val="none"/>
              </w:rPr>
              <w:t>850</w:t>
            </w:r>
          </w:p>
        </w:tc>
      </w:tr>
    </w:tbl>
    <w:p w14:paraId="1FD9035F">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池火灾</w:t>
      </w:r>
    </w:p>
    <w:p w14:paraId="456B304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危险单元类型: 有防火堤</w:t>
      </w:r>
    </w:p>
    <w:p w14:paraId="5B2CB46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液池面积(m</w:t>
      </w:r>
      <w:r>
        <w:rPr>
          <w:rFonts w:hint="default" w:ascii="Times New Roman" w:hAnsi="Times New Roman" w:eastAsia="宋体" w:cstheme="minorBidi"/>
          <w:kern w:val="2"/>
          <w:sz w:val="28"/>
          <w:szCs w:val="24"/>
          <w:vertAlign w:val="superscript"/>
          <w:lang w:val="en-US" w:eastAsia="zh-CN" w:bidi="ar-SA"/>
          <w14:ligatures w14:val="standardContextual"/>
        </w:rPr>
        <w:t>2</w:t>
      </w:r>
      <w:r>
        <w:rPr>
          <w:rFonts w:hint="default" w:ascii="Times New Roman" w:hAnsi="Times New Roman" w:eastAsia="宋体" w:cstheme="minorBidi"/>
          <w:kern w:val="2"/>
          <w:sz w:val="28"/>
          <w:szCs w:val="24"/>
          <w:lang w:val="en-US" w:eastAsia="zh-CN" w:bidi="ar-SA"/>
          <w14:ligatures w14:val="standardContextual"/>
        </w:rPr>
        <w:t>): 3200</w:t>
      </w:r>
    </w:p>
    <w:p w14:paraId="3B51DEEA">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燃料燃烧热（Kj/Kg）: 43000</w:t>
      </w:r>
    </w:p>
    <w:p w14:paraId="72857589">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定压比热（Kj/(Kg.K)）: 2.03</w:t>
      </w:r>
    </w:p>
    <w:p w14:paraId="4B1EBD93">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液体蒸发潜热（Kj/Kg）: 300</w:t>
      </w:r>
    </w:p>
    <w:p w14:paraId="03F36B3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液体常压沸点（K）: 583</w:t>
      </w:r>
    </w:p>
    <w:p w14:paraId="6E68399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人员暴露时间（s）: 20</w:t>
      </w:r>
    </w:p>
    <w:p w14:paraId="0AC30413">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6.1-18</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5#柴油储罐发生池火灾时的泄漏情况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7507658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1DD2D13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4147" w:type="dxa"/>
            <w:shd w:val="clear" w:color="auto" w:fill="auto"/>
            <w:vAlign w:val="center"/>
          </w:tcPr>
          <w:p w14:paraId="3E0F8B0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燃料泄漏量（kg）</w:t>
            </w:r>
          </w:p>
        </w:tc>
      </w:tr>
      <w:tr w14:paraId="04AB895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6E72BC3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4147" w:type="dxa"/>
            <w:shd w:val="clear" w:color="auto" w:fill="auto"/>
            <w:vAlign w:val="center"/>
          </w:tcPr>
          <w:p w14:paraId="02625D4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r>
      <w:tr w14:paraId="62DEEBF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00E810F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4147" w:type="dxa"/>
            <w:shd w:val="clear" w:color="auto" w:fill="auto"/>
            <w:vAlign w:val="center"/>
          </w:tcPr>
          <w:p w14:paraId="3C80816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r>
      <w:tr w14:paraId="37379A4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2F414FF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4147" w:type="dxa"/>
            <w:shd w:val="clear" w:color="auto" w:fill="auto"/>
            <w:vAlign w:val="center"/>
          </w:tcPr>
          <w:p w14:paraId="50CA504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r>
      <w:tr w14:paraId="785D996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5F2AB6E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4147" w:type="dxa"/>
            <w:shd w:val="clear" w:color="auto" w:fill="auto"/>
            <w:vAlign w:val="center"/>
          </w:tcPr>
          <w:p w14:paraId="74BF5BA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r>
    </w:tbl>
    <w:p w14:paraId="4AF08CC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（10）6#柴油储罐装置基本参数</w:t>
      </w:r>
    </w:p>
    <w:p w14:paraId="255E1B6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1）储罐装置基本信息</w:t>
      </w:r>
    </w:p>
    <w:p w14:paraId="40BEBB36">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装置名称：6#柴油储罐</w:t>
      </w:r>
    </w:p>
    <w:p w14:paraId="683C1065">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装置编号：TK106</w:t>
      </w:r>
    </w:p>
    <w:p w14:paraId="002D7D44">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装置坐标: 557.3，314.3</w:t>
      </w:r>
    </w:p>
    <w:p w14:paraId="15DAD782">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物料名称: 柴油</w:t>
      </w:r>
    </w:p>
    <w:p w14:paraId="56B728A4">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装置类型: 固定的常压容器和储罐</w:t>
      </w:r>
    </w:p>
    <w:p w14:paraId="573816F1">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是否修正: 否</w:t>
      </w:r>
    </w:p>
    <w:p w14:paraId="3C0B9887">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装置体积（m³）：2000</w:t>
      </w:r>
    </w:p>
    <w:p w14:paraId="5915AE6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泄漏模式: 泄漏到大气中-中孔泄漏，泄漏到大气中-小孔泄漏，泄漏到大气中-大孔泄漏，泄漏到大气中-完全破裂</w:t>
      </w:r>
    </w:p>
    <w:p w14:paraId="1C0F1F89">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物料类型: 易燃液体</w:t>
      </w:r>
    </w:p>
    <w:p w14:paraId="5D1BAE2F">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事故类型: 蒸气云爆炸，池火灾</w:t>
      </w:r>
    </w:p>
    <w:p w14:paraId="0B24FA7C">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容器最大存量（kg）：850000</w:t>
      </w:r>
    </w:p>
    <w:p w14:paraId="3C27B27C">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2）事故情景描述</w:t>
      </w:r>
    </w:p>
    <w:p w14:paraId="55A8C15C">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物料名称：柴油</w:t>
      </w:r>
    </w:p>
    <w:p w14:paraId="6F644A1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容器最大存量：850000</w:t>
      </w:r>
    </w:p>
    <w:p w14:paraId="5C217056">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容器内液体密度(kg/m</w:t>
      </w:r>
      <w:r>
        <w:rPr>
          <w:rFonts w:hint="default" w:ascii="Times New Roman" w:hAnsi="Times New Roman" w:eastAsia="宋体" w:cstheme="minorBidi"/>
          <w:kern w:val="2"/>
          <w:sz w:val="28"/>
          <w:szCs w:val="24"/>
          <w:vertAlign w:val="superscript"/>
          <w:lang w:val="en-US" w:eastAsia="zh-CN" w:bidi="ar-SA"/>
          <w14:ligatures w14:val="standardContextual"/>
        </w:rPr>
        <w:t>3</w:t>
      </w:r>
      <w:r>
        <w:rPr>
          <w:rFonts w:hint="default" w:ascii="Times New Roman" w:hAnsi="Times New Roman" w:eastAsia="宋体" w:cstheme="minorBidi"/>
          <w:kern w:val="2"/>
          <w:sz w:val="28"/>
          <w:szCs w:val="24"/>
          <w:lang w:val="en-US" w:eastAsia="zh-CN" w:bidi="ar-SA"/>
          <w14:ligatures w14:val="standardContextual"/>
        </w:rPr>
        <w:t>)：850</w:t>
      </w:r>
    </w:p>
    <w:p w14:paraId="332B7AA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容器内介质绝对压力（Pa）：101326</w:t>
      </w:r>
    </w:p>
    <w:p w14:paraId="4626F937">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泄漏孔上方液体高度（m）: 0.5</w:t>
      </w:r>
    </w:p>
    <w:p w14:paraId="4E1E08F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泄漏孔上方液体质量：50</w:t>
      </w:r>
    </w:p>
    <w:p w14:paraId="1B2B00F6">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探测系统类型：专门设计的仪器仪表，用来探测系统的运行工况变化所造成的物质损失（即压力损失或流量损失）</w:t>
      </w:r>
    </w:p>
    <w:p w14:paraId="789960F5">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连锁切断系统类型：直接在工艺仪表或探测器启动，而无需操作者干预的切断或停机系统</w:t>
      </w:r>
    </w:p>
    <w:p w14:paraId="5DA1F4D7">
      <w:pPr>
        <w:keepNext/>
        <w:keepLines/>
        <w:widowControl w:val="0"/>
        <w:spacing w:before="156" w:beforeLines="50" w:after="156" w:afterLines="50" w:line="240" w:lineRule="auto"/>
        <w:ind w:firstLine="0" w:firstLineChars="0"/>
        <w:jc w:val="center"/>
        <w:rPr>
          <w:rFonts w:hint="default"/>
          <w:lang w:val="en-US" w:eastAsia="zh-CN"/>
        </w:rPr>
      </w:pPr>
      <w:r>
        <w:rPr>
          <w:rFonts w:hint="default" w:ascii="Times New Roman" w:hAnsi="Times New Roman" w:eastAsia="黑体" w:cs="Times New Roman"/>
          <w:kern w:val="2"/>
          <w:sz w:val="24"/>
          <w:szCs w:val="24"/>
          <w:highlight w:val="none"/>
          <w:lang w:val="en-US" w:eastAsia="zh-CN" w:bidi="ar-SA"/>
          <w14:ligatures w14:val="none"/>
        </w:rPr>
        <w:t>表</w:t>
      </w:r>
      <w:r>
        <w:rPr>
          <w:rFonts w:hint="eastAsia" w:ascii="Times New Roman" w:hAnsi="Times New Roman" w:eastAsia="黑体" w:cs="Times New Roman"/>
          <w:kern w:val="2"/>
          <w:sz w:val="24"/>
          <w:szCs w:val="24"/>
          <w:highlight w:val="none"/>
          <w:lang w:val="en-US" w:eastAsia="zh-CN" w:bidi="ar-SA"/>
          <w14:ligatures w14:val="none"/>
        </w:rPr>
        <w:t>6.1-19</w:t>
      </w:r>
      <w:r>
        <w:rPr>
          <w:rFonts w:hint="default" w:ascii="Times New Roman" w:hAnsi="Times New Roman" w:eastAsia="黑体" w:cs="Times New Roman"/>
          <w:kern w:val="2"/>
          <w:sz w:val="24"/>
          <w:szCs w:val="24"/>
          <w:highlight w:val="none"/>
          <w:lang w:val="en-US" w:eastAsia="zh-CN" w:bidi="ar-SA"/>
          <w14:ligatures w14:val="none"/>
        </w:rPr>
        <w:t xml:space="preserve">  </w:t>
      </w:r>
      <w:r>
        <w:rPr>
          <w:rFonts w:hint="eastAsia" w:ascii="Times New Roman" w:hAnsi="Times New Roman" w:eastAsia="黑体" w:cs="Times New Roman"/>
          <w:kern w:val="2"/>
          <w:sz w:val="24"/>
          <w:szCs w:val="24"/>
          <w:highlight w:val="none"/>
          <w:lang w:val="en-US" w:eastAsia="zh-CN" w:bidi="ar-SA"/>
          <w14:ligatures w14:val="none"/>
        </w:rPr>
        <w:t>6#柴油储罐不同泄漏模式的泄漏情况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1664100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689765B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1382" w:type="dxa"/>
            <w:shd w:val="clear" w:color="auto" w:fill="auto"/>
            <w:vAlign w:val="center"/>
          </w:tcPr>
          <w:p w14:paraId="5EE630B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泄漏孔尺寸（mm）</w:t>
            </w:r>
          </w:p>
        </w:tc>
        <w:tc>
          <w:tcPr>
            <w:tcW w:w="1382" w:type="dxa"/>
            <w:shd w:val="clear" w:color="auto" w:fill="auto"/>
            <w:vAlign w:val="center"/>
          </w:tcPr>
          <w:p w14:paraId="7639D6C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泄漏速率（kg/s）</w:t>
            </w:r>
          </w:p>
        </w:tc>
        <w:tc>
          <w:tcPr>
            <w:tcW w:w="1382" w:type="dxa"/>
            <w:shd w:val="clear" w:color="auto" w:fill="auto"/>
            <w:vAlign w:val="center"/>
          </w:tcPr>
          <w:p w14:paraId="5E46328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泄漏时间（s）</w:t>
            </w:r>
          </w:p>
        </w:tc>
        <w:tc>
          <w:tcPr>
            <w:tcW w:w="1382" w:type="dxa"/>
            <w:shd w:val="clear" w:color="auto" w:fill="auto"/>
            <w:vAlign w:val="center"/>
          </w:tcPr>
          <w:p w14:paraId="4A7F6AC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1382" w:type="dxa"/>
            <w:shd w:val="clear" w:color="auto" w:fill="auto"/>
            <w:vAlign w:val="center"/>
          </w:tcPr>
          <w:p w14:paraId="06E1C34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事故类型</w:t>
            </w:r>
          </w:p>
        </w:tc>
      </w:tr>
      <w:tr w14:paraId="72A0FFA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1F8165E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1382" w:type="dxa"/>
            <w:shd w:val="clear" w:color="auto" w:fill="auto"/>
            <w:vAlign w:val="center"/>
          </w:tcPr>
          <w:p w14:paraId="1CFF7FB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w:t>
            </w:r>
          </w:p>
        </w:tc>
        <w:tc>
          <w:tcPr>
            <w:tcW w:w="1382" w:type="dxa"/>
            <w:shd w:val="clear" w:color="auto" w:fill="auto"/>
            <w:vAlign w:val="center"/>
          </w:tcPr>
          <w:p w14:paraId="30AE2A6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0.032</w:t>
            </w:r>
          </w:p>
        </w:tc>
        <w:tc>
          <w:tcPr>
            <w:tcW w:w="1382" w:type="dxa"/>
            <w:shd w:val="clear" w:color="auto" w:fill="auto"/>
            <w:vAlign w:val="center"/>
          </w:tcPr>
          <w:p w14:paraId="1C6C1B1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120</w:t>
            </w:r>
          </w:p>
        </w:tc>
        <w:tc>
          <w:tcPr>
            <w:tcW w:w="1382" w:type="dxa"/>
            <w:shd w:val="clear" w:color="auto" w:fill="auto"/>
            <w:vAlign w:val="center"/>
          </w:tcPr>
          <w:p w14:paraId="7661C1A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1382" w:type="dxa"/>
            <w:shd w:val="clear" w:color="auto" w:fill="auto"/>
            <w:vAlign w:val="center"/>
          </w:tcPr>
          <w:p w14:paraId="4E1E8EA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535AF92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7344B84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1382" w:type="dxa"/>
            <w:shd w:val="clear" w:color="auto" w:fill="auto"/>
            <w:vAlign w:val="center"/>
          </w:tcPr>
          <w:p w14:paraId="44F8103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25</w:t>
            </w:r>
          </w:p>
        </w:tc>
        <w:tc>
          <w:tcPr>
            <w:tcW w:w="1382" w:type="dxa"/>
            <w:shd w:val="clear" w:color="auto" w:fill="auto"/>
            <w:vAlign w:val="center"/>
          </w:tcPr>
          <w:p w14:paraId="6703CA5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0.796</w:t>
            </w:r>
          </w:p>
        </w:tc>
        <w:tc>
          <w:tcPr>
            <w:tcW w:w="1382" w:type="dxa"/>
            <w:shd w:val="clear" w:color="auto" w:fill="auto"/>
            <w:vAlign w:val="center"/>
          </w:tcPr>
          <w:p w14:paraId="3518899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60</w:t>
            </w:r>
          </w:p>
        </w:tc>
        <w:tc>
          <w:tcPr>
            <w:tcW w:w="1382" w:type="dxa"/>
            <w:shd w:val="clear" w:color="auto" w:fill="auto"/>
            <w:vAlign w:val="center"/>
          </w:tcPr>
          <w:p w14:paraId="6643E4C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1382" w:type="dxa"/>
            <w:shd w:val="clear" w:color="auto" w:fill="auto"/>
            <w:vAlign w:val="center"/>
          </w:tcPr>
          <w:p w14:paraId="34AEE25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2EFE44C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1C3DDFF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1382" w:type="dxa"/>
            <w:shd w:val="clear" w:color="auto" w:fill="auto"/>
            <w:vAlign w:val="center"/>
          </w:tcPr>
          <w:p w14:paraId="5C9BC26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237AC27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12.743</w:t>
            </w:r>
          </w:p>
        </w:tc>
        <w:tc>
          <w:tcPr>
            <w:tcW w:w="1382" w:type="dxa"/>
            <w:shd w:val="clear" w:color="auto" w:fill="auto"/>
            <w:vAlign w:val="center"/>
          </w:tcPr>
          <w:p w14:paraId="7AED936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30</w:t>
            </w:r>
          </w:p>
        </w:tc>
        <w:tc>
          <w:tcPr>
            <w:tcW w:w="1382" w:type="dxa"/>
            <w:shd w:val="clear" w:color="auto" w:fill="auto"/>
            <w:vAlign w:val="center"/>
          </w:tcPr>
          <w:p w14:paraId="38C1281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1382" w:type="dxa"/>
            <w:shd w:val="clear" w:color="auto" w:fill="auto"/>
            <w:vAlign w:val="center"/>
          </w:tcPr>
          <w:p w14:paraId="20E184F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4581599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4107BE5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1382" w:type="dxa"/>
            <w:shd w:val="clear" w:color="auto" w:fill="auto"/>
            <w:vAlign w:val="center"/>
          </w:tcPr>
          <w:p w14:paraId="7C52222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083D792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76BA216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5F87F48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c>
          <w:tcPr>
            <w:tcW w:w="1382" w:type="dxa"/>
            <w:shd w:val="clear" w:color="auto" w:fill="auto"/>
            <w:vAlign w:val="center"/>
          </w:tcPr>
          <w:p w14:paraId="2488B53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bl>
    <w:p w14:paraId="0F6CADA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3）事故类型</w:t>
      </w:r>
    </w:p>
    <w:p w14:paraId="29B74BDF">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蒸气云爆炸</w:t>
      </w:r>
    </w:p>
    <w:p w14:paraId="20176B3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燃料燃烧热（Kj/Kg）: 43000</w:t>
      </w:r>
    </w:p>
    <w:p w14:paraId="0776AA73">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6.1-20</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6#柴油储罐发生</w:t>
      </w:r>
      <w:r>
        <w:rPr>
          <w:rFonts w:hint="default" w:ascii="Times New Roman" w:hAnsi="Times New Roman" w:eastAsia="黑体" w:cs="Times New Roman"/>
          <w:kern w:val="2"/>
          <w:sz w:val="24"/>
          <w:szCs w:val="24"/>
          <w:highlight w:val="none"/>
          <w:lang w:val="en-US" w:eastAsia="zh-CN" w:bidi="ar-SA"/>
        </w:rPr>
        <w:t>蒸气云爆炸</w:t>
      </w:r>
      <w:r>
        <w:rPr>
          <w:rFonts w:hint="eastAsia" w:ascii="Times New Roman" w:hAnsi="Times New Roman" w:eastAsia="黑体" w:cs="Times New Roman"/>
          <w:kern w:val="2"/>
          <w:sz w:val="24"/>
          <w:szCs w:val="24"/>
          <w:highlight w:val="none"/>
          <w:lang w:val="en-US" w:eastAsia="zh-CN" w:bidi="ar-SA"/>
        </w:rPr>
        <w:t>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26766EC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1B987E8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2764" w:type="dxa"/>
            <w:shd w:val="clear" w:color="auto" w:fill="auto"/>
            <w:vAlign w:val="center"/>
          </w:tcPr>
          <w:p w14:paraId="44E5601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2764" w:type="dxa"/>
            <w:shd w:val="clear" w:color="auto" w:fill="auto"/>
            <w:vAlign w:val="center"/>
          </w:tcPr>
          <w:p w14:paraId="34B420D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 xml:space="preserve">蒸气云质量(kg) </w:t>
            </w:r>
          </w:p>
        </w:tc>
      </w:tr>
      <w:tr w14:paraId="25D328D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0B7E613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2764" w:type="dxa"/>
            <w:shd w:val="clear" w:color="auto" w:fill="auto"/>
            <w:vAlign w:val="center"/>
          </w:tcPr>
          <w:p w14:paraId="2645D68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2764" w:type="dxa"/>
            <w:shd w:val="clear" w:color="auto" w:fill="auto"/>
            <w:vAlign w:val="center"/>
          </w:tcPr>
          <w:p w14:paraId="4C12877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0.0384</w:t>
            </w:r>
          </w:p>
        </w:tc>
      </w:tr>
      <w:tr w14:paraId="61FA6F4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0BD2684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2764" w:type="dxa"/>
            <w:shd w:val="clear" w:color="auto" w:fill="auto"/>
            <w:vAlign w:val="center"/>
          </w:tcPr>
          <w:p w14:paraId="50C1EBB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2764" w:type="dxa"/>
            <w:shd w:val="clear" w:color="auto" w:fill="auto"/>
            <w:vAlign w:val="center"/>
          </w:tcPr>
          <w:p w14:paraId="5AAD4D3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0.047</w:t>
            </w:r>
          </w:p>
        </w:tc>
      </w:tr>
      <w:tr w14:paraId="11BB853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6E93FA5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2764" w:type="dxa"/>
            <w:shd w:val="clear" w:color="auto" w:fill="auto"/>
            <w:vAlign w:val="center"/>
          </w:tcPr>
          <w:p w14:paraId="0CEDAC3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2764" w:type="dxa"/>
            <w:shd w:val="clear" w:color="auto" w:fill="auto"/>
            <w:vAlign w:val="center"/>
          </w:tcPr>
          <w:p w14:paraId="3447046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0.05</w:t>
            </w:r>
          </w:p>
        </w:tc>
      </w:tr>
      <w:tr w14:paraId="64AA4DD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02F2BEC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2764" w:type="dxa"/>
            <w:shd w:val="clear" w:color="auto" w:fill="auto"/>
            <w:vAlign w:val="center"/>
          </w:tcPr>
          <w:p w14:paraId="702AB6A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c>
          <w:tcPr>
            <w:tcW w:w="2764" w:type="dxa"/>
            <w:shd w:val="clear" w:color="auto" w:fill="auto"/>
            <w:vAlign w:val="center"/>
          </w:tcPr>
          <w:p w14:paraId="51505BA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zh-CN" w:bidi="ar-SA"/>
                <w14:ligatures w14:val="none"/>
              </w:rPr>
            </w:pPr>
            <w:r>
              <w:rPr>
                <w:rFonts w:hint="eastAsia" w:ascii="Times New Roman" w:hAnsi="Times New Roman" w:eastAsia="宋体" w:cs="Times New Roman"/>
                <w:b w:val="0"/>
                <w:bCs w:val="0"/>
                <w:spacing w:val="8"/>
                <w:kern w:val="2"/>
                <w:sz w:val="21"/>
                <w:szCs w:val="21"/>
                <w:highlight w:val="none"/>
                <w:lang w:val="en-US" w:eastAsia="zh-CN" w:bidi="ar-SA"/>
                <w14:ligatures w14:val="none"/>
              </w:rPr>
              <w:t>850</w:t>
            </w:r>
          </w:p>
        </w:tc>
      </w:tr>
    </w:tbl>
    <w:p w14:paraId="41176BCF">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池火灾</w:t>
      </w:r>
    </w:p>
    <w:p w14:paraId="667B742A">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危险单元类型: 有防火堤</w:t>
      </w:r>
    </w:p>
    <w:p w14:paraId="61D0848C">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液池面积(m</w:t>
      </w:r>
      <w:r>
        <w:rPr>
          <w:rFonts w:hint="default" w:ascii="Times New Roman" w:hAnsi="Times New Roman" w:eastAsia="宋体" w:cstheme="minorBidi"/>
          <w:kern w:val="2"/>
          <w:sz w:val="28"/>
          <w:szCs w:val="24"/>
          <w:vertAlign w:val="superscript"/>
          <w:lang w:val="en-US" w:eastAsia="zh-CN" w:bidi="ar-SA"/>
          <w14:ligatures w14:val="standardContextual"/>
        </w:rPr>
        <w:t>2</w:t>
      </w:r>
      <w:r>
        <w:rPr>
          <w:rFonts w:hint="default" w:ascii="Times New Roman" w:hAnsi="Times New Roman" w:eastAsia="宋体" w:cstheme="minorBidi"/>
          <w:kern w:val="2"/>
          <w:sz w:val="28"/>
          <w:szCs w:val="24"/>
          <w:lang w:val="en-US" w:eastAsia="zh-CN" w:bidi="ar-SA"/>
          <w14:ligatures w14:val="standardContextual"/>
        </w:rPr>
        <w:t>): 3200</w:t>
      </w:r>
    </w:p>
    <w:p w14:paraId="7598AD55">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燃料燃烧热（Kj/Kg）: 43000</w:t>
      </w:r>
    </w:p>
    <w:p w14:paraId="44674412">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定压比热（Kj/(Kg.K)）: 2.03</w:t>
      </w:r>
    </w:p>
    <w:p w14:paraId="3F784332">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液体蒸发潜热（Kj/Kg）: 300</w:t>
      </w:r>
    </w:p>
    <w:p w14:paraId="60794B3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液体常压沸点（K）: 583</w:t>
      </w:r>
    </w:p>
    <w:p w14:paraId="34430D2F">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人员暴露时间（s）: 20</w:t>
      </w:r>
    </w:p>
    <w:p w14:paraId="0863A201">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lang w:val="en-US" w:eastAsia="zh-CN"/>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6.1-21</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6#柴油储罐发生池火灾时的泄漏情况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3FBA649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PrEx>
        <w:trPr>
          <w:trHeight w:val="454" w:hRule="atLeast"/>
        </w:trPr>
        <w:tc>
          <w:tcPr>
            <w:tcW w:w="4147" w:type="dxa"/>
            <w:shd w:val="clear" w:color="auto" w:fill="auto"/>
            <w:vAlign w:val="center"/>
          </w:tcPr>
          <w:p w14:paraId="2FD0D35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4147" w:type="dxa"/>
            <w:shd w:val="clear" w:color="auto" w:fill="auto"/>
            <w:vAlign w:val="center"/>
          </w:tcPr>
          <w:p w14:paraId="3565EAA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燃料泄漏量（kg）</w:t>
            </w:r>
          </w:p>
        </w:tc>
      </w:tr>
      <w:tr w14:paraId="7B50E93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6A97587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4147" w:type="dxa"/>
            <w:shd w:val="clear" w:color="auto" w:fill="auto"/>
            <w:vAlign w:val="center"/>
          </w:tcPr>
          <w:p w14:paraId="7FF7421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r>
      <w:tr w14:paraId="5A1456D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1E7DAF1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4147" w:type="dxa"/>
            <w:shd w:val="clear" w:color="auto" w:fill="auto"/>
            <w:vAlign w:val="center"/>
          </w:tcPr>
          <w:p w14:paraId="6CBD55F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r>
      <w:tr w14:paraId="3F714E6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FC9C3F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4147" w:type="dxa"/>
            <w:shd w:val="clear" w:color="auto" w:fill="auto"/>
            <w:vAlign w:val="center"/>
          </w:tcPr>
          <w:p w14:paraId="4C42FE9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r>
      <w:tr w14:paraId="39AE668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51E256E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4147" w:type="dxa"/>
            <w:shd w:val="clear" w:color="auto" w:fill="auto"/>
            <w:vAlign w:val="center"/>
          </w:tcPr>
          <w:p w14:paraId="7F2B36D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r>
    </w:tbl>
    <w:p w14:paraId="0F44B4B5">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（11）7#柴油储罐装置基本参数</w:t>
      </w:r>
    </w:p>
    <w:p w14:paraId="16A9C3B3">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1）储罐装置基本信息</w:t>
      </w:r>
    </w:p>
    <w:p w14:paraId="10130F84">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装置名称：7#柴油储罐</w:t>
      </w:r>
    </w:p>
    <w:p w14:paraId="2A3CF8E3">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装置编号：TK107</w:t>
      </w:r>
    </w:p>
    <w:p w14:paraId="712A9DEF">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装置坐标: 555.3，268.3</w:t>
      </w:r>
    </w:p>
    <w:p w14:paraId="003992F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物料名称: 柴油</w:t>
      </w:r>
    </w:p>
    <w:p w14:paraId="47113382">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装置类型: 固定的常压容器和储罐</w:t>
      </w:r>
    </w:p>
    <w:p w14:paraId="230E7E04">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是否修正: 否</w:t>
      </w:r>
    </w:p>
    <w:p w14:paraId="3F3F6326">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装置体积（m³）：2000</w:t>
      </w:r>
    </w:p>
    <w:p w14:paraId="4AF38B61">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泄漏模式: 泄漏到大气中-中孔泄漏，泄漏到大气中-小孔泄漏，泄漏到大气中-大孔泄漏，泄漏到大气中-完全破裂</w:t>
      </w:r>
    </w:p>
    <w:p w14:paraId="11AAE345">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物料类型: 易燃液体</w:t>
      </w:r>
    </w:p>
    <w:p w14:paraId="6AE9485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事故类型: 蒸气云爆炸，池火灾</w:t>
      </w:r>
    </w:p>
    <w:p w14:paraId="3233E5B9">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容器最大存量（kg）：850000</w:t>
      </w:r>
    </w:p>
    <w:p w14:paraId="04E2DF20">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w:t>
      </w:r>
      <w:r>
        <w:rPr>
          <w:rFonts w:hint="default" w:ascii="Times New Roman" w:hAnsi="Times New Roman" w:eastAsia="宋体" w:cstheme="minorBidi"/>
          <w:kern w:val="2"/>
          <w:sz w:val="28"/>
          <w:szCs w:val="24"/>
          <w:lang w:val="en-US" w:eastAsia="zh-CN" w:bidi="ar-SA"/>
          <w14:ligatures w14:val="standardContextual"/>
        </w:rPr>
        <w:t>事故情景描述</w:t>
      </w:r>
    </w:p>
    <w:p w14:paraId="13AEB3B5">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物料名称：柴油</w:t>
      </w:r>
    </w:p>
    <w:p w14:paraId="149EC9F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容器最大存量：850000</w:t>
      </w:r>
    </w:p>
    <w:p w14:paraId="6982733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容器内液体密度(kg/m</w:t>
      </w:r>
      <w:r>
        <w:rPr>
          <w:rFonts w:hint="default" w:ascii="Times New Roman" w:hAnsi="Times New Roman" w:eastAsia="宋体" w:cstheme="minorBidi"/>
          <w:kern w:val="2"/>
          <w:sz w:val="28"/>
          <w:szCs w:val="24"/>
          <w:vertAlign w:val="superscript"/>
          <w:lang w:val="en-US" w:eastAsia="zh-CN" w:bidi="ar-SA"/>
          <w14:ligatures w14:val="standardContextual"/>
        </w:rPr>
        <w:t>3</w:t>
      </w:r>
      <w:r>
        <w:rPr>
          <w:rFonts w:hint="default" w:ascii="Times New Roman" w:hAnsi="Times New Roman" w:eastAsia="宋体" w:cstheme="minorBidi"/>
          <w:kern w:val="2"/>
          <w:sz w:val="28"/>
          <w:szCs w:val="24"/>
          <w:lang w:val="en-US" w:eastAsia="zh-CN" w:bidi="ar-SA"/>
          <w14:ligatures w14:val="standardContextual"/>
        </w:rPr>
        <w:t>)：850</w:t>
      </w:r>
    </w:p>
    <w:p w14:paraId="63F204B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容器内介质绝对压力（Pa）：101326</w:t>
      </w:r>
    </w:p>
    <w:p w14:paraId="2339B7C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泄漏孔上方液体高度（m）: 0.5</w:t>
      </w:r>
    </w:p>
    <w:p w14:paraId="1EDE6062">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泄漏孔上方液体质量：50</w:t>
      </w:r>
    </w:p>
    <w:p w14:paraId="755401F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探测系统类型：专门设计的仪器仪表，用来探测系统的运行工况变化所造成的物质损失（即压力损失或流量损失）</w:t>
      </w:r>
    </w:p>
    <w:p w14:paraId="5FF28119">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连锁切断系统类型：直接在工艺仪表或探测器启动，而无需操作者干预的切断或停机系统</w:t>
      </w:r>
    </w:p>
    <w:p w14:paraId="04D406C7">
      <w:pPr>
        <w:keepNext/>
        <w:keepLines/>
        <w:widowControl w:val="0"/>
        <w:spacing w:before="156" w:beforeLines="50" w:after="156" w:afterLines="50" w:line="240" w:lineRule="auto"/>
        <w:ind w:firstLine="0" w:firstLineChars="0"/>
        <w:jc w:val="center"/>
        <w:rPr>
          <w:rFonts w:hint="default"/>
          <w:lang w:val="en-US" w:eastAsia="zh-CN"/>
        </w:rPr>
      </w:pPr>
      <w:r>
        <w:rPr>
          <w:rFonts w:hint="default" w:ascii="Times New Roman" w:hAnsi="Times New Roman" w:eastAsia="黑体" w:cs="Times New Roman"/>
          <w:kern w:val="2"/>
          <w:sz w:val="24"/>
          <w:szCs w:val="24"/>
          <w:highlight w:val="none"/>
          <w:lang w:val="en-US" w:eastAsia="zh-CN" w:bidi="ar-SA"/>
          <w14:ligatures w14:val="none"/>
        </w:rPr>
        <w:t>表</w:t>
      </w:r>
      <w:r>
        <w:rPr>
          <w:rFonts w:hint="eastAsia" w:ascii="Times New Roman" w:hAnsi="Times New Roman" w:eastAsia="黑体" w:cs="Times New Roman"/>
          <w:kern w:val="2"/>
          <w:sz w:val="24"/>
          <w:szCs w:val="24"/>
          <w:highlight w:val="none"/>
          <w:lang w:val="en-US" w:eastAsia="zh-CN" w:bidi="ar-SA"/>
          <w14:ligatures w14:val="none"/>
        </w:rPr>
        <w:t>6.1-22</w:t>
      </w:r>
      <w:r>
        <w:rPr>
          <w:rFonts w:hint="default" w:ascii="Times New Roman" w:hAnsi="Times New Roman" w:eastAsia="黑体" w:cs="Times New Roman"/>
          <w:kern w:val="2"/>
          <w:sz w:val="24"/>
          <w:szCs w:val="24"/>
          <w:highlight w:val="none"/>
          <w:lang w:val="en-US" w:eastAsia="zh-CN" w:bidi="ar-SA"/>
          <w14:ligatures w14:val="none"/>
        </w:rPr>
        <w:t xml:space="preserve">  </w:t>
      </w:r>
      <w:r>
        <w:rPr>
          <w:rFonts w:hint="eastAsia" w:ascii="Times New Roman" w:hAnsi="Times New Roman" w:eastAsia="黑体" w:cs="Times New Roman"/>
          <w:kern w:val="2"/>
          <w:sz w:val="24"/>
          <w:szCs w:val="24"/>
          <w:highlight w:val="none"/>
          <w:lang w:val="en-US" w:eastAsia="zh-CN" w:bidi="ar-SA"/>
          <w14:ligatures w14:val="none"/>
        </w:rPr>
        <w:t>7#柴油储罐不同泄漏模式的泄漏情况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590C97C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51567C5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1382" w:type="dxa"/>
            <w:shd w:val="clear" w:color="auto" w:fill="auto"/>
            <w:vAlign w:val="center"/>
          </w:tcPr>
          <w:p w14:paraId="4025BBE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泄漏孔尺寸（mm）</w:t>
            </w:r>
          </w:p>
        </w:tc>
        <w:tc>
          <w:tcPr>
            <w:tcW w:w="1382" w:type="dxa"/>
            <w:shd w:val="clear" w:color="auto" w:fill="auto"/>
            <w:vAlign w:val="center"/>
          </w:tcPr>
          <w:p w14:paraId="6C1AD0F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泄漏速率（kg/s）</w:t>
            </w:r>
          </w:p>
        </w:tc>
        <w:tc>
          <w:tcPr>
            <w:tcW w:w="1382" w:type="dxa"/>
            <w:shd w:val="clear" w:color="auto" w:fill="auto"/>
            <w:vAlign w:val="center"/>
          </w:tcPr>
          <w:p w14:paraId="707640F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泄漏时间（s）</w:t>
            </w:r>
          </w:p>
        </w:tc>
        <w:tc>
          <w:tcPr>
            <w:tcW w:w="1382" w:type="dxa"/>
            <w:shd w:val="clear" w:color="auto" w:fill="auto"/>
            <w:vAlign w:val="center"/>
          </w:tcPr>
          <w:p w14:paraId="002051C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1382" w:type="dxa"/>
            <w:shd w:val="clear" w:color="auto" w:fill="auto"/>
            <w:vAlign w:val="center"/>
          </w:tcPr>
          <w:p w14:paraId="6B84D22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事故类型</w:t>
            </w:r>
          </w:p>
        </w:tc>
      </w:tr>
      <w:tr w14:paraId="14CD7A5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55A3D84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1382" w:type="dxa"/>
            <w:shd w:val="clear" w:color="auto" w:fill="auto"/>
            <w:vAlign w:val="center"/>
          </w:tcPr>
          <w:p w14:paraId="6EB0D09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w:t>
            </w:r>
          </w:p>
        </w:tc>
        <w:tc>
          <w:tcPr>
            <w:tcW w:w="1382" w:type="dxa"/>
            <w:shd w:val="clear" w:color="auto" w:fill="auto"/>
            <w:vAlign w:val="center"/>
          </w:tcPr>
          <w:p w14:paraId="20B456E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0.032</w:t>
            </w:r>
          </w:p>
        </w:tc>
        <w:tc>
          <w:tcPr>
            <w:tcW w:w="1382" w:type="dxa"/>
            <w:shd w:val="clear" w:color="auto" w:fill="auto"/>
            <w:vAlign w:val="center"/>
          </w:tcPr>
          <w:p w14:paraId="2EBC1D6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120</w:t>
            </w:r>
          </w:p>
        </w:tc>
        <w:tc>
          <w:tcPr>
            <w:tcW w:w="1382" w:type="dxa"/>
            <w:shd w:val="clear" w:color="auto" w:fill="auto"/>
            <w:vAlign w:val="center"/>
          </w:tcPr>
          <w:p w14:paraId="4E6E752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1382" w:type="dxa"/>
            <w:shd w:val="clear" w:color="auto" w:fill="auto"/>
            <w:vAlign w:val="center"/>
          </w:tcPr>
          <w:p w14:paraId="59EB159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156CD5E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6BB7280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1382" w:type="dxa"/>
            <w:shd w:val="clear" w:color="auto" w:fill="auto"/>
            <w:vAlign w:val="center"/>
          </w:tcPr>
          <w:p w14:paraId="72E24BD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25</w:t>
            </w:r>
          </w:p>
        </w:tc>
        <w:tc>
          <w:tcPr>
            <w:tcW w:w="1382" w:type="dxa"/>
            <w:shd w:val="clear" w:color="auto" w:fill="auto"/>
            <w:vAlign w:val="center"/>
          </w:tcPr>
          <w:p w14:paraId="321DA8C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0.796</w:t>
            </w:r>
          </w:p>
        </w:tc>
        <w:tc>
          <w:tcPr>
            <w:tcW w:w="1382" w:type="dxa"/>
            <w:shd w:val="clear" w:color="auto" w:fill="auto"/>
            <w:vAlign w:val="center"/>
          </w:tcPr>
          <w:p w14:paraId="70F2360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60</w:t>
            </w:r>
          </w:p>
        </w:tc>
        <w:tc>
          <w:tcPr>
            <w:tcW w:w="1382" w:type="dxa"/>
            <w:shd w:val="clear" w:color="auto" w:fill="auto"/>
            <w:vAlign w:val="center"/>
          </w:tcPr>
          <w:p w14:paraId="2308CC4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1382" w:type="dxa"/>
            <w:shd w:val="clear" w:color="auto" w:fill="auto"/>
            <w:vAlign w:val="center"/>
          </w:tcPr>
          <w:p w14:paraId="70DD37E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53E405C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027AB83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1382" w:type="dxa"/>
            <w:shd w:val="clear" w:color="auto" w:fill="auto"/>
            <w:vAlign w:val="center"/>
          </w:tcPr>
          <w:p w14:paraId="16CEC08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621B937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12.743</w:t>
            </w:r>
          </w:p>
        </w:tc>
        <w:tc>
          <w:tcPr>
            <w:tcW w:w="1382" w:type="dxa"/>
            <w:shd w:val="clear" w:color="auto" w:fill="auto"/>
            <w:vAlign w:val="center"/>
          </w:tcPr>
          <w:p w14:paraId="061BB40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30</w:t>
            </w:r>
          </w:p>
        </w:tc>
        <w:tc>
          <w:tcPr>
            <w:tcW w:w="1382" w:type="dxa"/>
            <w:shd w:val="clear" w:color="auto" w:fill="auto"/>
            <w:vAlign w:val="center"/>
          </w:tcPr>
          <w:p w14:paraId="5957AC7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1382" w:type="dxa"/>
            <w:shd w:val="clear" w:color="auto" w:fill="auto"/>
            <w:vAlign w:val="center"/>
          </w:tcPr>
          <w:p w14:paraId="64B47B0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6B801C6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3DCD1B0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1382" w:type="dxa"/>
            <w:shd w:val="clear" w:color="auto" w:fill="auto"/>
            <w:vAlign w:val="center"/>
          </w:tcPr>
          <w:p w14:paraId="0E0C18A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729F09E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1A4D9F9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11AC431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c>
          <w:tcPr>
            <w:tcW w:w="1382" w:type="dxa"/>
            <w:shd w:val="clear" w:color="auto" w:fill="auto"/>
            <w:vAlign w:val="center"/>
          </w:tcPr>
          <w:p w14:paraId="717518A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bl>
    <w:p w14:paraId="1E4E42A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3）事故类型</w:t>
      </w:r>
    </w:p>
    <w:p w14:paraId="2EAF3DD2">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蒸气云爆炸</w:t>
      </w:r>
    </w:p>
    <w:p w14:paraId="5B361F6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燃料燃烧热（Kj/Kg）: 43000</w:t>
      </w:r>
    </w:p>
    <w:p w14:paraId="2A968D87">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6.1-23</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7#柴油储罐发生</w:t>
      </w:r>
      <w:r>
        <w:rPr>
          <w:rFonts w:hint="default" w:ascii="Times New Roman" w:hAnsi="Times New Roman" w:eastAsia="黑体" w:cs="Times New Roman"/>
          <w:kern w:val="2"/>
          <w:sz w:val="24"/>
          <w:szCs w:val="24"/>
          <w:highlight w:val="none"/>
          <w:lang w:val="en-US" w:eastAsia="zh-CN" w:bidi="ar-SA"/>
        </w:rPr>
        <w:t>蒸气云爆炸</w:t>
      </w:r>
      <w:r>
        <w:rPr>
          <w:rFonts w:hint="eastAsia" w:ascii="Times New Roman" w:hAnsi="Times New Roman" w:eastAsia="黑体" w:cs="Times New Roman"/>
          <w:kern w:val="2"/>
          <w:sz w:val="24"/>
          <w:szCs w:val="24"/>
          <w:highlight w:val="none"/>
          <w:lang w:val="en-US" w:eastAsia="zh-CN" w:bidi="ar-SA"/>
        </w:rPr>
        <w:t>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7779EBF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76F4795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2764" w:type="dxa"/>
            <w:shd w:val="clear" w:color="auto" w:fill="auto"/>
            <w:vAlign w:val="center"/>
          </w:tcPr>
          <w:p w14:paraId="0D93D7B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2764" w:type="dxa"/>
            <w:shd w:val="clear" w:color="auto" w:fill="auto"/>
            <w:vAlign w:val="center"/>
          </w:tcPr>
          <w:p w14:paraId="3696644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 xml:space="preserve">蒸气云质量(kg) </w:t>
            </w:r>
          </w:p>
        </w:tc>
      </w:tr>
      <w:tr w14:paraId="01325E9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7795CEC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2764" w:type="dxa"/>
            <w:shd w:val="clear" w:color="auto" w:fill="auto"/>
            <w:vAlign w:val="center"/>
          </w:tcPr>
          <w:p w14:paraId="2E634D1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2764" w:type="dxa"/>
            <w:shd w:val="clear" w:color="auto" w:fill="auto"/>
            <w:vAlign w:val="center"/>
          </w:tcPr>
          <w:p w14:paraId="15D7ACB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0.0384</w:t>
            </w:r>
          </w:p>
        </w:tc>
      </w:tr>
      <w:tr w14:paraId="6D48AC5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5F7CEF9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2764" w:type="dxa"/>
            <w:shd w:val="clear" w:color="auto" w:fill="auto"/>
            <w:vAlign w:val="center"/>
          </w:tcPr>
          <w:p w14:paraId="50A00E2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2764" w:type="dxa"/>
            <w:shd w:val="clear" w:color="auto" w:fill="auto"/>
            <w:vAlign w:val="center"/>
          </w:tcPr>
          <w:p w14:paraId="6662656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0.047</w:t>
            </w:r>
          </w:p>
        </w:tc>
      </w:tr>
      <w:tr w14:paraId="12119DC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0D1AFDE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2764" w:type="dxa"/>
            <w:shd w:val="clear" w:color="auto" w:fill="auto"/>
            <w:vAlign w:val="center"/>
          </w:tcPr>
          <w:p w14:paraId="4610DE1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2764" w:type="dxa"/>
            <w:shd w:val="clear" w:color="auto" w:fill="auto"/>
            <w:vAlign w:val="center"/>
          </w:tcPr>
          <w:p w14:paraId="2052742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0.05</w:t>
            </w:r>
          </w:p>
        </w:tc>
      </w:tr>
      <w:tr w14:paraId="44D1F63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47E6D0D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2764" w:type="dxa"/>
            <w:shd w:val="clear" w:color="auto" w:fill="auto"/>
            <w:vAlign w:val="center"/>
          </w:tcPr>
          <w:p w14:paraId="0CE8A1A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c>
          <w:tcPr>
            <w:tcW w:w="2764" w:type="dxa"/>
            <w:shd w:val="clear" w:color="auto" w:fill="auto"/>
            <w:vAlign w:val="center"/>
          </w:tcPr>
          <w:p w14:paraId="54FEE66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zh-CN" w:bidi="ar-SA"/>
                <w14:ligatures w14:val="none"/>
              </w:rPr>
            </w:pPr>
            <w:r>
              <w:rPr>
                <w:rFonts w:hint="eastAsia" w:ascii="Times New Roman" w:hAnsi="Times New Roman" w:eastAsia="宋体" w:cs="Times New Roman"/>
                <w:b w:val="0"/>
                <w:bCs w:val="0"/>
                <w:spacing w:val="8"/>
                <w:kern w:val="2"/>
                <w:sz w:val="21"/>
                <w:szCs w:val="21"/>
                <w:highlight w:val="none"/>
                <w:lang w:val="en-US" w:eastAsia="zh-CN" w:bidi="ar-SA"/>
                <w14:ligatures w14:val="none"/>
              </w:rPr>
              <w:t>850</w:t>
            </w:r>
          </w:p>
        </w:tc>
      </w:tr>
    </w:tbl>
    <w:p w14:paraId="25F87366">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池火灾</w:t>
      </w:r>
    </w:p>
    <w:p w14:paraId="14F45300">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危险单元类型: 有防火堤</w:t>
      </w:r>
    </w:p>
    <w:p w14:paraId="58758BB0">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液池面积(m</w:t>
      </w:r>
      <w:r>
        <w:rPr>
          <w:rFonts w:hint="eastAsia" w:ascii="Times New Roman" w:hAnsi="Times New Roman" w:eastAsia="宋体" w:cstheme="minorBidi"/>
          <w:kern w:val="2"/>
          <w:sz w:val="28"/>
          <w:szCs w:val="24"/>
          <w:vertAlign w:val="superscript"/>
          <w:lang w:val="en-US" w:eastAsia="zh-CN" w:bidi="ar-SA"/>
          <w14:ligatures w14:val="standardContextual"/>
        </w:rPr>
        <w:t>2</w:t>
      </w:r>
      <w:r>
        <w:rPr>
          <w:rFonts w:hint="eastAsia" w:ascii="Times New Roman" w:hAnsi="Times New Roman" w:eastAsia="宋体" w:cstheme="minorBidi"/>
          <w:kern w:val="2"/>
          <w:sz w:val="28"/>
          <w:szCs w:val="24"/>
          <w:lang w:val="en-US" w:eastAsia="zh-CN" w:bidi="ar-SA"/>
          <w14:ligatures w14:val="standardContextual"/>
        </w:rPr>
        <w:t>): 3200</w:t>
      </w:r>
    </w:p>
    <w:p w14:paraId="18F3E7B5">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燃料燃烧热（Kj/Kg）: 43000</w:t>
      </w:r>
    </w:p>
    <w:p w14:paraId="4217E6C9">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定压比热（Kj/(Kg.K)）: 2.03</w:t>
      </w:r>
    </w:p>
    <w:p w14:paraId="50279E1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液体蒸发潜热（Kj/Kg）: 300</w:t>
      </w:r>
    </w:p>
    <w:p w14:paraId="26E6B5D4">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液体常压沸点（K）: 583</w:t>
      </w:r>
    </w:p>
    <w:p w14:paraId="51536B89">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人员暴露时间（s）: 20</w:t>
      </w:r>
    </w:p>
    <w:p w14:paraId="1B3D2A0F">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eastAsia"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6.1-24</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7#柴油储罐发生池火灾时的泄漏情况</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4DE8114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01F6D06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4147" w:type="dxa"/>
            <w:shd w:val="clear" w:color="auto" w:fill="auto"/>
            <w:vAlign w:val="center"/>
          </w:tcPr>
          <w:p w14:paraId="5626623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燃料泄漏量（kg）</w:t>
            </w:r>
          </w:p>
        </w:tc>
      </w:tr>
      <w:tr w14:paraId="7E7103A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365011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4147" w:type="dxa"/>
            <w:shd w:val="clear" w:color="auto" w:fill="auto"/>
            <w:vAlign w:val="center"/>
          </w:tcPr>
          <w:p w14:paraId="53269A5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r>
      <w:tr w14:paraId="41E8704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B86550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4147" w:type="dxa"/>
            <w:shd w:val="clear" w:color="auto" w:fill="auto"/>
            <w:vAlign w:val="center"/>
          </w:tcPr>
          <w:p w14:paraId="6B8261B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r>
      <w:tr w14:paraId="610223B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419BC1E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4147" w:type="dxa"/>
            <w:shd w:val="clear" w:color="auto" w:fill="auto"/>
            <w:vAlign w:val="center"/>
          </w:tcPr>
          <w:p w14:paraId="188C5E7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r>
      <w:tr w14:paraId="58A9160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1293C9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4147" w:type="dxa"/>
            <w:shd w:val="clear" w:color="auto" w:fill="auto"/>
            <w:vAlign w:val="center"/>
          </w:tcPr>
          <w:p w14:paraId="32AB444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r>
    </w:tbl>
    <w:p w14:paraId="10C82B31">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6.1.3个人风险分析</w:t>
      </w:r>
    </w:p>
    <w:p w14:paraId="7FE3DD4D">
      <w:pPr>
        <w:bidi w:val="0"/>
        <w:ind w:firstLine="560" w:firstLineChars="200"/>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（1）区域总体个人风险模拟结果，见下图。</w:t>
      </w:r>
    </w:p>
    <w:p w14:paraId="4C87B5DE">
      <w:pPr>
        <w:bidi w:val="0"/>
        <w:jc w:val="center"/>
        <w:rPr>
          <w:rFonts w:hint="eastAsia" w:ascii="微软雅黑" w:hAnsi="微软雅黑" w:eastAsia="微软雅黑"/>
          <w:lang w:val="en-US" w:eastAsia="zh-CN"/>
        </w:rPr>
      </w:pPr>
    </w:p>
    <w:p w14:paraId="123017AF">
      <w:pPr>
        <w:bidi w:val="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w:t>
      </w:r>
      <w:r>
        <w:rPr>
          <w:rFonts w:hint="eastAsia" w:ascii="Times New Roman" w:hAnsi="Times New Roman" w:eastAsia="黑体" w:cs="Times New Roman"/>
          <w:kern w:val="2"/>
          <w:sz w:val="24"/>
          <w:szCs w:val="24"/>
          <w:lang w:val="en-US" w:eastAsia="zh-CN" w:bidi="ar-SA"/>
          <w14:ligatures w14:val="standardContextual"/>
        </w:rPr>
        <w:t xml:space="preserve">6.1-3  </w:t>
      </w:r>
      <w:r>
        <w:rPr>
          <w:rFonts w:hint="default" w:ascii="Times New Roman" w:hAnsi="Times New Roman" w:eastAsia="黑体" w:cs="Times New Roman"/>
          <w:kern w:val="2"/>
          <w:sz w:val="24"/>
          <w:szCs w:val="24"/>
          <w:lang w:val="en-US" w:eastAsia="zh-CN" w:bidi="ar-SA"/>
          <w14:ligatures w14:val="standardContextual"/>
        </w:rPr>
        <w:t>区域总体个人风</w:t>
      </w:r>
      <w:r>
        <w:rPr>
          <w:rFonts w:hint="eastAsia" w:ascii="黑体" w:hAnsi="黑体" w:eastAsia="黑体" w:cstheme="minorBidi"/>
          <w:kern w:val="2"/>
          <w:sz w:val="24"/>
          <w:szCs w:val="24"/>
          <w:lang w:val="en-US" w:eastAsia="zh-CN" w:bidi="ar-SA"/>
          <w14:ligatures w14:val="standardContextual"/>
        </w:rPr>
        <w:t>险等值线图</w:t>
      </w:r>
    </w:p>
    <w:p w14:paraId="02EA5206">
      <w:pPr>
        <w:keepNext/>
        <w:keepLines/>
        <w:pageBreakBefore w:val="0"/>
        <w:widowControl w:val="0"/>
        <w:numPr>
          <w:ilvl w:val="0"/>
          <w:numId w:val="13"/>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1#柴油储罐个人风险模拟结果，见下图。</w:t>
      </w:r>
    </w:p>
    <w:p w14:paraId="4D970EED">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jc w:val="center"/>
        <w:textAlignment w:val="auto"/>
      </w:pPr>
    </w:p>
    <w:p w14:paraId="6F1A525F">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w:t>
      </w:r>
      <w:r>
        <w:rPr>
          <w:rFonts w:hint="eastAsia" w:ascii="Times New Roman" w:hAnsi="Times New Roman" w:eastAsia="黑体" w:cs="Times New Roman"/>
          <w:kern w:val="2"/>
          <w:sz w:val="24"/>
          <w:szCs w:val="24"/>
          <w:lang w:val="en-US" w:eastAsia="zh-CN" w:bidi="ar-SA"/>
          <w14:ligatures w14:val="standardContextual"/>
        </w:rPr>
        <w:t>6.1-4  1#柴油储罐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309893C0">
      <w:pPr>
        <w:keepNext/>
        <w:keepLines/>
        <w:pageBreakBefore w:val="0"/>
        <w:widowControl w:val="0"/>
        <w:numPr>
          <w:ilvl w:val="0"/>
          <w:numId w:val="13"/>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2#柴油储罐个人风险模拟结果，见下图。</w:t>
      </w:r>
    </w:p>
    <w:p w14:paraId="6CA90C44">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jc w:val="center"/>
        <w:textAlignment w:val="auto"/>
      </w:pPr>
    </w:p>
    <w:p w14:paraId="5F151B19">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jc w:val="center"/>
        <w:textAlignment w:val="auto"/>
        <w:rPr>
          <w:rFonts w:hint="eastAsia"/>
          <w:lang w:val="en-US" w:eastAsia="zh-CN"/>
        </w:rPr>
        <w:sectPr>
          <w:headerReference r:id="rId7" w:type="default"/>
          <w:footerReference r:id="rId8" w:type="default"/>
          <w:pgSz w:w="11906" w:h="16838"/>
          <w:pgMar w:top="1418" w:right="1134" w:bottom="1134" w:left="1588" w:header="851" w:footer="992" w:gutter="0"/>
          <w:pgBorders>
            <w:top w:val="none" w:sz="0" w:space="0"/>
            <w:left w:val="none" w:sz="0" w:space="0"/>
            <w:bottom w:val="none" w:sz="0" w:space="0"/>
            <w:right w:val="none" w:sz="0" w:space="0"/>
          </w:pgBorders>
          <w:pgNumType w:fmt="decimal" w:start="1"/>
          <w:cols w:space="425" w:num="1"/>
          <w:docGrid w:type="linesAndChars" w:linePitch="312" w:charSpace="0"/>
        </w:sectPr>
      </w:pPr>
      <w:r>
        <w:rPr>
          <w:rFonts w:hint="default" w:ascii="Times New Roman" w:hAnsi="Times New Roman" w:eastAsia="黑体" w:cs="Times New Roman"/>
          <w:kern w:val="2"/>
          <w:sz w:val="24"/>
          <w:szCs w:val="24"/>
          <w:lang w:val="en-US" w:eastAsia="zh-CN" w:bidi="ar-SA"/>
          <w14:ligatures w14:val="standardContextual"/>
        </w:rPr>
        <w:t>图</w:t>
      </w:r>
      <w:r>
        <w:rPr>
          <w:rFonts w:hint="eastAsia" w:ascii="Times New Roman" w:hAnsi="Times New Roman" w:eastAsia="黑体" w:cs="Times New Roman"/>
          <w:kern w:val="2"/>
          <w:sz w:val="24"/>
          <w:szCs w:val="24"/>
          <w:lang w:val="en-US" w:eastAsia="zh-CN" w:bidi="ar-SA"/>
          <w14:ligatures w14:val="standardContextual"/>
        </w:rPr>
        <w:t>6.1-5  2#柴油储罐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115861B8">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黑体" w:hAnsi="黑体" w:eastAsia="黑体" w:cstheme="minorBidi"/>
          <w:kern w:val="2"/>
          <w:sz w:val="24"/>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（4）3#柴油储罐个人风险模拟结果，见下图。</w:t>
      </w:r>
    </w:p>
    <w:p w14:paraId="6995390C">
      <w:pPr>
        <w:keepNext/>
        <w:keepLines/>
        <w:widowControl w:val="0"/>
        <w:adjustRightInd w:val="0"/>
        <w:snapToGrid w:val="0"/>
        <w:spacing w:before="156" w:beforeLines="50" w:after="156" w:afterLines="50" w:line="240" w:lineRule="auto"/>
        <w:ind w:firstLine="0" w:firstLineChars="0"/>
        <w:jc w:val="center"/>
      </w:pPr>
    </w:p>
    <w:p w14:paraId="6583D7C5">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w:t>
      </w:r>
      <w:r>
        <w:rPr>
          <w:rFonts w:hint="eastAsia" w:ascii="Times New Roman" w:hAnsi="Times New Roman" w:eastAsia="黑体" w:cs="Times New Roman"/>
          <w:kern w:val="2"/>
          <w:sz w:val="24"/>
          <w:szCs w:val="24"/>
          <w:lang w:val="en-US" w:eastAsia="zh-CN" w:bidi="ar-SA"/>
          <w14:ligatures w14:val="standardContextual"/>
        </w:rPr>
        <w:t>6.1-6  3#柴油储罐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26661D62">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黑体" w:hAnsi="黑体" w:eastAsia="黑体" w:cstheme="minorBidi"/>
          <w:kern w:val="2"/>
          <w:sz w:val="24"/>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（5）4#柴油储罐个人风险模拟结果，见下图。</w:t>
      </w:r>
    </w:p>
    <w:p w14:paraId="1993927D">
      <w:pPr>
        <w:keepNext/>
        <w:keepLines/>
        <w:widowControl w:val="0"/>
        <w:adjustRightInd w:val="0"/>
        <w:snapToGrid w:val="0"/>
        <w:spacing w:before="156" w:beforeLines="50" w:after="156" w:afterLines="50" w:line="240" w:lineRule="auto"/>
        <w:ind w:firstLine="0" w:firstLineChars="0"/>
        <w:jc w:val="center"/>
      </w:pPr>
    </w:p>
    <w:p w14:paraId="01A4FEFF">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w:t>
      </w:r>
      <w:r>
        <w:rPr>
          <w:rFonts w:hint="eastAsia" w:ascii="Times New Roman" w:hAnsi="Times New Roman" w:eastAsia="黑体" w:cs="Times New Roman"/>
          <w:kern w:val="2"/>
          <w:sz w:val="24"/>
          <w:szCs w:val="24"/>
          <w:lang w:val="en-US" w:eastAsia="zh-CN" w:bidi="ar-SA"/>
          <w14:ligatures w14:val="standardContextual"/>
        </w:rPr>
        <w:t>6.1-7  4#柴油储罐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1C2B38DA">
      <w:pPr>
        <w:pStyle w:val="4"/>
        <w:rPr>
          <w:rFonts w:hint="eastAsia"/>
          <w:lang w:val="en-US" w:eastAsia="zh-CN"/>
        </w:rPr>
      </w:pPr>
    </w:p>
    <w:p w14:paraId="54000078">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黑体" w:hAnsi="黑体" w:eastAsia="黑体" w:cstheme="minorBidi"/>
          <w:kern w:val="2"/>
          <w:sz w:val="24"/>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（6）5#柴油储罐个人风险模拟结果，见下图。</w:t>
      </w:r>
    </w:p>
    <w:p w14:paraId="02694901">
      <w:pPr>
        <w:keepNext/>
        <w:keepLines/>
        <w:widowControl w:val="0"/>
        <w:adjustRightInd w:val="0"/>
        <w:snapToGrid w:val="0"/>
        <w:spacing w:before="156" w:beforeLines="50" w:after="156" w:afterLines="50" w:line="240" w:lineRule="auto"/>
        <w:ind w:firstLine="0" w:firstLineChars="0"/>
        <w:jc w:val="center"/>
      </w:pPr>
    </w:p>
    <w:p w14:paraId="0F113325">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w:t>
      </w:r>
      <w:r>
        <w:rPr>
          <w:rFonts w:hint="eastAsia" w:ascii="Times New Roman" w:hAnsi="Times New Roman" w:eastAsia="黑体" w:cs="Times New Roman"/>
          <w:kern w:val="2"/>
          <w:sz w:val="24"/>
          <w:szCs w:val="24"/>
          <w:lang w:val="en-US" w:eastAsia="zh-CN" w:bidi="ar-SA"/>
          <w14:ligatures w14:val="standardContextual"/>
        </w:rPr>
        <w:t>6.1-8  5#柴油储罐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71078EEC">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黑体" w:hAnsi="黑体" w:eastAsia="黑体" w:cstheme="minorBidi"/>
          <w:kern w:val="2"/>
          <w:sz w:val="24"/>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（7）6#柴油储罐个人风险模拟结果，见下图。</w:t>
      </w:r>
    </w:p>
    <w:p w14:paraId="2E05DC7D">
      <w:pPr>
        <w:keepNext/>
        <w:keepLines/>
        <w:widowControl w:val="0"/>
        <w:adjustRightInd w:val="0"/>
        <w:snapToGrid w:val="0"/>
        <w:spacing w:before="156" w:beforeLines="50" w:after="156" w:afterLines="50" w:line="240" w:lineRule="auto"/>
        <w:ind w:firstLine="0" w:firstLineChars="0"/>
        <w:jc w:val="center"/>
      </w:pPr>
      <w:r>
        <w:drawing>
          <wp:inline distT="0" distB="0" distL="0" distR="0">
            <wp:extent cx="3962400" cy="3600450"/>
            <wp:effectExtent l="0" t="0" r="0" b="0"/>
            <wp:docPr id="27" name="Drawing 16"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Drawing 16" descr="Generated"/>
                    <pic:cNvPicPr>
                      <a:picLocks noChangeAspect="1"/>
                    </pic:cNvPicPr>
                  </pic:nvPicPr>
                  <pic:blipFill>
                    <a:blip r:embed="rId32"/>
                    <a:stretch>
                      <a:fillRect/>
                    </a:stretch>
                  </pic:blipFill>
                  <pic:spPr>
                    <a:xfrm>
                      <a:off x="0" y="0"/>
                      <a:ext cx="3962400" cy="3600450"/>
                    </a:xfrm>
                    <a:prstGeom prst="rect">
                      <a:avLst/>
                    </a:prstGeom>
                  </pic:spPr>
                </pic:pic>
              </a:graphicData>
            </a:graphic>
          </wp:inline>
        </w:drawing>
      </w:r>
    </w:p>
    <w:p w14:paraId="052586FE">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w:t>
      </w:r>
      <w:r>
        <w:rPr>
          <w:rFonts w:hint="eastAsia" w:ascii="Times New Roman" w:hAnsi="Times New Roman" w:eastAsia="黑体" w:cs="Times New Roman"/>
          <w:kern w:val="2"/>
          <w:sz w:val="24"/>
          <w:szCs w:val="24"/>
          <w:lang w:val="en-US" w:eastAsia="zh-CN" w:bidi="ar-SA"/>
          <w14:ligatures w14:val="standardContextual"/>
        </w:rPr>
        <w:t>6.1-9  6#柴油储罐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767557D2">
      <w:pPr>
        <w:pStyle w:val="4"/>
        <w:rPr>
          <w:rFonts w:hint="eastAsia"/>
          <w:lang w:val="en-US" w:eastAsia="zh-CN"/>
        </w:rPr>
      </w:pPr>
    </w:p>
    <w:p w14:paraId="54537D8B">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黑体" w:hAnsi="黑体" w:eastAsia="黑体" w:cstheme="minorBidi"/>
          <w:kern w:val="2"/>
          <w:sz w:val="24"/>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（8）7#柴油储罐个人风险模拟结果，见下图。</w:t>
      </w:r>
    </w:p>
    <w:p w14:paraId="40FCC57F">
      <w:pPr>
        <w:keepNext/>
        <w:keepLines/>
        <w:widowControl w:val="0"/>
        <w:adjustRightInd w:val="0"/>
        <w:snapToGrid w:val="0"/>
        <w:spacing w:before="156" w:beforeLines="50" w:after="156" w:afterLines="50" w:line="240" w:lineRule="auto"/>
        <w:ind w:firstLine="0" w:firstLineChars="0"/>
        <w:jc w:val="center"/>
      </w:pPr>
    </w:p>
    <w:p w14:paraId="34AAFDBB">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w:t>
      </w:r>
      <w:r>
        <w:rPr>
          <w:rFonts w:hint="eastAsia" w:ascii="Times New Roman" w:hAnsi="Times New Roman" w:eastAsia="黑体" w:cs="Times New Roman"/>
          <w:kern w:val="2"/>
          <w:sz w:val="24"/>
          <w:szCs w:val="24"/>
          <w:lang w:val="en-US" w:eastAsia="zh-CN" w:bidi="ar-SA"/>
          <w14:ligatures w14:val="standardContextual"/>
        </w:rPr>
        <w:t>6.1-10  7#柴油储罐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47327FA4">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根据个人风险等值线图，该公司东侧军事用地属于重要防护目标且南侧均，居住区（居住人数在100人以上，属于一般防护目标中的一类防护目标）均不在可容许个人风险 3×10</w:t>
      </w:r>
      <w:r>
        <w:rPr>
          <w:rFonts w:hint="eastAsia" w:ascii="Times New Roman" w:hAnsi="Times New Roman" w:eastAsia="宋体" w:cstheme="minorBidi"/>
          <w:kern w:val="2"/>
          <w:sz w:val="28"/>
          <w:szCs w:val="24"/>
          <w:vertAlign w:val="superscript"/>
          <w:lang w:val="en-US" w:eastAsia="zh-CN" w:bidi="ar-SA"/>
          <w14:ligatures w14:val="standardContextual"/>
        </w:rPr>
        <w:t>-6</w:t>
      </w:r>
      <w:r>
        <w:rPr>
          <w:rFonts w:hint="eastAsia" w:ascii="Times New Roman" w:hAnsi="Times New Roman" w:eastAsia="宋体" w:cstheme="minorBidi"/>
          <w:kern w:val="2"/>
          <w:sz w:val="28"/>
          <w:szCs w:val="24"/>
          <w:lang w:val="en-US" w:eastAsia="zh-CN" w:bidi="ar-SA"/>
          <w14:ligatures w14:val="standardContextual"/>
        </w:rPr>
        <w:t>/年的等值线（蓝色）内；1×10</w:t>
      </w:r>
      <w:r>
        <w:rPr>
          <w:rFonts w:hint="eastAsia" w:ascii="Times New Roman" w:hAnsi="Times New Roman" w:eastAsia="宋体" w:cstheme="minorBidi"/>
          <w:kern w:val="2"/>
          <w:sz w:val="28"/>
          <w:szCs w:val="24"/>
          <w:vertAlign w:val="superscript"/>
          <w:lang w:val="en-US" w:eastAsia="zh-CN" w:bidi="ar-SA"/>
          <w14:ligatures w14:val="standardContextual"/>
        </w:rPr>
        <w:t>-5</w:t>
      </w:r>
      <w:r>
        <w:rPr>
          <w:rFonts w:hint="eastAsia" w:ascii="Times New Roman" w:hAnsi="Times New Roman" w:eastAsia="宋体" w:cstheme="minorBidi"/>
          <w:kern w:val="2"/>
          <w:sz w:val="28"/>
          <w:szCs w:val="24"/>
          <w:lang w:val="en-US" w:eastAsia="zh-CN" w:bidi="ar-SA"/>
          <w14:ligatures w14:val="standardContextual"/>
        </w:rPr>
        <w:t>/年的等值线（黄色）内无一般防护目标中的二类防护目标；该公司西侧为前阳老煤厂（非危险化学品工业企业，当班人数100人以下，属于一般防护目标中的三类防护目标）不在可容许个人风险3×10</w:t>
      </w:r>
      <w:r>
        <w:rPr>
          <w:rFonts w:hint="eastAsia" w:ascii="Times New Roman" w:hAnsi="Times New Roman" w:eastAsia="宋体" w:cstheme="minorBidi"/>
          <w:kern w:val="2"/>
          <w:sz w:val="28"/>
          <w:szCs w:val="24"/>
          <w:vertAlign w:val="superscript"/>
          <w:lang w:val="en-US" w:eastAsia="zh-CN" w:bidi="ar-SA"/>
          <w14:ligatures w14:val="standardContextual"/>
        </w:rPr>
        <w:t>-5</w:t>
      </w:r>
      <w:r>
        <w:rPr>
          <w:rFonts w:hint="eastAsia" w:ascii="Times New Roman" w:hAnsi="Times New Roman" w:eastAsia="宋体" w:cstheme="minorBidi"/>
          <w:kern w:val="2"/>
          <w:sz w:val="28"/>
          <w:szCs w:val="24"/>
          <w:lang w:val="en-US" w:eastAsia="zh-CN" w:bidi="ar-SA"/>
          <w14:ligatures w14:val="standardContextual"/>
        </w:rPr>
        <w:t>/年的等值线（红色）内；该公司重大危险源生产装置和储存设施的个人风险是可以接受的。</w:t>
      </w:r>
    </w:p>
    <w:p w14:paraId="45BF2CD8">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因此，国能安储（东港）燃料供应有限公司的个人风险可接受。</w:t>
      </w:r>
    </w:p>
    <w:p w14:paraId="616237B3">
      <w:pPr>
        <w:widowControl w:val="0"/>
        <w:adjustRightInd w:val="0"/>
        <w:snapToGrid w:val="0"/>
        <w:spacing w:before="156" w:beforeLines="50" w:after="156" w:afterLines="50" w:line="360" w:lineRule="auto"/>
        <w:ind w:firstLine="562"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6.1.4社会风险分析</w:t>
      </w:r>
    </w:p>
    <w:p w14:paraId="51E63CEA">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（1）区域总体社会风险等值线见下图。</w:t>
      </w:r>
    </w:p>
    <w:p w14:paraId="6AB8BCD1">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p>
    <w:p w14:paraId="04E58879">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w:t>
      </w:r>
      <w:r>
        <w:rPr>
          <w:rFonts w:hint="eastAsia" w:ascii="Times New Roman" w:hAnsi="Times New Roman" w:eastAsia="黑体" w:cs="Times New Roman"/>
          <w:kern w:val="2"/>
          <w:sz w:val="24"/>
          <w:szCs w:val="24"/>
          <w:lang w:val="en-US" w:eastAsia="zh-CN" w:bidi="ar-SA"/>
          <w14:ligatures w14:val="standardContextual"/>
        </w:rPr>
        <w:t>6.1-11</w:t>
      </w:r>
      <w:r>
        <w:rPr>
          <w:rFonts w:hint="default" w:ascii="Times New Roman" w:hAnsi="Times New Roman" w:eastAsia="黑体" w:cs="Times New Roman"/>
          <w:kern w:val="2"/>
          <w:sz w:val="24"/>
          <w:szCs w:val="24"/>
          <w:lang w:val="en-US" w:eastAsia="zh-CN" w:bidi="ar-SA"/>
          <w14:ligatures w14:val="standardContextual"/>
        </w:rPr>
        <w:t xml:space="preserve">  </w:t>
      </w:r>
      <w:r>
        <w:rPr>
          <w:rFonts w:hint="eastAsia" w:ascii="Times New Roman" w:hAnsi="Times New Roman" w:eastAsia="黑体" w:cs="Times New Roman"/>
          <w:kern w:val="2"/>
          <w:sz w:val="24"/>
          <w:szCs w:val="24"/>
          <w:lang w:val="en-US" w:eastAsia="zh-CN" w:bidi="ar-SA"/>
          <w14:ligatures w14:val="standardContextual"/>
        </w:rPr>
        <w:t>区域总体</w:t>
      </w:r>
      <w:r>
        <w:rPr>
          <w:rFonts w:hint="default" w:ascii="Times New Roman" w:hAnsi="Times New Roman" w:eastAsia="黑体" w:cs="Times New Roman"/>
          <w:kern w:val="2"/>
          <w:sz w:val="24"/>
          <w:szCs w:val="24"/>
          <w:lang w:val="en-US" w:eastAsia="zh-CN" w:bidi="ar-SA"/>
          <w14:ligatures w14:val="standardContextual"/>
        </w:rPr>
        <w:t>社会风险</w:t>
      </w:r>
      <w:r>
        <w:rPr>
          <w:rFonts w:hint="eastAsia" w:ascii="黑体" w:hAnsi="黑体" w:eastAsia="黑体" w:cstheme="minorBidi"/>
          <w:kern w:val="2"/>
          <w:sz w:val="24"/>
          <w:szCs w:val="24"/>
          <w:lang w:val="en-US" w:eastAsia="zh-CN" w:bidi="ar-SA"/>
          <w14:ligatures w14:val="standardContextual"/>
        </w:rPr>
        <w:t>等值线图</w:t>
      </w:r>
    </w:p>
    <w:p w14:paraId="4625E31E">
      <w:pPr>
        <w:widowControl w:val="0"/>
        <w:numPr>
          <w:ilvl w:val="0"/>
          <w:numId w:val="14"/>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1#柴油储罐社会风险等值线见下图。</w:t>
      </w:r>
    </w:p>
    <w:p w14:paraId="5779533A">
      <w:pPr>
        <w:widowControl w:val="0"/>
        <w:numPr>
          <w:ilvl w:val="0"/>
          <w:numId w:val="0"/>
        </w:numPr>
        <w:adjustRightInd w:val="0"/>
        <w:snapToGrid w:val="0"/>
        <w:spacing w:after="0" w:line="360" w:lineRule="auto"/>
        <w:jc w:val="center"/>
        <w:rPr>
          <w:rFonts w:hint="eastAsia" w:eastAsiaTheme="minorEastAsia"/>
          <w:lang w:eastAsia="zh-CN"/>
        </w:rPr>
      </w:pPr>
    </w:p>
    <w:p w14:paraId="7BCD0C90">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eastAsia" w:ascii="Times New Roman" w:hAnsi="Times New Roman" w:eastAsia="黑体" w:cs="Times New Roman"/>
          <w:sz w:val="24"/>
          <w:lang w:val="en-US" w:eastAsia="zh-CN"/>
        </w:rPr>
        <w:t>6.1-12</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1#柴油储罐</w:t>
      </w:r>
      <w:r>
        <w:rPr>
          <w:rFonts w:hint="default" w:ascii="Times New Roman" w:hAnsi="Times New Roman" w:eastAsia="黑体" w:cs="Times New Roman"/>
          <w:sz w:val="24"/>
        </w:rPr>
        <w:t>社会风险</w:t>
      </w:r>
      <w:r>
        <w:rPr>
          <w:rFonts w:hint="eastAsia" w:ascii="黑体" w:hAnsi="黑体" w:eastAsia="黑体"/>
          <w:sz w:val="24"/>
        </w:rPr>
        <w:t>等值线图</w:t>
      </w:r>
    </w:p>
    <w:p w14:paraId="4BFB5413">
      <w:pPr>
        <w:widowControl w:val="0"/>
        <w:numPr>
          <w:ilvl w:val="0"/>
          <w:numId w:val="14"/>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2#柴油储罐社会风险等值线见下图。</w:t>
      </w:r>
    </w:p>
    <w:p w14:paraId="62A497A0">
      <w:pPr>
        <w:widowControl w:val="0"/>
        <w:numPr>
          <w:ilvl w:val="0"/>
          <w:numId w:val="0"/>
        </w:numPr>
        <w:adjustRightInd w:val="0"/>
        <w:snapToGrid w:val="0"/>
        <w:spacing w:after="0" w:line="360" w:lineRule="auto"/>
        <w:jc w:val="center"/>
        <w:rPr>
          <w:rFonts w:hint="eastAsia" w:eastAsiaTheme="minorEastAsia"/>
          <w:lang w:eastAsia="zh-CN"/>
        </w:rPr>
      </w:pPr>
    </w:p>
    <w:p w14:paraId="1825019B">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eastAsia" w:ascii="Times New Roman" w:hAnsi="Times New Roman" w:eastAsia="黑体" w:cs="Times New Roman"/>
          <w:sz w:val="24"/>
          <w:lang w:val="en-US" w:eastAsia="zh-CN"/>
        </w:rPr>
        <w:t>6.1-13</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2#柴油储罐</w:t>
      </w:r>
      <w:r>
        <w:rPr>
          <w:rFonts w:hint="default" w:ascii="Times New Roman" w:hAnsi="Times New Roman" w:eastAsia="黑体" w:cs="Times New Roman"/>
          <w:sz w:val="24"/>
        </w:rPr>
        <w:t>社会风险</w:t>
      </w:r>
      <w:r>
        <w:rPr>
          <w:rFonts w:hint="eastAsia" w:ascii="黑体" w:hAnsi="黑体" w:eastAsia="黑体"/>
          <w:sz w:val="24"/>
        </w:rPr>
        <w:t>等值线图</w:t>
      </w:r>
    </w:p>
    <w:p w14:paraId="77982C39">
      <w:pPr>
        <w:widowControl w:val="0"/>
        <w:numPr>
          <w:ilvl w:val="0"/>
          <w:numId w:val="14"/>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3#柴油储罐社会风险等值线见下图。</w:t>
      </w:r>
    </w:p>
    <w:p w14:paraId="71D68C74">
      <w:pPr>
        <w:widowControl w:val="0"/>
        <w:numPr>
          <w:ilvl w:val="0"/>
          <w:numId w:val="0"/>
        </w:numPr>
        <w:adjustRightInd w:val="0"/>
        <w:snapToGrid w:val="0"/>
        <w:spacing w:after="0" w:line="360" w:lineRule="auto"/>
        <w:jc w:val="center"/>
        <w:rPr>
          <w:rFonts w:hint="eastAsia" w:eastAsiaTheme="minorEastAsia"/>
          <w:lang w:eastAsia="zh-CN"/>
        </w:rPr>
      </w:pPr>
    </w:p>
    <w:p w14:paraId="395BA662">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eastAsia" w:ascii="Times New Roman" w:hAnsi="Times New Roman" w:eastAsia="黑体" w:cs="Times New Roman"/>
          <w:sz w:val="24"/>
          <w:lang w:val="en-US" w:eastAsia="zh-CN"/>
        </w:rPr>
        <w:t>6.1-14</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3#柴油储罐</w:t>
      </w:r>
      <w:r>
        <w:rPr>
          <w:rFonts w:hint="default" w:ascii="Times New Roman" w:hAnsi="Times New Roman" w:eastAsia="黑体" w:cs="Times New Roman"/>
          <w:sz w:val="24"/>
        </w:rPr>
        <w:t>社会风险</w:t>
      </w:r>
      <w:r>
        <w:rPr>
          <w:rFonts w:hint="eastAsia" w:ascii="黑体" w:hAnsi="黑体" w:eastAsia="黑体"/>
          <w:sz w:val="24"/>
        </w:rPr>
        <w:t>等值线图</w:t>
      </w:r>
    </w:p>
    <w:p w14:paraId="32A909F9">
      <w:pPr>
        <w:widowControl w:val="0"/>
        <w:numPr>
          <w:ilvl w:val="0"/>
          <w:numId w:val="14"/>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4#柴油储罐社会风险等值线见下图。</w:t>
      </w:r>
    </w:p>
    <w:p w14:paraId="1015D839">
      <w:pPr>
        <w:widowControl w:val="0"/>
        <w:numPr>
          <w:ilvl w:val="0"/>
          <w:numId w:val="0"/>
        </w:numPr>
        <w:adjustRightInd w:val="0"/>
        <w:snapToGrid w:val="0"/>
        <w:spacing w:after="0" w:line="360" w:lineRule="auto"/>
        <w:jc w:val="center"/>
        <w:rPr>
          <w:rFonts w:hint="eastAsia" w:eastAsiaTheme="minorEastAsia"/>
          <w:lang w:eastAsia="zh-CN"/>
        </w:rPr>
      </w:pPr>
    </w:p>
    <w:p w14:paraId="72920FF1">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eastAsia" w:ascii="Times New Roman" w:hAnsi="Times New Roman" w:eastAsia="黑体" w:cs="Times New Roman"/>
          <w:sz w:val="24"/>
          <w:lang w:val="en-US" w:eastAsia="zh-CN"/>
        </w:rPr>
        <w:t>6.1-15</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4#柴油储罐</w:t>
      </w:r>
      <w:r>
        <w:rPr>
          <w:rFonts w:hint="default" w:ascii="Times New Roman" w:hAnsi="Times New Roman" w:eastAsia="黑体" w:cs="Times New Roman"/>
          <w:sz w:val="24"/>
        </w:rPr>
        <w:t>社会风险</w:t>
      </w:r>
      <w:r>
        <w:rPr>
          <w:rFonts w:hint="eastAsia" w:ascii="黑体" w:hAnsi="黑体" w:eastAsia="黑体"/>
          <w:sz w:val="24"/>
        </w:rPr>
        <w:t>等值线图</w:t>
      </w:r>
    </w:p>
    <w:p w14:paraId="6FB0B0DB">
      <w:pPr>
        <w:widowControl w:val="0"/>
        <w:numPr>
          <w:ilvl w:val="0"/>
          <w:numId w:val="14"/>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5#柴油储罐社会风险等值线见下图。</w:t>
      </w:r>
    </w:p>
    <w:p w14:paraId="2BBB1EFB">
      <w:pPr>
        <w:widowControl w:val="0"/>
        <w:numPr>
          <w:ilvl w:val="0"/>
          <w:numId w:val="0"/>
        </w:numPr>
        <w:adjustRightInd w:val="0"/>
        <w:snapToGrid w:val="0"/>
        <w:spacing w:after="0" w:line="360" w:lineRule="auto"/>
        <w:jc w:val="center"/>
        <w:rPr>
          <w:rFonts w:hint="eastAsia" w:eastAsiaTheme="minorEastAsia"/>
          <w:lang w:eastAsia="zh-CN"/>
        </w:rPr>
      </w:pPr>
    </w:p>
    <w:p w14:paraId="5C914FC4">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eastAsia" w:ascii="Times New Roman" w:hAnsi="Times New Roman" w:eastAsia="黑体" w:cs="Times New Roman"/>
          <w:sz w:val="24"/>
          <w:lang w:val="en-US" w:eastAsia="zh-CN"/>
        </w:rPr>
        <w:t>6.1-16</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5#柴油储罐</w:t>
      </w:r>
      <w:r>
        <w:rPr>
          <w:rFonts w:hint="default" w:ascii="Times New Roman" w:hAnsi="Times New Roman" w:eastAsia="黑体" w:cs="Times New Roman"/>
          <w:sz w:val="24"/>
        </w:rPr>
        <w:t>社会风险</w:t>
      </w:r>
      <w:r>
        <w:rPr>
          <w:rFonts w:hint="eastAsia" w:ascii="黑体" w:hAnsi="黑体" w:eastAsia="黑体"/>
          <w:sz w:val="24"/>
        </w:rPr>
        <w:t>等值线图</w:t>
      </w:r>
    </w:p>
    <w:p w14:paraId="2FD9E571">
      <w:pPr>
        <w:widowControl w:val="0"/>
        <w:numPr>
          <w:ilvl w:val="0"/>
          <w:numId w:val="14"/>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6#柴油储罐社会风险等值线见下图。</w:t>
      </w:r>
    </w:p>
    <w:p w14:paraId="542F3D8A">
      <w:pPr>
        <w:widowControl w:val="0"/>
        <w:numPr>
          <w:ilvl w:val="0"/>
          <w:numId w:val="0"/>
        </w:numPr>
        <w:adjustRightInd w:val="0"/>
        <w:snapToGrid w:val="0"/>
        <w:spacing w:after="0" w:line="360" w:lineRule="auto"/>
        <w:jc w:val="center"/>
        <w:rPr>
          <w:rFonts w:hint="eastAsia" w:eastAsiaTheme="minorEastAsia"/>
          <w:lang w:eastAsia="zh-CN"/>
        </w:rPr>
      </w:pPr>
    </w:p>
    <w:p w14:paraId="12A8905C">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eastAsia" w:ascii="Times New Roman" w:hAnsi="Times New Roman" w:eastAsia="黑体" w:cs="Times New Roman"/>
          <w:sz w:val="24"/>
          <w:lang w:val="en-US" w:eastAsia="zh-CN"/>
        </w:rPr>
        <w:t>6.1-17</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6#柴油储罐</w:t>
      </w:r>
      <w:r>
        <w:rPr>
          <w:rFonts w:hint="default" w:ascii="Times New Roman" w:hAnsi="Times New Roman" w:eastAsia="黑体" w:cs="Times New Roman"/>
          <w:sz w:val="24"/>
        </w:rPr>
        <w:t>社会风险</w:t>
      </w:r>
      <w:r>
        <w:rPr>
          <w:rFonts w:hint="eastAsia" w:ascii="黑体" w:hAnsi="黑体" w:eastAsia="黑体"/>
          <w:sz w:val="24"/>
        </w:rPr>
        <w:t>等值线图</w:t>
      </w:r>
    </w:p>
    <w:p w14:paraId="461E6F84">
      <w:pPr>
        <w:widowControl w:val="0"/>
        <w:numPr>
          <w:ilvl w:val="0"/>
          <w:numId w:val="14"/>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7#柴油储罐社会风险等值线见下图。</w:t>
      </w:r>
    </w:p>
    <w:p w14:paraId="3BE208E6">
      <w:pPr>
        <w:widowControl w:val="0"/>
        <w:numPr>
          <w:ilvl w:val="0"/>
          <w:numId w:val="0"/>
        </w:numPr>
        <w:adjustRightInd w:val="0"/>
        <w:snapToGrid w:val="0"/>
        <w:spacing w:after="0" w:line="360" w:lineRule="auto"/>
        <w:jc w:val="center"/>
        <w:rPr>
          <w:rFonts w:hint="eastAsia" w:eastAsiaTheme="minorEastAsia"/>
          <w:lang w:eastAsia="zh-CN"/>
        </w:rPr>
      </w:pPr>
    </w:p>
    <w:p w14:paraId="0E333B5F">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eastAsia" w:ascii="Times New Roman" w:hAnsi="Times New Roman" w:eastAsia="黑体" w:cs="Times New Roman"/>
          <w:sz w:val="24"/>
          <w:lang w:val="en-US" w:eastAsia="zh-CN"/>
        </w:rPr>
        <w:t>6.1-18</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7#柴油储罐</w:t>
      </w:r>
      <w:r>
        <w:rPr>
          <w:rFonts w:hint="default" w:ascii="Times New Roman" w:hAnsi="Times New Roman" w:eastAsia="黑体" w:cs="Times New Roman"/>
          <w:sz w:val="24"/>
        </w:rPr>
        <w:t>社会风险</w:t>
      </w:r>
      <w:r>
        <w:rPr>
          <w:rFonts w:hint="eastAsia" w:ascii="黑体" w:hAnsi="黑体" w:eastAsia="黑体"/>
          <w:sz w:val="24"/>
        </w:rPr>
        <w:t>等值线图</w:t>
      </w:r>
    </w:p>
    <w:p w14:paraId="5DB7C762">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从社会风险曲线图6.1-11可以看出，国能安储（东港）燃料供应有限公司的社会风险曲线（红色线）进入“可接受区”。</w:t>
      </w:r>
    </w:p>
    <w:p w14:paraId="1077BEFA">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因此，国能安储（东港）燃料供应有限公司的社会风险是可以接受的。本评估报告采用定量风险评价方法，经过定量评估，国能安储（东港）燃料供应有限公司个人风险和社会风险均可接受。</w:t>
      </w:r>
    </w:p>
    <w:p w14:paraId="7DBDAB44">
      <w:pPr>
        <w:widowControl w:val="0"/>
        <w:adjustRightInd w:val="0"/>
        <w:snapToGrid w:val="0"/>
        <w:spacing w:before="156" w:beforeLines="50" w:after="156" w:afterLines="50" w:line="360" w:lineRule="auto"/>
        <w:ind w:firstLine="562"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6.1.5潜在生命损失</w:t>
      </w:r>
    </w:p>
    <w:p w14:paraId="1F35BDFD">
      <w:pPr>
        <w:keepNext/>
        <w:keepLines/>
        <w:widowControl w:val="0"/>
        <w:spacing w:before="156" w:beforeLines="50" w:after="156" w:afterLines="50" w:line="240" w:lineRule="auto"/>
        <w:ind w:firstLine="0" w:firstLineChars="0"/>
        <w:jc w:val="center"/>
        <w:rPr>
          <w:rFonts w:hint="eastAsia"/>
          <w:lang w:val="en-US" w:eastAsia="zh-CN"/>
        </w:rPr>
      </w:pPr>
      <w:r>
        <w:rPr>
          <w:rFonts w:hint="eastAsia" w:ascii="黑体" w:hAnsi="黑体" w:eastAsia="黑体" w:cstheme="minorBidi"/>
          <w:kern w:val="2"/>
          <w:sz w:val="24"/>
          <w:szCs w:val="24"/>
          <w:lang w:val="en-US" w:eastAsia="zh-CN" w:bidi="ar-SA"/>
          <w14:ligatures w14:val="standardContextual"/>
        </w:rPr>
        <w:t>表</w:t>
      </w:r>
      <w:r>
        <w:rPr>
          <w:rFonts w:hint="eastAsia" w:ascii="Times New Roman" w:hAnsi="Times New Roman" w:eastAsia="黑体" w:cs="Times New Roman"/>
          <w:kern w:val="2"/>
          <w:sz w:val="24"/>
          <w:szCs w:val="24"/>
          <w:lang w:val="en-US" w:eastAsia="zh-CN" w:bidi="ar-SA"/>
          <w14:ligatures w14:val="standardContextual"/>
        </w:rPr>
        <w:t>6</w:t>
      </w:r>
      <w:r>
        <w:rPr>
          <w:rFonts w:ascii="Times New Roman" w:hAnsi="Times New Roman" w:eastAsia="黑体" w:cs="Times New Roman"/>
          <w:kern w:val="2"/>
          <w:sz w:val="24"/>
          <w:szCs w:val="24"/>
          <w:lang w:val="en-US" w:eastAsia="zh-CN" w:bidi="ar-SA"/>
          <w14:ligatures w14:val="standardContextual"/>
        </w:rPr>
        <w:t>.</w:t>
      </w:r>
      <w:r>
        <w:rPr>
          <w:rFonts w:hint="eastAsia" w:ascii="Times New Roman" w:hAnsi="Times New Roman" w:eastAsia="黑体" w:cs="Times New Roman"/>
          <w:kern w:val="2"/>
          <w:sz w:val="24"/>
          <w:szCs w:val="24"/>
          <w:lang w:val="en-US" w:eastAsia="zh-CN" w:bidi="ar-SA"/>
          <w14:ligatures w14:val="standardContextual"/>
        </w:rPr>
        <w:t>1</w:t>
      </w:r>
      <w:r>
        <w:rPr>
          <w:rFonts w:ascii="Times New Roman" w:hAnsi="Times New Roman" w:eastAsia="黑体" w:cs="Times New Roman"/>
          <w:kern w:val="2"/>
          <w:sz w:val="24"/>
          <w:szCs w:val="24"/>
          <w:lang w:val="en-US" w:eastAsia="zh-CN" w:bidi="ar-SA"/>
          <w14:ligatures w14:val="standardContextual"/>
        </w:rPr>
        <w:t>-</w:t>
      </w:r>
      <w:r>
        <w:rPr>
          <w:rFonts w:hint="eastAsia" w:ascii="Times New Roman" w:hAnsi="Times New Roman" w:eastAsia="黑体" w:cs="Times New Roman"/>
          <w:kern w:val="2"/>
          <w:sz w:val="24"/>
          <w:szCs w:val="24"/>
          <w:lang w:val="en-US" w:eastAsia="zh-CN" w:bidi="ar-SA"/>
          <w14:ligatures w14:val="standardContextual"/>
        </w:rPr>
        <w:t>25</w:t>
      </w:r>
      <w:r>
        <w:rPr>
          <w:rFonts w:hint="eastAsia" w:ascii="黑体" w:hAnsi="黑体" w:eastAsia="黑体" w:cstheme="minorBidi"/>
          <w:kern w:val="2"/>
          <w:sz w:val="24"/>
          <w:szCs w:val="24"/>
          <w:lang w:val="en-US" w:eastAsia="zh-CN" w:bidi="ar-SA"/>
          <w14:ligatures w14:val="standardContextual"/>
        </w:rPr>
        <w:t xml:space="preserve">  事潜在生命损失表</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41C9E42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5F779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装置/区域名称</w:t>
            </w:r>
          </w:p>
        </w:tc>
        <w:tc>
          <w:tcPr>
            <w:tcW w:w="4147" w:type="dxa"/>
            <w:shd w:val="clear" w:color="auto" w:fill="auto"/>
            <w:vAlign w:val="center"/>
          </w:tcPr>
          <w:p w14:paraId="33BECA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潜在生命损失（PLL）</w:t>
            </w:r>
          </w:p>
        </w:tc>
      </w:tr>
      <w:tr w14:paraId="4243B25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5DCDCF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区域总体</w:t>
            </w:r>
          </w:p>
        </w:tc>
        <w:tc>
          <w:tcPr>
            <w:tcW w:w="4147" w:type="dxa"/>
            <w:shd w:val="clear" w:color="auto" w:fill="auto"/>
            <w:vAlign w:val="center"/>
          </w:tcPr>
          <w:p w14:paraId="3CF043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0.003743253473775886</w:t>
            </w:r>
          </w:p>
        </w:tc>
      </w:tr>
      <w:tr w14:paraId="4CE099B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475927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w:t>
            </w:r>
            <w:r>
              <w:rPr>
                <w:rFonts w:hint="default" w:ascii="Times New Roman" w:hAnsi="Times New Roman" w:eastAsia="宋体" w:cs="Times New Roman"/>
                <w:b w:val="0"/>
                <w:bCs/>
                <w:sz w:val="21"/>
                <w:szCs w:val="21"/>
              </w:rPr>
              <w:t>柴油储罐</w:t>
            </w:r>
          </w:p>
        </w:tc>
        <w:tc>
          <w:tcPr>
            <w:tcW w:w="4147" w:type="dxa"/>
            <w:shd w:val="clear" w:color="auto" w:fill="auto"/>
            <w:vAlign w:val="center"/>
          </w:tcPr>
          <w:p w14:paraId="59CFCD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5.10E-4</w:t>
            </w:r>
          </w:p>
        </w:tc>
      </w:tr>
      <w:tr w14:paraId="2A5B7AB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80B43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w:t>
            </w:r>
            <w:r>
              <w:rPr>
                <w:rFonts w:hint="default" w:ascii="Times New Roman" w:hAnsi="Times New Roman" w:eastAsia="宋体" w:cs="Times New Roman"/>
                <w:b w:val="0"/>
                <w:bCs/>
                <w:sz w:val="21"/>
                <w:szCs w:val="21"/>
              </w:rPr>
              <w:t>柴油储罐</w:t>
            </w:r>
          </w:p>
        </w:tc>
        <w:tc>
          <w:tcPr>
            <w:tcW w:w="4147" w:type="dxa"/>
            <w:shd w:val="clear" w:color="auto" w:fill="auto"/>
            <w:vAlign w:val="center"/>
          </w:tcPr>
          <w:p w14:paraId="174445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5.68E-4</w:t>
            </w:r>
          </w:p>
        </w:tc>
      </w:tr>
      <w:tr w14:paraId="78C1060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1A065F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3#</w:t>
            </w:r>
            <w:r>
              <w:rPr>
                <w:rFonts w:hint="default" w:ascii="Times New Roman" w:hAnsi="Times New Roman" w:eastAsia="宋体" w:cs="Times New Roman"/>
                <w:b w:val="0"/>
                <w:bCs/>
                <w:sz w:val="21"/>
                <w:szCs w:val="21"/>
              </w:rPr>
              <w:t>柴油储罐</w:t>
            </w:r>
          </w:p>
        </w:tc>
        <w:tc>
          <w:tcPr>
            <w:tcW w:w="4147" w:type="dxa"/>
            <w:shd w:val="clear" w:color="auto" w:fill="auto"/>
            <w:vAlign w:val="center"/>
          </w:tcPr>
          <w:p w14:paraId="012507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5.00E-4</w:t>
            </w:r>
          </w:p>
        </w:tc>
      </w:tr>
      <w:tr w14:paraId="2171C54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5B6357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4#</w:t>
            </w:r>
            <w:r>
              <w:rPr>
                <w:rFonts w:hint="default" w:ascii="Times New Roman" w:hAnsi="Times New Roman" w:eastAsia="宋体" w:cs="Times New Roman"/>
                <w:b w:val="0"/>
                <w:bCs/>
                <w:sz w:val="21"/>
                <w:szCs w:val="21"/>
              </w:rPr>
              <w:t>柴油储罐</w:t>
            </w:r>
          </w:p>
        </w:tc>
        <w:tc>
          <w:tcPr>
            <w:tcW w:w="4147" w:type="dxa"/>
            <w:shd w:val="clear" w:color="auto" w:fill="auto"/>
            <w:vAlign w:val="center"/>
          </w:tcPr>
          <w:p w14:paraId="204704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5.67E-4</w:t>
            </w:r>
          </w:p>
        </w:tc>
      </w:tr>
      <w:tr w14:paraId="71435E7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02EF8B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5#</w:t>
            </w:r>
            <w:r>
              <w:rPr>
                <w:rFonts w:hint="default" w:ascii="Times New Roman" w:hAnsi="Times New Roman" w:eastAsia="宋体" w:cs="Times New Roman"/>
                <w:b w:val="0"/>
                <w:bCs/>
                <w:sz w:val="21"/>
                <w:szCs w:val="21"/>
              </w:rPr>
              <w:t>柴油储罐</w:t>
            </w:r>
          </w:p>
        </w:tc>
        <w:tc>
          <w:tcPr>
            <w:tcW w:w="4147" w:type="dxa"/>
            <w:shd w:val="clear" w:color="auto" w:fill="auto"/>
            <w:vAlign w:val="center"/>
          </w:tcPr>
          <w:p w14:paraId="4CDED6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5.33E-4</w:t>
            </w:r>
          </w:p>
        </w:tc>
      </w:tr>
      <w:tr w14:paraId="6848B35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61FB6E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w:t>
            </w:r>
            <w:r>
              <w:rPr>
                <w:rFonts w:hint="default" w:ascii="Times New Roman" w:hAnsi="Times New Roman" w:eastAsia="宋体" w:cs="Times New Roman"/>
                <w:b w:val="0"/>
                <w:bCs/>
                <w:sz w:val="21"/>
                <w:szCs w:val="21"/>
              </w:rPr>
              <w:t>柴油储罐</w:t>
            </w:r>
          </w:p>
        </w:tc>
        <w:tc>
          <w:tcPr>
            <w:tcW w:w="4147" w:type="dxa"/>
            <w:shd w:val="clear" w:color="auto" w:fill="auto"/>
            <w:vAlign w:val="center"/>
          </w:tcPr>
          <w:p w14:paraId="4E534A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4.99E-4</w:t>
            </w:r>
          </w:p>
        </w:tc>
      </w:tr>
      <w:tr w14:paraId="2B85624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5147A8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7#</w:t>
            </w:r>
            <w:r>
              <w:rPr>
                <w:rFonts w:hint="default" w:ascii="Times New Roman" w:hAnsi="Times New Roman" w:eastAsia="宋体" w:cs="Times New Roman"/>
                <w:b w:val="0"/>
                <w:bCs/>
                <w:sz w:val="21"/>
                <w:szCs w:val="21"/>
              </w:rPr>
              <w:t>柴油储罐</w:t>
            </w:r>
          </w:p>
        </w:tc>
        <w:tc>
          <w:tcPr>
            <w:tcW w:w="4147" w:type="dxa"/>
            <w:shd w:val="clear" w:color="auto" w:fill="auto"/>
            <w:vAlign w:val="center"/>
          </w:tcPr>
          <w:p w14:paraId="3D0040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5.66E-4</w:t>
            </w:r>
          </w:p>
        </w:tc>
      </w:tr>
    </w:tbl>
    <w:p w14:paraId="0368697D">
      <w:pPr>
        <w:widowControl w:val="0"/>
        <w:adjustRightInd w:val="0"/>
        <w:snapToGrid w:val="0"/>
        <w:spacing w:before="312" w:beforeLines="100" w:after="312" w:afterLines="100" w:line="360" w:lineRule="auto"/>
        <w:ind w:firstLine="0" w:firstLineChars="0"/>
        <w:jc w:val="center"/>
        <w:outlineLvl w:val="1"/>
        <w:rPr>
          <w:rFonts w:hint="eastAsia" w:ascii="楷体" w:hAnsi="楷体" w:eastAsia="楷体" w:cstheme="minorBidi"/>
          <w:b/>
          <w:bCs/>
          <w:kern w:val="2"/>
          <w:sz w:val="32"/>
          <w:szCs w:val="32"/>
          <w:lang w:val="en-US" w:eastAsia="zh-CN" w:bidi="ar-SA"/>
          <w14:ligatures w14:val="standardContextual"/>
        </w:rPr>
      </w:pPr>
      <w:bookmarkStart w:id="142" w:name="_Toc6685"/>
      <w:bookmarkStart w:id="143" w:name="_Toc4203"/>
      <w:bookmarkStart w:id="144" w:name="_Toc177715711"/>
      <w:r>
        <w:rPr>
          <w:rFonts w:hint="eastAsia" w:ascii="Times New Roman" w:hAnsi="Times New Roman" w:eastAsia="楷体" w:cs="Times New Roman"/>
          <w:b/>
          <w:bCs/>
          <w:kern w:val="2"/>
          <w:sz w:val="32"/>
          <w:szCs w:val="32"/>
          <w:lang w:val="en-US" w:eastAsia="zh-CN" w:bidi="ar-SA"/>
          <w14:ligatures w14:val="standardContextual"/>
        </w:rPr>
        <w:t>6</w:t>
      </w:r>
      <w:r>
        <w:rPr>
          <w:rFonts w:ascii="Times New Roman" w:hAnsi="Times New Roman" w:eastAsia="楷体" w:cs="Times New Roman"/>
          <w:b/>
          <w:bCs/>
          <w:kern w:val="2"/>
          <w:sz w:val="32"/>
          <w:szCs w:val="32"/>
          <w:lang w:val="en-US" w:eastAsia="zh-CN" w:bidi="ar-SA"/>
          <w14:ligatures w14:val="standardContextual"/>
        </w:rPr>
        <w:t>.</w:t>
      </w:r>
      <w:r>
        <w:rPr>
          <w:rFonts w:hint="eastAsia" w:ascii="Times New Roman" w:hAnsi="Times New Roman" w:eastAsia="楷体" w:cs="Times New Roman"/>
          <w:b/>
          <w:bCs/>
          <w:kern w:val="2"/>
          <w:sz w:val="32"/>
          <w:szCs w:val="32"/>
          <w:lang w:val="en-US" w:eastAsia="zh-CN" w:bidi="ar-SA"/>
          <w14:ligatures w14:val="standardContextual"/>
        </w:rPr>
        <w:t>2</w:t>
      </w:r>
      <w:r>
        <w:rPr>
          <w:rFonts w:hint="eastAsia" w:ascii="楷体" w:hAnsi="楷体" w:eastAsia="楷体" w:cstheme="minorBidi"/>
          <w:b/>
          <w:bCs/>
          <w:kern w:val="2"/>
          <w:sz w:val="32"/>
          <w:szCs w:val="32"/>
          <w:lang w:val="en-US" w:eastAsia="zh-CN" w:bidi="ar-SA"/>
          <w14:ligatures w14:val="standardContextual"/>
        </w:rPr>
        <w:t>事故后果模拟</w:t>
      </w:r>
      <w:bookmarkEnd w:id="142"/>
      <w:bookmarkEnd w:id="143"/>
      <w:bookmarkEnd w:id="144"/>
    </w:p>
    <w:p w14:paraId="312FF6CF">
      <w:pPr>
        <w:pStyle w:val="39"/>
        <w:tabs>
          <w:tab w:val="center" w:pos="4153"/>
        </w:tabs>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输出距离是距离装置原点的距离</w:t>
      </w:r>
    </w:p>
    <w:p w14:paraId="765C0EA1">
      <w:pPr>
        <w:keepNext/>
        <w:keepLines/>
        <w:widowControl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eastAsia" w:ascii="黑体" w:hAnsi="黑体" w:eastAsia="黑体" w:cstheme="minorBidi"/>
          <w:kern w:val="2"/>
          <w:sz w:val="24"/>
          <w:szCs w:val="24"/>
          <w:lang w:val="en-US" w:eastAsia="zh-CN" w:bidi="ar-SA"/>
          <w14:ligatures w14:val="standardContextual"/>
        </w:rPr>
        <w:t>表</w:t>
      </w:r>
      <w:r>
        <w:rPr>
          <w:rFonts w:hint="eastAsia" w:ascii="Times New Roman" w:hAnsi="Times New Roman" w:eastAsia="黑体" w:cs="Times New Roman"/>
          <w:kern w:val="2"/>
          <w:sz w:val="24"/>
          <w:szCs w:val="24"/>
          <w:lang w:val="en-US" w:eastAsia="zh-CN" w:bidi="ar-SA"/>
          <w14:ligatures w14:val="standardContextual"/>
        </w:rPr>
        <w:t>6</w:t>
      </w:r>
      <w:r>
        <w:rPr>
          <w:rFonts w:ascii="Times New Roman" w:hAnsi="Times New Roman" w:eastAsia="黑体" w:cs="Times New Roman"/>
          <w:kern w:val="2"/>
          <w:sz w:val="24"/>
          <w:szCs w:val="24"/>
          <w:lang w:val="en-US" w:eastAsia="zh-CN" w:bidi="ar-SA"/>
          <w14:ligatures w14:val="standardContextual"/>
        </w:rPr>
        <w:t>.</w:t>
      </w:r>
      <w:r>
        <w:rPr>
          <w:rFonts w:hint="eastAsia" w:ascii="Times New Roman" w:hAnsi="Times New Roman" w:eastAsia="黑体" w:cs="Times New Roman"/>
          <w:kern w:val="2"/>
          <w:sz w:val="24"/>
          <w:szCs w:val="24"/>
          <w:lang w:val="en-US" w:eastAsia="zh-CN" w:bidi="ar-SA"/>
          <w14:ligatures w14:val="standardContextual"/>
        </w:rPr>
        <w:t>2</w:t>
      </w:r>
      <w:r>
        <w:rPr>
          <w:rFonts w:ascii="Times New Roman" w:hAnsi="Times New Roman" w:eastAsia="黑体" w:cs="Times New Roman"/>
          <w:kern w:val="2"/>
          <w:sz w:val="24"/>
          <w:szCs w:val="24"/>
          <w:lang w:val="en-US" w:eastAsia="zh-CN" w:bidi="ar-SA"/>
          <w14:ligatures w14:val="standardContextual"/>
        </w:rPr>
        <w:t>-1</w:t>
      </w:r>
      <w:r>
        <w:rPr>
          <w:rFonts w:hint="eastAsia" w:ascii="黑体" w:hAnsi="黑体" w:eastAsia="黑体" w:cstheme="minorBidi"/>
          <w:kern w:val="2"/>
          <w:sz w:val="24"/>
          <w:szCs w:val="24"/>
          <w:lang w:val="en-US" w:eastAsia="zh-CN" w:bidi="ar-SA"/>
          <w14:ligatures w14:val="standardContextual"/>
        </w:rPr>
        <w:t xml:space="preserve">  事故后果数据表</w:t>
      </w:r>
    </w:p>
    <w:tbl>
      <w:tblPr>
        <w:tblStyle w:val="14"/>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175"/>
        <w:gridCol w:w="1175"/>
        <w:gridCol w:w="1175"/>
        <w:gridCol w:w="1175"/>
        <w:gridCol w:w="1175"/>
        <w:gridCol w:w="1175"/>
        <w:gridCol w:w="1175"/>
        <w:gridCol w:w="1175"/>
      </w:tblGrid>
      <w:tr w14:paraId="4CBA670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6E508C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装置名称</w:t>
            </w:r>
          </w:p>
        </w:tc>
        <w:tc>
          <w:tcPr>
            <w:tcW w:w="1036" w:type="dxa"/>
            <w:vMerge w:val="restart"/>
            <w:shd w:val="clear" w:color="auto" w:fill="auto"/>
            <w:vAlign w:val="center"/>
          </w:tcPr>
          <w:p w14:paraId="420651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1036" w:type="dxa"/>
            <w:vMerge w:val="restart"/>
            <w:shd w:val="clear" w:color="auto" w:fill="auto"/>
            <w:vAlign w:val="center"/>
          </w:tcPr>
          <w:p w14:paraId="5518C2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泄漏频率</w:t>
            </w:r>
          </w:p>
        </w:tc>
        <w:tc>
          <w:tcPr>
            <w:tcW w:w="1036" w:type="dxa"/>
            <w:vMerge w:val="restart"/>
            <w:shd w:val="clear" w:color="auto" w:fill="auto"/>
            <w:vAlign w:val="center"/>
          </w:tcPr>
          <w:p w14:paraId="46B7AE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事故类型</w:t>
            </w:r>
          </w:p>
        </w:tc>
        <w:tc>
          <w:tcPr>
            <w:tcW w:w="4144" w:type="dxa"/>
            <w:gridSpan w:val="4"/>
            <w:shd w:val="clear" w:color="auto" w:fill="auto"/>
            <w:vAlign w:val="center"/>
          </w:tcPr>
          <w:p w14:paraId="298D39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事故后果（m）</w:t>
            </w:r>
          </w:p>
        </w:tc>
      </w:tr>
      <w:tr w14:paraId="4D60BEF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B8B4B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12AE0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28FC6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AE8C2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43722D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死亡半径</w:t>
            </w:r>
          </w:p>
        </w:tc>
        <w:tc>
          <w:tcPr>
            <w:tcW w:w="1036" w:type="dxa"/>
            <w:shd w:val="clear" w:color="auto" w:fill="auto"/>
            <w:vAlign w:val="center"/>
          </w:tcPr>
          <w:p w14:paraId="2B2A6F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重伤半径</w:t>
            </w:r>
          </w:p>
        </w:tc>
        <w:tc>
          <w:tcPr>
            <w:tcW w:w="1036" w:type="dxa"/>
            <w:shd w:val="clear" w:color="auto" w:fill="auto"/>
            <w:vAlign w:val="center"/>
          </w:tcPr>
          <w:p w14:paraId="7A6A28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轻伤半径</w:t>
            </w:r>
          </w:p>
        </w:tc>
        <w:tc>
          <w:tcPr>
            <w:tcW w:w="1036" w:type="dxa"/>
            <w:shd w:val="clear" w:color="auto" w:fill="auto"/>
            <w:vAlign w:val="center"/>
          </w:tcPr>
          <w:p w14:paraId="684003D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财产损失半径</w:t>
            </w:r>
          </w:p>
        </w:tc>
      </w:tr>
      <w:tr w14:paraId="5008509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677AFF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0B8744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4411CD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08118F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70C18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6C4E15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2E6EBA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36A043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37550F9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5D85A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28B77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3FB47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A21E4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118E33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7CA937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5A6F57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62A894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747BA7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DD153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5AA55B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07F1BD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65C036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69A193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477560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38F447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6A092B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F8E193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F3E7C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E6C2D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4311EA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72C655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03C498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4843B5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09F23D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472770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5B97922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85535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5437444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61D64F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6B045E1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32D41A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639DB4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5B9C8D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265016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3E5E765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4AED0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998B9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AC456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6A1741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037FCF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15C3C2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1.10</w:t>
            </w:r>
          </w:p>
        </w:tc>
        <w:tc>
          <w:tcPr>
            <w:tcW w:w="1036" w:type="dxa"/>
            <w:shd w:val="clear" w:color="auto" w:fill="auto"/>
            <w:vAlign w:val="center"/>
          </w:tcPr>
          <w:p w14:paraId="169378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2.14</w:t>
            </w:r>
          </w:p>
        </w:tc>
        <w:tc>
          <w:tcPr>
            <w:tcW w:w="1036" w:type="dxa"/>
            <w:shd w:val="clear" w:color="auto" w:fill="auto"/>
            <w:vAlign w:val="center"/>
          </w:tcPr>
          <w:p w14:paraId="7B5440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BE6BE9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3F7EA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074AC3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709B8E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21AA7D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54B260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182E6B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605D4CC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6D3215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3231B4B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5BD9F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81332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B0320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3C3836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14C6E5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421C07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58D4C66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0FAEA2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70CB0E9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79736F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59343F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4E92C5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6F1B85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6E2562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27AF02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2A7329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6A4AC0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6DF1EF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F6906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C6BA8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2E3F45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EAA13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C7950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566963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3C7E20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6BC572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3077E7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B29E3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034998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7F4701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36CF1F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584B90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58217E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6FD424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003E40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56ACC1F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E22AA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EC5E8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5A9EA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D0999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7864C4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4E69595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7EF839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5840FE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5312D69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A269B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3244BB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479A054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2904FC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5DEBC3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07097C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333107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6C8036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33.30</w:t>
            </w:r>
          </w:p>
        </w:tc>
      </w:tr>
      <w:tr w14:paraId="3A27CF3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AB9EF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26BFD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C273D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32F7D9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7DBA11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0.16</w:t>
            </w:r>
          </w:p>
        </w:tc>
        <w:tc>
          <w:tcPr>
            <w:tcW w:w="1036" w:type="dxa"/>
            <w:shd w:val="clear" w:color="auto" w:fill="auto"/>
            <w:vAlign w:val="center"/>
          </w:tcPr>
          <w:p w14:paraId="3CB85D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1.38</w:t>
            </w:r>
          </w:p>
        </w:tc>
        <w:tc>
          <w:tcPr>
            <w:tcW w:w="1036" w:type="dxa"/>
            <w:shd w:val="clear" w:color="auto" w:fill="auto"/>
            <w:vAlign w:val="center"/>
          </w:tcPr>
          <w:p w14:paraId="4C5212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2.69</w:t>
            </w:r>
          </w:p>
        </w:tc>
        <w:tc>
          <w:tcPr>
            <w:tcW w:w="1036" w:type="dxa"/>
            <w:shd w:val="clear" w:color="auto" w:fill="auto"/>
            <w:vAlign w:val="center"/>
          </w:tcPr>
          <w:p w14:paraId="29C76C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08625BC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2F44A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3EF7E0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292CD1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32A4AA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7F8A9A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2E4563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1F0522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0BC765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3193D32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A13FF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541CC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540F2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085E6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62235D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5048EA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3929E3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211974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0A7E2AF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013802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3#</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72FA48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6E906B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277B7C6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6BC5C3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6DA37B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746B94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39EBA8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001219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A6A61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C3D86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4C1FB2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752773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2A44F3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7420EA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75601B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006505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5D7126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5D607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6170D1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35A28E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0EE941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16A593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186380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31A763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12DE71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1A5FE1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CF0E2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D8F56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F850E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3BB36D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108E34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0631E3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7E416DD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6AF249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83D6ED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2C607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03CD95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305DBA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0A0E69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424BB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790ECB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3FA514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42245E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33.30</w:t>
            </w:r>
          </w:p>
        </w:tc>
      </w:tr>
      <w:tr w14:paraId="71CB5E3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EA217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595C6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6E764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5BF15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6A3895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0.16</w:t>
            </w:r>
          </w:p>
        </w:tc>
        <w:tc>
          <w:tcPr>
            <w:tcW w:w="1036" w:type="dxa"/>
            <w:shd w:val="clear" w:color="auto" w:fill="auto"/>
            <w:vAlign w:val="center"/>
          </w:tcPr>
          <w:p w14:paraId="3F12F1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1.38</w:t>
            </w:r>
          </w:p>
        </w:tc>
        <w:tc>
          <w:tcPr>
            <w:tcW w:w="1036" w:type="dxa"/>
            <w:shd w:val="clear" w:color="auto" w:fill="auto"/>
            <w:vAlign w:val="center"/>
          </w:tcPr>
          <w:p w14:paraId="706D65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2.69</w:t>
            </w:r>
          </w:p>
        </w:tc>
        <w:tc>
          <w:tcPr>
            <w:tcW w:w="1036" w:type="dxa"/>
            <w:shd w:val="clear" w:color="auto" w:fill="auto"/>
            <w:vAlign w:val="center"/>
          </w:tcPr>
          <w:p w14:paraId="47812B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C45184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7024D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70135C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10903B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2CEB12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B3F00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1B2860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6AF5FD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194B98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17BA4AE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864A4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0C6BE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3F8AB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4CF1B5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77E8C7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3A1DC1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5CBD07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48F624B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50EDAED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315FBB5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4#</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7DEB43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785428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075E15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617FDC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4BE4CC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7FD98D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734077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5497045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E31D1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CA825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98C8D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729F5C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2E869C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788C4A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41E247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6F8656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04863C2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05246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7D262C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3580A4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492352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53B304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70556E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5DB4EE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75A9AA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AADFA0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F1B73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93687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3D9C1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61B6AA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4F0D48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0F1592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3D5783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34997C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A5DFCE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4FFEF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6FBF34A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2A68D0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6181D3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454F63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103ACE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29100B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59E23A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0EF3ADE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F5014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C0091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46054E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084C89D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09FA8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5E88A6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1.10</w:t>
            </w:r>
          </w:p>
        </w:tc>
        <w:tc>
          <w:tcPr>
            <w:tcW w:w="1036" w:type="dxa"/>
            <w:shd w:val="clear" w:color="auto" w:fill="auto"/>
            <w:vAlign w:val="center"/>
          </w:tcPr>
          <w:p w14:paraId="59B463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2.14</w:t>
            </w:r>
          </w:p>
        </w:tc>
        <w:tc>
          <w:tcPr>
            <w:tcW w:w="1036" w:type="dxa"/>
            <w:shd w:val="clear" w:color="auto" w:fill="auto"/>
            <w:vAlign w:val="center"/>
          </w:tcPr>
          <w:p w14:paraId="02FE3F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E740B5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C7903F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079BB4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031DB0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7A6AB3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93FF3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44B279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4911BF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1E9C65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5A9E695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9BE7A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AE335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C67AC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626526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64011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6E9F14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04A430B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26E068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1C6A6B0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4A0E4D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5#</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1B7A67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7CF86B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09CB7B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111EC99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490904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2B2E05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08EB2E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06A105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4D99F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C46D3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D231C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040F4E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3E2687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558B7E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41C187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252319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A4F115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1E7E6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539EEE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7BE719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62D20D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6C3E4D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4548CA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45CEE2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16BDCB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C778AF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EDDF1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35945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552E2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4DA303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2CA978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7D067D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673DE3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4C5474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99ECD3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821F4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7C58E4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44C013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6FA8BB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55AB92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5F7A20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082656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4E9294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F46F67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C479A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51372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1698E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8D7A6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56D80A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2B3452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1.10</w:t>
            </w:r>
          </w:p>
        </w:tc>
        <w:tc>
          <w:tcPr>
            <w:tcW w:w="1036" w:type="dxa"/>
            <w:shd w:val="clear" w:color="auto" w:fill="auto"/>
            <w:vAlign w:val="center"/>
          </w:tcPr>
          <w:p w14:paraId="661EA55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2.14</w:t>
            </w:r>
          </w:p>
        </w:tc>
        <w:tc>
          <w:tcPr>
            <w:tcW w:w="1036" w:type="dxa"/>
            <w:shd w:val="clear" w:color="auto" w:fill="auto"/>
            <w:vAlign w:val="center"/>
          </w:tcPr>
          <w:p w14:paraId="2B931F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CAD51C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B7128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600D2D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51D61A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3FAF37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43CF99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67C44B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3BCFC5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753848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1B86ED6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89206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B9C4C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3B21A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0BB44C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A9FF4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11E746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14904B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775A6C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53A18C4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683C38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6B6DAE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43EF40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4083CE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69A096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22D796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7268C8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36C945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1143F8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1D114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1FB4E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91A35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3671C9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1AF3E0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7E4860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6B0CA3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333306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291CAE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F3C78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687631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2C86F1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13ABC3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71D491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4C2366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47D7E1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37EAD6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E6C2E5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37024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B3687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C342A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3AD6A7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84DC4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2A1A850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41F013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669A17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CF476A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6F2C5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78798B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29670E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100182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136865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6EDB08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6DBEF9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6665D6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F4D475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5AE71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9119B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0B4D6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0698C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01122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225511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1.10</w:t>
            </w:r>
          </w:p>
        </w:tc>
        <w:tc>
          <w:tcPr>
            <w:tcW w:w="1036" w:type="dxa"/>
            <w:shd w:val="clear" w:color="auto" w:fill="auto"/>
            <w:vAlign w:val="center"/>
          </w:tcPr>
          <w:p w14:paraId="693D465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2.14</w:t>
            </w:r>
          </w:p>
        </w:tc>
        <w:tc>
          <w:tcPr>
            <w:tcW w:w="1036" w:type="dxa"/>
            <w:shd w:val="clear" w:color="auto" w:fill="auto"/>
            <w:vAlign w:val="center"/>
          </w:tcPr>
          <w:p w14:paraId="3BD61D1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9351C9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9B9A8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5AF6A8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2423A8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339F589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4F7ECF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384A07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22BE00D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3EDE06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43D479E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CCFD1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41B88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78F7D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B97E9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D5E96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28678F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40E8B1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1CDD0F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2DFDF7E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78AE56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7#</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240EBC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7A8789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7E3579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18BEE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5F5EB6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504012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58BCF7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0472BD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571B5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6B11D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F109A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2015B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0087E0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0932CB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633AD0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3309A9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0F1FE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370DB5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6C5E3B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5FFD0C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1156D7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14C400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2B9EB4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47BFD1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4B20BC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3EE888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54E9A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3F2F8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6FCB4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54909D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63824C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4D154F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1AA5F73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416052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3331F48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9F5D9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0981E2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43F448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39F32D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9B617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3CBFEDF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104BA0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6DDAD3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0D9F63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BC126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4F9E24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030B9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387FED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7BE96C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1DE95C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1.10</w:t>
            </w:r>
          </w:p>
        </w:tc>
        <w:tc>
          <w:tcPr>
            <w:tcW w:w="1036" w:type="dxa"/>
            <w:shd w:val="clear" w:color="auto" w:fill="auto"/>
            <w:vAlign w:val="center"/>
          </w:tcPr>
          <w:p w14:paraId="2F8D0B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2.14</w:t>
            </w:r>
          </w:p>
        </w:tc>
        <w:tc>
          <w:tcPr>
            <w:tcW w:w="1036" w:type="dxa"/>
            <w:shd w:val="clear" w:color="auto" w:fill="auto"/>
            <w:vAlign w:val="center"/>
          </w:tcPr>
          <w:p w14:paraId="5A6A9E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361A8E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FDA324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581B61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7014AF9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06AEB5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2161A1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754F76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1747EF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32DB35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7351AEE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54E02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898220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59BCB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DF669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668825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23B02A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17CFAB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68C29F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bl>
    <w:p w14:paraId="508DF5F4">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bookmarkStart w:id="145" w:name="_Toc8683"/>
      <w:r>
        <w:rPr>
          <w:rFonts w:hint="eastAsia" w:ascii="Times New Roman" w:hAnsi="Times New Roman" w:eastAsia="宋体" w:cstheme="minorBidi"/>
          <w:kern w:val="2"/>
          <w:sz w:val="28"/>
          <w:szCs w:val="24"/>
          <w:lang w:val="en-US" w:eastAsia="zh-CN" w:bidi="ar-SA"/>
          <w14:ligatures w14:val="standardContextual"/>
        </w:rPr>
        <w:t>小结：国能安储（东港）燃料供应有限公司柴油储罐完全破裂发生蒸气云爆炸事故时死亡半径为7.04m，重伤半径为23.67m，轻伤半径为46.04m，发生池火灾的死亡半径为42.10m，超出厂区东侧边界，厂外东侧死亡半径内为部队绿地，无人员活动，对周边环境及企业影响较小。</w:t>
      </w:r>
    </w:p>
    <w:p w14:paraId="1064490C">
      <w:pPr>
        <w:widowControl w:val="0"/>
        <w:adjustRightInd w:val="0"/>
        <w:snapToGrid w:val="0"/>
        <w:spacing w:before="312" w:beforeLines="100" w:after="312" w:afterLines="100" w:line="360" w:lineRule="auto"/>
        <w:ind w:firstLine="0" w:firstLineChars="0"/>
        <w:jc w:val="center"/>
        <w:outlineLvl w:val="1"/>
        <w:rPr>
          <w:rFonts w:hint="eastAsia" w:ascii="楷体" w:hAnsi="楷体" w:eastAsia="楷体" w:cstheme="minorBidi"/>
          <w:b/>
          <w:bCs/>
          <w:kern w:val="2"/>
          <w:sz w:val="32"/>
          <w:szCs w:val="32"/>
          <w:lang w:val="en-US" w:eastAsia="zh-CN" w:bidi="ar-SA"/>
          <w14:ligatures w14:val="standardContextual"/>
        </w:rPr>
      </w:pPr>
      <w:bookmarkStart w:id="146" w:name="_Toc26917"/>
      <w:r>
        <w:rPr>
          <w:rFonts w:hint="eastAsia" w:ascii="Times New Roman" w:hAnsi="Times New Roman" w:eastAsia="楷体" w:cs="Times New Roman"/>
          <w:b/>
          <w:bCs/>
          <w:kern w:val="2"/>
          <w:sz w:val="32"/>
          <w:szCs w:val="32"/>
          <w:lang w:val="en-US" w:eastAsia="zh-CN" w:bidi="ar-SA"/>
          <w14:ligatures w14:val="standardContextual"/>
        </w:rPr>
        <w:t>6.3</w:t>
      </w:r>
      <w:r>
        <w:rPr>
          <w:rFonts w:hint="eastAsia" w:ascii="楷体" w:hAnsi="楷体" w:eastAsia="楷体" w:cstheme="minorBidi"/>
          <w:b/>
          <w:bCs/>
          <w:kern w:val="2"/>
          <w:sz w:val="32"/>
          <w:szCs w:val="32"/>
          <w:lang w:val="en-US" w:eastAsia="zh-CN" w:bidi="ar-SA"/>
          <w14:ligatures w14:val="standardContextual"/>
        </w:rPr>
        <w:t>外部安全防护距离</w:t>
      </w:r>
      <w:bookmarkEnd w:id="145"/>
      <w:bookmarkEnd w:id="146"/>
    </w:p>
    <w:p w14:paraId="0A087E1C">
      <w:pPr>
        <w:adjustRightInd w:val="0"/>
        <w:snapToGrid w:val="0"/>
        <w:spacing w:after="0" w:line="360" w:lineRule="auto"/>
        <w:ind w:firstLine="560" w:firstLineChars="200"/>
        <w:jc w:val="both"/>
        <w:rPr>
          <w:rFonts w:hint="eastAsia" w:ascii="Times New Roman" w:hAnsi="Times New Roman" w:eastAsia="宋体"/>
          <w:sz w:val="28"/>
          <w:szCs w:val="28"/>
        </w:rPr>
      </w:pPr>
      <w:r>
        <w:rPr>
          <w:rFonts w:hint="eastAsia" w:ascii="Times New Roman" w:hAnsi="Times New Roman" w:eastAsia="宋体"/>
          <w:sz w:val="28"/>
          <w:szCs w:val="28"/>
        </w:rPr>
        <w:t>根据《危险化学品生产装置和储存设施外部安全防护距离确定方法》（GB/T37243-2019）的规定，外部安全防护距离的确定方法如下图：</w:t>
      </w:r>
    </w:p>
    <w:p w14:paraId="7F12F508">
      <w:pPr>
        <w:pStyle w:val="4"/>
        <w:ind w:left="0" w:leftChars="0" w:firstLine="0" w:firstLineChars="0"/>
        <w:jc w:val="both"/>
        <w:rPr>
          <w:rFonts w:hint="eastAsia" w:eastAsia="宋体"/>
          <w:lang w:eastAsia="zh-CN"/>
        </w:rPr>
      </w:pPr>
    </w:p>
    <w:p w14:paraId="4787FDA3">
      <w:pPr>
        <w:widowControl w:val="0"/>
        <w:numPr>
          <w:ilvl w:val="0"/>
          <w:numId w:val="0"/>
        </w:numPr>
        <w:adjustRightInd w:val="0"/>
        <w:snapToGrid w:val="0"/>
        <w:spacing w:after="0" w:line="360" w:lineRule="auto"/>
        <w:jc w:val="center"/>
        <w:rPr>
          <w:rFonts w:hint="eastAsia"/>
          <w:lang w:eastAsia="zh-CN"/>
        </w:rPr>
      </w:pPr>
      <w:r>
        <w:rPr>
          <w:rFonts w:hint="default" w:ascii="Times New Roman" w:hAnsi="Times New Roman" w:eastAsia="黑体" w:cs="Times New Roman"/>
          <w:sz w:val="24"/>
        </w:rPr>
        <w:t>图</w:t>
      </w:r>
      <w:r>
        <w:rPr>
          <w:rFonts w:hint="eastAsia" w:ascii="Times New Roman" w:hAnsi="Times New Roman" w:eastAsia="黑体" w:cs="Times New Roman"/>
          <w:sz w:val="24"/>
          <w:lang w:val="en-US" w:eastAsia="zh-CN"/>
        </w:rPr>
        <w:t>6.1-19</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 外部安全防护距离确定方法程序图</w:t>
      </w:r>
    </w:p>
    <w:p w14:paraId="6B06D614">
      <w:pPr>
        <w:adjustRightInd w:val="0"/>
        <w:snapToGrid w:val="0"/>
        <w:spacing w:after="0" w:line="360" w:lineRule="auto"/>
        <w:ind w:firstLine="560" w:firstLineChars="200"/>
        <w:jc w:val="both"/>
        <w:rPr>
          <w:rFonts w:hint="eastAsia" w:ascii="Times New Roman" w:hAnsi="Times New Roman" w:eastAsia="宋体"/>
          <w:sz w:val="28"/>
          <w:szCs w:val="28"/>
        </w:rPr>
      </w:pPr>
      <w:r>
        <w:rPr>
          <w:rFonts w:hint="eastAsia" w:ascii="Times New Roman" w:hAnsi="Times New Roman" w:eastAsia="宋体"/>
          <w:sz w:val="28"/>
          <w:szCs w:val="28"/>
        </w:rPr>
        <w:t>本项目未涉及爆炸物，未涉及毒性气体，未涉及易燃气体且未构成危险化学品重大危险源，根据《危险化学品生产装置和储存设施外部安全防护距离确定方法》（GB/T37243-2019）第4.4条的规定，本标准第4.2条、4.3条规定以外的危险化学品生产装置和储存设施的外部安全防护距离应满足相关标准规范的要求，因此，本项目外部安全防护距离执行《石油库设计规范》（GB50057-2014）的有关要求，详见表2.</w:t>
      </w:r>
      <w:r>
        <w:rPr>
          <w:rFonts w:hint="eastAsia" w:ascii="Times New Roman" w:hAnsi="Times New Roman" w:eastAsia="宋体"/>
          <w:sz w:val="28"/>
          <w:szCs w:val="28"/>
          <w:lang w:val="en-US" w:eastAsia="zh-CN"/>
        </w:rPr>
        <w:t>1</w:t>
      </w:r>
      <w:r>
        <w:rPr>
          <w:rFonts w:hint="eastAsia" w:ascii="Times New Roman" w:hAnsi="Times New Roman" w:eastAsia="宋体"/>
          <w:sz w:val="28"/>
          <w:szCs w:val="28"/>
        </w:rPr>
        <w:t>-1，外部安全防护距离符合。</w:t>
      </w:r>
    </w:p>
    <w:p w14:paraId="788FB7FB">
      <w:pPr>
        <w:widowControl w:val="0"/>
        <w:adjustRightInd w:val="0"/>
        <w:snapToGrid w:val="0"/>
        <w:spacing w:before="312" w:beforeLines="100" w:after="312" w:afterLines="100" w:line="360" w:lineRule="auto"/>
        <w:ind w:firstLine="0" w:firstLineChars="0"/>
        <w:jc w:val="center"/>
        <w:outlineLvl w:val="1"/>
        <w:rPr>
          <w:rFonts w:hint="eastAsia" w:ascii="楷体" w:hAnsi="楷体" w:eastAsia="楷体" w:cstheme="minorBidi"/>
          <w:b/>
          <w:bCs/>
          <w:kern w:val="2"/>
          <w:sz w:val="32"/>
          <w:szCs w:val="32"/>
          <w:lang w:val="en-US" w:eastAsia="zh-CN" w:bidi="ar-SA"/>
          <w14:ligatures w14:val="standardContextual"/>
        </w:rPr>
      </w:pPr>
      <w:bookmarkStart w:id="147" w:name="_Toc8599"/>
      <w:bookmarkStart w:id="148" w:name="_Toc14012"/>
      <w:r>
        <w:rPr>
          <w:rFonts w:hint="eastAsia" w:ascii="Times New Roman" w:hAnsi="Times New Roman" w:eastAsia="楷体" w:cs="Times New Roman"/>
          <w:b/>
          <w:bCs/>
          <w:kern w:val="2"/>
          <w:sz w:val="32"/>
          <w:szCs w:val="32"/>
          <w:lang w:val="en-US" w:eastAsia="zh-CN" w:bidi="ar-SA"/>
          <w14:ligatures w14:val="standardContextual"/>
        </w:rPr>
        <w:t>6.4</w:t>
      </w:r>
      <w:r>
        <w:rPr>
          <w:rFonts w:hint="eastAsia" w:ascii="楷体" w:hAnsi="楷体" w:eastAsia="楷体" w:cstheme="minorBidi"/>
          <w:b/>
          <w:bCs/>
          <w:kern w:val="2"/>
          <w:sz w:val="32"/>
          <w:szCs w:val="32"/>
          <w:lang w:val="en-US" w:eastAsia="zh-CN" w:bidi="ar-SA"/>
          <w14:ligatures w14:val="standardContextual"/>
        </w:rPr>
        <w:t>多米诺半径</w:t>
      </w:r>
      <w:bookmarkEnd w:id="147"/>
      <w:bookmarkEnd w:id="148"/>
    </w:p>
    <w:p w14:paraId="7C8DC64A">
      <w:pPr>
        <w:bidi w:val="0"/>
        <w:jc w:val="center"/>
        <w:rPr>
          <w:rFonts w:hint="default"/>
          <w:lang w:val="en-US" w:eastAsia="zh-CN"/>
        </w:rPr>
      </w:pPr>
      <w:r>
        <w:rPr>
          <w:rFonts w:hint="default" w:ascii="Times New Roman" w:hAnsi="Times New Roman" w:eastAsia="黑体" w:cs="Times New Roman"/>
          <w:kern w:val="2"/>
          <w:sz w:val="24"/>
          <w:szCs w:val="24"/>
          <w:lang w:val="en-US" w:eastAsia="zh-CN" w:bidi="ar-SA"/>
        </w:rPr>
        <w:t>表</w:t>
      </w:r>
      <w:r>
        <w:rPr>
          <w:rFonts w:hint="eastAsia" w:ascii="Times New Roman" w:hAnsi="Times New Roman" w:eastAsia="黑体" w:cs="Times New Roman"/>
          <w:kern w:val="2"/>
          <w:sz w:val="24"/>
          <w:szCs w:val="24"/>
          <w:lang w:val="en-US" w:eastAsia="zh-CN" w:bidi="ar-SA"/>
        </w:rPr>
        <w:t xml:space="preserve">6.4-1  </w:t>
      </w:r>
      <w:r>
        <w:rPr>
          <w:rFonts w:hint="eastAsia" w:ascii="黑体" w:hAnsi="黑体" w:eastAsia="黑体" w:cs="Times New Roman"/>
          <w:kern w:val="2"/>
          <w:sz w:val="24"/>
          <w:szCs w:val="24"/>
          <w:lang w:val="en-US" w:eastAsia="zh-CN" w:bidi="ar-SA"/>
        </w:rPr>
        <w:t>多米诺半径数据表</w:t>
      </w:r>
    </w:p>
    <w:p w14:paraId="7E26CADE">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sectPr>
          <w:headerReference r:id="rId9" w:type="default"/>
          <w:footerReference r:id="rId10" w:type="default"/>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 w:linePitch="312" w:charSpace="0"/>
        </w:sectPr>
      </w:pPr>
      <w:bookmarkStart w:id="157" w:name="_GoBack"/>
      <w:bookmarkEnd w:id="157"/>
      <w:r>
        <w:rPr>
          <w:rFonts w:hint="eastAsia" w:ascii="Times New Roman" w:hAnsi="Times New Roman" w:eastAsia="宋体" w:cstheme="minorBidi"/>
          <w:kern w:val="2"/>
          <w:sz w:val="28"/>
          <w:szCs w:val="24"/>
          <w:lang w:val="en-US" w:eastAsia="zh-CN" w:bidi="ar-SA"/>
          <w14:ligatures w14:val="standardContextual"/>
        </w:rPr>
        <w:t>小结：通过多米诺效应计算结果可以看出，完全破裂发生池火灾时，其多米诺半径为54.22m；发生蒸气云爆炸时，其多米诺半径为46.00m；超出厂区南侧和东侧用地边界，但厂外南侧为空地，东侧为部队空地，多米诺半径内无设备设施等，不会产生多米诺效应，未超出厂区北侧和西侧用地边界。</w:t>
      </w:r>
    </w:p>
    <w:p w14:paraId="06CBF7C6">
      <w:pPr>
        <w:tabs>
          <w:tab w:val="left" w:pos="2460"/>
          <w:tab w:val="center" w:pos="4592"/>
        </w:tabs>
        <w:adjustRightInd w:val="0"/>
        <w:snapToGrid w:val="0"/>
        <w:spacing w:before="468" w:beforeLines="150" w:after="468" w:afterLines="150" w:line="360" w:lineRule="auto"/>
        <w:jc w:val="center"/>
        <w:outlineLvl w:val="0"/>
        <w:rPr>
          <w:rFonts w:ascii="Times New Roman" w:hAnsi="Times New Roman" w:eastAsia="黑体" w:cs="黑体"/>
          <w:b/>
          <w:kern w:val="44"/>
          <w:sz w:val="32"/>
          <w:szCs w:val="44"/>
          <w14:ligatures w14:val="none"/>
        </w:rPr>
      </w:pPr>
      <w:bookmarkStart w:id="149" w:name="_Toc9685"/>
      <w:r>
        <w:rPr>
          <w:rFonts w:hint="eastAsia" w:ascii="Times New Roman" w:hAnsi="Times New Roman" w:eastAsia="黑体" w:cs="黑体"/>
          <w:b/>
          <w:kern w:val="44"/>
          <w:sz w:val="32"/>
          <w:szCs w:val="44"/>
          <w:lang w:val="en-US" w:eastAsia="zh-CN"/>
          <w14:ligatures w14:val="none"/>
        </w:rPr>
        <w:t>7</w:t>
      </w:r>
      <w:r>
        <w:rPr>
          <w:rFonts w:hint="eastAsia" w:ascii="Times New Roman" w:hAnsi="Times New Roman" w:eastAsia="黑体" w:cs="黑体"/>
          <w:b/>
          <w:kern w:val="44"/>
          <w:sz w:val="32"/>
          <w:szCs w:val="44"/>
          <w14:ligatures w14:val="none"/>
        </w:rPr>
        <w:t>安全对策措施与建议</w:t>
      </w:r>
      <w:bookmarkEnd w:id="149"/>
    </w:p>
    <w:p w14:paraId="59ED1682">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50" w:name="_Toc28687"/>
      <w:r>
        <w:rPr>
          <w:rFonts w:hint="eastAsia" w:ascii="Times New Roman" w:hAnsi="Times New Roman" w:eastAsia="楷体" w:cs="黑体"/>
          <w:b/>
          <w:sz w:val="32"/>
          <w:szCs w:val="32"/>
          <w:lang w:val="en-US" w:eastAsia="zh-CN"/>
          <w14:ligatures w14:val="none"/>
        </w:rPr>
        <w:t>7</w:t>
      </w:r>
      <w:r>
        <w:rPr>
          <w:rFonts w:hint="eastAsia" w:ascii="Times New Roman" w:hAnsi="Times New Roman" w:eastAsia="楷体" w:cs="黑体"/>
          <w:b/>
          <w:sz w:val="32"/>
          <w:szCs w:val="32"/>
          <w14:ligatures w14:val="none"/>
        </w:rPr>
        <w:t>.1安全对策措施</w:t>
      </w:r>
      <w:bookmarkEnd w:id="150"/>
    </w:p>
    <w:p w14:paraId="7785602D">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安全管理是企业运行的必需投入，在安全生产中有举足轻重的地位。据事故统计，几乎所有的事故都与安全管理不当有关。因此，切实加强安全管理工作是预防事故发生的最有效途径。</w:t>
      </w:r>
    </w:p>
    <w:p w14:paraId="52C78E37">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要全面贯彻“安全发展”的重要指导原则和“安全第一、预防为主、综合管理”的安全生产方针，把安全生产工作纳入企业的发展战略和长远规划当中，同步规划、同步实施、同步考核、同步推进。</w:t>
      </w:r>
    </w:p>
    <w:p w14:paraId="4CA7B529">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从</w:t>
      </w:r>
      <w:r>
        <w:rPr>
          <w:rFonts w:hint="eastAsia" w:ascii="Times New Roman" w:hAnsi="Times New Roman" w:eastAsia="宋体" w:cs="Times New Roman"/>
          <w:sz w:val="28"/>
          <w:szCs w:val="28"/>
          <w:lang w:eastAsia="zh-CN"/>
          <w14:ligatures w14:val="none"/>
        </w:rPr>
        <w:t>国能安储（东港）燃料供应有限公司</w:t>
      </w:r>
      <w:r>
        <w:rPr>
          <w:rFonts w:hint="eastAsia" w:ascii="Times New Roman" w:hAnsi="Times New Roman" w:eastAsia="宋体" w:cs="Times New Roman"/>
          <w:sz w:val="28"/>
          <w:szCs w:val="28"/>
          <w14:ligatures w14:val="none"/>
        </w:rPr>
        <w:t>的基本情况来看，其经营现状基本具备了安全保障条件。依照国家有关法律、法规和技术标准，为更好贯彻“安全第一、预防为主、综合治理”的安全生产方针，确保长期、安全、稳定运转，预防意外事故发生，下面从完善安全经营条件和切实强化安全管理的角度提出如下安全对策措施。</w:t>
      </w:r>
    </w:p>
    <w:p w14:paraId="58DDD649">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（1）保障安全资金投入</w:t>
      </w:r>
    </w:p>
    <w:p w14:paraId="51729A0A">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中华人民共和国安全生产法》第二十三条规定：生产经营单位应当具备的安全生产条件所必需的资金投入，由生产经营单位的决策机构、主要负责人或者个人经营的投资人予以保证，并对由于安全生产所必需的资金投入不足导致的后果承担责任。</w:t>
      </w:r>
    </w:p>
    <w:p w14:paraId="348C6493">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eastAsia="zh-CN"/>
          <w14:ligatures w14:val="none"/>
        </w:rPr>
        <w:t>国能安储（东港）燃料供应有限公司</w:t>
      </w:r>
      <w:r>
        <w:rPr>
          <w:rFonts w:hint="eastAsia" w:ascii="Times New Roman" w:hAnsi="Times New Roman" w:eastAsia="宋体" w:cs="Times New Roman"/>
          <w:sz w:val="28"/>
          <w:szCs w:val="28"/>
          <w14:ligatures w14:val="none"/>
        </w:rPr>
        <w:t>在日常管理过程中应安排安全投入，用于进行安全管理方面的技术改造，增添安全设施和防护设备以及个体防护用品；根据经营、储存特点，适应事故应急预案措施的需要，配备必要的训练、急救、抢险的设备、设施。</w:t>
      </w:r>
    </w:p>
    <w:p w14:paraId="08FB274F">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（2）推广标准化安全管理</w:t>
      </w:r>
    </w:p>
    <w:p w14:paraId="261FB540">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建议积极推广标准化安全管理，不断完善安全管理体系。运用安全系统工程的方法，实施安全目标控制，实现全面安全管理，有效杜绝“三违”作业，营造良好的安全氛围，将“要我安全”转变为“我要安全”，把安全管理纳入安全良性循环的轨道。</w:t>
      </w:r>
    </w:p>
    <w:p w14:paraId="297930E4">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（3）加强人员的安全教育</w:t>
      </w:r>
    </w:p>
    <w:p w14:paraId="29557019">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应当对从业人员进行安全生产教育和培训，保证从业人员具备必要的安全生产知识，熟悉有关的安全生产规章制度和安全操作规程，掌握本岗位的安全操作技能，掌握本岗位危险、危害知识和应急处理能力；有预防火灾、爆炸等事故和职业危害的知识和能力，在紧急情况下能采取正确的应急方法和果断措施，尽可能避免事故的发生和减少事故造成的损失。未经安全生产教育和培训合格的从业人员，不得上岗作业。只有严格按照有关规定从事经营销售，才能保证单位安全运营，要加强对新员工的安全教育、专业培训和考核，并经考试合格后，方可上岗。</w:t>
      </w:r>
    </w:p>
    <w:p w14:paraId="4BBFFE92">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w:t>
      </w:r>
      <w:r>
        <w:rPr>
          <w:rFonts w:hint="eastAsia" w:ascii="Times New Roman" w:hAnsi="Times New Roman" w:eastAsia="宋体" w:cs="Times New Roman"/>
          <w:sz w:val="28"/>
          <w:szCs w:val="28"/>
          <w:lang w:val="en-US" w:eastAsia="zh-CN"/>
          <w14:ligatures w14:val="none"/>
        </w:rPr>
        <w:t>4</w:t>
      </w:r>
      <w:r>
        <w:rPr>
          <w:rFonts w:hint="eastAsia" w:ascii="Times New Roman" w:hAnsi="Times New Roman" w:eastAsia="宋体" w:cs="Times New Roman"/>
          <w:sz w:val="28"/>
          <w:szCs w:val="28"/>
          <w14:ligatures w14:val="none"/>
        </w:rPr>
        <w:t>）加强危险化学品购买环节的安全管理</w:t>
      </w:r>
    </w:p>
    <w:p w14:paraId="1F9609DF">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在选取危险化学品供应商时，严格按照供应商管理制度执行，选取有资质、信用度高的企业，建立合格供应商档案。向供应商索取购进的危险化学品的安全技术说明书及安全标签，并主动提供给客户。</w:t>
      </w:r>
    </w:p>
    <w:p w14:paraId="7603A053">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w:t>
      </w:r>
      <w:r>
        <w:rPr>
          <w:rFonts w:hint="eastAsia" w:ascii="Times New Roman" w:hAnsi="Times New Roman" w:eastAsia="宋体" w:cs="Times New Roman"/>
          <w:sz w:val="28"/>
          <w:szCs w:val="28"/>
          <w:lang w:val="en-US" w:eastAsia="zh-CN"/>
          <w14:ligatures w14:val="none"/>
        </w:rPr>
        <w:t>6</w:t>
      </w:r>
      <w:r>
        <w:rPr>
          <w:rFonts w:hint="eastAsia" w:ascii="Times New Roman" w:hAnsi="Times New Roman" w:eastAsia="宋体" w:cs="Times New Roman"/>
          <w:sz w:val="28"/>
          <w:szCs w:val="28"/>
          <w14:ligatures w14:val="none"/>
        </w:rPr>
        <w:t>）加强档案管理</w:t>
      </w:r>
    </w:p>
    <w:p w14:paraId="042A81AC">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建立经营危险化学品的化学品安全技术说明书档案。在危险化学品生产企业有新的危害特性公告以及修订安全技术说明书等资料时，及时予以调整，并迅速传递给用户。</w:t>
      </w:r>
    </w:p>
    <w:p w14:paraId="6DBD5E27">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w:t>
      </w:r>
      <w:r>
        <w:rPr>
          <w:rFonts w:hint="eastAsia" w:ascii="Times New Roman" w:hAnsi="Times New Roman" w:eastAsia="宋体" w:cs="Times New Roman"/>
          <w:sz w:val="28"/>
          <w:szCs w:val="28"/>
          <w:lang w:val="en-US" w:eastAsia="zh-CN"/>
          <w14:ligatures w14:val="none"/>
        </w:rPr>
        <w:t>7</w:t>
      </w:r>
      <w:r>
        <w:rPr>
          <w:rFonts w:hint="eastAsia" w:ascii="Times New Roman" w:hAnsi="Times New Roman" w:eastAsia="宋体" w:cs="Times New Roman"/>
          <w:sz w:val="28"/>
          <w:szCs w:val="28"/>
          <w14:ligatures w14:val="none"/>
        </w:rPr>
        <w:t>）实施监督和日常检查</w:t>
      </w:r>
    </w:p>
    <w:p w14:paraId="5835F19C">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应加强监督检查和日常管理工作，确保安全教育和培训能正常有效地进行，确保安全投入的有效实施，确保安全技术措施和管理措施能有效落实，及时消除生产安全事故隐患。</w:t>
      </w:r>
    </w:p>
    <w:p w14:paraId="2882DEBE">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w:t>
      </w:r>
      <w:r>
        <w:rPr>
          <w:rFonts w:hint="eastAsia" w:ascii="Times New Roman" w:hAnsi="Times New Roman" w:eastAsia="宋体" w:cs="Times New Roman"/>
          <w:sz w:val="28"/>
          <w:szCs w:val="28"/>
          <w:lang w:val="en-US" w:eastAsia="zh-CN"/>
          <w14:ligatures w14:val="none"/>
        </w:rPr>
        <w:t>8</w:t>
      </w:r>
      <w:r>
        <w:rPr>
          <w:rFonts w:hint="eastAsia" w:ascii="Times New Roman" w:hAnsi="Times New Roman" w:eastAsia="宋体" w:cs="Times New Roman"/>
          <w:sz w:val="28"/>
          <w:szCs w:val="28"/>
          <w14:ligatures w14:val="none"/>
        </w:rPr>
        <w:t>）危险化学品经营</w:t>
      </w:r>
    </w:p>
    <w:p w14:paraId="3FA7D62C">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应严格遵守《危险化学品经营许可证管理办法》（国家安全生产监督管理总局令第55号，2015年7月1日实施）中要求，在经营许可证有效期满3个月前，向</w:t>
      </w:r>
      <w:r>
        <w:rPr>
          <w:rFonts w:hint="eastAsia" w:ascii="Times New Roman" w:hAnsi="Times New Roman" w:eastAsia="宋体" w:cs="Times New Roman"/>
          <w:sz w:val="28"/>
          <w:szCs w:val="28"/>
          <w:lang w:val="en-US" w:eastAsia="zh-CN"/>
          <w14:ligatures w14:val="none"/>
        </w:rPr>
        <w:t>丹东市应急管理局</w:t>
      </w:r>
      <w:r>
        <w:rPr>
          <w:rFonts w:hint="eastAsia" w:ascii="Times New Roman" w:hAnsi="Times New Roman" w:eastAsia="宋体" w:cs="Times New Roman"/>
          <w:sz w:val="28"/>
          <w:szCs w:val="28"/>
          <w14:ligatures w14:val="none"/>
        </w:rPr>
        <w:t>提出经营许可证的延期申请，并提交延期申请书及相关申请文件、资料。</w:t>
      </w:r>
    </w:p>
    <w:p w14:paraId="3AEFA7E4">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lang w:val="en-US" w:eastAsia="zh-CN"/>
          <w14:ligatures w14:val="none"/>
        </w:rPr>
        <w:t>9</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14:ligatures w14:val="none"/>
        </w:rPr>
        <w:t>油库的油管线和储油罐基础埋在地下</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14:ligatures w14:val="none"/>
        </w:rPr>
        <w:t>必须注意设备、管道的防腐，以免造成跑油。</w:t>
      </w:r>
    </w:p>
    <w:p w14:paraId="1A421C5B">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（1</w:t>
      </w:r>
      <w:r>
        <w:rPr>
          <w:rFonts w:hint="eastAsia" w:ascii="Times New Roman" w:hAnsi="Times New Roman" w:eastAsia="宋体" w:cs="Times New Roman"/>
          <w:sz w:val="28"/>
          <w:szCs w:val="28"/>
          <w:lang w:val="en-US" w:eastAsia="zh-CN"/>
          <w14:ligatures w14:val="none"/>
        </w:rPr>
        <w:t>0</w:t>
      </w:r>
      <w:r>
        <w:rPr>
          <w:rFonts w:hint="eastAsia" w:ascii="Times New Roman" w:hAnsi="Times New Roman" w:eastAsia="宋体" w:cs="Times New Roman"/>
          <w:sz w:val="28"/>
          <w:szCs w:val="28"/>
          <w14:ligatures w14:val="none"/>
        </w:rPr>
        <w:t>）油库所在地的冬季气温较低，在风雪天应注意地面的除雪除冰</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14:ligatures w14:val="none"/>
        </w:rPr>
        <w:t>以防滑倒伤人以及汽车打滑出现车辆事故等。</w:t>
      </w:r>
    </w:p>
    <w:p w14:paraId="3E918E4F">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（1</w:t>
      </w:r>
      <w:r>
        <w:rPr>
          <w:rFonts w:hint="eastAsia" w:ascii="Times New Roman" w:hAnsi="Times New Roman" w:eastAsia="宋体" w:cs="Times New Roman"/>
          <w:sz w:val="28"/>
          <w:szCs w:val="28"/>
          <w:lang w:val="en-US" w:eastAsia="zh-CN"/>
          <w14:ligatures w14:val="none"/>
        </w:rPr>
        <w:t>1</w:t>
      </w:r>
      <w:r>
        <w:rPr>
          <w:rFonts w:hint="eastAsia" w:ascii="Times New Roman" w:hAnsi="Times New Roman" w:eastAsia="宋体" w:cs="Times New Roman"/>
          <w:sz w:val="28"/>
          <w:szCs w:val="28"/>
          <w14:ligatures w14:val="none"/>
        </w:rPr>
        <w:t>）在易发生误操作事故的岗位应设立明显标志，以防出现误操作。还应在路口设置明显的指示牌和指示箭头。</w:t>
      </w:r>
    </w:p>
    <w:p w14:paraId="39ABADF7">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（1</w:t>
      </w:r>
      <w:r>
        <w:rPr>
          <w:rFonts w:hint="eastAsia" w:ascii="Times New Roman" w:hAnsi="Times New Roman" w:eastAsia="宋体" w:cs="Times New Roman"/>
          <w:sz w:val="28"/>
          <w:szCs w:val="28"/>
          <w:lang w:val="en-US" w:eastAsia="zh-CN"/>
          <w14:ligatures w14:val="none"/>
        </w:rPr>
        <w:t>2</w:t>
      </w:r>
      <w:r>
        <w:rPr>
          <w:rFonts w:hint="eastAsia" w:ascii="Times New Roman" w:hAnsi="Times New Roman" w:eastAsia="宋体" w:cs="Times New Roman"/>
          <w:sz w:val="28"/>
          <w:szCs w:val="28"/>
          <w14:ligatures w14:val="none"/>
        </w:rPr>
        <w:t>）公司要抓好接卸油环节及检维修环节安全管理，杜绝违章作业行为。在接卸油作业中，要采取密闭卸油方式，设置好具有报警功能的防静电装置，静置</w:t>
      </w:r>
      <w:r>
        <w:rPr>
          <w:rFonts w:hint="eastAsia" w:ascii="Times New Roman" w:hAnsi="Times New Roman" w:eastAsia="宋体" w:cs="Times New Roman"/>
          <w:sz w:val="28"/>
          <w:szCs w:val="28"/>
          <w:lang w:val="en-US" w:eastAsia="zh-CN"/>
          <w14:ligatures w14:val="none"/>
        </w:rPr>
        <w:t>15</w:t>
      </w:r>
      <w:r>
        <w:rPr>
          <w:rFonts w:hint="eastAsia" w:ascii="Times New Roman" w:hAnsi="Times New Roman" w:eastAsia="宋体" w:cs="Times New Roman"/>
          <w:sz w:val="28"/>
          <w:szCs w:val="28"/>
          <w14:ligatures w14:val="none"/>
        </w:rPr>
        <w:t>分钟后开始卸车。严格按照接卸油安全操作规程进行作业，在遇有强雷雨天气或附近有危险作业时，应暂停作业。同时，在作业现场配备消防器材并设置监护人员，加强监督检查，制止“三违”作业。卸车作业过程中，司机不得离开驾驶室。</w:t>
      </w:r>
    </w:p>
    <w:p w14:paraId="3445D396">
      <w:pPr>
        <w:adjustRightInd w:val="0"/>
        <w:snapToGrid w:val="0"/>
        <w:spacing w:after="0" w:line="360" w:lineRule="auto"/>
        <w:ind w:firstLine="560" w:firstLineChars="200"/>
        <w:jc w:val="both"/>
        <w:rPr>
          <w:rFonts w:hint="eastAsia" w:ascii="Times New Roman" w:hAnsi="Times New Roman" w:eastAsia="宋体" w:cs="Times New Roman"/>
          <w:sz w:val="28"/>
          <w:szCs w:val="28"/>
          <w:lang w:eastAsia="zh-CN"/>
          <w14:ligatures w14:val="none"/>
        </w:rPr>
      </w:pP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lang w:val="en-US" w:eastAsia="zh-CN"/>
          <w14:ligatures w14:val="none"/>
        </w:rPr>
        <w:t>13</w:t>
      </w:r>
      <w:r>
        <w:rPr>
          <w:rFonts w:hint="eastAsia" w:ascii="Times New Roman" w:hAnsi="Times New Roman" w:eastAsia="宋体" w:cs="Times New Roman"/>
          <w:sz w:val="28"/>
          <w:szCs w:val="28"/>
          <w:lang w:eastAsia="zh-CN"/>
          <w14:ligatures w14:val="none"/>
        </w:rPr>
        <w:t>）要严格执行检维修施工安全管理规定。公司在与施工单位签订施工合同时，要严格审查施工单位的资质，审核施工单位的施工方案及安全防护措施。要严格执行管道试压、气密性试验、盲板管理、动火和进入受限空间作业安全规定。作业前要进行风险辨识和制定应急处置预案以及相应的安全措施。业主和监理单位要按照有关规定加强对施工单位作业过程安全监控。要加强公司检维修发包、承包管理，不得将检维修工程项目发包给不具备相应施工资质的单位承担，杜绝层层转包和以包代管。</w:t>
      </w:r>
    </w:p>
    <w:p w14:paraId="2C3E3653">
      <w:pPr>
        <w:pStyle w:val="4"/>
        <w:rPr>
          <w:rFonts w:hint="eastAsia"/>
          <w:lang w:eastAsia="zh-CN"/>
        </w:rPr>
      </w:pPr>
    </w:p>
    <w:p w14:paraId="6C016B90">
      <w:pPr>
        <w:pStyle w:val="4"/>
        <w:rPr>
          <w:rFonts w:hint="eastAsia"/>
          <w:lang w:eastAsia="zh-CN"/>
        </w:rPr>
      </w:pPr>
    </w:p>
    <w:p w14:paraId="3A383C5D">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51" w:name="_Toc11638"/>
      <w:r>
        <w:rPr>
          <w:rFonts w:hint="eastAsia" w:ascii="Times New Roman" w:hAnsi="Times New Roman" w:eastAsia="楷体" w:cs="黑体"/>
          <w:b/>
          <w:sz w:val="32"/>
          <w:szCs w:val="32"/>
          <w:lang w:val="en-US" w:eastAsia="zh-CN"/>
          <w14:ligatures w14:val="none"/>
        </w:rPr>
        <w:t>7</w:t>
      </w:r>
      <w:r>
        <w:rPr>
          <w:rFonts w:hint="eastAsia" w:ascii="Times New Roman" w:hAnsi="Times New Roman" w:eastAsia="楷体" w:cs="黑体"/>
          <w:b/>
          <w:sz w:val="32"/>
          <w:szCs w:val="32"/>
          <w14:ligatures w14:val="none"/>
        </w:rPr>
        <w:t>.2建议</w:t>
      </w:r>
      <w:bookmarkEnd w:id="151"/>
    </w:p>
    <w:p w14:paraId="1DBB6D1A">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val="en-US" w:eastAsia="zh-CN"/>
          <w14:ligatures w14:val="none"/>
        </w:rPr>
      </w:pPr>
      <w:r>
        <w:rPr>
          <w:rFonts w:hint="eastAsia" w:ascii="Times New Roman" w:hAnsi="Times New Roman" w:eastAsia="宋体" w:cs="Times New Roman"/>
          <w:sz w:val="28"/>
          <w:szCs w:val="28"/>
          <w:lang w:val="en-US" w:eastAsia="zh-CN"/>
          <w14:ligatures w14:val="none"/>
        </w:rPr>
        <w:t>问题：现场报警器零点漂移，需调校。</w:t>
      </w:r>
    </w:p>
    <w:p w14:paraId="6C933E36">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lang w:val="en-US" w:eastAsia="zh-CN"/>
          <w14:ligatures w14:val="none"/>
        </w:rPr>
        <w:t>根据：《危险化学品重大危险源罐区现场安全监控装备设置规范》（AQ3036-2010）第7.1.1条</w:t>
      </w:r>
    </w:p>
    <w:p w14:paraId="46CCF975">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ascii="Times New Roman" w:hAnsi="Times New Roman" w:eastAsia="宋体" w:cs="Times New Roman"/>
          <w:sz w:val="28"/>
          <w:szCs w:val="28"/>
          <w:highlight w:val="yellow"/>
          <w14:ligatures w14:val="none"/>
        </w:rPr>
      </w:pPr>
      <w:r>
        <w:rPr>
          <w:rFonts w:hint="eastAsia" w:ascii="Times New Roman" w:hAnsi="Times New Roman" w:eastAsia="宋体" w:cs="Times New Roman"/>
          <w:sz w:val="28"/>
          <w:szCs w:val="28"/>
          <w:lang w:val="en-US" w:eastAsia="zh-CN"/>
          <w14:ligatures w14:val="none"/>
        </w:rPr>
        <w:t>整改建议：需调校现场报警器。</w:t>
      </w:r>
      <w:r>
        <w:rPr>
          <w:rFonts w:ascii="Times New Roman" w:hAnsi="Times New Roman" w:eastAsia="宋体" w:cs="Times New Roman"/>
          <w:sz w:val="28"/>
          <w:szCs w:val="28"/>
          <w14:ligatures w14:val="none"/>
        </w:rPr>
        <w:br w:type="page"/>
      </w:r>
    </w:p>
    <w:p w14:paraId="7C8A2012">
      <w:pPr>
        <w:tabs>
          <w:tab w:val="left" w:pos="2460"/>
          <w:tab w:val="center" w:pos="4592"/>
        </w:tabs>
        <w:adjustRightInd w:val="0"/>
        <w:snapToGrid w:val="0"/>
        <w:spacing w:before="468" w:beforeLines="150" w:after="468" w:afterLines="150" w:line="360" w:lineRule="auto"/>
        <w:jc w:val="center"/>
        <w:outlineLvl w:val="0"/>
        <w:rPr>
          <w:rFonts w:ascii="Times New Roman" w:hAnsi="Times New Roman" w:eastAsia="黑体" w:cs="黑体"/>
          <w:b/>
          <w:kern w:val="44"/>
          <w:sz w:val="32"/>
          <w:szCs w:val="44"/>
          <w14:ligatures w14:val="none"/>
        </w:rPr>
      </w:pPr>
      <w:bookmarkStart w:id="152" w:name="_Toc32303"/>
      <w:r>
        <w:rPr>
          <w:rFonts w:hint="eastAsia" w:ascii="Times New Roman" w:hAnsi="Times New Roman" w:eastAsia="黑体" w:cs="黑体"/>
          <w:b/>
          <w:kern w:val="44"/>
          <w:sz w:val="32"/>
          <w:szCs w:val="44"/>
          <w:lang w:val="en-US" w:eastAsia="zh-CN"/>
          <w14:ligatures w14:val="none"/>
        </w:rPr>
        <w:t>8</w:t>
      </w:r>
      <w:r>
        <w:rPr>
          <w:rFonts w:hint="eastAsia" w:ascii="Times New Roman" w:hAnsi="Times New Roman" w:eastAsia="黑体" w:cs="黑体"/>
          <w:b/>
          <w:kern w:val="44"/>
          <w:sz w:val="32"/>
          <w:szCs w:val="44"/>
          <w14:ligatures w14:val="none"/>
        </w:rPr>
        <w:t>评价结论</w:t>
      </w:r>
      <w:bookmarkEnd w:id="152"/>
    </w:p>
    <w:p w14:paraId="59FD5FDA">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53" w:name="_Toc6565"/>
      <w:r>
        <w:rPr>
          <w:rFonts w:hint="eastAsia" w:ascii="Times New Roman" w:hAnsi="Times New Roman" w:eastAsia="楷体" w:cs="黑体"/>
          <w:b/>
          <w:sz w:val="32"/>
          <w:szCs w:val="32"/>
          <w:lang w:val="en-US" w:eastAsia="zh-CN"/>
          <w14:ligatures w14:val="none"/>
        </w:rPr>
        <w:t>8</w:t>
      </w:r>
      <w:r>
        <w:rPr>
          <w:rFonts w:hint="eastAsia" w:ascii="Times New Roman" w:hAnsi="Times New Roman" w:eastAsia="楷体" w:cs="黑体"/>
          <w:b/>
          <w:sz w:val="32"/>
          <w:szCs w:val="32"/>
          <w14:ligatures w14:val="none"/>
        </w:rPr>
        <w:t>.1主要危险有害因素评价结果</w:t>
      </w:r>
      <w:bookmarkEnd w:id="153"/>
    </w:p>
    <w:p w14:paraId="68531E3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（1）依据《企业职工伤亡事故分类》、《生产过程危险和有害因素分类与代码》和《职业病危害因素分类目录》，</w:t>
      </w:r>
      <w:r>
        <w:rPr>
          <w:rFonts w:hint="eastAsia" w:ascii="Times New Roman" w:hAnsi="Times New Roman" w:eastAsia="宋体" w:cs="Times New Roman"/>
          <w:sz w:val="28"/>
          <w:szCs w:val="28"/>
          <w:lang w:eastAsia="zh-CN"/>
          <w14:ligatures w14:val="none"/>
        </w:rPr>
        <w:t>国能安储（东港）燃料供应有限公司</w:t>
      </w:r>
      <w:r>
        <w:rPr>
          <w:rFonts w:hint="eastAsia" w:ascii="Times New Roman" w:hAnsi="Times New Roman" w:eastAsia="宋体" w:cs="Times New Roman"/>
          <w:sz w:val="28"/>
          <w:szCs w:val="28"/>
          <w14:ligatures w14:val="none"/>
        </w:rPr>
        <w:t>经营</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14:ligatures w14:val="none"/>
        </w:rPr>
        <w:t>储存过程中的危险、有害因素分为：火灾和爆炸、中毒和窒息、触电、机械伤害、高处坠落、物体打击、车辆伤害、噪声</w:t>
      </w:r>
      <w:r>
        <w:rPr>
          <w:rFonts w:hint="eastAsia" w:ascii="Times New Roman" w:hAnsi="Times New Roman" w:eastAsia="宋体" w:cs="Times New Roman"/>
          <w:sz w:val="28"/>
          <w:szCs w:val="28"/>
          <w:lang w:val="en-US" w:eastAsia="zh-CN"/>
          <w14:ligatures w14:val="none"/>
        </w:rPr>
        <w:t>危害</w:t>
      </w:r>
      <w:r>
        <w:rPr>
          <w:rFonts w:hint="eastAsia" w:ascii="Times New Roman" w:hAnsi="Times New Roman" w:eastAsia="宋体" w:cs="Times New Roman"/>
          <w:sz w:val="28"/>
          <w:szCs w:val="28"/>
          <w14:ligatures w14:val="none"/>
        </w:rPr>
        <w:t>、</w:t>
      </w:r>
      <w:r>
        <w:rPr>
          <w:rFonts w:hint="eastAsia" w:ascii="Times New Roman" w:hAnsi="Times New Roman" w:eastAsia="宋体" w:cs="Times New Roman"/>
          <w:sz w:val="28"/>
          <w:szCs w:val="28"/>
          <w:lang w:val="en-US" w:eastAsia="zh-CN"/>
          <w14:ligatures w14:val="none"/>
        </w:rPr>
        <w:t>坍塌、淹溺</w:t>
      </w:r>
      <w:r>
        <w:rPr>
          <w:rFonts w:hint="eastAsia" w:ascii="Times New Roman" w:hAnsi="Times New Roman" w:eastAsia="宋体" w:cs="Times New Roman"/>
          <w:sz w:val="28"/>
          <w:szCs w:val="28"/>
          <w14:ligatures w14:val="none"/>
        </w:rPr>
        <w:t>等。</w:t>
      </w:r>
    </w:p>
    <w:p w14:paraId="7A6231D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eastAsia="宋体"/>
          <w:lang w:eastAsia="zh-CN"/>
        </w:rPr>
      </w:pPr>
      <w:r>
        <w:rPr>
          <w:rFonts w:hint="eastAsia" w:ascii="Times New Roman" w:hAnsi="Times New Roman" w:eastAsia="宋体" w:cs="Times New Roman"/>
          <w:sz w:val="28"/>
          <w:szCs w:val="28"/>
          <w14:ligatures w14:val="none"/>
        </w:rPr>
        <w:t>（2）</w:t>
      </w:r>
      <w:r>
        <w:rPr>
          <w:rFonts w:hint="eastAsia" w:ascii="Times New Roman" w:hAnsi="Times New Roman" w:eastAsia="宋体" w:cs="Times New Roman"/>
          <w:sz w:val="28"/>
          <w:szCs w:val="28"/>
          <w:lang w:eastAsia="zh-CN"/>
          <w14:ligatures w14:val="none"/>
        </w:rPr>
        <w:t>国能安储（东港）燃料供应有限公司</w:t>
      </w:r>
      <w:r>
        <w:rPr>
          <w:rFonts w:hint="eastAsia" w:ascii="Times New Roman" w:hAnsi="Times New Roman" w:eastAsia="宋体" w:cs="Times New Roman"/>
          <w:sz w:val="28"/>
          <w:szCs w:val="28"/>
          <w14:ligatures w14:val="none"/>
        </w:rPr>
        <w:t>构成</w:t>
      </w:r>
      <w:r>
        <w:rPr>
          <w:rFonts w:hint="eastAsia" w:ascii="Times New Roman" w:hAnsi="Times New Roman" w:eastAsia="宋体" w:cs="Times New Roman"/>
          <w:sz w:val="28"/>
          <w:szCs w:val="28"/>
          <w:lang w:val="en-US" w:eastAsia="zh-CN"/>
          <w14:ligatures w14:val="none"/>
        </w:rPr>
        <w:t>四级</w:t>
      </w:r>
      <w:r>
        <w:rPr>
          <w:rFonts w:hint="eastAsia" w:ascii="Times New Roman" w:hAnsi="Times New Roman" w:eastAsia="宋体" w:cs="Times New Roman"/>
          <w:sz w:val="28"/>
          <w:szCs w:val="28"/>
          <w14:ligatures w14:val="none"/>
        </w:rPr>
        <w:t>危险化学品重大危险源。</w:t>
      </w:r>
    </w:p>
    <w:p w14:paraId="521B5C3B">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lang w:eastAsia="zh-CN"/>
          <w14:ligatures w14:val="none"/>
        </w:rPr>
      </w:pPr>
      <w:r>
        <w:rPr>
          <w:rFonts w:hint="eastAsia" w:ascii="Times New Roman" w:hAnsi="Times New Roman" w:eastAsia="宋体" w:cs="Times New Roman"/>
          <w:sz w:val="28"/>
          <w:szCs w:val="28"/>
          <w14:ligatures w14:val="none"/>
        </w:rPr>
        <w:t>（</w:t>
      </w:r>
      <w:r>
        <w:rPr>
          <w:rFonts w:hint="eastAsia" w:ascii="Times New Roman" w:hAnsi="Times New Roman" w:eastAsia="宋体" w:cs="Times New Roman"/>
          <w:sz w:val="28"/>
          <w:szCs w:val="28"/>
          <w:lang w:val="en-US" w:eastAsia="zh-CN"/>
          <w14:ligatures w14:val="none"/>
        </w:rPr>
        <w:t>3</w:t>
      </w:r>
      <w:r>
        <w:rPr>
          <w:rFonts w:hint="eastAsia" w:ascii="Times New Roman" w:hAnsi="Times New Roman" w:eastAsia="宋体" w:cs="Times New Roman"/>
          <w:sz w:val="28"/>
          <w:szCs w:val="28"/>
          <w14:ligatures w14:val="none"/>
        </w:rPr>
        <w:t>）根据《国家安全监管总局关于公布首批重点监管的危险化学品目录的通知》（安监总管三[2011]95号）、《国家安全监管总局关于公布第二批重点监管危险化学品名录的通知》（安监总管三[2013]12号），</w:t>
      </w:r>
      <w:r>
        <w:rPr>
          <w:rFonts w:hint="eastAsia" w:ascii="Times New Roman" w:hAnsi="Times New Roman" w:eastAsia="宋体" w:cs="Times New Roman"/>
          <w:sz w:val="28"/>
          <w:szCs w:val="28"/>
          <w:lang w:eastAsia="zh-CN"/>
          <w14:ligatures w14:val="none"/>
        </w:rPr>
        <w:t>国能安储（东港）燃料供应有限公司有仓储经营的柴油不是重点监管的危险化学品。</w:t>
      </w:r>
    </w:p>
    <w:p w14:paraId="19BB27CC">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w:t>
      </w:r>
      <w:r>
        <w:rPr>
          <w:rFonts w:hint="eastAsia" w:ascii="Times New Roman" w:hAnsi="Times New Roman" w:eastAsia="宋体" w:cs="Times New Roman"/>
          <w:sz w:val="28"/>
          <w:szCs w:val="28"/>
          <w:lang w:val="en-US" w:eastAsia="zh-CN"/>
          <w14:ligatures w14:val="none"/>
        </w:rPr>
        <w:t>4</w:t>
      </w:r>
      <w:r>
        <w:rPr>
          <w:rFonts w:hint="eastAsia" w:ascii="Times New Roman" w:hAnsi="Times New Roman" w:eastAsia="宋体" w:cs="Times New Roman"/>
          <w:sz w:val="28"/>
          <w:szCs w:val="28"/>
          <w14:ligatures w14:val="none"/>
        </w:rPr>
        <w:t>）根据《国家安全监管总局关于公布首批重点监管的危险化工工艺目录的通知》（安监总管三[2009]116号）、《国家安全监管总局关于公布第二批重点监管、危险化工工艺目录和调整首批重点监管、危险化工工艺中部分典型工艺的通知》（安监总管三[2013]3号），</w:t>
      </w:r>
      <w:r>
        <w:rPr>
          <w:rFonts w:hint="eastAsia" w:ascii="Times New Roman" w:hAnsi="Times New Roman" w:eastAsia="宋体" w:cs="Times New Roman"/>
          <w:sz w:val="28"/>
          <w:szCs w:val="28"/>
          <w:lang w:val="en-US" w:eastAsia="zh-CN"/>
          <w14:ligatures w14:val="none"/>
        </w:rPr>
        <w:t>不</w:t>
      </w:r>
      <w:r>
        <w:rPr>
          <w:rFonts w:hint="eastAsia" w:ascii="Times New Roman" w:hAnsi="Times New Roman" w:eastAsia="宋体" w:cs="Times New Roman"/>
          <w:sz w:val="28"/>
          <w:szCs w:val="28"/>
          <w14:ligatures w14:val="none"/>
        </w:rPr>
        <w:t>涉及危险化工工艺。</w:t>
      </w:r>
    </w:p>
    <w:p w14:paraId="3BF28245">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54" w:name="_Toc25869"/>
      <w:r>
        <w:rPr>
          <w:rFonts w:hint="eastAsia" w:ascii="Times New Roman" w:hAnsi="Times New Roman" w:eastAsia="楷体" w:cs="黑体"/>
          <w:b/>
          <w:sz w:val="32"/>
          <w:szCs w:val="32"/>
          <w:lang w:val="en-US" w:eastAsia="zh-CN"/>
          <w14:ligatures w14:val="none"/>
        </w:rPr>
        <w:t>8</w:t>
      </w:r>
      <w:r>
        <w:rPr>
          <w:rFonts w:hint="eastAsia" w:ascii="Times New Roman" w:hAnsi="Times New Roman" w:eastAsia="楷体" w:cs="黑体"/>
          <w:b/>
          <w:sz w:val="32"/>
          <w:szCs w:val="32"/>
          <w14:ligatures w14:val="none"/>
        </w:rPr>
        <w:t>.2定性定量分析结果</w:t>
      </w:r>
      <w:bookmarkEnd w:id="154"/>
    </w:p>
    <w:p w14:paraId="617C5DA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通过现场检查，采用安全检查表评价，</w:t>
      </w:r>
      <w:r>
        <w:rPr>
          <w:rFonts w:hint="eastAsia" w:ascii="Times New Roman" w:hAnsi="Times New Roman" w:eastAsia="宋体" w:cs="Times New Roman"/>
          <w:sz w:val="28"/>
          <w:szCs w:val="28"/>
          <w:lang w:eastAsia="zh-CN"/>
          <w14:ligatures w14:val="none"/>
        </w:rPr>
        <w:t>国能安储（东港）燃料供应有限公司</w:t>
      </w:r>
      <w:r>
        <w:rPr>
          <w:rFonts w:hint="eastAsia" w:ascii="Times New Roman" w:hAnsi="Times New Roman" w:eastAsia="宋体" w:cs="Times New Roman"/>
          <w:sz w:val="28"/>
          <w:szCs w:val="28"/>
          <w14:ligatures w14:val="none"/>
        </w:rPr>
        <w:t>现有基本经营条件、安全管理条件符合《危险化学品经营许可证管理办法》、《辽宁省危险化学品经营许可证颁发管理施细则》等行政法规、部门规章；企业周边环境</w:t>
      </w:r>
      <w:r>
        <w:rPr>
          <w:rFonts w:hint="eastAsia" w:ascii="Times New Roman" w:hAnsi="Times New Roman" w:eastAsia="宋体" w:cs="Times New Roman"/>
          <w:sz w:val="28"/>
          <w:szCs w:val="28"/>
          <w:lang w:val="en-US" w:eastAsia="zh-CN"/>
          <w14:ligatures w14:val="none"/>
        </w:rPr>
        <w:t>及</w:t>
      </w:r>
      <w:r>
        <w:rPr>
          <w:rFonts w:hint="eastAsia" w:ascii="Times New Roman" w:hAnsi="Times New Roman" w:eastAsia="宋体" w:cs="Times New Roman"/>
          <w:sz w:val="28"/>
          <w:szCs w:val="28"/>
          <w14:ligatures w14:val="none"/>
        </w:rPr>
        <w:t>平面</w:t>
      </w:r>
      <w:r>
        <w:rPr>
          <w:rFonts w:hint="eastAsia" w:ascii="Times New Roman" w:hAnsi="Times New Roman" w:eastAsia="宋体" w:cs="Times New Roman"/>
          <w:sz w:val="28"/>
          <w:szCs w:val="28"/>
          <w:lang w:val="en-US" w:eastAsia="zh-CN"/>
          <w14:ligatures w14:val="none"/>
        </w:rPr>
        <w:t>布置</w:t>
      </w:r>
      <w:r>
        <w:rPr>
          <w:rFonts w:hint="eastAsia" w:ascii="Times New Roman" w:hAnsi="Times New Roman" w:eastAsia="宋体" w:cs="Times New Roman"/>
          <w:sz w:val="28"/>
          <w:szCs w:val="28"/>
          <w14:ligatures w14:val="none"/>
        </w:rPr>
        <w:t>、</w:t>
      </w:r>
      <w:r>
        <w:rPr>
          <w:rFonts w:hint="eastAsia" w:ascii="Times New Roman" w:hAnsi="Times New Roman" w:eastAsia="宋体" w:cs="Times New Roman"/>
          <w:sz w:val="28"/>
          <w:szCs w:val="28"/>
          <w:lang w:val="en-US" w:eastAsia="zh-CN"/>
          <w14:ligatures w14:val="none"/>
        </w:rPr>
        <w:t>工艺</w:t>
      </w:r>
      <w:r>
        <w:rPr>
          <w:rFonts w:hint="eastAsia" w:ascii="Times New Roman" w:hAnsi="Times New Roman" w:eastAsia="宋体" w:cs="Times New Roman"/>
          <w:sz w:val="28"/>
          <w:szCs w:val="28"/>
          <w14:ligatures w14:val="none"/>
        </w:rPr>
        <w:t>设施、储存设施及公辅工程情况均满足《建筑设计防火规范（2018年版）》（GB50016-2014）、《石油库设计规范》（GB50074-2014）等标准规范。</w:t>
      </w:r>
    </w:p>
    <w:p w14:paraId="68DB9AA0">
      <w:pPr>
        <w:pStyle w:val="4"/>
        <w:keepNext w:val="0"/>
        <w:keepLines w:val="0"/>
        <w:pageBreakBefore w:val="0"/>
        <w:widowControl w:val="0"/>
        <w:kinsoku/>
        <w:wordWrap/>
        <w:overflowPunct/>
        <w:topLinePunct w:val="0"/>
        <w:autoSpaceDE/>
        <w:autoSpaceDN/>
        <w:bidi w:val="0"/>
        <w:adjustRightInd w:val="0"/>
        <w:snapToGrid w:val="0"/>
        <w:spacing w:line="360" w:lineRule="auto"/>
        <w:jc w:val="both"/>
        <w:textAlignment w:val="auto"/>
        <w:rPr>
          <w:rFonts w:hint="eastAsia" w:ascii="Times New Roman" w:hAnsi="Times New Roman" w:eastAsia="宋体" w:cs="Times New Roman"/>
          <w:kern w:val="2"/>
          <w:sz w:val="28"/>
          <w:szCs w:val="28"/>
          <w:lang w:val="en-US" w:eastAsia="zh-CN" w:bidi="ar-SA"/>
          <w14:ligatures w14:val="none"/>
        </w:rPr>
      </w:pPr>
      <w:r>
        <w:rPr>
          <w:rFonts w:hint="eastAsia" w:ascii="Times New Roman" w:hAnsi="Times New Roman" w:eastAsia="宋体" w:cs="Times New Roman"/>
          <w:kern w:val="2"/>
          <w:sz w:val="28"/>
          <w:szCs w:val="28"/>
          <w:lang w:val="en-US" w:eastAsia="zh-CN" w:bidi="ar-SA"/>
          <w14:ligatures w14:val="none"/>
        </w:rPr>
        <w:t>通过区域个人风险模拟计算可知，个人风险模拟结果均符合《危险化学品生产装置和储存设施风险基准》的要求；社会风险曲线均落在了可接受区域。外部安全防护距离执行《石油库设计规范》（GB50057-2014）的有关要求，由间距检查表可知，国能安储（东港）燃料供应有限公司的柴油储罐的外部安全防护距离符合要求。</w:t>
      </w:r>
    </w:p>
    <w:p w14:paraId="26951E3E">
      <w:pPr>
        <w:adjustRightInd w:val="0"/>
        <w:snapToGrid w:val="0"/>
        <w:spacing w:before="312" w:beforeLines="100" w:after="312" w:afterLines="100" w:line="360" w:lineRule="auto"/>
        <w:jc w:val="center"/>
        <w:outlineLvl w:val="1"/>
        <w:rPr>
          <w:rFonts w:ascii="Times New Roman" w:hAnsi="Times New Roman" w:eastAsia="楷体" w:cs="黑体"/>
          <w:b/>
          <w:sz w:val="32"/>
          <w:szCs w:val="32"/>
          <w14:ligatures w14:val="none"/>
        </w:rPr>
      </w:pPr>
      <w:bookmarkStart w:id="155" w:name="_Toc5479"/>
      <w:r>
        <w:rPr>
          <w:rFonts w:hint="eastAsia" w:ascii="Times New Roman" w:hAnsi="Times New Roman" w:eastAsia="楷体" w:cs="黑体"/>
          <w:b/>
          <w:sz w:val="32"/>
          <w:szCs w:val="32"/>
          <w:lang w:val="en-US" w:eastAsia="zh-CN"/>
          <w14:ligatures w14:val="none"/>
        </w:rPr>
        <w:t>8</w:t>
      </w:r>
      <w:r>
        <w:rPr>
          <w:rFonts w:hint="eastAsia" w:ascii="Times New Roman" w:hAnsi="Times New Roman" w:eastAsia="楷体" w:cs="黑体"/>
          <w:b/>
          <w:sz w:val="32"/>
          <w:szCs w:val="32"/>
          <w14:ligatures w14:val="none"/>
        </w:rPr>
        <w:t>.3评价结论</w:t>
      </w:r>
      <w:bookmarkEnd w:id="155"/>
    </w:p>
    <w:p w14:paraId="41B605CB">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根据对</w:t>
      </w:r>
      <w:r>
        <w:rPr>
          <w:rFonts w:hint="eastAsia" w:ascii="Times New Roman" w:hAnsi="Times New Roman" w:eastAsia="宋体" w:cs="Times New Roman"/>
          <w:sz w:val="28"/>
          <w:szCs w:val="28"/>
          <w:lang w:eastAsia="zh-CN"/>
          <w14:ligatures w14:val="none"/>
        </w:rPr>
        <w:t>国能安储（东港）燃料供应有限公司</w:t>
      </w:r>
      <w:r>
        <w:rPr>
          <w:rFonts w:hint="eastAsia" w:ascii="Times New Roman" w:hAnsi="Times New Roman" w:eastAsia="宋体" w:cs="Times New Roman"/>
          <w:sz w:val="28"/>
          <w:szCs w:val="28"/>
          <w14:ligatures w14:val="none"/>
        </w:rPr>
        <w:t>的安全作业条件等进行的综合评价，认为该企业工艺设施符合相关标准的规定，从业人员具备相应的知识和能力。只要该单位保证安全管理机构的有效性，进一步加强日常安全管理工作，严格贯彻执行各种安全规章制度，健全各项安全管理组织制度，就能够有效地对经营过程实现有效的安全监控，从而保证企业安全经营保障条件的落实和实施。</w:t>
      </w:r>
    </w:p>
    <w:p w14:paraId="0ABB1791">
      <w:pPr>
        <w:adjustRightInd w:val="0"/>
        <w:snapToGrid w:val="0"/>
        <w:spacing w:after="0" w:line="360" w:lineRule="auto"/>
        <w:ind w:firstLine="560" w:firstLineChars="200"/>
        <w:jc w:val="both"/>
        <w:rPr>
          <w:rFonts w:hint="eastAsia" w:ascii="Times New Roman" w:hAnsi="Times New Roman" w:eastAsia="宋体" w:cs="Times New Roman"/>
          <w:sz w:val="28"/>
          <w:szCs w:val="28"/>
          <w14:ligatures w14:val="none"/>
        </w:rPr>
      </w:pPr>
      <w:r>
        <w:rPr>
          <w:rFonts w:hint="eastAsia" w:ascii="Times New Roman" w:hAnsi="Times New Roman" w:eastAsia="宋体" w:cs="Times New Roman"/>
          <w:sz w:val="28"/>
          <w:szCs w:val="28"/>
          <w14:ligatures w14:val="none"/>
        </w:rPr>
        <w:t>经评价，</w:t>
      </w:r>
      <w:r>
        <w:rPr>
          <w:rFonts w:hint="eastAsia" w:ascii="Times New Roman" w:hAnsi="Times New Roman" w:eastAsia="宋体" w:cs="Times New Roman"/>
          <w:sz w:val="28"/>
          <w:szCs w:val="28"/>
          <w:lang w:eastAsia="zh-CN"/>
          <w14:ligatures w14:val="none"/>
        </w:rPr>
        <w:t>国能安储（东港）燃料供应有限公司</w:t>
      </w:r>
      <w:r>
        <w:rPr>
          <w:rFonts w:hint="eastAsia" w:ascii="Times New Roman" w:hAnsi="Times New Roman" w:eastAsia="宋体" w:cs="Times New Roman"/>
          <w:sz w:val="28"/>
          <w:szCs w:val="28"/>
          <w:lang w:val="en-US" w:eastAsia="zh-CN"/>
          <w14:ligatures w14:val="none"/>
        </w:rPr>
        <w:t>对</w:t>
      </w:r>
      <w:r>
        <w:rPr>
          <w:rFonts w:hint="eastAsia" w:ascii="Times New Roman" w:hAnsi="Times New Roman" w:eastAsia="宋体" w:cs="Times New Roman"/>
          <w:sz w:val="28"/>
          <w:szCs w:val="28"/>
          <w:lang w:eastAsia="zh-CN"/>
          <w14:ligatures w14:val="none"/>
        </w:rPr>
        <w:t>本评价报告第</w:t>
      </w:r>
      <w:r>
        <w:rPr>
          <w:rFonts w:hint="eastAsia" w:ascii="Times New Roman" w:hAnsi="Times New Roman" w:eastAsia="宋体" w:cs="Times New Roman"/>
          <w:sz w:val="28"/>
          <w:szCs w:val="28"/>
          <w:lang w:val="en-US" w:eastAsia="zh-CN"/>
          <w14:ligatures w14:val="none"/>
        </w:rPr>
        <w:t>7</w:t>
      </w:r>
      <w:r>
        <w:rPr>
          <w:rFonts w:hint="eastAsia" w:ascii="Times New Roman" w:hAnsi="Times New Roman" w:eastAsia="宋体" w:cs="Times New Roman"/>
          <w:sz w:val="28"/>
          <w:szCs w:val="28"/>
          <w:lang w:eastAsia="zh-CN"/>
          <w14:ligatures w14:val="none"/>
        </w:rPr>
        <w:t>章提出的整改建议进行整改，并确认合格</w:t>
      </w:r>
      <w:r>
        <w:rPr>
          <w:rFonts w:hint="eastAsia" w:ascii="Times New Roman" w:hAnsi="Times New Roman" w:eastAsia="宋体" w:cs="Times New Roman"/>
          <w:sz w:val="28"/>
          <w:szCs w:val="28"/>
          <w:lang w:val="en-US" w:eastAsia="zh-CN"/>
          <w14:ligatures w14:val="none"/>
        </w:rPr>
        <w:t>，</w:t>
      </w:r>
      <w:r>
        <w:rPr>
          <w:rFonts w:hint="eastAsia" w:ascii="Times New Roman" w:hAnsi="Times New Roman" w:eastAsia="宋体" w:cs="Times New Roman"/>
          <w:sz w:val="28"/>
          <w:szCs w:val="28"/>
          <w:lang w:eastAsia="zh-CN"/>
          <w14:ligatures w14:val="none"/>
        </w:rPr>
        <w:t>整体符合</w:t>
      </w:r>
      <w:r>
        <w:rPr>
          <w:rFonts w:hint="eastAsia" w:ascii="Times New Roman" w:hAnsi="Times New Roman" w:eastAsia="宋体" w:cs="Times New Roman"/>
          <w:sz w:val="28"/>
          <w:szCs w:val="28"/>
          <w:lang w:val="en-US" w:eastAsia="zh-CN"/>
          <w14:ligatures w14:val="none"/>
        </w:rPr>
        <w:t>有仓储经营柴油的安全</w:t>
      </w:r>
      <w:r>
        <w:rPr>
          <w:rFonts w:hint="eastAsia" w:ascii="Times New Roman" w:hAnsi="Times New Roman" w:eastAsia="宋体" w:cs="Times New Roman"/>
          <w:sz w:val="28"/>
          <w:szCs w:val="28"/>
          <w14:ligatures w14:val="none"/>
        </w:rPr>
        <w:t>要求。</w:t>
      </w:r>
    </w:p>
    <w:p w14:paraId="7F090B58">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ascii="Times New Roman" w:hAnsi="Times New Roman" w:eastAsia="宋体" w:cs="Times New Roman"/>
          <w:sz w:val="28"/>
          <w:szCs w:val="28"/>
          <w14:ligatures w14:val="none"/>
        </w:rPr>
        <w:br w:type="page"/>
      </w:r>
    </w:p>
    <w:p w14:paraId="4D13BFC4">
      <w:pPr>
        <w:tabs>
          <w:tab w:val="left" w:pos="2460"/>
          <w:tab w:val="center" w:pos="4592"/>
        </w:tabs>
        <w:adjustRightInd w:val="0"/>
        <w:snapToGrid w:val="0"/>
        <w:spacing w:before="468" w:beforeLines="150" w:after="468" w:afterLines="150" w:line="360" w:lineRule="auto"/>
        <w:jc w:val="center"/>
        <w:outlineLvl w:val="0"/>
        <w:rPr>
          <w:rFonts w:ascii="Times New Roman" w:hAnsi="Times New Roman" w:eastAsia="黑体" w:cs="黑体"/>
          <w:b/>
          <w:kern w:val="44"/>
          <w:sz w:val="32"/>
          <w:szCs w:val="44"/>
          <w14:ligatures w14:val="none"/>
        </w:rPr>
      </w:pPr>
      <w:bookmarkStart w:id="156" w:name="_Toc18647"/>
      <w:r>
        <w:rPr>
          <w:rFonts w:hint="eastAsia" w:ascii="Times New Roman" w:hAnsi="Times New Roman" w:eastAsia="黑体" w:cs="黑体"/>
          <w:b/>
          <w:kern w:val="44"/>
          <w:sz w:val="32"/>
          <w:szCs w:val="44"/>
          <w14:ligatures w14:val="none"/>
        </w:rPr>
        <w:t>附件</w:t>
      </w:r>
      <w:bookmarkEnd w:id="156"/>
    </w:p>
    <w:p w14:paraId="2EF6463D">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营业执照</w:t>
      </w:r>
    </w:p>
    <w:p w14:paraId="1F6A5D74">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不动产权证明</w:t>
      </w:r>
    </w:p>
    <w:p w14:paraId="6AC7DD55">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土地证</w:t>
      </w:r>
    </w:p>
    <w:p w14:paraId="75E32877">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租赁合同</w:t>
      </w:r>
    </w:p>
    <w:p w14:paraId="4E2A3AA0">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废弃情况说明</w:t>
      </w:r>
    </w:p>
    <w:p w14:paraId="538048DF">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消防验收证</w:t>
      </w:r>
    </w:p>
    <w:p w14:paraId="718EEE4A">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危险化学品经营许可证</w:t>
      </w:r>
    </w:p>
    <w:p w14:paraId="57430CE7">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主要负责人、安全管理人员任命文件</w:t>
      </w:r>
    </w:p>
    <w:p w14:paraId="4252DCF9">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主要负责人、安全管理人员证书</w:t>
      </w:r>
    </w:p>
    <w:p w14:paraId="7FF41B3D">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主要负责人、安全管理人员学历证明</w:t>
      </w:r>
    </w:p>
    <w:p w14:paraId="52C5EABF">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注册安全工程师证</w:t>
      </w:r>
    </w:p>
    <w:p w14:paraId="0DCB7755">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highlight w:val="none"/>
          <w:lang w:val="en-US" w:eastAsia="zh-CN" w:bidi="ar-SA"/>
          <w14:ligatures w14:val="standardContextual"/>
        </w:rPr>
      </w:pPr>
      <w:r>
        <w:rPr>
          <w:rFonts w:hint="eastAsia" w:ascii="Times New Roman" w:hAnsi="Times New Roman" w:eastAsia="宋体" w:cstheme="minorBidi"/>
          <w:kern w:val="2"/>
          <w:sz w:val="28"/>
          <w:szCs w:val="24"/>
          <w:highlight w:val="none"/>
          <w:lang w:val="en-US" w:eastAsia="zh-CN" w:bidi="ar-SA"/>
          <w14:ligatures w14:val="standardContextual"/>
        </w:rPr>
        <w:t>特种作业人员资格证书及台账</w:t>
      </w:r>
    </w:p>
    <w:p w14:paraId="4DD1F874">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highlight w:val="none"/>
          <w:lang w:val="en-US" w:eastAsia="zh-CN" w:bidi="ar-SA"/>
          <w14:ligatures w14:val="standardContextual"/>
        </w:rPr>
      </w:pPr>
      <w:r>
        <w:rPr>
          <w:rFonts w:hint="eastAsia" w:ascii="Times New Roman" w:hAnsi="Times New Roman" w:eastAsia="宋体" w:cstheme="minorBidi"/>
          <w:kern w:val="2"/>
          <w:sz w:val="28"/>
          <w:szCs w:val="24"/>
          <w:highlight w:val="none"/>
          <w:lang w:val="en-US" w:eastAsia="zh-CN" w:bidi="ar-SA"/>
          <w14:ligatures w14:val="standardContextual"/>
        </w:rPr>
        <w:t>气体检测器台账及检测报告</w:t>
      </w:r>
    </w:p>
    <w:p w14:paraId="46AE5452">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highlight w:val="none"/>
          <w:lang w:val="en-US" w:eastAsia="zh-CN" w:bidi="ar-SA"/>
          <w14:ligatures w14:val="standardContextual"/>
        </w:rPr>
      </w:pPr>
      <w:r>
        <w:rPr>
          <w:rFonts w:hint="eastAsia" w:ascii="Times New Roman" w:hAnsi="Times New Roman" w:eastAsia="宋体" w:cstheme="minorBidi"/>
          <w:kern w:val="2"/>
          <w:sz w:val="28"/>
          <w:szCs w:val="24"/>
          <w:highlight w:val="none"/>
          <w:lang w:val="en-US" w:eastAsia="zh-CN" w:bidi="ar-SA"/>
          <w14:ligatures w14:val="standardContextual"/>
        </w:rPr>
        <w:t>压力表台账及检测报告、安全阀证书</w:t>
      </w:r>
    </w:p>
    <w:p w14:paraId="15BC28E1">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highlight w:val="none"/>
          <w:lang w:val="en-US" w:eastAsia="zh-CN" w:bidi="ar-SA"/>
          <w14:ligatures w14:val="standardContextual"/>
        </w:rPr>
      </w:pPr>
      <w:r>
        <w:rPr>
          <w:rFonts w:hint="eastAsia" w:ascii="Times New Roman" w:hAnsi="Times New Roman" w:eastAsia="宋体" w:cstheme="minorBidi"/>
          <w:kern w:val="2"/>
          <w:sz w:val="28"/>
          <w:szCs w:val="24"/>
          <w:highlight w:val="none"/>
          <w:lang w:val="en-US" w:eastAsia="zh-CN" w:bidi="ar-SA"/>
          <w14:ligatures w14:val="standardContextual"/>
        </w:rPr>
        <w:t>雷电防护装置检测报告</w:t>
      </w:r>
    </w:p>
    <w:p w14:paraId="6E790F29">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highlight w:val="none"/>
          <w:lang w:val="en-US" w:eastAsia="zh-CN" w:bidi="ar-SA"/>
          <w14:ligatures w14:val="standardContextual"/>
        </w:rPr>
      </w:pPr>
      <w:r>
        <w:rPr>
          <w:rFonts w:hint="eastAsia" w:ascii="Times New Roman" w:hAnsi="Times New Roman" w:eastAsia="宋体" w:cstheme="minorBidi"/>
          <w:kern w:val="2"/>
          <w:sz w:val="28"/>
          <w:szCs w:val="24"/>
          <w:highlight w:val="none"/>
          <w:lang w:val="en-US" w:eastAsia="zh-CN" w:bidi="ar-SA"/>
          <w14:ligatures w14:val="standardContextual"/>
        </w:rPr>
        <w:t>安全管理责任制、安全管理制度及安全操作规程清单</w:t>
      </w:r>
    </w:p>
    <w:p w14:paraId="3547866A">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highlight w:val="none"/>
          <w:lang w:val="en-US" w:eastAsia="zh-CN" w:bidi="ar-SA"/>
          <w14:ligatures w14:val="standardContextual"/>
        </w:rPr>
      </w:pPr>
      <w:r>
        <w:rPr>
          <w:rFonts w:hint="eastAsia" w:ascii="Times New Roman" w:hAnsi="Times New Roman" w:eastAsia="宋体" w:cstheme="minorBidi"/>
          <w:kern w:val="2"/>
          <w:sz w:val="28"/>
          <w:szCs w:val="24"/>
          <w:highlight w:val="none"/>
          <w:lang w:val="en-US" w:eastAsia="zh-CN" w:bidi="ar-SA"/>
          <w14:ligatures w14:val="standardContextual"/>
        </w:rPr>
        <w:t>应急预案备案登记表</w:t>
      </w:r>
    </w:p>
    <w:p w14:paraId="0BD3B1EF">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highlight w:val="none"/>
          <w:lang w:val="en-US" w:eastAsia="zh-CN" w:bidi="ar-SA"/>
          <w14:ligatures w14:val="standardContextual"/>
        </w:rPr>
      </w:pPr>
      <w:r>
        <w:rPr>
          <w:rFonts w:hint="eastAsia" w:ascii="Times New Roman" w:hAnsi="Times New Roman" w:eastAsia="宋体" w:cstheme="minorBidi"/>
          <w:kern w:val="2"/>
          <w:sz w:val="28"/>
          <w:szCs w:val="24"/>
          <w:highlight w:val="none"/>
          <w:lang w:val="en-US" w:eastAsia="zh-CN" w:bidi="ar-SA"/>
          <w14:ligatures w14:val="standardContextual"/>
        </w:rPr>
        <w:t>重大危险源备案登记表</w:t>
      </w:r>
    </w:p>
    <w:p w14:paraId="25E244F7">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highlight w:val="none"/>
          <w:lang w:val="en-US" w:eastAsia="zh-CN" w:bidi="ar-SA"/>
          <w14:ligatures w14:val="standardContextual"/>
        </w:rPr>
      </w:pPr>
      <w:r>
        <w:rPr>
          <w:rFonts w:hint="eastAsia" w:ascii="Times New Roman" w:hAnsi="Times New Roman" w:eastAsia="宋体" w:cstheme="minorBidi"/>
          <w:kern w:val="2"/>
          <w:sz w:val="28"/>
          <w:szCs w:val="24"/>
          <w:highlight w:val="none"/>
          <w:lang w:val="en-US" w:eastAsia="zh-CN" w:bidi="ar-SA"/>
          <w14:ligatures w14:val="standardContextual"/>
        </w:rPr>
        <w:t>应急物资配备清单</w:t>
      </w:r>
    </w:p>
    <w:p w14:paraId="13FC675A">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highlight w:val="none"/>
          <w:lang w:val="en-US" w:eastAsia="zh-CN" w:bidi="ar-SA"/>
          <w14:ligatures w14:val="standardContextual"/>
        </w:rPr>
      </w:pPr>
      <w:r>
        <w:rPr>
          <w:rFonts w:hint="eastAsia" w:ascii="Times New Roman" w:hAnsi="Times New Roman" w:eastAsia="宋体" w:cstheme="minorBidi"/>
          <w:kern w:val="2"/>
          <w:sz w:val="28"/>
          <w:szCs w:val="24"/>
          <w:highlight w:val="none"/>
          <w:lang w:val="en-US" w:eastAsia="zh-CN" w:bidi="ar-SA"/>
          <w14:ligatures w14:val="standardContextual"/>
        </w:rPr>
        <w:t>巡检照片</w:t>
      </w:r>
    </w:p>
    <w:p w14:paraId="5515AF2D">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highlight w:val="none"/>
          <w:lang w:val="en-US" w:eastAsia="zh-CN" w:bidi="ar-SA"/>
          <w14:ligatures w14:val="standardContextual"/>
        </w:rPr>
      </w:pPr>
      <w:r>
        <w:rPr>
          <w:rFonts w:hint="eastAsia" w:ascii="Times New Roman" w:hAnsi="Times New Roman" w:eastAsia="宋体" w:cstheme="minorBidi"/>
          <w:kern w:val="2"/>
          <w:sz w:val="28"/>
          <w:szCs w:val="24"/>
          <w:highlight w:val="none"/>
          <w:lang w:val="en-US" w:eastAsia="zh-CN" w:bidi="ar-SA"/>
          <w14:ligatures w14:val="standardContextual"/>
        </w:rPr>
        <w:t>应急演练记录及照片</w:t>
      </w:r>
    </w:p>
    <w:p w14:paraId="18B52540">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highlight w:val="none"/>
          <w:lang w:val="en-US" w:eastAsia="zh-CN" w:bidi="ar-SA"/>
          <w14:ligatures w14:val="standardContextual"/>
        </w:rPr>
      </w:pPr>
      <w:r>
        <w:rPr>
          <w:rFonts w:hint="eastAsia" w:ascii="Times New Roman" w:hAnsi="Times New Roman" w:eastAsia="宋体" w:cstheme="minorBidi"/>
          <w:kern w:val="2"/>
          <w:sz w:val="28"/>
          <w:szCs w:val="24"/>
          <w:highlight w:val="none"/>
          <w:lang w:val="en-US" w:eastAsia="zh-CN" w:bidi="ar-SA"/>
          <w14:ligatures w14:val="standardContextual"/>
        </w:rPr>
        <w:t>工伤保险、安全生产责任</w:t>
      </w:r>
      <w:r>
        <w:rPr>
          <w:rFonts w:hint="eastAsia" w:ascii="Times New Roman" w:hAnsi="Times New Roman" w:eastAsia="宋体" w:cstheme="minorBidi"/>
          <w:kern w:val="2"/>
          <w:sz w:val="28"/>
          <w:szCs w:val="24"/>
          <w:lang w:val="en-US" w:eastAsia="zh-CN" w:bidi="ar-SA"/>
          <w14:ligatures w14:val="standardContextual"/>
        </w:rPr>
        <w:t>险回执单</w:t>
      </w:r>
    </w:p>
    <w:p w14:paraId="3DCFD551">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总平面布置图、工艺流程图、爆炸危险区域划分图</w:t>
      </w:r>
    </w:p>
    <w:p w14:paraId="6E74E33C">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整改确认报告1</w:t>
      </w:r>
    </w:p>
    <w:p w14:paraId="5247821A">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评审意见</w:t>
      </w:r>
    </w:p>
    <w:p w14:paraId="699DA2A8">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报告修改说明</w:t>
      </w:r>
    </w:p>
    <w:p w14:paraId="35BB71C8">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imes New Roman"/>
          <w:sz w:val="28"/>
          <w:szCs w:val="28"/>
          <w14:ligatures w14:val="none"/>
        </w:rPr>
      </w:pPr>
      <w:r>
        <w:rPr>
          <w:rFonts w:hint="eastAsia" w:ascii="Times New Roman" w:hAnsi="Times New Roman" w:eastAsia="宋体" w:cstheme="minorBidi"/>
          <w:kern w:val="2"/>
          <w:sz w:val="28"/>
          <w:szCs w:val="24"/>
          <w:lang w:val="en-US" w:eastAsia="zh-CN" w:bidi="ar-SA"/>
          <w14:ligatures w14:val="standardContextual"/>
        </w:rPr>
        <w:t>整改确认报告2</w:t>
      </w:r>
    </w:p>
    <w:p w14:paraId="1D623810">
      <w:pPr>
        <w:widowControl w:val="0"/>
        <w:numPr>
          <w:ilvl w:val="0"/>
          <w:numId w:val="15"/>
        </w:numPr>
        <w:adjustRightInd w:val="0"/>
        <w:snapToGrid w:val="0"/>
        <w:spacing w:after="0" w:line="360" w:lineRule="auto"/>
        <w:ind w:left="1280" w:hanging="720" w:firstLineChars="0"/>
        <w:jc w:val="both"/>
        <w:rPr>
          <w:rFonts w:ascii="Times New Roman" w:hAnsi="Times New Roman" w:eastAsia="宋体" w:cs="Times New Roman"/>
          <w:sz w:val="28"/>
          <w:szCs w:val="28"/>
          <w14:ligatures w14:val="none"/>
        </w:rPr>
      </w:pPr>
      <w:r>
        <w:rPr>
          <w:rFonts w:hint="eastAsia" w:ascii="Times New Roman" w:hAnsi="Times New Roman" w:eastAsia="宋体" w:cstheme="minorBidi"/>
          <w:kern w:val="2"/>
          <w:sz w:val="28"/>
          <w:szCs w:val="24"/>
          <w:lang w:val="en-US" w:eastAsia="zh-CN" w:bidi="ar-SA"/>
          <w14:ligatures w14:val="standardContextual"/>
        </w:rPr>
        <w:t>情况说明</w:t>
      </w:r>
    </w:p>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T20262o00">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TT20262o01">
    <w:altName w:val="Segoe Print"/>
    <w:panose1 w:val="00000000000000000000"/>
    <w:charset w:val="00"/>
    <w:family w:val="auto"/>
    <w:pitch w:val="default"/>
    <w:sig w:usb0="00000000"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ED2B3F">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C83459">
    <w:pPr>
      <w:pStyle w:val="8"/>
      <w:keepNext w:val="0"/>
      <w:keepLines w:val="0"/>
      <w:pageBreakBefore w:val="0"/>
      <w:widowControl w:val="0"/>
      <w:pBdr>
        <w:top w:val="single" w:color="auto" w:sz="4" w:space="0"/>
      </w:pBdr>
      <w:kinsoku/>
      <w:wordWrap/>
      <w:overflowPunct/>
      <w:topLinePunct w:val="0"/>
      <w:bidi w:val="0"/>
      <w:adjustRightInd w:val="0"/>
      <w:snapToGrid w:val="0"/>
      <w:spacing w:after="0" w:line="240" w:lineRule="auto"/>
      <w:jc w:val="both"/>
      <w:textAlignment w:val="auto"/>
    </w:pP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24DCDAB">
                          <w:pPr>
                            <w:pStyle w:val="8"/>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1</w:t>
                          </w:r>
                          <w:r>
                            <w:rPr>
                              <w:rFonts w:hint="default" w:ascii="Times New Roman" w:hAnsi="Times New Roman" w:cs="Times New Roma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OeIrFDgCAABvBAAADgAAAAAAAAABACAAAAAfAQAAZHJzL2Uyb0RvYy54&#10;bWxQSwUGAAAAAAYABgBZAQAAyQUAAAAA&#10;">
              <v:fill on="f" focussize="0,0"/>
              <v:stroke on="f" weight="0.5pt"/>
              <v:imagedata o:title=""/>
              <o:lock v:ext="edit" aspectratio="f"/>
              <v:textbox inset="0mm,0mm,0mm,0mm" style="mso-fit-shape-to-text:t;">
                <w:txbxContent>
                  <w:p w14:paraId="424DCDAB">
                    <w:pPr>
                      <w:pStyle w:val="8"/>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1</w:t>
                    </w:r>
                    <w:r>
                      <w:rPr>
                        <w:rFonts w:hint="default" w:ascii="Times New Roman" w:hAnsi="Times New Roman" w:cs="Times New Roman"/>
                      </w:rPr>
                      <w:fldChar w:fldCharType="end"/>
                    </w:r>
                  </w:p>
                </w:txbxContent>
              </v:textbox>
            </v:shape>
          </w:pict>
        </mc:Fallback>
      </mc:AlternateContent>
    </w:r>
    <w:r>
      <w:rPr>
        <w:rFonts w:hint="eastAsia"/>
      </w:rPr>
      <w:drawing>
        <wp:inline distT="0" distB="0" distL="114300" distR="114300">
          <wp:extent cx="361315" cy="136525"/>
          <wp:effectExtent l="0" t="0" r="0" b="15875"/>
          <wp:docPr id="8" name="图片 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ascii="楷体" w:hAnsi="楷体" w:eastAsia="楷体" w:cs="楷体"/>
        <w:sz w:val="21"/>
        <w:szCs w:val="21"/>
      </w:rPr>
      <w:t>辽宁诺诚安全科技有限公司</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642B9F">
    <w:pPr>
      <w:pStyle w:val="8"/>
      <w:pBdr>
        <w:top w:val="single" w:color="auto" w:sz="4" w:space="1"/>
      </w:pBdr>
      <w:spacing w:after="0"/>
      <w:rPr>
        <w:rFonts w:ascii="Times New Roman" w:hAnsi="Times New Roman" w:eastAsia="楷体"/>
        <w:sz w:val="21"/>
      </w:rPr>
    </w:pPr>
    <w:r>
      <w:rPr>
        <w:sz w:val="21"/>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45FA2B">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3345FA2B">
                    <w:pPr>
                      <w:pStyle w:val="8"/>
                    </w:pPr>
                    <w:r>
                      <w:fldChar w:fldCharType="begin"/>
                    </w:r>
                    <w:r>
                      <w:instrText xml:space="preserve"> PAGE  \* MERGEFORMAT </w:instrText>
                    </w:r>
                    <w:r>
                      <w:fldChar w:fldCharType="separate"/>
                    </w:r>
                    <w:r>
                      <w:t>1</w:t>
                    </w:r>
                    <w:r>
                      <w:fldChar w:fldCharType="end"/>
                    </w:r>
                  </w:p>
                </w:txbxContent>
              </v:textbox>
            </v:shape>
          </w:pict>
        </mc:Fallback>
      </mc:AlternateContent>
    </w:r>
    <w:r>
      <w:rPr>
        <w:rFonts w:ascii="Times New Roman" w:hAnsi="Times New Roman" w:eastAsia="楷体" w:cs="Times New Roman"/>
        <w:sz w:val="21"/>
        <w:szCs w:val="24"/>
        <w14:ligatures w14:val="none"/>
      </w:rPr>
      <w:drawing>
        <wp:inline distT="0" distB="0" distL="0" distR="0">
          <wp:extent cx="361950" cy="133350"/>
          <wp:effectExtent l="0" t="0" r="0" b="0"/>
          <wp:docPr id="829315484" name="图片 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315484" name="图片 3"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pic:spPr>
              </pic:pic>
            </a:graphicData>
          </a:graphic>
        </wp:inline>
      </w:drawing>
    </w:r>
    <w:r>
      <w:rPr>
        <w:rFonts w:hint="eastAsia" w:ascii="Times New Roman" w:hAnsi="Times New Roman" w:eastAsia="楷体"/>
        <w:sz w:val="21"/>
      </w:rPr>
      <w:t>辽宁诺诚安全科技有限公司</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D9E5DE">
    <w:pPr>
      <w:pStyle w:val="9"/>
      <w:pBdr>
        <w:bottom w:val="none" w:color="auto" w:sz="0" w:space="0"/>
      </w:pBdr>
      <w:rPr>
        <w:rFonts w:hint="defau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C876C9">
    <w:pPr>
      <w:pStyle w:val="9"/>
      <w:pBdr>
        <w:bottom w:val="single" w:color="auto" w:sz="4" w:space="0"/>
      </w:pBdr>
      <w:rPr>
        <w:rFonts w:hint="default"/>
        <w:lang w:val="en-US"/>
      </w:rPr>
    </w:pPr>
    <w:r>
      <w:rPr>
        <w:rFonts w:hint="eastAsia" w:ascii="楷体" w:hAnsi="楷体" w:eastAsia="楷体"/>
        <w:sz w:val="21"/>
        <w:szCs w:val="21"/>
        <w:lang w:eastAsia="zh-CN"/>
      </w:rPr>
      <w:t>国能安储（东港）燃料供应有限公司</w:t>
    </w:r>
    <w:r>
      <w:rPr>
        <w:rFonts w:hint="eastAsia" w:ascii="楷体" w:hAnsi="楷体" w:eastAsia="楷体"/>
        <w:sz w:val="21"/>
        <w:szCs w:val="21"/>
        <w:lang w:val="en-US" w:eastAsia="zh-CN"/>
      </w:rPr>
      <w:t>经营危险化学品安全评价</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4C4E88">
    <w:pPr>
      <w:pStyle w:val="9"/>
      <w:pBdr>
        <w:bottom w:val="single" w:color="auto" w:sz="4" w:space="1"/>
      </w:pBdr>
      <w:rPr>
        <w:rFonts w:hint="eastAsia" w:ascii="楷体" w:hAnsi="楷体" w:eastAsia="楷体"/>
        <w:sz w:val="21"/>
        <w:szCs w:val="21"/>
      </w:rPr>
    </w:pPr>
    <w:r>
      <w:rPr>
        <w:rFonts w:hint="eastAsia" w:ascii="楷体" w:hAnsi="楷体" w:eastAsia="楷体"/>
        <w:sz w:val="21"/>
        <w:szCs w:val="21"/>
        <w:lang w:eastAsia="zh-CN"/>
      </w:rPr>
      <w:t>国能安储（东港）燃料供应有限公司</w:t>
    </w:r>
    <w:r>
      <w:rPr>
        <w:rFonts w:hint="eastAsia" w:ascii="楷体" w:hAnsi="楷体" w:eastAsia="楷体"/>
        <w:sz w:val="21"/>
        <w:szCs w:val="21"/>
      </w:rPr>
      <w:t>经营危险化学品安全评价报告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90348D"/>
    <w:multiLevelType w:val="singleLevel"/>
    <w:tmpl w:val="8590348D"/>
    <w:lvl w:ilvl="0" w:tentative="0">
      <w:start w:val="3"/>
      <w:numFmt w:val="decimal"/>
      <w:suff w:val="space"/>
      <w:lvlText w:val="（%1）"/>
      <w:lvlJc w:val="left"/>
    </w:lvl>
  </w:abstractNum>
  <w:abstractNum w:abstractNumId="1">
    <w:nsid w:val="BB81F6A8"/>
    <w:multiLevelType w:val="singleLevel"/>
    <w:tmpl w:val="BB81F6A8"/>
    <w:lvl w:ilvl="0" w:tentative="0">
      <w:start w:val="2"/>
      <w:numFmt w:val="decimal"/>
      <w:suff w:val="nothing"/>
      <w:lvlText w:val="%1）"/>
      <w:lvlJc w:val="left"/>
    </w:lvl>
  </w:abstractNum>
  <w:abstractNum w:abstractNumId="2">
    <w:nsid w:val="D87F3FCA"/>
    <w:multiLevelType w:val="singleLevel"/>
    <w:tmpl w:val="D87F3FCA"/>
    <w:lvl w:ilvl="0" w:tentative="0">
      <w:start w:val="2"/>
      <w:numFmt w:val="decimal"/>
      <w:suff w:val="nothing"/>
      <w:lvlText w:val="（%1）"/>
      <w:lvlJc w:val="left"/>
    </w:lvl>
  </w:abstractNum>
  <w:abstractNum w:abstractNumId="3">
    <w:nsid w:val="E4C3D3E7"/>
    <w:multiLevelType w:val="singleLevel"/>
    <w:tmpl w:val="E4C3D3E7"/>
    <w:lvl w:ilvl="0" w:tentative="0">
      <w:start w:val="2"/>
      <w:numFmt w:val="decimal"/>
      <w:suff w:val="nothing"/>
      <w:lvlText w:val="（%1）"/>
      <w:lvlJc w:val="left"/>
    </w:lvl>
  </w:abstractNum>
  <w:abstractNum w:abstractNumId="4">
    <w:nsid w:val="0B822F0D"/>
    <w:multiLevelType w:val="multilevel"/>
    <w:tmpl w:val="0B822F0D"/>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5">
    <w:nsid w:val="37265BF6"/>
    <w:multiLevelType w:val="multilevel"/>
    <w:tmpl w:val="37265BF6"/>
    <w:lvl w:ilvl="0" w:tentative="0">
      <w:start w:val="1"/>
      <w:numFmt w:val="decimal"/>
      <w:suff w:val="nothing"/>
      <w:lvlText w:val="%1."/>
      <w:lvlJc w:val="left"/>
      <w:pPr>
        <w:ind w:left="420" w:hanging="420"/>
      </w:pPr>
      <w:rPr>
        <w:rFonts w:hint="eastAsia"/>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6">
    <w:nsid w:val="3D5A6DD6"/>
    <w:multiLevelType w:val="multilevel"/>
    <w:tmpl w:val="3D5A6DD6"/>
    <w:lvl w:ilvl="0" w:tentative="0">
      <w:start w:val="1"/>
      <w:numFmt w:val="decimal"/>
      <w:lvlText w:val="（%1）"/>
      <w:lvlJc w:val="left"/>
      <w:pPr>
        <w:tabs>
          <w:tab w:val="left" w:pos="720"/>
        </w:tabs>
        <w:ind w:left="0" w:firstLine="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53D48CDD"/>
    <w:multiLevelType w:val="multilevel"/>
    <w:tmpl w:val="53D48CDD"/>
    <w:lvl w:ilvl="0" w:tentative="0">
      <w:start w:val="1"/>
      <w:numFmt w:val="decimal"/>
      <w:suff w:val="nothing"/>
      <w:lvlText w:val="%1"/>
      <w:lvlJc w:val="left"/>
      <w:pPr>
        <w:ind w:left="317" w:hanging="317"/>
      </w:pPr>
      <w:rPr>
        <w:rFonts w:hint="eastAsia"/>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8">
    <w:nsid w:val="542849A8"/>
    <w:multiLevelType w:val="multilevel"/>
    <w:tmpl w:val="542849A8"/>
    <w:lvl w:ilvl="0" w:tentative="0">
      <w:start w:val="1"/>
      <w:numFmt w:val="decimal"/>
      <w:suff w:val="nothing"/>
      <w:lvlText w:val="（%1）"/>
      <w:lvlJc w:val="left"/>
      <w:pPr>
        <w:ind w:left="1280" w:hanging="720"/>
      </w:pPr>
      <w:rPr>
        <w:rFonts w:hint="default"/>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9">
    <w:nsid w:val="55EE4E78"/>
    <w:multiLevelType w:val="multilevel"/>
    <w:tmpl w:val="55EE4E78"/>
    <w:lvl w:ilvl="0" w:tentative="0">
      <w:start w:val="1"/>
      <w:numFmt w:val="decimal"/>
      <w:suff w:val="nothing"/>
      <w:lvlText w:val="%1"/>
      <w:lvlJc w:val="left"/>
      <w:pPr>
        <w:ind w:left="340" w:hanging="283"/>
      </w:pPr>
      <w:rPr>
        <w:rFonts w:hint="default" w:ascii="Times New Roman" w:hAnsi="Times New Roman" w:cs="Times New Roman"/>
      </w:rPr>
    </w:lvl>
    <w:lvl w:ilvl="1" w:tentative="0">
      <w:start w:val="1"/>
      <w:numFmt w:val="lowerLetter"/>
      <w:lvlText w:val="%2)"/>
      <w:lvlJc w:val="left"/>
      <w:pPr>
        <w:tabs>
          <w:tab w:val="left" w:pos="840"/>
        </w:tabs>
        <w:ind w:left="840" w:hanging="420"/>
      </w:pPr>
      <w:rPr>
        <w:rFonts w:hint="eastAsia"/>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10">
    <w:nsid w:val="608F1786"/>
    <w:multiLevelType w:val="multilevel"/>
    <w:tmpl w:val="608F1786"/>
    <w:lvl w:ilvl="0" w:tentative="0">
      <w:start w:val="1"/>
      <w:numFmt w:val="decimal"/>
      <w:lvlText w:val="（%1）"/>
      <w:lvlJc w:val="left"/>
      <w:pPr>
        <w:tabs>
          <w:tab w:val="left" w:pos="720"/>
        </w:tabs>
        <w:ind w:left="0" w:firstLine="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6335677C"/>
    <w:multiLevelType w:val="singleLevel"/>
    <w:tmpl w:val="6335677C"/>
    <w:lvl w:ilvl="0" w:tentative="0">
      <w:start w:val="2"/>
      <w:numFmt w:val="decimal"/>
      <w:suff w:val="nothing"/>
      <w:lvlText w:val="%1）"/>
      <w:lvlJc w:val="left"/>
    </w:lvl>
  </w:abstractNum>
  <w:abstractNum w:abstractNumId="12">
    <w:nsid w:val="6AFB207A"/>
    <w:multiLevelType w:val="singleLevel"/>
    <w:tmpl w:val="6AFB207A"/>
    <w:lvl w:ilvl="0" w:tentative="0">
      <w:start w:val="3"/>
      <w:numFmt w:val="decimal"/>
      <w:suff w:val="nothing"/>
      <w:lvlText w:val="%1）"/>
      <w:lvlJc w:val="left"/>
    </w:lvl>
  </w:abstractNum>
  <w:abstractNum w:abstractNumId="13">
    <w:nsid w:val="7479168F"/>
    <w:multiLevelType w:val="multilevel"/>
    <w:tmpl w:val="7479168F"/>
    <w:lvl w:ilvl="0" w:tentative="0">
      <w:start w:val="1"/>
      <w:numFmt w:val="decimal"/>
      <w:suff w:val="nothing"/>
      <w:lvlText w:val="（%1）"/>
      <w:lvlJc w:val="left"/>
      <w:pPr>
        <w:ind w:left="1425" w:hanging="440"/>
      </w:pPr>
      <w:rPr>
        <w:rFonts w:hint="eastAsia"/>
      </w:rPr>
    </w:lvl>
    <w:lvl w:ilvl="1" w:tentative="0">
      <w:start w:val="1"/>
      <w:numFmt w:val="lowerLetter"/>
      <w:lvlText w:val="%2)"/>
      <w:lvlJc w:val="left"/>
      <w:pPr>
        <w:ind w:left="1865" w:hanging="440"/>
      </w:pPr>
    </w:lvl>
    <w:lvl w:ilvl="2" w:tentative="0">
      <w:start w:val="1"/>
      <w:numFmt w:val="lowerRoman"/>
      <w:lvlText w:val="%3."/>
      <w:lvlJc w:val="right"/>
      <w:pPr>
        <w:ind w:left="2305" w:hanging="440"/>
      </w:pPr>
    </w:lvl>
    <w:lvl w:ilvl="3" w:tentative="0">
      <w:start w:val="1"/>
      <w:numFmt w:val="decimal"/>
      <w:lvlText w:val="%4."/>
      <w:lvlJc w:val="left"/>
      <w:pPr>
        <w:ind w:left="2745" w:hanging="440"/>
      </w:pPr>
    </w:lvl>
    <w:lvl w:ilvl="4" w:tentative="0">
      <w:start w:val="1"/>
      <w:numFmt w:val="lowerLetter"/>
      <w:lvlText w:val="%5)"/>
      <w:lvlJc w:val="left"/>
      <w:pPr>
        <w:ind w:left="3185" w:hanging="440"/>
      </w:pPr>
    </w:lvl>
    <w:lvl w:ilvl="5" w:tentative="0">
      <w:start w:val="1"/>
      <w:numFmt w:val="lowerRoman"/>
      <w:lvlText w:val="%6."/>
      <w:lvlJc w:val="right"/>
      <w:pPr>
        <w:ind w:left="3625" w:hanging="440"/>
      </w:pPr>
    </w:lvl>
    <w:lvl w:ilvl="6" w:tentative="0">
      <w:start w:val="1"/>
      <w:numFmt w:val="decimal"/>
      <w:lvlText w:val="%7."/>
      <w:lvlJc w:val="left"/>
      <w:pPr>
        <w:ind w:left="4065" w:hanging="440"/>
      </w:pPr>
    </w:lvl>
    <w:lvl w:ilvl="7" w:tentative="0">
      <w:start w:val="1"/>
      <w:numFmt w:val="lowerLetter"/>
      <w:lvlText w:val="%8)"/>
      <w:lvlJc w:val="left"/>
      <w:pPr>
        <w:ind w:left="4505" w:hanging="440"/>
      </w:pPr>
    </w:lvl>
    <w:lvl w:ilvl="8" w:tentative="0">
      <w:start w:val="1"/>
      <w:numFmt w:val="lowerRoman"/>
      <w:lvlText w:val="%9."/>
      <w:lvlJc w:val="right"/>
      <w:pPr>
        <w:ind w:left="4945" w:hanging="440"/>
      </w:pPr>
    </w:lvl>
  </w:abstractNum>
  <w:abstractNum w:abstractNumId="14">
    <w:nsid w:val="783DD18A"/>
    <w:multiLevelType w:val="multilevel"/>
    <w:tmpl w:val="783DD18A"/>
    <w:lvl w:ilvl="0" w:tentative="0">
      <w:start w:val="1"/>
      <w:numFmt w:val="decimal"/>
      <w:suff w:val="nothing"/>
      <w:lvlText w:val="（%1）"/>
      <w:lvlJc w:val="left"/>
      <w:pPr>
        <w:ind w:left="567" w:hanging="567"/>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0"/>
  </w:num>
  <w:num w:numId="2">
    <w:abstractNumId w:val="6"/>
  </w:num>
  <w:num w:numId="3">
    <w:abstractNumId w:val="14"/>
  </w:num>
  <w:num w:numId="4">
    <w:abstractNumId w:val="4"/>
  </w:num>
  <w:num w:numId="5">
    <w:abstractNumId w:val="13"/>
  </w:num>
  <w:num w:numId="6">
    <w:abstractNumId w:val="0"/>
  </w:num>
  <w:num w:numId="7">
    <w:abstractNumId w:val="5"/>
  </w:num>
  <w:num w:numId="8">
    <w:abstractNumId w:val="9"/>
  </w:num>
  <w:num w:numId="9">
    <w:abstractNumId w:val="7"/>
  </w:num>
  <w:num w:numId="10">
    <w:abstractNumId w:val="12"/>
  </w:num>
  <w:num w:numId="11">
    <w:abstractNumId w:val="1"/>
  </w:num>
  <w:num w:numId="12">
    <w:abstractNumId w:val="11"/>
  </w:num>
  <w:num w:numId="13">
    <w:abstractNumId w:val="2"/>
  </w:num>
  <w:num w:numId="14">
    <w:abstractNumId w:val="3"/>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58FF"/>
    <w:rsid w:val="00000305"/>
    <w:rsid w:val="000257BE"/>
    <w:rsid w:val="00030CD6"/>
    <w:rsid w:val="00035167"/>
    <w:rsid w:val="00041688"/>
    <w:rsid w:val="00045E1D"/>
    <w:rsid w:val="00047541"/>
    <w:rsid w:val="000553C6"/>
    <w:rsid w:val="00061779"/>
    <w:rsid w:val="00070803"/>
    <w:rsid w:val="00073AD5"/>
    <w:rsid w:val="000A7A21"/>
    <w:rsid w:val="000B0F71"/>
    <w:rsid w:val="000B5491"/>
    <w:rsid w:val="000B5868"/>
    <w:rsid w:val="000C1505"/>
    <w:rsid w:val="000D3046"/>
    <w:rsid w:val="000D3C60"/>
    <w:rsid w:val="000D5766"/>
    <w:rsid w:val="000D5D62"/>
    <w:rsid w:val="000D6188"/>
    <w:rsid w:val="000D7C0D"/>
    <w:rsid w:val="000E4B52"/>
    <w:rsid w:val="00111446"/>
    <w:rsid w:val="001240BA"/>
    <w:rsid w:val="00124FBD"/>
    <w:rsid w:val="001401AD"/>
    <w:rsid w:val="00150FA3"/>
    <w:rsid w:val="00155043"/>
    <w:rsid w:val="001664C7"/>
    <w:rsid w:val="00173A02"/>
    <w:rsid w:val="00175B2F"/>
    <w:rsid w:val="001B27C7"/>
    <w:rsid w:val="001B6AE4"/>
    <w:rsid w:val="001C6ABD"/>
    <w:rsid w:val="001D4104"/>
    <w:rsid w:val="001D42FF"/>
    <w:rsid w:val="001F2341"/>
    <w:rsid w:val="001F3FFE"/>
    <w:rsid w:val="002156EC"/>
    <w:rsid w:val="00240E74"/>
    <w:rsid w:val="00255AF1"/>
    <w:rsid w:val="00264510"/>
    <w:rsid w:val="002766BD"/>
    <w:rsid w:val="002863D8"/>
    <w:rsid w:val="0028777A"/>
    <w:rsid w:val="002A6187"/>
    <w:rsid w:val="002B72FC"/>
    <w:rsid w:val="002B7733"/>
    <w:rsid w:val="002C1E98"/>
    <w:rsid w:val="002D1580"/>
    <w:rsid w:val="002E218C"/>
    <w:rsid w:val="002E3B61"/>
    <w:rsid w:val="002E7140"/>
    <w:rsid w:val="00312CAA"/>
    <w:rsid w:val="003214E9"/>
    <w:rsid w:val="00332284"/>
    <w:rsid w:val="00341153"/>
    <w:rsid w:val="003427FF"/>
    <w:rsid w:val="00350857"/>
    <w:rsid w:val="00360623"/>
    <w:rsid w:val="003633D4"/>
    <w:rsid w:val="00365F53"/>
    <w:rsid w:val="00366759"/>
    <w:rsid w:val="003773CA"/>
    <w:rsid w:val="003800AA"/>
    <w:rsid w:val="00380168"/>
    <w:rsid w:val="00392711"/>
    <w:rsid w:val="003A154D"/>
    <w:rsid w:val="003A4055"/>
    <w:rsid w:val="003A4848"/>
    <w:rsid w:val="003A5732"/>
    <w:rsid w:val="003C45D2"/>
    <w:rsid w:val="003E5E57"/>
    <w:rsid w:val="003F39EC"/>
    <w:rsid w:val="003F575B"/>
    <w:rsid w:val="00401BBB"/>
    <w:rsid w:val="00414D60"/>
    <w:rsid w:val="00420480"/>
    <w:rsid w:val="00420B97"/>
    <w:rsid w:val="00441102"/>
    <w:rsid w:val="00447545"/>
    <w:rsid w:val="004532DC"/>
    <w:rsid w:val="00484B70"/>
    <w:rsid w:val="00487A08"/>
    <w:rsid w:val="004903A5"/>
    <w:rsid w:val="004B4BCC"/>
    <w:rsid w:val="004B5B41"/>
    <w:rsid w:val="004B6296"/>
    <w:rsid w:val="004B7EA5"/>
    <w:rsid w:val="004D285F"/>
    <w:rsid w:val="004D4050"/>
    <w:rsid w:val="004D60A5"/>
    <w:rsid w:val="004F0AEE"/>
    <w:rsid w:val="004F321F"/>
    <w:rsid w:val="00501D74"/>
    <w:rsid w:val="00502B13"/>
    <w:rsid w:val="00514220"/>
    <w:rsid w:val="00531ABB"/>
    <w:rsid w:val="00540AA7"/>
    <w:rsid w:val="005572E7"/>
    <w:rsid w:val="0056181D"/>
    <w:rsid w:val="00563F34"/>
    <w:rsid w:val="00576EBF"/>
    <w:rsid w:val="00583830"/>
    <w:rsid w:val="00590CCB"/>
    <w:rsid w:val="0059339A"/>
    <w:rsid w:val="005A44E8"/>
    <w:rsid w:val="005B2273"/>
    <w:rsid w:val="005B7194"/>
    <w:rsid w:val="005B7DDB"/>
    <w:rsid w:val="005C2721"/>
    <w:rsid w:val="005D621C"/>
    <w:rsid w:val="005F0533"/>
    <w:rsid w:val="00612E6D"/>
    <w:rsid w:val="00615F68"/>
    <w:rsid w:val="006176EA"/>
    <w:rsid w:val="00623A14"/>
    <w:rsid w:val="00625CF9"/>
    <w:rsid w:val="00631B93"/>
    <w:rsid w:val="00640480"/>
    <w:rsid w:val="00642BE1"/>
    <w:rsid w:val="006479C9"/>
    <w:rsid w:val="00661194"/>
    <w:rsid w:val="00665647"/>
    <w:rsid w:val="0067138D"/>
    <w:rsid w:val="006A469B"/>
    <w:rsid w:val="006A70A6"/>
    <w:rsid w:val="006B041E"/>
    <w:rsid w:val="006B1F70"/>
    <w:rsid w:val="006D15E0"/>
    <w:rsid w:val="006E2349"/>
    <w:rsid w:val="006E68C5"/>
    <w:rsid w:val="00705985"/>
    <w:rsid w:val="00711305"/>
    <w:rsid w:val="00711360"/>
    <w:rsid w:val="0071737D"/>
    <w:rsid w:val="00720482"/>
    <w:rsid w:val="00725CAA"/>
    <w:rsid w:val="00735A5C"/>
    <w:rsid w:val="007376F9"/>
    <w:rsid w:val="00745D82"/>
    <w:rsid w:val="00755B79"/>
    <w:rsid w:val="007676C4"/>
    <w:rsid w:val="00767CA7"/>
    <w:rsid w:val="00777C13"/>
    <w:rsid w:val="007822D0"/>
    <w:rsid w:val="00796279"/>
    <w:rsid w:val="007A182E"/>
    <w:rsid w:val="007A5544"/>
    <w:rsid w:val="007B6024"/>
    <w:rsid w:val="007E27D4"/>
    <w:rsid w:val="007F2C0C"/>
    <w:rsid w:val="00803DC4"/>
    <w:rsid w:val="008436CB"/>
    <w:rsid w:val="00846773"/>
    <w:rsid w:val="00886178"/>
    <w:rsid w:val="00894175"/>
    <w:rsid w:val="008A1FC7"/>
    <w:rsid w:val="008A5D02"/>
    <w:rsid w:val="008B1104"/>
    <w:rsid w:val="008B34CA"/>
    <w:rsid w:val="008D1B9B"/>
    <w:rsid w:val="008D2766"/>
    <w:rsid w:val="008D71C8"/>
    <w:rsid w:val="0090469D"/>
    <w:rsid w:val="009208C5"/>
    <w:rsid w:val="009224E6"/>
    <w:rsid w:val="00926A0D"/>
    <w:rsid w:val="00950006"/>
    <w:rsid w:val="009502E3"/>
    <w:rsid w:val="00950EDD"/>
    <w:rsid w:val="00954537"/>
    <w:rsid w:val="009713D6"/>
    <w:rsid w:val="009812F1"/>
    <w:rsid w:val="0099034E"/>
    <w:rsid w:val="009915EE"/>
    <w:rsid w:val="009A173D"/>
    <w:rsid w:val="009B7AA2"/>
    <w:rsid w:val="009E3523"/>
    <w:rsid w:val="00A115A4"/>
    <w:rsid w:val="00A16335"/>
    <w:rsid w:val="00A17043"/>
    <w:rsid w:val="00A25B84"/>
    <w:rsid w:val="00A33419"/>
    <w:rsid w:val="00A4331A"/>
    <w:rsid w:val="00A46D49"/>
    <w:rsid w:val="00A649F8"/>
    <w:rsid w:val="00A840E7"/>
    <w:rsid w:val="00A9217A"/>
    <w:rsid w:val="00A97F60"/>
    <w:rsid w:val="00AA60E8"/>
    <w:rsid w:val="00AD6D1B"/>
    <w:rsid w:val="00AE2E42"/>
    <w:rsid w:val="00AE3071"/>
    <w:rsid w:val="00AE3A4D"/>
    <w:rsid w:val="00AF2782"/>
    <w:rsid w:val="00AF4F97"/>
    <w:rsid w:val="00B04BC4"/>
    <w:rsid w:val="00B32AA3"/>
    <w:rsid w:val="00B40CA5"/>
    <w:rsid w:val="00B534F8"/>
    <w:rsid w:val="00B841B9"/>
    <w:rsid w:val="00BA68DE"/>
    <w:rsid w:val="00BB16C2"/>
    <w:rsid w:val="00BB296E"/>
    <w:rsid w:val="00BC2555"/>
    <w:rsid w:val="00BE25A5"/>
    <w:rsid w:val="00BF774D"/>
    <w:rsid w:val="00C07DA9"/>
    <w:rsid w:val="00C2251A"/>
    <w:rsid w:val="00C23749"/>
    <w:rsid w:val="00C344FC"/>
    <w:rsid w:val="00C35ADC"/>
    <w:rsid w:val="00C374D7"/>
    <w:rsid w:val="00C43CF9"/>
    <w:rsid w:val="00C5246E"/>
    <w:rsid w:val="00C67530"/>
    <w:rsid w:val="00CB0446"/>
    <w:rsid w:val="00CC61E4"/>
    <w:rsid w:val="00CD44A1"/>
    <w:rsid w:val="00CE0CDB"/>
    <w:rsid w:val="00CE393F"/>
    <w:rsid w:val="00D01551"/>
    <w:rsid w:val="00D01A65"/>
    <w:rsid w:val="00D0658F"/>
    <w:rsid w:val="00D06D6E"/>
    <w:rsid w:val="00D108BD"/>
    <w:rsid w:val="00D21249"/>
    <w:rsid w:val="00D24A38"/>
    <w:rsid w:val="00D33AA4"/>
    <w:rsid w:val="00D3652D"/>
    <w:rsid w:val="00D37F30"/>
    <w:rsid w:val="00D51113"/>
    <w:rsid w:val="00D72501"/>
    <w:rsid w:val="00DA450D"/>
    <w:rsid w:val="00DA58FF"/>
    <w:rsid w:val="00DB3176"/>
    <w:rsid w:val="00DC07A8"/>
    <w:rsid w:val="00DF1E90"/>
    <w:rsid w:val="00E00A14"/>
    <w:rsid w:val="00E02FE9"/>
    <w:rsid w:val="00E0510A"/>
    <w:rsid w:val="00E32C7D"/>
    <w:rsid w:val="00E33816"/>
    <w:rsid w:val="00E36392"/>
    <w:rsid w:val="00E673BF"/>
    <w:rsid w:val="00E750DB"/>
    <w:rsid w:val="00E82BD8"/>
    <w:rsid w:val="00E95266"/>
    <w:rsid w:val="00EB1638"/>
    <w:rsid w:val="00EB2DBC"/>
    <w:rsid w:val="00ED5991"/>
    <w:rsid w:val="00EE177E"/>
    <w:rsid w:val="00EE47EF"/>
    <w:rsid w:val="00EE766A"/>
    <w:rsid w:val="00EF14C6"/>
    <w:rsid w:val="00F050A7"/>
    <w:rsid w:val="00F10FE0"/>
    <w:rsid w:val="00F147C7"/>
    <w:rsid w:val="00F2639A"/>
    <w:rsid w:val="00F26D9B"/>
    <w:rsid w:val="00F4038D"/>
    <w:rsid w:val="00F4099D"/>
    <w:rsid w:val="00F5718F"/>
    <w:rsid w:val="00F76F29"/>
    <w:rsid w:val="00F81A43"/>
    <w:rsid w:val="00FA0C97"/>
    <w:rsid w:val="00FB790E"/>
    <w:rsid w:val="00FC206D"/>
    <w:rsid w:val="00FD18B0"/>
    <w:rsid w:val="00FD7CE8"/>
    <w:rsid w:val="00FE6B6A"/>
    <w:rsid w:val="00FF0BF4"/>
    <w:rsid w:val="01A66FAC"/>
    <w:rsid w:val="01AB4D9F"/>
    <w:rsid w:val="023A653C"/>
    <w:rsid w:val="02DD15FD"/>
    <w:rsid w:val="02FB0F23"/>
    <w:rsid w:val="03231B33"/>
    <w:rsid w:val="037A416C"/>
    <w:rsid w:val="046F4C72"/>
    <w:rsid w:val="04776F8D"/>
    <w:rsid w:val="04FA2D68"/>
    <w:rsid w:val="05007FC0"/>
    <w:rsid w:val="05105FFF"/>
    <w:rsid w:val="05F17CC7"/>
    <w:rsid w:val="06D67206"/>
    <w:rsid w:val="06FF01C2"/>
    <w:rsid w:val="073A5F23"/>
    <w:rsid w:val="075A3791"/>
    <w:rsid w:val="077A05DF"/>
    <w:rsid w:val="078A3A42"/>
    <w:rsid w:val="07EA70C4"/>
    <w:rsid w:val="07EF1137"/>
    <w:rsid w:val="08DA43AA"/>
    <w:rsid w:val="09205C20"/>
    <w:rsid w:val="094D1F28"/>
    <w:rsid w:val="09A514F4"/>
    <w:rsid w:val="09F14739"/>
    <w:rsid w:val="0B69712B"/>
    <w:rsid w:val="0B9675FD"/>
    <w:rsid w:val="0C4F38D4"/>
    <w:rsid w:val="0C62397B"/>
    <w:rsid w:val="0CA22E2D"/>
    <w:rsid w:val="0D3D7161"/>
    <w:rsid w:val="0D8458C4"/>
    <w:rsid w:val="0E950205"/>
    <w:rsid w:val="0EA45162"/>
    <w:rsid w:val="0EDB6080"/>
    <w:rsid w:val="0F15094E"/>
    <w:rsid w:val="0F7B6F59"/>
    <w:rsid w:val="0F8E03AD"/>
    <w:rsid w:val="10400042"/>
    <w:rsid w:val="108F6A5A"/>
    <w:rsid w:val="11CB257E"/>
    <w:rsid w:val="11FD6CBF"/>
    <w:rsid w:val="12AA7B7B"/>
    <w:rsid w:val="13010BF7"/>
    <w:rsid w:val="13C56514"/>
    <w:rsid w:val="14186D67"/>
    <w:rsid w:val="141F1EA3"/>
    <w:rsid w:val="14FC6C19"/>
    <w:rsid w:val="15904194"/>
    <w:rsid w:val="15977B77"/>
    <w:rsid w:val="159B7C4F"/>
    <w:rsid w:val="15B5388B"/>
    <w:rsid w:val="16007AB2"/>
    <w:rsid w:val="162D72DB"/>
    <w:rsid w:val="167D1103"/>
    <w:rsid w:val="17342109"/>
    <w:rsid w:val="173F5B93"/>
    <w:rsid w:val="17F358C6"/>
    <w:rsid w:val="18DD3F15"/>
    <w:rsid w:val="18F11B7B"/>
    <w:rsid w:val="18FE1B89"/>
    <w:rsid w:val="1923532E"/>
    <w:rsid w:val="1992440E"/>
    <w:rsid w:val="19A30598"/>
    <w:rsid w:val="1A200723"/>
    <w:rsid w:val="1A586534"/>
    <w:rsid w:val="1A7F48EC"/>
    <w:rsid w:val="1B972C67"/>
    <w:rsid w:val="1C654D74"/>
    <w:rsid w:val="1CBE4F5D"/>
    <w:rsid w:val="1CCC06EE"/>
    <w:rsid w:val="1CDD3995"/>
    <w:rsid w:val="1D2D1860"/>
    <w:rsid w:val="1D4F5B75"/>
    <w:rsid w:val="1DB775F0"/>
    <w:rsid w:val="1DFE7D75"/>
    <w:rsid w:val="1FBA0494"/>
    <w:rsid w:val="20035881"/>
    <w:rsid w:val="200A1E80"/>
    <w:rsid w:val="200F3706"/>
    <w:rsid w:val="22E744D4"/>
    <w:rsid w:val="22F015DA"/>
    <w:rsid w:val="2496149D"/>
    <w:rsid w:val="24A87C93"/>
    <w:rsid w:val="253B139F"/>
    <w:rsid w:val="255045B2"/>
    <w:rsid w:val="256046D2"/>
    <w:rsid w:val="258A1146"/>
    <w:rsid w:val="26296BB1"/>
    <w:rsid w:val="262E54DE"/>
    <w:rsid w:val="267C13D7"/>
    <w:rsid w:val="26EA4632"/>
    <w:rsid w:val="270E4690"/>
    <w:rsid w:val="277B51EB"/>
    <w:rsid w:val="27EB00D4"/>
    <w:rsid w:val="284D6007"/>
    <w:rsid w:val="293673C6"/>
    <w:rsid w:val="29AD3DB0"/>
    <w:rsid w:val="2A946947"/>
    <w:rsid w:val="2AF8368D"/>
    <w:rsid w:val="2BB807BB"/>
    <w:rsid w:val="2BEC0BF4"/>
    <w:rsid w:val="2C043A01"/>
    <w:rsid w:val="2C3D26A8"/>
    <w:rsid w:val="2C7F39CF"/>
    <w:rsid w:val="2D0473BC"/>
    <w:rsid w:val="2D1509B9"/>
    <w:rsid w:val="2D976337"/>
    <w:rsid w:val="2DA604C7"/>
    <w:rsid w:val="2DAF2092"/>
    <w:rsid w:val="2EE1627B"/>
    <w:rsid w:val="30E83A79"/>
    <w:rsid w:val="31413001"/>
    <w:rsid w:val="31413C60"/>
    <w:rsid w:val="32D37AC5"/>
    <w:rsid w:val="331D27C2"/>
    <w:rsid w:val="349B511E"/>
    <w:rsid w:val="349C5452"/>
    <w:rsid w:val="3518051D"/>
    <w:rsid w:val="358478DE"/>
    <w:rsid w:val="35A04E3D"/>
    <w:rsid w:val="35C742F2"/>
    <w:rsid w:val="36341386"/>
    <w:rsid w:val="364E2784"/>
    <w:rsid w:val="37294F53"/>
    <w:rsid w:val="37F85093"/>
    <w:rsid w:val="37FE753F"/>
    <w:rsid w:val="38C509BB"/>
    <w:rsid w:val="39DC7D6B"/>
    <w:rsid w:val="3B950811"/>
    <w:rsid w:val="3BCA3066"/>
    <w:rsid w:val="3C0A0990"/>
    <w:rsid w:val="3C22162C"/>
    <w:rsid w:val="3C3519B4"/>
    <w:rsid w:val="3C7F28FC"/>
    <w:rsid w:val="3CE82ECA"/>
    <w:rsid w:val="3D097CDC"/>
    <w:rsid w:val="3E483849"/>
    <w:rsid w:val="3E4B3711"/>
    <w:rsid w:val="3EC7548D"/>
    <w:rsid w:val="3F4F4D4B"/>
    <w:rsid w:val="3F943FDD"/>
    <w:rsid w:val="40081767"/>
    <w:rsid w:val="403F6F01"/>
    <w:rsid w:val="406F5494"/>
    <w:rsid w:val="41132669"/>
    <w:rsid w:val="417D62D7"/>
    <w:rsid w:val="41EF0857"/>
    <w:rsid w:val="41FC1E13"/>
    <w:rsid w:val="420E33D3"/>
    <w:rsid w:val="42A15A05"/>
    <w:rsid w:val="43BA140E"/>
    <w:rsid w:val="43BA29DA"/>
    <w:rsid w:val="43EB4321"/>
    <w:rsid w:val="44254A04"/>
    <w:rsid w:val="44A01179"/>
    <w:rsid w:val="45763769"/>
    <w:rsid w:val="45C06792"/>
    <w:rsid w:val="4785311F"/>
    <w:rsid w:val="47C50446"/>
    <w:rsid w:val="47E258FD"/>
    <w:rsid w:val="481A46CF"/>
    <w:rsid w:val="48A948A0"/>
    <w:rsid w:val="48B545A9"/>
    <w:rsid w:val="48D82045"/>
    <w:rsid w:val="48FF5824"/>
    <w:rsid w:val="49423068"/>
    <w:rsid w:val="49845EF9"/>
    <w:rsid w:val="498C57D5"/>
    <w:rsid w:val="4A4756D4"/>
    <w:rsid w:val="4B3A6697"/>
    <w:rsid w:val="4BA6449D"/>
    <w:rsid w:val="4D3017F6"/>
    <w:rsid w:val="4DAE5A6A"/>
    <w:rsid w:val="4E1B241D"/>
    <w:rsid w:val="4E445F13"/>
    <w:rsid w:val="4F0C2A48"/>
    <w:rsid w:val="5057197F"/>
    <w:rsid w:val="508D296A"/>
    <w:rsid w:val="52104117"/>
    <w:rsid w:val="52854FEC"/>
    <w:rsid w:val="53083527"/>
    <w:rsid w:val="54B609E9"/>
    <w:rsid w:val="54BE47E5"/>
    <w:rsid w:val="54C2712D"/>
    <w:rsid w:val="54F16B28"/>
    <w:rsid w:val="5507380D"/>
    <w:rsid w:val="55A023F5"/>
    <w:rsid w:val="564F7AAB"/>
    <w:rsid w:val="5661188F"/>
    <w:rsid w:val="56FD7718"/>
    <w:rsid w:val="57160F6F"/>
    <w:rsid w:val="58EB7B73"/>
    <w:rsid w:val="58F5454D"/>
    <w:rsid w:val="59A541C5"/>
    <w:rsid w:val="59F63480"/>
    <w:rsid w:val="5A396CCA"/>
    <w:rsid w:val="5AFE5EC8"/>
    <w:rsid w:val="5B0F59BC"/>
    <w:rsid w:val="5B632E2C"/>
    <w:rsid w:val="5BA3448D"/>
    <w:rsid w:val="5CB32A24"/>
    <w:rsid w:val="5E0715FD"/>
    <w:rsid w:val="5EC549C2"/>
    <w:rsid w:val="5F3D4EF9"/>
    <w:rsid w:val="5FAB5F07"/>
    <w:rsid w:val="602776E2"/>
    <w:rsid w:val="605B507D"/>
    <w:rsid w:val="60736193"/>
    <w:rsid w:val="609570E0"/>
    <w:rsid w:val="609B1E7E"/>
    <w:rsid w:val="613E085A"/>
    <w:rsid w:val="62966995"/>
    <w:rsid w:val="63073911"/>
    <w:rsid w:val="634950D9"/>
    <w:rsid w:val="63E46486"/>
    <w:rsid w:val="6503635B"/>
    <w:rsid w:val="650647F6"/>
    <w:rsid w:val="65D5198E"/>
    <w:rsid w:val="65F276D2"/>
    <w:rsid w:val="696C27B7"/>
    <w:rsid w:val="69821E2D"/>
    <w:rsid w:val="698E7C7B"/>
    <w:rsid w:val="69BA05B0"/>
    <w:rsid w:val="6AED0A9A"/>
    <w:rsid w:val="6C5B2B27"/>
    <w:rsid w:val="6CB73B9C"/>
    <w:rsid w:val="6D3D7A81"/>
    <w:rsid w:val="6D49190F"/>
    <w:rsid w:val="6DB427D1"/>
    <w:rsid w:val="6E0E5A3E"/>
    <w:rsid w:val="6E6C4ABF"/>
    <w:rsid w:val="6E872B75"/>
    <w:rsid w:val="6F157583"/>
    <w:rsid w:val="701A2DBF"/>
    <w:rsid w:val="71904214"/>
    <w:rsid w:val="72136023"/>
    <w:rsid w:val="72307BB4"/>
    <w:rsid w:val="72762733"/>
    <w:rsid w:val="73124222"/>
    <w:rsid w:val="73C6513F"/>
    <w:rsid w:val="74DB2D8E"/>
    <w:rsid w:val="7729410C"/>
    <w:rsid w:val="785403DC"/>
    <w:rsid w:val="795B6E10"/>
    <w:rsid w:val="79D03FB4"/>
    <w:rsid w:val="79E525F4"/>
    <w:rsid w:val="7A1D7E42"/>
    <w:rsid w:val="7A4D5B40"/>
    <w:rsid w:val="7A926349"/>
    <w:rsid w:val="7B3C6521"/>
    <w:rsid w:val="7B9B0B2D"/>
    <w:rsid w:val="7CC3033B"/>
    <w:rsid w:val="7D487C1C"/>
    <w:rsid w:val="7D845D1C"/>
    <w:rsid w:val="7E3E62E6"/>
    <w:rsid w:val="7F342657"/>
    <w:rsid w:val="7F792004"/>
    <w:rsid w:val="7FCF6FF7"/>
    <w:rsid w:val="7FFD47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1"/>
    <w:basedOn w:val="1"/>
    <w:next w:val="1"/>
    <w:link w:val="25"/>
    <w:qFormat/>
    <w:uiPriority w:val="9"/>
    <w:pPr>
      <w:keepNext/>
      <w:keepLines/>
      <w:spacing w:before="340" w:after="330" w:line="578" w:lineRule="auto"/>
      <w:outlineLvl w:val="0"/>
    </w:pPr>
    <w:rPr>
      <w:b/>
      <w:bCs/>
      <w:kern w:val="44"/>
      <w:sz w:val="44"/>
      <w:szCs w:val="44"/>
    </w:rPr>
  </w:style>
  <w:style w:type="paragraph" w:styleId="3">
    <w:name w:val="heading 3"/>
    <w:basedOn w:val="1"/>
    <w:next w:val="1"/>
    <w:link w:val="20"/>
    <w:semiHidden/>
    <w:unhideWhenUsed/>
    <w:qFormat/>
    <w:uiPriority w:val="9"/>
    <w:pPr>
      <w:keepNext/>
      <w:keepLines/>
      <w:spacing w:before="260" w:after="260" w:line="416" w:lineRule="auto"/>
      <w:outlineLvl w:val="2"/>
    </w:pPr>
    <w:rPr>
      <w:b/>
      <w:bCs/>
      <w:sz w:val="32"/>
      <w:szCs w:val="32"/>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4">
    <w:name w:val="Normal Indent"/>
    <w:basedOn w:val="1"/>
    <w:next w:val="1"/>
    <w:qFormat/>
    <w:uiPriority w:val="0"/>
    <w:pPr>
      <w:ind w:firstLine="420" w:firstLineChars="200"/>
    </w:pPr>
    <w:rPr>
      <w:szCs w:val="24"/>
    </w:rPr>
  </w:style>
  <w:style w:type="paragraph" w:styleId="5">
    <w:name w:val="Body Text"/>
    <w:basedOn w:val="1"/>
    <w:qFormat/>
    <w:uiPriority w:val="0"/>
    <w:pPr>
      <w:widowControl w:val="0"/>
    </w:pPr>
    <w:rPr>
      <w:rFonts w:ascii="宋体" w:hAnsi="宋体"/>
      <w:color w:val="FF0000"/>
      <w:kern w:val="2"/>
      <w:sz w:val="18"/>
      <w:lang w:eastAsia="zh-CN" w:bidi="ar-SA"/>
    </w:rPr>
  </w:style>
  <w:style w:type="paragraph" w:styleId="6">
    <w:name w:val="toc 3"/>
    <w:basedOn w:val="1"/>
    <w:next w:val="1"/>
    <w:autoRedefine/>
    <w:unhideWhenUsed/>
    <w:qFormat/>
    <w:uiPriority w:val="39"/>
    <w:pPr>
      <w:ind w:left="840" w:leftChars="400"/>
    </w:pPr>
  </w:style>
  <w:style w:type="paragraph" w:styleId="7">
    <w:name w:val="Plain Text"/>
    <w:unhideWhenUsed/>
    <w:qFormat/>
    <w:uiPriority w:val="99"/>
    <w:pPr>
      <w:widowControl w:val="0"/>
      <w:spacing w:after="160" w:line="278" w:lineRule="auto"/>
    </w:pPr>
    <w:rPr>
      <w:rFonts w:ascii="宋体" w:hAnsi="Courier New" w:cs="Courier New" w:eastAsiaTheme="minorEastAsia"/>
      <w:kern w:val="2"/>
      <w:sz w:val="22"/>
      <w:szCs w:val="21"/>
      <w:lang w:val="en-US" w:eastAsia="zh-CN" w:bidi="ar-SA"/>
      <w14:ligatures w14:val="standardContextual"/>
    </w:rPr>
  </w:style>
  <w:style w:type="paragraph" w:styleId="8">
    <w:name w:val="footer"/>
    <w:basedOn w:val="1"/>
    <w:link w:val="19"/>
    <w:unhideWhenUsed/>
    <w:qFormat/>
    <w:uiPriority w:val="99"/>
    <w:pPr>
      <w:tabs>
        <w:tab w:val="center" w:pos="4153"/>
        <w:tab w:val="right" w:pos="8306"/>
      </w:tabs>
      <w:snapToGrid w:val="0"/>
      <w:spacing w:line="240" w:lineRule="auto"/>
    </w:pPr>
    <w:rPr>
      <w:sz w:val="18"/>
      <w:szCs w:val="18"/>
    </w:rPr>
  </w:style>
  <w:style w:type="paragraph" w:styleId="9">
    <w:name w:val="header"/>
    <w:basedOn w:val="1"/>
    <w:link w:val="18"/>
    <w:unhideWhenUsed/>
    <w:qFormat/>
    <w:uiPriority w:val="99"/>
    <w:pPr>
      <w:tabs>
        <w:tab w:val="center" w:pos="4153"/>
        <w:tab w:val="right" w:pos="8306"/>
      </w:tabs>
      <w:snapToGrid w:val="0"/>
      <w:spacing w:line="240" w:lineRule="auto"/>
      <w:jc w:val="center"/>
    </w:pPr>
    <w:rPr>
      <w:sz w:val="18"/>
      <w:szCs w:val="18"/>
    </w:rPr>
  </w:style>
  <w:style w:type="paragraph" w:styleId="10">
    <w:name w:val="toc 1"/>
    <w:basedOn w:val="1"/>
    <w:next w:val="1"/>
    <w:autoRedefine/>
    <w:unhideWhenUsed/>
    <w:qFormat/>
    <w:uiPriority w:val="39"/>
  </w:style>
  <w:style w:type="paragraph" w:styleId="11">
    <w:name w:val="toc 2"/>
    <w:basedOn w:val="1"/>
    <w:next w:val="1"/>
    <w:autoRedefine/>
    <w:unhideWhenUsed/>
    <w:qFormat/>
    <w:uiPriority w:val="39"/>
    <w:pPr>
      <w:tabs>
        <w:tab w:val="right" w:leader="dot" w:pos="9174"/>
      </w:tabs>
      <w:adjustRightInd w:val="0"/>
      <w:snapToGrid w:val="0"/>
      <w:spacing w:after="0" w:line="360" w:lineRule="auto"/>
      <w:ind w:left="440" w:leftChars="200"/>
      <w:jc w:val="both"/>
    </w:pPr>
    <w:rPr>
      <w:rFonts w:ascii="Times New Roman" w:hAnsi="Times New Roman" w:eastAsia="黑体" w:cs="黑体"/>
      <w:sz w:val="28"/>
      <w:szCs w:val="28"/>
      <w14:ligatures w14:val="none"/>
    </w:rPr>
  </w:style>
  <w:style w:type="paragraph" w:styleId="12">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3">
    <w:name w:val="Body Text First Indent"/>
    <w:basedOn w:val="5"/>
    <w:unhideWhenUsed/>
    <w:qFormat/>
    <w:uiPriority w:val="0"/>
    <w:pPr>
      <w:widowControl/>
      <w:spacing w:after="120"/>
      <w:ind w:firstLine="420" w:firstLineChars="100"/>
    </w:pPr>
    <w:rPr>
      <w:rFonts w:ascii="Calibri" w:hAnsi="Calibri"/>
      <w:color w:val="auto"/>
      <w:kern w:val="0"/>
      <w:sz w:val="24"/>
      <w:lang w:eastAsia="en-US" w:bidi="en-US"/>
    </w:rPr>
  </w:style>
  <w:style w:type="table" w:styleId="15">
    <w:name w:val="Table Grid"/>
    <w:basedOn w:val="14"/>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7">
    <w:name w:val="Hyperlink"/>
    <w:basedOn w:val="16"/>
    <w:unhideWhenUsed/>
    <w:qFormat/>
    <w:uiPriority w:val="99"/>
    <w:rPr>
      <w:color w:val="467886" w:themeColor="hyperlink"/>
      <w:u w:val="single"/>
      <w14:textFill>
        <w14:solidFill>
          <w14:schemeClr w14:val="hlink"/>
        </w14:solidFill>
      </w14:textFill>
    </w:rPr>
  </w:style>
  <w:style w:type="character" w:customStyle="1" w:styleId="18">
    <w:name w:val="页眉 字符"/>
    <w:basedOn w:val="16"/>
    <w:link w:val="9"/>
    <w:qFormat/>
    <w:uiPriority w:val="99"/>
    <w:rPr>
      <w:sz w:val="18"/>
      <w:szCs w:val="18"/>
    </w:rPr>
  </w:style>
  <w:style w:type="character" w:customStyle="1" w:styleId="19">
    <w:name w:val="页脚 字符"/>
    <w:basedOn w:val="16"/>
    <w:link w:val="8"/>
    <w:qFormat/>
    <w:uiPriority w:val="99"/>
    <w:rPr>
      <w:sz w:val="18"/>
      <w:szCs w:val="18"/>
    </w:rPr>
  </w:style>
  <w:style w:type="character" w:customStyle="1" w:styleId="20">
    <w:name w:val="标题 3 字符"/>
    <w:basedOn w:val="16"/>
    <w:link w:val="3"/>
    <w:semiHidden/>
    <w:qFormat/>
    <w:uiPriority w:val="9"/>
    <w:rPr>
      <w:b/>
      <w:bCs/>
      <w:sz w:val="32"/>
      <w:szCs w:val="32"/>
    </w:rPr>
  </w:style>
  <w:style w:type="paragraph" w:styleId="21">
    <w:name w:val="List Paragraph"/>
    <w:basedOn w:val="1"/>
    <w:qFormat/>
    <w:uiPriority w:val="34"/>
    <w:pPr>
      <w:ind w:firstLine="420" w:firstLineChars="200"/>
    </w:pPr>
  </w:style>
  <w:style w:type="paragraph" w:customStyle="1" w:styleId="22">
    <w:name w:val="xingzhuang1"/>
    <w:basedOn w:val="1"/>
    <w:link w:val="23"/>
    <w:qFormat/>
    <w:uiPriority w:val="0"/>
    <w:pPr>
      <w:adjustRightInd w:val="0"/>
      <w:snapToGrid w:val="0"/>
      <w:spacing w:after="0" w:line="240" w:lineRule="auto"/>
      <w:jc w:val="both"/>
    </w:pPr>
    <w:rPr>
      <w:rFonts w:ascii="Times New Roman" w:hAnsi="Times New Roman" w:eastAsia="宋体" w:cs="Times New Roman"/>
      <w:sz w:val="21"/>
      <w:szCs w:val="28"/>
      <w14:ligatures w14:val="none"/>
    </w:rPr>
  </w:style>
  <w:style w:type="character" w:customStyle="1" w:styleId="23">
    <w:name w:val="xingzhuang1 字符"/>
    <w:basedOn w:val="16"/>
    <w:link w:val="22"/>
    <w:qFormat/>
    <w:uiPriority w:val="0"/>
    <w:rPr>
      <w:rFonts w:ascii="Times New Roman" w:hAnsi="Times New Roman" w:eastAsia="宋体" w:cs="Times New Roman"/>
      <w:sz w:val="21"/>
      <w:szCs w:val="28"/>
      <w14:ligatures w14:val="none"/>
    </w:rPr>
  </w:style>
  <w:style w:type="character" w:styleId="24">
    <w:name w:val="Placeholder Text"/>
    <w:basedOn w:val="16"/>
    <w:semiHidden/>
    <w:qFormat/>
    <w:uiPriority w:val="99"/>
    <w:rPr>
      <w:color w:val="666666"/>
    </w:rPr>
  </w:style>
  <w:style w:type="character" w:customStyle="1" w:styleId="25">
    <w:name w:val="标题 1 字符"/>
    <w:basedOn w:val="16"/>
    <w:link w:val="2"/>
    <w:qFormat/>
    <w:uiPriority w:val="9"/>
    <w:rPr>
      <w:b/>
      <w:bCs/>
      <w:kern w:val="44"/>
      <w:sz w:val="44"/>
      <w:szCs w:val="44"/>
    </w:rPr>
  </w:style>
  <w:style w:type="paragraph" w:customStyle="1" w:styleId="26">
    <w:name w:val="TOC Heading"/>
    <w:basedOn w:val="2"/>
    <w:next w:val="1"/>
    <w:unhideWhenUsed/>
    <w:qFormat/>
    <w:uiPriority w:val="39"/>
    <w:pPr>
      <w:widowControl/>
      <w:spacing w:before="240" w:after="0" w:line="259" w:lineRule="auto"/>
      <w:outlineLvl w:val="9"/>
    </w:pPr>
    <w:rPr>
      <w:rFonts w:asciiTheme="majorHAnsi" w:hAnsiTheme="majorHAnsi" w:eastAsiaTheme="majorEastAsia" w:cstheme="majorBidi"/>
      <w:b w:val="0"/>
      <w:bCs w:val="0"/>
      <w:color w:val="104862" w:themeColor="accent1" w:themeShade="BF"/>
      <w:kern w:val="0"/>
      <w:sz w:val="32"/>
      <w:szCs w:val="32"/>
      <w14:ligatures w14:val="none"/>
    </w:rPr>
  </w:style>
  <w:style w:type="paragraph" w:customStyle="1" w:styleId="27">
    <w:name w:val="zw"/>
    <w:basedOn w:val="1"/>
    <w:autoRedefine/>
    <w:qFormat/>
    <w:uiPriority w:val="0"/>
    <w:pPr>
      <w:spacing w:before="100" w:beforeAutospacing="1" w:after="100" w:afterAutospacing="1" w:line="440" w:lineRule="atLeast"/>
    </w:pPr>
    <w:rPr>
      <w:rFonts w:ascii="宋体" w:hAnsi="宋体" w:eastAsia="宋体" w:cs="宋体"/>
      <w:sz w:val="22"/>
      <w:szCs w:val="22"/>
      <w:lang w:eastAsia="zh-CN" w:bidi="ar-SA"/>
    </w:rPr>
  </w:style>
  <w:style w:type="character" w:customStyle="1" w:styleId="28">
    <w:name w:val="zw1"/>
    <w:autoRedefine/>
    <w:qFormat/>
    <w:uiPriority w:val="0"/>
    <w:rPr>
      <w:rFonts w:hint="eastAsia" w:ascii="宋体" w:hAnsi="宋体" w:eastAsia="宋体"/>
      <w:sz w:val="22"/>
      <w:szCs w:val="22"/>
    </w:rPr>
  </w:style>
  <w:style w:type="paragraph" w:customStyle="1" w:styleId="29">
    <w:name w:val="Other|1"/>
    <w:basedOn w:val="1"/>
    <w:qFormat/>
    <w:uiPriority w:val="0"/>
    <w:pPr>
      <w:widowControl w:val="0"/>
      <w:shd w:val="clear" w:color="auto" w:fill="auto"/>
      <w:spacing w:line="480" w:lineRule="auto"/>
      <w:ind w:firstLine="400"/>
    </w:pPr>
    <w:rPr>
      <w:rFonts w:ascii="宋体" w:hAnsi="宋体" w:eastAsia="宋体" w:cs="宋体"/>
      <w:sz w:val="26"/>
      <w:szCs w:val="26"/>
      <w:u w:val="none"/>
      <w:shd w:val="clear" w:color="auto" w:fill="auto"/>
      <w:lang w:val="zh-TW" w:eastAsia="zh-TW" w:bidi="zh-TW"/>
    </w:rPr>
  </w:style>
  <w:style w:type="paragraph" w:customStyle="1" w:styleId="30">
    <w:name w:val="a9"/>
    <w:basedOn w:val="1"/>
    <w:qFormat/>
    <w:uiPriority w:val="0"/>
    <w:pPr>
      <w:spacing w:before="100" w:beforeAutospacing="1" w:after="100" w:afterAutospacing="1"/>
    </w:pPr>
    <w:rPr>
      <w:rFonts w:ascii="宋体" w:hAnsi="宋体"/>
      <w:sz w:val="18"/>
      <w:szCs w:val="18"/>
      <w:lang w:eastAsia="zh-CN" w:bidi="ar-SA"/>
    </w:rPr>
  </w:style>
  <w:style w:type="paragraph" w:customStyle="1" w:styleId="31">
    <w:name w:val="样式 正文22 + 首行缩进:  2 字符"/>
    <w:qFormat/>
    <w:uiPriority w:val="0"/>
    <w:pPr>
      <w:widowControl w:val="0"/>
      <w:adjustRightInd w:val="0"/>
      <w:snapToGrid w:val="0"/>
      <w:spacing w:line="360" w:lineRule="auto"/>
      <w:ind w:firstLine="560" w:firstLineChars="200"/>
      <w:jc w:val="left"/>
    </w:pPr>
    <w:rPr>
      <w:rFonts w:ascii="宋体" w:hAnsi="宋体" w:eastAsia="Times New Roman" w:cs="宋体"/>
      <w:kern w:val="28"/>
      <w:sz w:val="28"/>
      <w:szCs w:val="20"/>
      <w:lang w:val="en-US" w:eastAsia="zh-CN" w:bidi="ar-SA"/>
    </w:rPr>
  </w:style>
  <w:style w:type="paragraph" w:customStyle="1" w:styleId="32">
    <w:name w:val="正文22"/>
    <w:qFormat/>
    <w:uiPriority w:val="0"/>
    <w:pPr>
      <w:widowControl w:val="0"/>
      <w:adjustRightInd w:val="0"/>
      <w:snapToGrid w:val="0"/>
      <w:spacing w:line="360" w:lineRule="auto"/>
      <w:ind w:firstLine="560" w:firstLineChars="200"/>
    </w:pPr>
    <w:rPr>
      <w:rFonts w:ascii="Times New Roman" w:hAnsi="宋体" w:eastAsia="Times New Roman" w:cs="Times New Roman"/>
      <w:kern w:val="28"/>
      <w:sz w:val="28"/>
      <w:szCs w:val="28"/>
      <w:lang w:val="en-US" w:eastAsia="zh-CN" w:bidi="ar-SA"/>
    </w:rPr>
  </w:style>
  <w:style w:type="paragraph" w:customStyle="1" w:styleId="33">
    <w:name w:val="样式1"/>
    <w:qFormat/>
    <w:uiPriority w:val="0"/>
    <w:pPr>
      <w:tabs>
        <w:tab w:val="left" w:pos="0"/>
      </w:tabs>
      <w:spacing w:line="480" w:lineRule="exact"/>
      <w:ind w:firstLine="504" w:firstLineChars="200"/>
      <w:jc w:val="both"/>
    </w:pPr>
    <w:rPr>
      <w:rFonts w:ascii="宋体" w:hAnsi="宋体" w:eastAsia="宋体" w:cs="Times New Roman"/>
      <w:bCs/>
      <w:iCs/>
      <w:spacing w:val="6"/>
      <w:kern w:val="44"/>
      <w:sz w:val="24"/>
      <w:szCs w:val="24"/>
      <w:lang w:val="en-US" w:eastAsia="zh-CN" w:bidi="ar-SA"/>
    </w:rPr>
  </w:style>
  <w:style w:type="paragraph" w:customStyle="1" w:styleId="34">
    <w:name w:val="正文1"/>
    <w:qFormat/>
    <w:uiPriority w:val="0"/>
    <w:pPr>
      <w:widowControl w:val="0"/>
      <w:spacing w:after="0" w:line="360" w:lineRule="auto"/>
      <w:ind w:firstLine="200" w:firstLineChars="200"/>
      <w:jc w:val="both"/>
    </w:pPr>
    <w:rPr>
      <w:rFonts w:ascii="Times New Roman" w:hAnsi="Times New Roman" w:eastAsia="宋体" w:cstheme="minorBidi"/>
      <w:kern w:val="2"/>
      <w:sz w:val="28"/>
      <w:szCs w:val="24"/>
      <w:lang w:val="en-US" w:eastAsia="zh-CN" w:bidi="ar-SA"/>
      <w14:ligatures w14:val="standardContextual"/>
    </w:rPr>
  </w:style>
  <w:style w:type="paragraph" w:customStyle="1" w:styleId="35">
    <w:name w:val="形状格式文本框"/>
    <w:basedOn w:val="34"/>
    <w:qFormat/>
    <w:uiPriority w:val="0"/>
    <w:pPr>
      <w:spacing w:line="240" w:lineRule="auto"/>
      <w:ind w:firstLine="0" w:firstLineChars="0"/>
      <w:jc w:val="left"/>
    </w:pPr>
    <w:rPr>
      <w:sz w:val="21"/>
    </w:rPr>
  </w:style>
  <w:style w:type="table" w:customStyle="1" w:styleId="36">
    <w:name w:val="Table Normal"/>
    <w:semiHidden/>
    <w:unhideWhenUsed/>
    <w:qFormat/>
    <w:uiPriority w:val="2"/>
    <w:pPr>
      <w:widowControl w:val="0"/>
      <w:autoSpaceDE w:val="0"/>
      <w:autoSpaceDN w:val="0"/>
      <w:spacing w:after="0" w:line="240" w:lineRule="auto"/>
    </w:pPr>
    <w:rPr>
      <w:kern w:val="0"/>
      <w:szCs w:val="22"/>
      <w:lang w:eastAsia="en-US"/>
      <w14:ligatures w14:val="none"/>
    </w:rPr>
    <w:tblPr>
      <w:tblCellMar>
        <w:top w:w="0" w:type="dxa"/>
        <w:left w:w="0" w:type="dxa"/>
        <w:bottom w:w="0" w:type="dxa"/>
        <w:right w:w="0" w:type="dxa"/>
      </w:tblCellMar>
    </w:tblPr>
  </w:style>
  <w:style w:type="paragraph" w:customStyle="1" w:styleId="37">
    <w:name w:val="Table Text"/>
    <w:semiHidden/>
    <w:qFormat/>
    <w:uiPriority w:val="0"/>
    <w:pPr>
      <w:widowControl w:val="0"/>
      <w:spacing w:after="160" w:line="278" w:lineRule="auto"/>
    </w:pPr>
    <w:rPr>
      <w:rFonts w:ascii="宋体" w:hAnsi="宋体" w:eastAsia="宋体" w:cs="宋体"/>
      <w:kern w:val="2"/>
      <w:sz w:val="20"/>
      <w:szCs w:val="20"/>
      <w:lang w:val="en-US" w:eastAsia="en-US" w:bidi="ar-SA"/>
      <w14:ligatures w14:val="standardContextual"/>
    </w:rPr>
  </w:style>
  <w:style w:type="character" w:customStyle="1" w:styleId="38">
    <w:name w:val="DefaultFontStyle"/>
    <w:qFormat/>
    <w:uiPriority w:val="0"/>
  </w:style>
  <w:style w:type="paragraph" w:customStyle="1" w:styleId="39">
    <w:name w:val="宋体小四正文（首行缩进）"/>
    <w:qFormat/>
    <w:uiPriority w:val="0"/>
    <w:pPr>
      <w:widowControl w:val="0"/>
      <w:spacing w:after="160" w:line="360" w:lineRule="auto"/>
      <w:ind w:firstLine="480" w:firstLineChars="200"/>
    </w:pPr>
    <w:rPr>
      <w:rFonts w:ascii="仿宋" w:hAnsi="仿宋" w:eastAsia="宋体" w:cstheme="minorBidi"/>
      <w:kern w:val="2"/>
      <w:sz w:val="24"/>
      <w:szCs w:val="24"/>
      <w:lang w:val="en-US" w:eastAsia="zh-CN" w:bidi="ar-SA"/>
      <w14:ligatures w14:val="standardContextual"/>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image" Target="media/image23.png"/><Relationship Id="rId31" Type="http://schemas.openxmlformats.org/officeDocument/2006/relationships/image" Target="media/image22.png"/><Relationship Id="rId30" Type="http://schemas.openxmlformats.org/officeDocument/2006/relationships/image" Target="media/image21.png"/><Relationship Id="rId3" Type="http://schemas.openxmlformats.org/officeDocument/2006/relationships/footnotes" Target="footnotes.xml"/><Relationship Id="rId29" Type="http://schemas.openxmlformats.org/officeDocument/2006/relationships/image" Target="media/image20.png"/><Relationship Id="rId28" Type="http://schemas.openxmlformats.org/officeDocument/2006/relationships/image" Target="media/image19.png"/><Relationship Id="rId27" Type="http://schemas.openxmlformats.org/officeDocument/2006/relationships/image" Target="media/image18.png"/><Relationship Id="rId26" Type="http://schemas.openxmlformats.org/officeDocument/2006/relationships/image" Target="media/image17.png"/><Relationship Id="rId25" Type="http://schemas.openxmlformats.org/officeDocument/2006/relationships/image" Target="media/image16.png"/><Relationship Id="rId24" Type="http://schemas.openxmlformats.org/officeDocument/2006/relationships/image" Target="media/image15.png"/><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D32E673-8F22-491D-B698-F3B86A189190}">
  <ds:schemaRefs/>
</ds:datastoreItem>
</file>

<file path=docProps/app.xml><?xml version="1.0" encoding="utf-8"?>
<Properties xmlns="http://schemas.openxmlformats.org/officeDocument/2006/extended-properties" xmlns:vt="http://schemas.openxmlformats.org/officeDocument/2006/docPropsVTypes">
  <Template>Normal</Template>
  <Pages>122</Pages>
  <Words>10475</Words>
  <Characters>13579</Characters>
  <Lines>380</Lines>
  <Paragraphs>107</Paragraphs>
  <TotalTime>1</TotalTime>
  <ScaleCrop>false</ScaleCrop>
  <LinksUpToDate>false</LinksUpToDate>
  <CharactersWithSpaces>13812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2024-12-31T06:06:00Z</dcterms:created>
  <dc:creator>Administrator</dc:creator>
  <cp:lastModifiedBy>闪闪-</cp:lastModifiedBy>
  <cp:lastPrinted>2024-12-21T08:16:00Z</cp:lastPrinted>
  <dcterms:modified xsi:type="dcterms:W3CDTF">2026-04-13T07:26:36Z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eyJoZGlkIjoiZmI1ZjZjZjUxY2I0MGFlNzkwYTRmOGE2YjZlY2UwNzMiLCJ1c2VySWQiOiI4NzY5MTEwNzQifQ==</vt:lpwstr>
  </property>
  <property fmtid="{D5CDD505-2E9C-101B-9397-08002B2CF9AE}" pid="3" name="KSOProductBuildVer">
    <vt:lpwstr>2052-12.1.0.25225</vt:lpwstr>
  </property>
  <property fmtid="{D5CDD505-2E9C-101B-9397-08002B2CF9AE}" pid="4" name="ICV">
    <vt:lpwstr>5EDA30DE22B944F69F8EF6F18F882126_13</vt:lpwstr>
  </property>
</Properties>
</file>