
<file path=[Content_Types].xml><?xml version="1.0" encoding="utf-8"?>
<Types xmlns="http://schemas.openxmlformats.org/package/2006/content-types">
  <Default Extension="xml" ContentType="application/xml"/>
  <Default Extension="png" ContentType="image/png"/>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66F5AE">
      <w:pPr>
        <w:pStyle w:val="9"/>
        <w:spacing w:line="360" w:lineRule="auto"/>
        <w:jc w:val="right"/>
        <w:rPr>
          <w:rFonts w:hint="eastAsia" w:eastAsia="宋体"/>
          <w:lang w:eastAsia="zh-CN"/>
        </w:rPr>
      </w:pPr>
      <w:r>
        <w:rPr>
          <w:rFonts w:hint="eastAsia" w:eastAsia="宋体"/>
          <w:lang w:eastAsia="zh-CN"/>
        </w:rPr>
        <w:drawing>
          <wp:inline distT="0" distB="0" distL="114300" distR="114300">
            <wp:extent cx="2528570" cy="1457960"/>
            <wp:effectExtent l="0" t="0" r="5080" b="8890"/>
            <wp:docPr id="16" name="图片 16" descr="二维码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二维码 (32)"/>
                    <pic:cNvPicPr>
                      <a:picLocks noChangeAspect="1"/>
                    </pic:cNvPicPr>
                  </pic:nvPicPr>
                  <pic:blipFill>
                    <a:blip r:embed="rId36"/>
                    <a:stretch>
                      <a:fillRect/>
                    </a:stretch>
                  </pic:blipFill>
                  <pic:spPr>
                    <a:xfrm>
                      <a:off x="0" y="0"/>
                      <a:ext cx="2528570" cy="1457960"/>
                    </a:xfrm>
                    <a:prstGeom prst="rect">
                      <a:avLst/>
                    </a:prstGeom>
                  </pic:spPr>
                </pic:pic>
              </a:graphicData>
            </a:graphic>
          </wp:inline>
        </w:drawing>
      </w:r>
    </w:p>
    <w:p w14:paraId="5EEC0666">
      <w:pPr>
        <w:pStyle w:val="9"/>
        <w:spacing w:line="360" w:lineRule="auto"/>
      </w:pPr>
    </w:p>
    <w:p w14:paraId="2441A27D">
      <w:pPr>
        <w:pStyle w:val="9"/>
        <w:spacing w:line="360" w:lineRule="auto"/>
      </w:pPr>
    </w:p>
    <w:p w14:paraId="20492EC0">
      <w:pPr>
        <w:pStyle w:val="9"/>
        <w:spacing w:line="360" w:lineRule="auto"/>
      </w:pPr>
    </w:p>
    <w:p w14:paraId="035BDBC2">
      <w:pPr>
        <w:pStyle w:val="9"/>
        <w:spacing w:line="360" w:lineRule="auto"/>
      </w:pPr>
    </w:p>
    <w:p w14:paraId="760A4D3B">
      <w:pPr>
        <w:spacing w:line="360" w:lineRule="auto"/>
        <w:jc w:val="center"/>
        <w:rPr>
          <w:rFonts w:hint="eastAsia" w:ascii="宋体" w:hAnsi="宋体" w:eastAsia="宋体" w:cs="宋体"/>
          <w:sz w:val="43"/>
          <w:szCs w:val="43"/>
          <w:lang w:eastAsia="zh-CN"/>
        </w:rPr>
      </w:pPr>
      <w:r>
        <w:rPr>
          <w:rFonts w:hint="eastAsia" w:ascii="宋体" w:hAnsi="宋体" w:eastAsia="宋体" w:cs="宋体"/>
          <w:b/>
          <w:bCs/>
          <w:spacing w:val="5"/>
          <w:sz w:val="43"/>
          <w:szCs w:val="43"/>
          <w:lang w:val="en-US" w:eastAsia="zh-CN"/>
        </w:rPr>
        <w:t>凤城市添合矿业有限公司</w:t>
      </w:r>
      <w:r>
        <w:rPr>
          <w:rFonts w:ascii="宋体" w:hAnsi="宋体" w:eastAsia="宋体" w:cs="宋体"/>
          <w:b/>
          <w:bCs/>
          <w:spacing w:val="5"/>
          <w:sz w:val="43"/>
          <w:szCs w:val="43"/>
          <w:lang w:eastAsia="zh-CN"/>
        </w:rPr>
        <w:t>尾矿库</w:t>
      </w:r>
    </w:p>
    <w:p w14:paraId="0441D3A3">
      <w:pPr>
        <w:spacing w:line="360" w:lineRule="auto"/>
        <w:jc w:val="center"/>
        <w:rPr>
          <w:rFonts w:hint="default" w:ascii="宋体" w:hAnsi="宋体" w:eastAsia="宋体" w:cs="宋体"/>
          <w:sz w:val="52"/>
          <w:szCs w:val="52"/>
          <w:lang w:val="en-US" w:eastAsia="zh-CN"/>
        </w:rPr>
      </w:pPr>
      <w:r>
        <w:rPr>
          <w:rFonts w:ascii="宋体" w:hAnsi="宋体" w:eastAsia="宋体" w:cs="宋体"/>
          <w:b/>
          <w:bCs/>
          <w:spacing w:val="-8"/>
          <w:sz w:val="52"/>
          <w:szCs w:val="52"/>
          <w:lang w:eastAsia="zh-CN"/>
        </w:rPr>
        <w:t>安全现状评价</w:t>
      </w:r>
      <w:r>
        <w:rPr>
          <w:rFonts w:hint="eastAsia" w:ascii="宋体" w:hAnsi="宋体" w:eastAsia="宋体" w:cs="宋体"/>
          <w:b/>
          <w:bCs/>
          <w:spacing w:val="-8"/>
          <w:sz w:val="52"/>
          <w:szCs w:val="52"/>
          <w:lang w:val="en-US" w:eastAsia="zh-CN"/>
        </w:rPr>
        <w:t>报告</w:t>
      </w:r>
    </w:p>
    <w:p w14:paraId="6C60C9C9">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1"/>
          <w:szCs w:val="31"/>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582A1F5A">
      <w:pPr>
        <w:pStyle w:val="9"/>
        <w:spacing w:line="360" w:lineRule="auto"/>
        <w:rPr>
          <w:rFonts w:hint="default"/>
          <w:lang w:val="en-US" w:eastAsia="zh-CN"/>
        </w:rPr>
      </w:pPr>
      <w:r>
        <w:rPr>
          <w:rFonts w:hint="eastAsia"/>
          <w:lang w:val="en-US" w:eastAsia="zh-CN"/>
        </w:rPr>
        <w:t xml:space="preserve"> </w:t>
      </w:r>
    </w:p>
    <w:p w14:paraId="630198EF">
      <w:pPr>
        <w:pStyle w:val="9"/>
        <w:spacing w:line="360" w:lineRule="auto"/>
        <w:rPr>
          <w:lang w:eastAsia="zh-CN"/>
        </w:rPr>
      </w:pPr>
    </w:p>
    <w:p w14:paraId="4F54EF7A">
      <w:pPr>
        <w:pStyle w:val="9"/>
        <w:spacing w:line="360" w:lineRule="auto"/>
        <w:rPr>
          <w:lang w:eastAsia="zh-CN"/>
        </w:rPr>
      </w:pPr>
    </w:p>
    <w:p w14:paraId="62B0C1A7">
      <w:pPr>
        <w:pStyle w:val="9"/>
        <w:spacing w:line="360" w:lineRule="auto"/>
        <w:rPr>
          <w:lang w:eastAsia="zh-CN"/>
        </w:rPr>
      </w:pPr>
    </w:p>
    <w:p w14:paraId="32020B98">
      <w:pPr>
        <w:pStyle w:val="9"/>
        <w:spacing w:line="360" w:lineRule="auto"/>
        <w:rPr>
          <w:lang w:eastAsia="zh-CN"/>
        </w:rPr>
      </w:pPr>
    </w:p>
    <w:p w14:paraId="13839D97">
      <w:pPr>
        <w:pStyle w:val="9"/>
        <w:spacing w:line="360" w:lineRule="auto"/>
        <w:rPr>
          <w:lang w:eastAsia="zh-CN"/>
        </w:rPr>
      </w:pPr>
    </w:p>
    <w:p w14:paraId="3B415564">
      <w:pPr>
        <w:pStyle w:val="9"/>
        <w:spacing w:line="360" w:lineRule="auto"/>
        <w:rPr>
          <w:lang w:eastAsia="zh-CN"/>
        </w:rPr>
      </w:pPr>
    </w:p>
    <w:p w14:paraId="5475A542">
      <w:pPr>
        <w:spacing w:line="360" w:lineRule="auto"/>
        <w:ind w:firstLine="2016"/>
      </w:pPr>
      <w:r>
        <w:rPr>
          <w:position w:val="-32"/>
        </w:rPr>
        <w:drawing>
          <wp:inline distT="0" distB="0" distL="0" distR="0">
            <wp:extent cx="2427605" cy="1028700"/>
            <wp:effectExtent l="0" t="0" r="0" b="0"/>
            <wp:docPr id="1026" name="IM 4"/>
            <wp:cNvGraphicFramePr/>
            <a:graphic xmlns:a="http://schemas.openxmlformats.org/drawingml/2006/main">
              <a:graphicData uri="http://schemas.openxmlformats.org/drawingml/2006/picture">
                <pic:pic xmlns:pic="http://schemas.openxmlformats.org/drawingml/2006/picture">
                  <pic:nvPicPr>
                    <pic:cNvPr id="1026" name="IM 4"/>
                    <pic:cNvPicPr/>
                  </pic:nvPicPr>
                  <pic:blipFill>
                    <a:blip r:embed="rId37" cstate="print"/>
                    <a:srcRect/>
                    <a:stretch>
                      <a:fillRect/>
                    </a:stretch>
                  </pic:blipFill>
                  <pic:spPr>
                    <a:xfrm>
                      <a:off x="0" y="0"/>
                      <a:ext cx="2427605" cy="1029334"/>
                    </a:xfrm>
                    <a:prstGeom prst="rect">
                      <a:avLst/>
                    </a:prstGeom>
                  </pic:spPr>
                </pic:pic>
              </a:graphicData>
            </a:graphic>
          </wp:inline>
        </w:drawing>
      </w:r>
    </w:p>
    <w:p w14:paraId="4051BD34">
      <w:pPr>
        <w:pStyle w:val="9"/>
        <w:spacing w:line="360" w:lineRule="auto"/>
      </w:pPr>
    </w:p>
    <w:p w14:paraId="1AD440C5">
      <w:pPr>
        <w:pStyle w:val="9"/>
        <w:spacing w:line="360" w:lineRule="auto"/>
      </w:pPr>
    </w:p>
    <w:p w14:paraId="5BC586FA">
      <w:pPr>
        <w:pStyle w:val="9"/>
        <w:spacing w:line="360" w:lineRule="auto"/>
      </w:pPr>
    </w:p>
    <w:p w14:paraId="151C7688">
      <w:pPr>
        <w:spacing w:line="360" w:lineRule="auto"/>
        <w:jc w:val="center"/>
        <w:rPr>
          <w:rFonts w:hint="eastAsia" w:ascii="宋体" w:hAnsi="宋体" w:eastAsia="宋体" w:cs="宋体"/>
          <w:spacing w:val="8"/>
          <w:sz w:val="43"/>
          <w:szCs w:val="43"/>
          <w:lang w:eastAsia="zh-CN"/>
        </w:rPr>
      </w:pPr>
      <w:r>
        <w:rPr>
          <w:rFonts w:ascii="宋体" w:hAnsi="宋体" w:eastAsia="宋体" w:cs="宋体"/>
          <w:b/>
          <w:bCs/>
          <w:spacing w:val="4"/>
          <w:sz w:val="44"/>
          <w:szCs w:val="44"/>
          <w:lang w:eastAsia="zh-CN"/>
        </w:rPr>
        <w:t>辽宁诺诚安全科技有限公司</w:t>
      </w:r>
    </w:p>
    <w:p w14:paraId="7FFC084F">
      <w:pPr>
        <w:spacing w:line="360" w:lineRule="auto"/>
        <w:jc w:val="center"/>
        <w:rPr>
          <w:rFonts w:hint="eastAsia" w:ascii="宋体" w:hAnsi="宋体" w:eastAsia="宋体" w:cs="宋体"/>
          <w:sz w:val="32"/>
          <w:szCs w:val="32"/>
          <w:lang w:eastAsia="zh-CN"/>
        </w:rPr>
      </w:pPr>
      <w:r>
        <w:rPr>
          <w:rFonts w:ascii="宋体" w:hAnsi="宋体" w:eastAsia="宋体" w:cs="宋体"/>
          <w:b/>
          <w:bCs/>
          <w:spacing w:val="4"/>
          <w:sz w:val="32"/>
          <w:szCs w:val="32"/>
          <w:lang w:eastAsia="zh-CN"/>
        </w:rPr>
        <w:t>资质证书编号：</w:t>
      </w:r>
      <w:r>
        <w:rPr>
          <w:rFonts w:ascii="宋体" w:hAnsi="宋体" w:eastAsia="宋体" w:cs="宋体"/>
          <w:b/>
          <w:bCs/>
          <w:sz w:val="32"/>
          <w:szCs w:val="32"/>
          <w:lang w:eastAsia="zh-CN"/>
        </w:rPr>
        <w:t>APJ</w:t>
      </w:r>
      <w:r>
        <w:rPr>
          <w:rFonts w:ascii="宋体" w:hAnsi="宋体" w:eastAsia="宋体" w:cs="宋体"/>
          <w:b/>
          <w:bCs/>
          <w:spacing w:val="4"/>
          <w:sz w:val="32"/>
          <w:szCs w:val="32"/>
          <w:lang w:eastAsia="zh-CN"/>
        </w:rPr>
        <w:t>-(辽）-021</w:t>
      </w:r>
    </w:p>
    <w:p w14:paraId="02D7B4CA">
      <w:pPr>
        <w:keepNext w:val="0"/>
        <w:keepLines w:val="0"/>
        <w:pageBreakBefore w:val="0"/>
        <w:widowControl/>
        <w:kinsoku w:val="0"/>
        <w:wordWrap/>
        <w:overflowPunct/>
        <w:topLinePunct w:val="0"/>
        <w:autoSpaceDE w:val="0"/>
        <w:autoSpaceDN/>
        <w:bidi w:val="0"/>
        <w:adjustRightInd w:val="0"/>
        <w:snapToGrid w:val="0"/>
        <w:spacing w:line="360" w:lineRule="auto"/>
        <w:jc w:val="center"/>
        <w:textAlignment w:val="baseline"/>
        <w:rPr>
          <w:rFonts w:hint="eastAsia" w:ascii="宋体" w:hAnsi="宋体" w:eastAsia="宋体" w:cs="宋体"/>
          <w:sz w:val="32"/>
          <w:szCs w:val="32"/>
        </w:rPr>
      </w:pPr>
      <w:r>
        <w:rPr>
          <w:rFonts w:ascii="宋体" w:hAnsi="宋体" w:eastAsia="宋体" w:cs="宋体"/>
          <w:b/>
          <w:bCs/>
          <w:spacing w:val="-10"/>
          <w:sz w:val="32"/>
          <w:szCs w:val="32"/>
        </w:rPr>
        <w:t>202</w:t>
      </w:r>
      <w:r>
        <w:rPr>
          <w:rFonts w:hint="eastAsia" w:ascii="宋体" w:hAnsi="宋体" w:eastAsia="宋体" w:cs="宋体"/>
          <w:b/>
          <w:bCs/>
          <w:spacing w:val="-10"/>
          <w:sz w:val="32"/>
          <w:szCs w:val="32"/>
          <w:lang w:val="en-US" w:eastAsia="zh-CN"/>
        </w:rPr>
        <w:t>6</w:t>
      </w:r>
      <w:r>
        <w:rPr>
          <w:rFonts w:ascii="宋体" w:hAnsi="宋体" w:eastAsia="宋体" w:cs="宋体"/>
          <w:b/>
          <w:bCs/>
          <w:spacing w:val="-10"/>
          <w:sz w:val="32"/>
          <w:szCs w:val="32"/>
        </w:rPr>
        <w:t>年</w:t>
      </w:r>
      <w:r>
        <w:rPr>
          <w:rFonts w:hint="eastAsia" w:ascii="宋体" w:hAnsi="宋体" w:eastAsia="宋体" w:cs="宋体"/>
          <w:b/>
          <w:bCs/>
          <w:spacing w:val="-10"/>
          <w:sz w:val="32"/>
          <w:szCs w:val="32"/>
          <w:lang w:val="en-US" w:eastAsia="zh-CN"/>
        </w:rPr>
        <w:t>2</w:t>
      </w:r>
      <w:r>
        <w:rPr>
          <w:rFonts w:ascii="宋体" w:hAnsi="宋体" w:eastAsia="宋体" w:cs="宋体"/>
          <w:b/>
          <w:bCs/>
          <w:spacing w:val="-10"/>
          <w:sz w:val="32"/>
          <w:szCs w:val="32"/>
        </w:rPr>
        <w:t>月</w:t>
      </w:r>
      <w:r>
        <w:rPr>
          <w:rFonts w:hint="eastAsia" w:ascii="宋体" w:hAnsi="宋体" w:eastAsia="宋体" w:cs="宋体"/>
          <w:b/>
          <w:bCs/>
          <w:spacing w:val="-10"/>
          <w:sz w:val="32"/>
          <w:szCs w:val="32"/>
          <w:lang w:val="en-US" w:eastAsia="zh-CN"/>
        </w:rPr>
        <w:t>12</w:t>
      </w:r>
      <w:r>
        <w:rPr>
          <w:rFonts w:ascii="宋体" w:hAnsi="宋体" w:eastAsia="宋体" w:cs="宋体"/>
          <w:b/>
          <w:bCs/>
          <w:spacing w:val="-10"/>
          <w:sz w:val="32"/>
          <w:szCs w:val="32"/>
        </w:rPr>
        <w:t>日</w:t>
      </w:r>
    </w:p>
    <w:p w14:paraId="283F670D">
      <w:pPr>
        <w:spacing w:line="360" w:lineRule="auto"/>
        <w:rPr>
          <w:rFonts w:hint="eastAsia" w:ascii="宋体" w:hAnsi="宋体" w:eastAsia="宋体" w:cs="宋体"/>
          <w:sz w:val="31"/>
          <w:szCs w:val="31"/>
        </w:rPr>
        <w:sectPr>
          <w:pgSz w:w="11906" w:h="16839"/>
          <w:pgMar w:top="1431" w:right="1785" w:bottom="1429" w:left="1785" w:header="0" w:footer="0" w:gutter="0"/>
          <w:cols w:space="720" w:num="1"/>
        </w:sectPr>
      </w:pPr>
    </w:p>
    <w:p w14:paraId="23612403">
      <w:pPr>
        <w:spacing w:line="360" w:lineRule="auto"/>
        <w:jc w:val="right"/>
        <w:rPr>
          <w:rFonts w:hint="default" w:ascii="Times New Roman" w:hAnsi="Times New Roman" w:eastAsia="宋体" w:cs="Times New Roman"/>
          <w:color w:val="auto"/>
          <w:sz w:val="28"/>
          <w:szCs w:val="28"/>
          <w:lang w:val="en-US" w:eastAsia="zh-CN"/>
        </w:rPr>
      </w:pPr>
      <w:r>
        <w:rPr>
          <w:rFonts w:ascii="Times New Roman" w:hAnsi="Times New Roman" w:eastAsia="Times New Roman" w:cs="Times New Roman"/>
          <w:b/>
          <w:bCs/>
          <w:color w:val="auto"/>
          <w:spacing w:val="-1"/>
          <w:sz w:val="28"/>
          <w:szCs w:val="28"/>
        </w:rPr>
        <w:t>NCAP/KS-XZ-202</w:t>
      </w:r>
      <w:r>
        <w:rPr>
          <w:rFonts w:hint="eastAsia" w:ascii="Times New Roman" w:hAnsi="Times New Roman" w:eastAsia="宋体" w:cs="Times New Roman"/>
          <w:b/>
          <w:bCs/>
          <w:color w:val="auto"/>
          <w:spacing w:val="-1"/>
          <w:sz w:val="28"/>
          <w:szCs w:val="28"/>
          <w:lang w:eastAsia="zh-CN"/>
        </w:rPr>
        <w:t>5</w:t>
      </w:r>
      <w:r>
        <w:rPr>
          <w:rFonts w:ascii="Times New Roman" w:hAnsi="Times New Roman" w:eastAsia="Times New Roman" w:cs="Times New Roman"/>
          <w:b/>
          <w:bCs/>
          <w:color w:val="auto"/>
          <w:spacing w:val="-1"/>
          <w:sz w:val="28"/>
          <w:szCs w:val="28"/>
        </w:rPr>
        <w:t>-0</w:t>
      </w:r>
      <w:r>
        <w:rPr>
          <w:rFonts w:hint="eastAsia" w:ascii="Times New Roman" w:hAnsi="Times New Roman" w:eastAsia="宋体" w:cs="Times New Roman"/>
          <w:b/>
          <w:bCs/>
          <w:color w:val="auto"/>
          <w:spacing w:val="-1"/>
          <w:sz w:val="28"/>
          <w:szCs w:val="28"/>
          <w:lang w:val="en-US" w:eastAsia="zh-CN"/>
        </w:rPr>
        <w:t>40</w:t>
      </w:r>
    </w:p>
    <w:p w14:paraId="60AF39BD">
      <w:pPr>
        <w:pStyle w:val="9"/>
        <w:spacing w:line="360" w:lineRule="auto"/>
      </w:pPr>
    </w:p>
    <w:p w14:paraId="3D46FFC5">
      <w:pPr>
        <w:pStyle w:val="9"/>
        <w:spacing w:line="360" w:lineRule="auto"/>
      </w:pPr>
    </w:p>
    <w:p w14:paraId="67CF08EC">
      <w:pPr>
        <w:pStyle w:val="9"/>
        <w:spacing w:line="360" w:lineRule="auto"/>
      </w:pPr>
    </w:p>
    <w:p w14:paraId="0C963635">
      <w:pPr>
        <w:pStyle w:val="9"/>
        <w:spacing w:line="360" w:lineRule="auto"/>
      </w:pPr>
    </w:p>
    <w:p w14:paraId="79AA3504">
      <w:pPr>
        <w:pStyle w:val="9"/>
        <w:spacing w:line="360" w:lineRule="auto"/>
      </w:pPr>
    </w:p>
    <w:p w14:paraId="11C0C946">
      <w:pPr>
        <w:pStyle w:val="9"/>
        <w:spacing w:line="360" w:lineRule="auto"/>
      </w:pPr>
    </w:p>
    <w:p w14:paraId="2BF64EC8">
      <w:pPr>
        <w:pStyle w:val="9"/>
        <w:spacing w:line="360" w:lineRule="auto"/>
      </w:pPr>
    </w:p>
    <w:p w14:paraId="23392C05">
      <w:pPr>
        <w:pStyle w:val="9"/>
        <w:spacing w:line="360" w:lineRule="auto"/>
      </w:pPr>
    </w:p>
    <w:p w14:paraId="635A7BBA">
      <w:pPr>
        <w:spacing w:line="360" w:lineRule="auto"/>
        <w:jc w:val="center"/>
        <w:rPr>
          <w:rFonts w:hint="eastAsia" w:ascii="宋体" w:hAnsi="宋体" w:eastAsia="宋体" w:cs="宋体"/>
          <w:sz w:val="32"/>
          <w:szCs w:val="32"/>
          <w:lang w:eastAsia="zh-CN"/>
        </w:rPr>
      </w:pPr>
      <w:r>
        <w:rPr>
          <w:rFonts w:hint="eastAsia" w:ascii="宋体" w:hAnsi="宋体" w:eastAsia="宋体" w:cs="宋体"/>
          <w:b/>
          <w:bCs/>
          <w:spacing w:val="6"/>
          <w:sz w:val="32"/>
          <w:szCs w:val="32"/>
          <w:lang w:eastAsia="zh-CN"/>
        </w:rPr>
        <w:t>凤城市添合矿业有限公司</w:t>
      </w:r>
      <w:r>
        <w:rPr>
          <w:rFonts w:ascii="宋体" w:hAnsi="宋体" w:eastAsia="宋体" w:cs="宋体"/>
          <w:b/>
          <w:bCs/>
          <w:spacing w:val="6"/>
          <w:sz w:val="32"/>
          <w:szCs w:val="32"/>
          <w:lang w:eastAsia="zh-CN"/>
        </w:rPr>
        <w:t>尾矿库</w:t>
      </w:r>
    </w:p>
    <w:p w14:paraId="21498C74">
      <w:pPr>
        <w:spacing w:line="360" w:lineRule="auto"/>
        <w:jc w:val="center"/>
        <w:rPr>
          <w:rFonts w:hint="default" w:ascii="宋体" w:hAnsi="宋体" w:eastAsia="宋体" w:cs="宋体"/>
          <w:sz w:val="44"/>
          <w:szCs w:val="44"/>
          <w:lang w:val="en-US" w:eastAsia="zh-CN"/>
        </w:rPr>
      </w:pPr>
      <w:r>
        <w:rPr>
          <w:rFonts w:ascii="宋体" w:hAnsi="宋体" w:eastAsia="宋体" w:cs="宋体"/>
          <w:b/>
          <w:bCs/>
          <w:spacing w:val="3"/>
          <w:sz w:val="44"/>
          <w:szCs w:val="44"/>
          <w:lang w:eastAsia="zh-CN"/>
        </w:rPr>
        <w:t>安全现状评价</w:t>
      </w:r>
      <w:r>
        <w:rPr>
          <w:rFonts w:hint="eastAsia" w:ascii="宋体" w:hAnsi="宋体" w:eastAsia="宋体" w:cs="宋体"/>
          <w:b/>
          <w:bCs/>
          <w:spacing w:val="3"/>
          <w:sz w:val="44"/>
          <w:szCs w:val="44"/>
          <w:lang w:val="en-US" w:eastAsia="zh-CN"/>
        </w:rPr>
        <w:t>报告</w:t>
      </w:r>
    </w:p>
    <w:p w14:paraId="1D9DF79D">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503101B9">
      <w:pPr>
        <w:pStyle w:val="9"/>
        <w:spacing w:line="360" w:lineRule="auto"/>
        <w:rPr>
          <w:lang w:eastAsia="zh-CN"/>
        </w:rPr>
      </w:pPr>
    </w:p>
    <w:p w14:paraId="031BFF30">
      <w:pPr>
        <w:pStyle w:val="9"/>
        <w:spacing w:line="360" w:lineRule="auto"/>
        <w:rPr>
          <w:lang w:eastAsia="zh-CN"/>
        </w:rPr>
      </w:pPr>
    </w:p>
    <w:p w14:paraId="641973E8">
      <w:pPr>
        <w:pStyle w:val="9"/>
        <w:spacing w:line="360" w:lineRule="auto"/>
        <w:rPr>
          <w:lang w:eastAsia="zh-CN"/>
        </w:rPr>
      </w:pPr>
    </w:p>
    <w:p w14:paraId="3F807036">
      <w:pPr>
        <w:pStyle w:val="9"/>
        <w:spacing w:line="360" w:lineRule="auto"/>
        <w:rPr>
          <w:lang w:eastAsia="zh-CN"/>
        </w:rPr>
      </w:pPr>
    </w:p>
    <w:p w14:paraId="3D5DABCC">
      <w:pPr>
        <w:pStyle w:val="9"/>
        <w:spacing w:line="360" w:lineRule="auto"/>
        <w:rPr>
          <w:lang w:eastAsia="zh-CN"/>
        </w:rPr>
      </w:pPr>
    </w:p>
    <w:p w14:paraId="4D948554">
      <w:pPr>
        <w:pStyle w:val="9"/>
        <w:spacing w:line="360" w:lineRule="auto"/>
        <w:rPr>
          <w:lang w:eastAsia="zh-CN"/>
        </w:rPr>
      </w:pPr>
    </w:p>
    <w:p w14:paraId="55CBC7A6">
      <w:pPr>
        <w:pStyle w:val="9"/>
        <w:spacing w:line="360" w:lineRule="auto"/>
        <w:rPr>
          <w:lang w:eastAsia="zh-CN"/>
        </w:rPr>
      </w:pPr>
    </w:p>
    <w:p w14:paraId="05B706DF">
      <w:pPr>
        <w:pStyle w:val="9"/>
        <w:spacing w:line="360" w:lineRule="auto"/>
        <w:rPr>
          <w:lang w:eastAsia="zh-CN"/>
        </w:rPr>
      </w:pPr>
    </w:p>
    <w:p w14:paraId="598F4B23">
      <w:pPr>
        <w:pStyle w:val="9"/>
        <w:spacing w:line="360" w:lineRule="auto"/>
        <w:rPr>
          <w:lang w:eastAsia="zh-CN"/>
        </w:rPr>
      </w:pPr>
    </w:p>
    <w:p w14:paraId="69426B68">
      <w:pPr>
        <w:pStyle w:val="9"/>
        <w:spacing w:line="360" w:lineRule="auto"/>
        <w:rPr>
          <w:lang w:eastAsia="zh-CN"/>
        </w:rPr>
      </w:pPr>
    </w:p>
    <w:p w14:paraId="341F71FD">
      <w:pPr>
        <w:pStyle w:val="9"/>
        <w:spacing w:line="360" w:lineRule="auto"/>
        <w:rPr>
          <w:lang w:eastAsia="zh-CN"/>
        </w:rPr>
      </w:pPr>
    </w:p>
    <w:p w14:paraId="3564BE65">
      <w:pPr>
        <w:pStyle w:val="9"/>
        <w:spacing w:line="360" w:lineRule="auto"/>
        <w:rPr>
          <w:lang w:eastAsia="zh-CN"/>
        </w:rPr>
      </w:pPr>
    </w:p>
    <w:p w14:paraId="74E8E71B">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法定代表人：孙同辉</w:t>
      </w:r>
    </w:p>
    <w:p w14:paraId="25F6DC6A">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技术负责人：</w:t>
      </w:r>
      <w:r>
        <w:rPr>
          <w:rFonts w:hint="eastAsia" w:ascii="宋体" w:hAnsi="宋体" w:eastAsia="宋体" w:cs="宋体"/>
          <w:spacing w:val="-2"/>
          <w:sz w:val="28"/>
          <w:szCs w:val="28"/>
          <w:lang w:eastAsia="zh-CN"/>
        </w:rPr>
        <w:t>张廷辉</w:t>
      </w:r>
    </w:p>
    <w:p w14:paraId="0A728DAD">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项目负责人：孙同辉</w:t>
      </w:r>
    </w:p>
    <w:p w14:paraId="67B1DE0B">
      <w:pPr>
        <w:pStyle w:val="9"/>
        <w:spacing w:line="360" w:lineRule="auto"/>
        <w:rPr>
          <w:lang w:eastAsia="zh-CN"/>
        </w:rPr>
      </w:pPr>
    </w:p>
    <w:p w14:paraId="2DA02EAE">
      <w:pPr>
        <w:pStyle w:val="9"/>
        <w:spacing w:line="360" w:lineRule="auto"/>
        <w:rPr>
          <w:lang w:eastAsia="zh-CN"/>
        </w:rPr>
      </w:pPr>
    </w:p>
    <w:p w14:paraId="752B8527">
      <w:pPr>
        <w:pStyle w:val="9"/>
        <w:spacing w:line="360" w:lineRule="auto"/>
        <w:rPr>
          <w:lang w:eastAsia="zh-CN"/>
        </w:rPr>
      </w:pPr>
    </w:p>
    <w:p w14:paraId="21A00EFF">
      <w:pPr>
        <w:pStyle w:val="9"/>
        <w:spacing w:line="360" w:lineRule="auto"/>
        <w:rPr>
          <w:lang w:eastAsia="zh-CN"/>
        </w:rPr>
      </w:pPr>
    </w:p>
    <w:p w14:paraId="146C20C9">
      <w:pPr>
        <w:keepNext w:val="0"/>
        <w:keepLines w:val="0"/>
        <w:pageBreakBefore w:val="0"/>
        <w:widowControl w:val="0"/>
        <w:kinsoku w:val="0"/>
        <w:wordWrap/>
        <w:overflowPunct w:val="0"/>
        <w:topLinePunct w:val="0"/>
        <w:autoSpaceDE w:val="0"/>
        <w:autoSpaceDN/>
        <w:bidi w:val="0"/>
        <w:adjustRightInd w:val="0"/>
        <w:snapToGrid w:val="0"/>
        <w:spacing w:line="360" w:lineRule="auto"/>
        <w:jc w:val="center"/>
        <w:textAlignment w:val="baseline"/>
        <w:rPr>
          <w:rFonts w:hint="eastAsia" w:ascii="宋体" w:hAnsi="宋体" w:eastAsia="宋体" w:cs="宋体"/>
          <w:b/>
          <w:bCs/>
          <w:sz w:val="24"/>
          <w:szCs w:val="24"/>
          <w:lang w:eastAsia="zh-CN"/>
        </w:rPr>
      </w:pPr>
      <w:r>
        <w:rPr>
          <w:rFonts w:ascii="宋体" w:hAnsi="宋体" w:eastAsia="宋体" w:cs="宋体"/>
          <w:b/>
          <w:bCs/>
          <w:spacing w:val="-11"/>
          <w:sz w:val="24"/>
          <w:szCs w:val="24"/>
          <w:lang w:eastAsia="zh-CN"/>
        </w:rPr>
        <w:t>202</w:t>
      </w:r>
      <w:r>
        <w:rPr>
          <w:rFonts w:hint="eastAsia" w:ascii="宋体" w:hAnsi="宋体" w:eastAsia="宋体" w:cs="宋体"/>
          <w:b/>
          <w:bCs/>
          <w:spacing w:val="-11"/>
          <w:sz w:val="24"/>
          <w:szCs w:val="24"/>
          <w:lang w:val="en-US" w:eastAsia="zh-CN"/>
        </w:rPr>
        <w:t>6</w:t>
      </w:r>
      <w:r>
        <w:rPr>
          <w:rFonts w:ascii="宋体" w:hAnsi="宋体" w:eastAsia="宋体" w:cs="宋体"/>
          <w:b/>
          <w:bCs/>
          <w:spacing w:val="-11"/>
          <w:sz w:val="24"/>
          <w:szCs w:val="24"/>
          <w:lang w:eastAsia="zh-CN"/>
        </w:rPr>
        <w:t>年</w:t>
      </w:r>
      <w:r>
        <w:rPr>
          <w:rFonts w:hint="eastAsia" w:ascii="宋体" w:hAnsi="宋体" w:eastAsia="宋体" w:cs="宋体"/>
          <w:b/>
          <w:bCs/>
          <w:spacing w:val="-11"/>
          <w:sz w:val="24"/>
          <w:szCs w:val="24"/>
          <w:lang w:val="en-US" w:eastAsia="zh-CN"/>
        </w:rPr>
        <w:t>2</w:t>
      </w:r>
      <w:r>
        <w:rPr>
          <w:rFonts w:ascii="宋体" w:hAnsi="宋体" w:eastAsia="宋体" w:cs="宋体"/>
          <w:b/>
          <w:bCs/>
          <w:spacing w:val="-11"/>
          <w:sz w:val="24"/>
          <w:szCs w:val="24"/>
          <w:lang w:eastAsia="zh-CN"/>
        </w:rPr>
        <w:t>月</w:t>
      </w:r>
      <w:r>
        <w:rPr>
          <w:rFonts w:hint="eastAsia" w:ascii="宋体" w:hAnsi="宋体" w:eastAsia="宋体" w:cs="宋体"/>
          <w:b/>
          <w:bCs/>
          <w:spacing w:val="-30"/>
          <w:sz w:val="24"/>
          <w:szCs w:val="24"/>
          <w:lang w:val="en-US" w:eastAsia="zh-CN"/>
        </w:rPr>
        <w:t>12</w:t>
      </w:r>
      <w:r>
        <w:rPr>
          <w:rFonts w:ascii="宋体" w:hAnsi="宋体" w:eastAsia="宋体" w:cs="宋体"/>
          <w:b/>
          <w:bCs/>
          <w:spacing w:val="-11"/>
          <w:sz w:val="24"/>
          <w:szCs w:val="24"/>
          <w:lang w:eastAsia="zh-CN"/>
        </w:rPr>
        <w:t>日</w:t>
      </w:r>
    </w:p>
    <w:p w14:paraId="133271D3">
      <w:pPr>
        <w:spacing w:line="360" w:lineRule="auto"/>
        <w:jc w:val="center"/>
        <w:rPr>
          <w:rFonts w:hint="eastAsia" w:ascii="宋体" w:hAnsi="宋体" w:eastAsia="宋体" w:cs="宋体"/>
          <w:lang w:eastAsia="zh-CN"/>
        </w:rPr>
      </w:pPr>
      <w:r>
        <w:rPr>
          <w:rFonts w:ascii="宋体" w:hAnsi="宋体" w:eastAsia="宋体" w:cs="宋体"/>
          <w:spacing w:val="7"/>
          <w:lang w:eastAsia="zh-CN"/>
        </w:rPr>
        <w:t>（安全评价机构公章）</w:t>
      </w:r>
    </w:p>
    <w:p w14:paraId="114564FA">
      <w:pPr>
        <w:spacing w:line="360" w:lineRule="auto"/>
        <w:rPr>
          <w:rFonts w:hint="eastAsia" w:ascii="宋体" w:hAnsi="宋体" w:eastAsia="宋体" w:cs="宋体"/>
          <w:sz w:val="20"/>
          <w:szCs w:val="20"/>
          <w:lang w:eastAsia="zh-CN"/>
        </w:rPr>
        <w:sectPr>
          <w:pgSz w:w="11906" w:h="16839"/>
          <w:pgMar w:top="1431" w:right="1785" w:bottom="1429" w:left="1785" w:header="0" w:footer="0" w:gutter="0"/>
          <w:cols w:space="720" w:num="1"/>
        </w:sectPr>
      </w:pPr>
    </w:p>
    <w:p w14:paraId="2E3F7C93">
      <w:pPr>
        <w:spacing w:line="360" w:lineRule="auto"/>
        <w:jc w:val="center"/>
        <w:rPr>
          <w:rFonts w:hint="eastAsia" w:ascii="黑体" w:hAnsi="黑体" w:eastAsia="黑体" w:cs="黑体"/>
          <w:color w:val="auto"/>
          <w:sz w:val="31"/>
          <w:szCs w:val="31"/>
          <w:lang w:eastAsia="zh-CN"/>
        </w:rPr>
      </w:pPr>
      <w:r>
        <w:rPr>
          <w:rFonts w:ascii="黑体" w:hAnsi="黑体" w:eastAsia="黑体" w:cs="黑体"/>
          <w:b/>
          <w:bCs/>
          <w:color w:val="auto"/>
          <w:sz w:val="31"/>
          <w:szCs w:val="31"/>
          <w:lang w:eastAsia="zh-CN"/>
        </w:rPr>
        <w:t>前</w:t>
      </w:r>
      <w:r>
        <w:rPr>
          <w:rFonts w:hint="eastAsia" w:ascii="黑体" w:hAnsi="黑体" w:eastAsia="黑体" w:cs="黑体"/>
          <w:b/>
          <w:bCs/>
          <w:color w:val="auto"/>
          <w:sz w:val="31"/>
          <w:szCs w:val="31"/>
          <w:lang w:eastAsia="zh-CN"/>
        </w:rPr>
        <w:t xml:space="preserve"> </w:t>
      </w:r>
      <w:r>
        <w:rPr>
          <w:rFonts w:ascii="黑体" w:hAnsi="黑体" w:eastAsia="黑体" w:cs="黑体"/>
          <w:b/>
          <w:bCs/>
          <w:color w:val="auto"/>
          <w:sz w:val="31"/>
          <w:szCs w:val="31"/>
          <w:lang w:eastAsia="zh-CN"/>
        </w:rPr>
        <w:t>言</w:t>
      </w:r>
    </w:p>
    <w:p w14:paraId="031993ED">
      <w:pPr>
        <w:spacing w:line="360" w:lineRule="auto"/>
        <w:ind w:firstLine="584" w:firstLineChars="200"/>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6"/>
          <w:sz w:val="28"/>
          <w:szCs w:val="28"/>
          <w:lang w:eastAsia="zh-CN"/>
        </w:rPr>
        <w:t>凤城市添合矿业有限公司</w:t>
      </w:r>
      <w:r>
        <w:rPr>
          <w:rFonts w:ascii="宋体" w:hAnsi="宋体" w:eastAsia="宋体" w:cs="宋体"/>
          <w:color w:val="auto"/>
          <w:spacing w:val="6"/>
          <w:sz w:val="28"/>
          <w:szCs w:val="28"/>
          <w:lang w:eastAsia="zh-CN"/>
        </w:rPr>
        <w:t>位于</w:t>
      </w:r>
      <w:r>
        <w:rPr>
          <w:rFonts w:hint="eastAsia" w:ascii="宋体" w:hAnsi="宋体" w:eastAsia="宋体" w:cs="宋体"/>
          <w:color w:val="auto"/>
          <w:spacing w:val="6"/>
          <w:sz w:val="28"/>
          <w:szCs w:val="28"/>
          <w:lang w:eastAsia="zh-CN"/>
        </w:rPr>
        <w:t>凤城市四门子镇湾垅地村</w:t>
      </w:r>
      <w:r>
        <w:rPr>
          <w:rFonts w:hint="eastAsia" w:ascii="宋体" w:hAnsi="宋体" w:eastAsia="宋体" w:cs="宋体"/>
          <w:color w:val="auto"/>
          <w:spacing w:val="-2"/>
          <w:sz w:val="28"/>
          <w:szCs w:val="28"/>
          <w:lang w:eastAsia="zh-CN"/>
        </w:rPr>
        <w:t>；</w:t>
      </w:r>
      <w:r>
        <w:rPr>
          <w:rFonts w:ascii="宋体" w:hAnsi="宋体" w:eastAsia="宋体" w:cs="宋体"/>
          <w:color w:val="auto"/>
          <w:spacing w:val="-2"/>
          <w:sz w:val="28"/>
          <w:szCs w:val="28"/>
          <w:lang w:eastAsia="zh-CN"/>
        </w:rPr>
        <w:t>法定代表人为</w:t>
      </w:r>
      <w:r>
        <w:rPr>
          <w:rFonts w:hint="eastAsia" w:ascii="宋体" w:hAnsi="宋体" w:eastAsia="宋体" w:cs="宋体"/>
          <w:color w:val="auto"/>
          <w:spacing w:val="-2"/>
          <w:sz w:val="28"/>
          <w:szCs w:val="28"/>
          <w:lang w:eastAsia="zh-CN"/>
        </w:rPr>
        <w:t>刚锟；公司类型：有限责任公司；</w:t>
      </w:r>
      <w:r>
        <w:rPr>
          <w:rFonts w:ascii="宋体" w:hAnsi="宋体" w:eastAsia="宋体" w:cs="宋体"/>
          <w:color w:val="auto"/>
          <w:spacing w:val="-2"/>
          <w:sz w:val="28"/>
          <w:szCs w:val="28"/>
          <w:lang w:eastAsia="zh-CN"/>
        </w:rPr>
        <w:t>公司</w:t>
      </w:r>
      <w:r>
        <w:rPr>
          <w:rFonts w:ascii="宋体" w:hAnsi="宋体" w:eastAsia="宋体" w:cs="宋体"/>
          <w:color w:val="auto"/>
          <w:spacing w:val="-3"/>
          <w:sz w:val="28"/>
          <w:szCs w:val="28"/>
          <w:lang w:eastAsia="zh-CN"/>
        </w:rPr>
        <w:t>经营</w:t>
      </w:r>
      <w:r>
        <w:rPr>
          <w:rFonts w:hint="eastAsia" w:ascii="宋体" w:hAnsi="宋体" w:eastAsia="宋体" w:cs="宋体"/>
          <w:color w:val="auto"/>
          <w:spacing w:val="-3"/>
          <w:sz w:val="28"/>
          <w:szCs w:val="28"/>
          <w:lang w:val="en-US" w:eastAsia="zh-CN"/>
        </w:rPr>
        <w:t>范围</w:t>
      </w:r>
      <w:r>
        <w:rPr>
          <w:rFonts w:ascii="宋体" w:hAnsi="宋体" w:eastAsia="宋体" w:cs="宋体"/>
          <w:color w:val="auto"/>
          <w:spacing w:val="-3"/>
          <w:sz w:val="28"/>
          <w:szCs w:val="28"/>
          <w:lang w:eastAsia="zh-CN"/>
        </w:rPr>
        <w:t>：</w:t>
      </w:r>
      <w:r>
        <w:rPr>
          <w:rFonts w:hint="eastAsia" w:ascii="宋体" w:hAnsi="宋体" w:eastAsia="宋体" w:cs="宋体"/>
          <w:color w:val="auto"/>
          <w:spacing w:val="-3"/>
          <w:sz w:val="28"/>
          <w:szCs w:val="28"/>
          <w:lang w:eastAsia="zh-CN"/>
        </w:rPr>
        <w:t>黄金冶炼，矿产品开发、加工、销售；（以下二项分支机构经营）金矿</w:t>
      </w:r>
      <w:r>
        <w:rPr>
          <w:rFonts w:hint="eastAsia" w:ascii="宋体" w:hAnsi="宋体" w:eastAsia="宋体" w:cs="宋体"/>
          <w:color w:val="auto"/>
          <w:spacing w:val="-3"/>
          <w:sz w:val="28"/>
          <w:szCs w:val="28"/>
          <w:lang w:val="en-US" w:eastAsia="zh-CN"/>
        </w:rPr>
        <w:t xml:space="preserve"> </w:t>
      </w:r>
      <w:r>
        <w:rPr>
          <w:rFonts w:hint="eastAsia" w:ascii="宋体" w:hAnsi="宋体" w:eastAsia="宋体" w:cs="宋体"/>
          <w:color w:val="auto"/>
          <w:spacing w:val="-3"/>
          <w:sz w:val="28"/>
          <w:szCs w:val="28"/>
          <w:lang w:eastAsia="zh-CN"/>
        </w:rPr>
        <w:t>、铁矿开采（依法须经批准的项目，经相关部门批准后方可开展经营活动）。</w:t>
      </w:r>
      <w:r>
        <w:rPr>
          <w:rFonts w:hint="eastAsia" w:ascii="宋体" w:hAnsi="宋体" w:eastAsia="宋体" w:cs="宋体"/>
          <w:color w:val="auto"/>
          <w:spacing w:val="-3"/>
          <w:sz w:val="28"/>
          <w:szCs w:val="28"/>
          <w:lang w:val="en-US" w:eastAsia="zh-CN"/>
        </w:rPr>
        <w:t xml:space="preserve"> </w:t>
      </w:r>
    </w:p>
    <w:p w14:paraId="544D4F0F">
      <w:pPr>
        <w:spacing w:line="360" w:lineRule="auto"/>
        <w:ind w:firstLine="548" w:firstLineChars="200"/>
        <w:rPr>
          <w:rFonts w:hint="default" w:ascii="Times New Roman" w:hAnsi="Times New Roman" w:eastAsia="宋体" w:cs="Times New Roman"/>
          <w:color w:val="auto"/>
          <w:sz w:val="28"/>
          <w:szCs w:val="28"/>
          <w:lang w:eastAsia="zh-CN"/>
        </w:rPr>
      </w:pPr>
      <w:r>
        <w:rPr>
          <w:rFonts w:hint="default" w:ascii="Times New Roman" w:hAnsi="Times New Roman" w:eastAsia="宋体" w:cs="Times New Roman"/>
          <w:color w:val="auto"/>
          <w:spacing w:val="-3"/>
          <w:sz w:val="28"/>
          <w:szCs w:val="28"/>
          <w:lang w:val="en-US" w:eastAsia="zh-CN"/>
        </w:rPr>
        <w:t xml:space="preserve"> </w:t>
      </w:r>
      <w:r>
        <w:rPr>
          <w:rFonts w:hint="default" w:ascii="Times New Roman" w:hAnsi="Times New Roman" w:eastAsia="宋体" w:cs="Times New Roman"/>
          <w:color w:val="auto"/>
          <w:spacing w:val="6"/>
          <w:sz w:val="28"/>
          <w:szCs w:val="28"/>
          <w:lang w:eastAsia="zh-CN"/>
        </w:rPr>
        <w:t>凤城市添合矿业有限公司尾矿库（以下简称：该尾矿库）位于</w:t>
      </w:r>
      <w:r>
        <w:rPr>
          <w:rFonts w:hint="eastAsia" w:ascii="Times New Roman" w:hAnsi="Times New Roman" w:eastAsia="宋体" w:cs="Times New Roman"/>
          <w:color w:val="auto"/>
          <w:spacing w:val="6"/>
          <w:sz w:val="28"/>
          <w:szCs w:val="28"/>
          <w:lang w:val="en-US" w:eastAsia="zh-CN"/>
        </w:rPr>
        <w:t>xxx</w:t>
      </w:r>
    </w:p>
    <w:p w14:paraId="34DEDE6C">
      <w:pPr>
        <w:keepNext w:val="0"/>
        <w:keepLines w:val="0"/>
        <w:pageBreakBefore w:val="0"/>
        <w:widowControl/>
        <w:kinsoku/>
        <w:wordWrap/>
        <w:overflowPunct/>
        <w:topLinePunct w:val="0"/>
        <w:autoSpaceDE/>
        <w:autoSpaceDN/>
        <w:bidi w:val="0"/>
        <w:adjustRightInd w:val="0"/>
        <w:snapToGrid w:val="0"/>
        <w:spacing w:before="0" w:after="0" w:line="360" w:lineRule="auto"/>
        <w:ind w:firstLine="548" w:firstLineChars="200"/>
        <w:textAlignment w:val="baseline"/>
        <w:rPr>
          <w:rFonts w:hint="eastAsia" w:ascii="宋体" w:hAnsi="宋体" w:eastAsia="宋体" w:cs="宋体"/>
          <w:sz w:val="28"/>
          <w:szCs w:val="28"/>
          <w:lang w:eastAsia="zh-CN"/>
        </w:rPr>
      </w:pPr>
      <w:r>
        <w:rPr>
          <w:rFonts w:ascii="宋体" w:hAnsi="宋体" w:eastAsia="宋体" w:cs="宋体"/>
          <w:color w:val="auto"/>
          <w:spacing w:val="-3"/>
          <w:sz w:val="28"/>
          <w:szCs w:val="28"/>
          <w:lang w:eastAsia="zh-CN"/>
        </w:rPr>
        <w:t>企业于</w:t>
      </w:r>
      <w:r>
        <w:rPr>
          <w:rFonts w:hint="default" w:ascii="Times New Roman" w:hAnsi="Times New Roman" w:cs="Times New Roman"/>
          <w:color w:val="auto"/>
          <w:sz w:val="28"/>
          <w:szCs w:val="28"/>
          <w:lang w:eastAsia="zh-CN"/>
        </w:rPr>
        <w:t>20</w:t>
      </w:r>
      <w:r>
        <w:rPr>
          <w:rFonts w:hint="default" w:ascii="Times New Roman" w:hAnsi="Times New Roman" w:cs="Times New Roman"/>
          <w:color w:val="auto"/>
          <w:sz w:val="28"/>
          <w:szCs w:val="28"/>
          <w:lang w:val="en-US" w:eastAsia="zh-CN"/>
        </w:rPr>
        <w:t>05</w:t>
      </w:r>
      <w:r>
        <w:rPr>
          <w:rFonts w:hint="default" w:ascii="Times New Roman" w:hAnsi="Times New Roman" w:cs="Times New Roman"/>
          <w:color w:val="auto"/>
          <w:sz w:val="28"/>
          <w:szCs w:val="28"/>
          <w:lang w:eastAsia="zh-CN"/>
        </w:rPr>
        <w:t>年</w:t>
      </w:r>
      <w:r>
        <w:rPr>
          <w:rFonts w:hint="default" w:ascii="Times New Roman" w:hAnsi="Times New Roman" w:cs="Times New Roman"/>
          <w:color w:val="auto"/>
          <w:sz w:val="28"/>
          <w:szCs w:val="28"/>
          <w:lang w:val="en-US" w:eastAsia="zh-CN"/>
        </w:rPr>
        <w:t>9</w:t>
      </w:r>
      <w:r>
        <w:rPr>
          <w:rFonts w:hint="default" w:ascii="Times New Roman" w:hAnsi="Times New Roman" w:cs="Times New Roman"/>
          <w:color w:val="auto"/>
          <w:sz w:val="28"/>
          <w:szCs w:val="28"/>
          <w:lang w:eastAsia="zh-CN"/>
        </w:rPr>
        <w:t>月</w:t>
      </w:r>
      <w:r>
        <w:rPr>
          <w:rFonts w:hint="eastAsia" w:ascii="Times New Roman" w:hAnsi="Times New Roman" w:cs="Times New Roman"/>
          <w:color w:val="auto"/>
          <w:sz w:val="28"/>
          <w:szCs w:val="28"/>
          <w:lang w:val="en-US" w:eastAsia="zh-CN"/>
        </w:rPr>
        <w:t>委托</w:t>
      </w:r>
      <w:r>
        <w:rPr>
          <w:rFonts w:hint="default" w:ascii="Times New Roman" w:hAnsi="Times New Roman" w:cs="Times New Roman"/>
          <w:color w:val="auto"/>
          <w:sz w:val="28"/>
          <w:szCs w:val="28"/>
          <w:lang w:val="en-US" w:eastAsia="zh-CN"/>
        </w:rPr>
        <w:t>中国冶金矿业总公司鞍山冶金设计研究所</w:t>
      </w:r>
      <w:r>
        <w:rPr>
          <w:rFonts w:hint="eastAsia" w:ascii="Times New Roman" w:hAnsi="Times New Roman" w:cs="Times New Roman"/>
          <w:color w:val="auto"/>
          <w:sz w:val="28"/>
          <w:szCs w:val="28"/>
          <w:lang w:val="en-US" w:eastAsia="zh-CN"/>
        </w:rPr>
        <w:t>编制</w:t>
      </w:r>
      <w:r>
        <w:rPr>
          <w:rFonts w:hint="default" w:ascii="Times New Roman" w:hAnsi="Times New Roman" w:cs="Times New Roman"/>
          <w:color w:val="auto"/>
          <w:sz w:val="28"/>
          <w:szCs w:val="28"/>
          <w:lang w:eastAsia="zh-CN"/>
        </w:rPr>
        <w:t>《</w:t>
      </w:r>
      <w:r>
        <w:rPr>
          <w:rFonts w:hint="default" w:ascii="Times New Roman" w:hAnsi="Times New Roman" w:cs="Times New Roman"/>
          <w:color w:val="auto"/>
          <w:sz w:val="28"/>
          <w:szCs w:val="28"/>
          <w:lang w:val="en-US" w:eastAsia="zh-CN"/>
        </w:rPr>
        <w:t>凤城市天合实业有限公司尾矿库设计报告</w:t>
      </w:r>
      <w:r>
        <w:rPr>
          <w:rFonts w:hint="default" w:ascii="Times New Roman" w:hAnsi="Times New Roman" w:cs="Times New Roman"/>
          <w:color w:val="auto"/>
          <w:sz w:val="28"/>
          <w:szCs w:val="28"/>
          <w:lang w:eastAsia="zh-CN"/>
        </w:rPr>
        <w:t>》；</w:t>
      </w:r>
      <w:r>
        <w:rPr>
          <w:rFonts w:hint="eastAsia" w:ascii="Times New Roman" w:hAnsi="Times New Roman" w:cs="Times New Roman"/>
          <w:color w:val="auto"/>
          <w:sz w:val="28"/>
          <w:szCs w:val="28"/>
          <w:lang w:val="en-US" w:eastAsia="zh-CN"/>
        </w:rPr>
        <w:t>于</w:t>
      </w:r>
      <w:r>
        <w:rPr>
          <w:rFonts w:hint="default" w:ascii="Times New Roman" w:hAnsi="Times New Roman" w:cs="Times New Roman"/>
          <w:color w:val="auto"/>
          <w:sz w:val="28"/>
          <w:szCs w:val="28"/>
          <w:lang w:eastAsia="zh-CN"/>
        </w:rPr>
        <w:t>2019年</w:t>
      </w:r>
      <w:r>
        <w:rPr>
          <w:rFonts w:hint="eastAsia" w:ascii="Times New Roman" w:hAnsi="Times New Roman" w:cs="Times New Roman"/>
          <w:color w:val="auto"/>
          <w:sz w:val="28"/>
          <w:szCs w:val="28"/>
          <w:lang w:val="en-US" w:eastAsia="zh-CN"/>
        </w:rPr>
        <w:t>12</w:t>
      </w:r>
      <w:r>
        <w:rPr>
          <w:rFonts w:hint="default" w:ascii="Times New Roman" w:hAnsi="Times New Roman" w:cs="Times New Roman"/>
          <w:color w:val="auto"/>
          <w:sz w:val="28"/>
          <w:szCs w:val="28"/>
          <w:lang w:eastAsia="zh-CN"/>
        </w:rPr>
        <w:t>月</w:t>
      </w:r>
      <w:r>
        <w:rPr>
          <w:rFonts w:hint="eastAsia" w:ascii="Times New Roman" w:hAnsi="Times New Roman" w:cs="Times New Roman"/>
          <w:color w:val="auto"/>
          <w:sz w:val="28"/>
          <w:szCs w:val="28"/>
          <w:lang w:val="en-US" w:eastAsia="zh-CN"/>
        </w:rPr>
        <w:t>委托</w:t>
      </w:r>
      <w:r>
        <w:rPr>
          <w:rFonts w:hint="eastAsia" w:ascii="Times New Roman" w:hAnsi="Times New Roman" w:eastAsia="宋体" w:cs="Times New Roman"/>
          <w:color w:val="auto"/>
          <w:sz w:val="28"/>
          <w:szCs w:val="28"/>
          <w:lang w:val="en-US" w:eastAsia="zh-CN"/>
        </w:rPr>
        <w:t>兰州有色冶金设计研究院有限公司沈阳分公司编制</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凤城市天合矿业有限公司尾矿库加高扩容工程初步设计</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及</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凤城市天合矿业有限公司尾矿库加高扩容工程安全设施设计</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w:t>
      </w:r>
      <w:r>
        <w:rPr>
          <w:rFonts w:ascii="宋体" w:hAnsi="宋体" w:eastAsia="宋体" w:cs="宋体"/>
          <w:color w:val="auto"/>
          <w:spacing w:val="-1"/>
          <w:sz w:val="28"/>
          <w:szCs w:val="28"/>
          <w:lang w:eastAsia="zh-CN"/>
        </w:rPr>
        <w:t>企业</w:t>
      </w:r>
      <w:r>
        <w:rPr>
          <w:rFonts w:ascii="宋体" w:hAnsi="宋体" w:eastAsia="宋体" w:cs="宋体"/>
          <w:spacing w:val="-1"/>
          <w:sz w:val="28"/>
          <w:szCs w:val="28"/>
          <w:lang w:eastAsia="zh-CN"/>
        </w:rPr>
        <w:t>按照相关设计</w:t>
      </w:r>
      <w:r>
        <w:rPr>
          <w:rFonts w:hint="eastAsia" w:ascii="宋体" w:hAnsi="宋体" w:eastAsia="宋体" w:cs="宋体"/>
          <w:spacing w:val="-1"/>
          <w:sz w:val="28"/>
          <w:szCs w:val="28"/>
          <w:lang w:eastAsia="zh-CN"/>
        </w:rPr>
        <w:t>对</w:t>
      </w:r>
      <w:r>
        <w:rPr>
          <w:rFonts w:ascii="宋体" w:hAnsi="宋体" w:eastAsia="宋体" w:cs="宋体"/>
          <w:spacing w:val="-1"/>
          <w:sz w:val="28"/>
          <w:szCs w:val="28"/>
          <w:lang w:eastAsia="zh-CN"/>
        </w:rPr>
        <w:t>该尾矿库</w:t>
      </w:r>
      <w:r>
        <w:rPr>
          <w:rFonts w:hint="eastAsia" w:ascii="宋体" w:hAnsi="宋体" w:eastAsia="宋体" w:cs="宋体"/>
          <w:spacing w:val="-1"/>
          <w:sz w:val="28"/>
          <w:szCs w:val="28"/>
          <w:lang w:eastAsia="zh-CN"/>
        </w:rPr>
        <w:t>进行</w:t>
      </w:r>
      <w:r>
        <w:rPr>
          <w:rFonts w:hint="eastAsia" w:ascii="宋体" w:hAnsi="宋体" w:eastAsia="宋体" w:cs="宋体"/>
          <w:spacing w:val="-1"/>
          <w:sz w:val="28"/>
          <w:szCs w:val="28"/>
          <w:lang w:val="en-US" w:eastAsia="zh-CN"/>
        </w:rPr>
        <w:t>建设</w:t>
      </w:r>
      <w:r>
        <w:rPr>
          <w:rFonts w:ascii="宋体" w:hAnsi="宋体" w:eastAsia="宋体" w:cs="宋体"/>
          <w:spacing w:val="-1"/>
          <w:sz w:val="28"/>
          <w:szCs w:val="28"/>
          <w:lang w:eastAsia="zh-CN"/>
        </w:rPr>
        <w:t>并根据政府要求进行安全生产许可证的申领和延期</w:t>
      </w:r>
      <w:r>
        <w:rPr>
          <w:rFonts w:hint="eastAsia" w:ascii="宋体" w:hAnsi="宋体" w:eastAsia="宋体" w:cs="宋体"/>
          <w:spacing w:val="-1"/>
          <w:sz w:val="28"/>
          <w:szCs w:val="28"/>
          <w:lang w:eastAsia="zh-CN"/>
        </w:rPr>
        <w:t>换证</w:t>
      </w:r>
      <w:r>
        <w:rPr>
          <w:rFonts w:ascii="宋体" w:hAnsi="宋体" w:eastAsia="宋体" w:cs="宋体"/>
          <w:spacing w:val="-1"/>
          <w:sz w:val="28"/>
          <w:szCs w:val="28"/>
          <w:lang w:eastAsia="zh-CN"/>
        </w:rPr>
        <w:t>工作。该尾矿库的安全生产许可证</w:t>
      </w:r>
      <w:r>
        <w:rPr>
          <w:rFonts w:hint="eastAsia" w:ascii="宋体" w:hAnsi="宋体" w:eastAsia="宋体" w:cs="宋体"/>
          <w:spacing w:val="-1"/>
          <w:sz w:val="28"/>
          <w:szCs w:val="28"/>
          <w:lang w:val="en-US" w:eastAsia="zh-CN"/>
        </w:rPr>
        <w:t>已</w:t>
      </w:r>
      <w:r>
        <w:rPr>
          <w:rFonts w:ascii="宋体" w:hAnsi="宋体" w:eastAsia="宋体" w:cs="宋体"/>
          <w:spacing w:val="-5"/>
          <w:sz w:val="28"/>
          <w:szCs w:val="28"/>
          <w:lang w:eastAsia="zh-CN"/>
        </w:rPr>
        <w:t>于</w:t>
      </w:r>
      <w:r>
        <w:rPr>
          <w:rFonts w:hint="eastAsia" w:ascii="Times New Roman" w:hAnsi="Times New Roman" w:eastAsia="Times New Roman" w:cs="Times New Roman"/>
          <w:spacing w:val="-5"/>
          <w:sz w:val="28"/>
          <w:szCs w:val="28"/>
          <w:lang w:val="en-US" w:eastAsia="zh-CN"/>
        </w:rPr>
        <w:t>xxx</w:t>
      </w:r>
      <w:r>
        <w:rPr>
          <w:rFonts w:ascii="宋体" w:hAnsi="宋体" w:eastAsia="宋体" w:cs="宋体"/>
          <w:spacing w:val="-5"/>
          <w:sz w:val="28"/>
          <w:szCs w:val="28"/>
          <w:lang w:eastAsia="zh-CN"/>
        </w:rPr>
        <w:t>到期，</w:t>
      </w:r>
      <w:r>
        <w:rPr>
          <w:rFonts w:hint="eastAsia" w:ascii="宋体" w:hAnsi="宋体" w:eastAsia="宋体" w:cs="宋体"/>
          <w:spacing w:val="-5"/>
          <w:sz w:val="28"/>
          <w:szCs w:val="28"/>
          <w:lang w:eastAsia="zh-CN"/>
        </w:rPr>
        <w:t>现</w:t>
      </w:r>
      <w:r>
        <w:rPr>
          <w:rFonts w:ascii="宋体" w:hAnsi="宋体" w:eastAsia="宋体" w:cs="宋体"/>
          <w:spacing w:val="-5"/>
          <w:sz w:val="28"/>
          <w:szCs w:val="28"/>
          <w:lang w:eastAsia="zh-CN"/>
        </w:rPr>
        <w:t>需</w:t>
      </w:r>
      <w:r>
        <w:rPr>
          <w:rFonts w:hint="eastAsia" w:ascii="宋体" w:hAnsi="宋体" w:eastAsia="宋体" w:cs="宋体"/>
          <w:spacing w:val="-5"/>
          <w:sz w:val="28"/>
          <w:szCs w:val="28"/>
          <w:lang w:eastAsia="zh-CN"/>
        </w:rPr>
        <w:t>办理延期换证</w:t>
      </w:r>
      <w:r>
        <w:rPr>
          <w:rFonts w:hint="eastAsia" w:ascii="宋体" w:hAnsi="宋体" w:eastAsia="宋体" w:cs="宋体"/>
          <w:spacing w:val="-5"/>
          <w:sz w:val="28"/>
          <w:szCs w:val="28"/>
          <w:lang w:val="en-US" w:eastAsia="zh-CN"/>
        </w:rPr>
        <w:t>事项</w:t>
      </w:r>
      <w:r>
        <w:rPr>
          <w:rFonts w:ascii="宋体" w:hAnsi="宋体" w:eastAsia="宋体" w:cs="宋体"/>
          <w:spacing w:val="-5"/>
          <w:sz w:val="28"/>
          <w:szCs w:val="28"/>
          <w:lang w:eastAsia="zh-CN"/>
        </w:rPr>
        <w:t>，因此</w:t>
      </w:r>
      <w:r>
        <w:rPr>
          <w:rFonts w:hint="eastAsia" w:ascii="宋体" w:hAnsi="宋体" w:eastAsia="宋体" w:cs="宋体"/>
          <w:spacing w:val="-5"/>
          <w:sz w:val="28"/>
          <w:szCs w:val="28"/>
          <w:lang w:eastAsia="zh-CN"/>
        </w:rPr>
        <w:t>企业</w:t>
      </w:r>
      <w:r>
        <w:rPr>
          <w:rFonts w:ascii="宋体" w:hAnsi="宋体" w:eastAsia="宋体" w:cs="宋体"/>
          <w:spacing w:val="-5"/>
          <w:sz w:val="28"/>
          <w:szCs w:val="28"/>
          <w:lang w:eastAsia="zh-CN"/>
        </w:rPr>
        <w:t>委托我</w:t>
      </w:r>
      <w:r>
        <w:rPr>
          <w:rFonts w:ascii="宋体" w:hAnsi="宋体" w:eastAsia="宋体" w:cs="宋体"/>
          <w:spacing w:val="-1"/>
          <w:sz w:val="28"/>
          <w:szCs w:val="28"/>
          <w:lang w:eastAsia="zh-CN"/>
        </w:rPr>
        <w:t>公司对</w:t>
      </w:r>
      <w:r>
        <w:rPr>
          <w:rFonts w:hint="eastAsia" w:ascii="宋体" w:hAnsi="宋体" w:eastAsia="宋体" w:cs="宋体"/>
          <w:spacing w:val="-1"/>
          <w:sz w:val="28"/>
          <w:szCs w:val="28"/>
          <w:lang w:val="en-US" w:eastAsia="zh-CN"/>
        </w:rPr>
        <w:t>该尾矿库</w:t>
      </w:r>
      <w:r>
        <w:rPr>
          <w:rFonts w:ascii="宋体" w:hAnsi="宋体" w:eastAsia="宋体" w:cs="宋体"/>
          <w:spacing w:val="-1"/>
          <w:sz w:val="28"/>
          <w:szCs w:val="28"/>
          <w:lang w:eastAsia="zh-CN"/>
        </w:rPr>
        <w:t>进行</w:t>
      </w:r>
      <w:r>
        <w:rPr>
          <w:rFonts w:hint="eastAsia" w:ascii="宋体" w:hAnsi="宋体" w:eastAsia="宋体" w:cs="宋体"/>
          <w:spacing w:val="-1"/>
          <w:sz w:val="28"/>
          <w:szCs w:val="28"/>
          <w:lang w:eastAsia="zh-CN"/>
        </w:rPr>
        <w:t>安全</w:t>
      </w:r>
      <w:r>
        <w:rPr>
          <w:rFonts w:ascii="宋体" w:hAnsi="宋体" w:eastAsia="宋体" w:cs="宋体"/>
          <w:spacing w:val="-1"/>
          <w:sz w:val="28"/>
          <w:szCs w:val="28"/>
          <w:lang w:eastAsia="zh-CN"/>
        </w:rPr>
        <w:t>现状评价。</w:t>
      </w:r>
    </w:p>
    <w:p w14:paraId="6507A541">
      <w:pPr>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ascii="宋体" w:hAnsi="宋体" w:eastAsia="宋体" w:cs="宋体"/>
          <w:sz w:val="28"/>
          <w:szCs w:val="28"/>
          <w:lang w:eastAsia="zh-CN"/>
        </w:rPr>
      </w:pPr>
      <w:r>
        <w:rPr>
          <w:rFonts w:ascii="宋体" w:hAnsi="宋体" w:eastAsia="宋体" w:cs="宋体"/>
          <w:spacing w:val="-1"/>
          <w:sz w:val="28"/>
          <w:szCs w:val="28"/>
          <w:lang w:eastAsia="zh-CN"/>
        </w:rPr>
        <w:t>为了圆满完成该项目，公司专门成立评价小组，于</w:t>
      </w:r>
      <w:r>
        <w:rPr>
          <w:rFonts w:ascii="Times New Roman" w:hAnsi="Times New Roman" w:eastAsia="Times New Roman" w:cs="Times New Roman"/>
          <w:spacing w:val="-1"/>
          <w:sz w:val="28"/>
          <w:szCs w:val="28"/>
          <w:lang w:eastAsia="zh-CN"/>
        </w:rPr>
        <w:t>202</w:t>
      </w:r>
      <w:r>
        <w:rPr>
          <w:rFonts w:hint="eastAsia" w:ascii="Times New Roman" w:hAnsi="Times New Roman" w:eastAsia="宋体" w:cs="Times New Roman"/>
          <w:spacing w:val="-1"/>
          <w:sz w:val="28"/>
          <w:szCs w:val="28"/>
          <w:lang w:eastAsia="zh-CN"/>
        </w:rPr>
        <w:t>5</w:t>
      </w:r>
      <w:r>
        <w:rPr>
          <w:rFonts w:ascii="宋体" w:hAnsi="宋体" w:eastAsia="宋体" w:cs="宋体"/>
          <w:spacing w:val="-1"/>
          <w:sz w:val="28"/>
          <w:szCs w:val="28"/>
          <w:lang w:eastAsia="zh-CN"/>
        </w:rPr>
        <w:t>年</w:t>
      </w:r>
      <w:r>
        <w:rPr>
          <w:rFonts w:hint="eastAsia" w:ascii="Times New Roman" w:hAnsi="Times New Roman" w:eastAsia="Times New Roman" w:cs="Times New Roman"/>
          <w:spacing w:val="-4"/>
          <w:sz w:val="28"/>
          <w:szCs w:val="28"/>
          <w:lang w:val="en-US" w:eastAsia="zh-CN"/>
        </w:rPr>
        <w:t>12</w:t>
      </w:r>
      <w:r>
        <w:rPr>
          <w:rFonts w:ascii="宋体" w:hAnsi="宋体" w:eastAsia="宋体" w:cs="宋体"/>
          <w:spacing w:val="-4"/>
          <w:sz w:val="28"/>
          <w:szCs w:val="28"/>
          <w:lang w:eastAsia="zh-CN"/>
        </w:rPr>
        <w:t>月</w:t>
      </w:r>
      <w:r>
        <w:rPr>
          <w:rFonts w:hint="eastAsia" w:ascii="Times New Roman" w:hAnsi="Times New Roman" w:eastAsia="Times New Roman" w:cs="Times New Roman"/>
          <w:spacing w:val="-4"/>
          <w:sz w:val="28"/>
          <w:szCs w:val="28"/>
          <w:lang w:val="en-US" w:eastAsia="zh-CN"/>
        </w:rPr>
        <w:t>8</w:t>
      </w:r>
      <w:r>
        <w:rPr>
          <w:rFonts w:ascii="宋体" w:hAnsi="宋体" w:eastAsia="宋体" w:cs="宋体"/>
          <w:spacing w:val="-4"/>
          <w:sz w:val="28"/>
          <w:szCs w:val="28"/>
          <w:lang w:eastAsia="zh-CN"/>
        </w:rPr>
        <w:t>日对该尾矿库进行实地勘察、测量和</w:t>
      </w:r>
      <w:r>
        <w:rPr>
          <w:rFonts w:ascii="宋体" w:hAnsi="宋体" w:eastAsia="宋体" w:cs="宋体"/>
          <w:spacing w:val="-5"/>
          <w:sz w:val="28"/>
          <w:szCs w:val="28"/>
          <w:lang w:eastAsia="zh-CN"/>
        </w:rPr>
        <w:t>资料收集工作并提出现</w:t>
      </w:r>
      <w:r>
        <w:rPr>
          <w:rFonts w:ascii="宋体" w:hAnsi="宋体" w:eastAsia="宋体" w:cs="宋体"/>
          <w:sz w:val="28"/>
          <w:szCs w:val="28"/>
          <w:lang w:eastAsia="zh-CN"/>
        </w:rPr>
        <w:t>场整改意见，企业认真落实。在经过详细的</w:t>
      </w:r>
      <w:r>
        <w:rPr>
          <w:rFonts w:ascii="宋体" w:hAnsi="宋体" w:eastAsia="宋体" w:cs="宋体"/>
          <w:spacing w:val="-1"/>
          <w:sz w:val="28"/>
          <w:szCs w:val="28"/>
          <w:lang w:eastAsia="zh-CN"/>
        </w:rPr>
        <w:t>实地考查和</w:t>
      </w:r>
      <w:r>
        <w:rPr>
          <w:rFonts w:ascii="宋体" w:hAnsi="宋体" w:eastAsia="宋体" w:cs="宋体"/>
          <w:spacing w:val="-2"/>
          <w:sz w:val="28"/>
          <w:szCs w:val="28"/>
          <w:lang w:eastAsia="zh-CN"/>
        </w:rPr>
        <w:t>现场调研后，依据现行的有关安全生产法律、行政法规、部门规章、</w:t>
      </w:r>
      <w:r>
        <w:rPr>
          <w:rFonts w:ascii="宋体" w:hAnsi="宋体" w:eastAsia="宋体" w:cs="宋体"/>
          <w:sz w:val="28"/>
          <w:szCs w:val="28"/>
          <w:lang w:eastAsia="zh-CN"/>
        </w:rPr>
        <w:t>地方性法规、地方政府规章和有关规范性文</w:t>
      </w:r>
      <w:r>
        <w:rPr>
          <w:rFonts w:ascii="宋体" w:hAnsi="宋体" w:eastAsia="宋体" w:cs="宋体"/>
          <w:spacing w:val="-1"/>
          <w:sz w:val="28"/>
          <w:szCs w:val="28"/>
          <w:lang w:eastAsia="zh-CN"/>
        </w:rPr>
        <w:t>件及委托方所提供的其</w:t>
      </w:r>
      <w:r>
        <w:rPr>
          <w:rFonts w:ascii="宋体" w:hAnsi="宋体" w:eastAsia="宋体" w:cs="宋体"/>
          <w:sz w:val="28"/>
          <w:szCs w:val="28"/>
          <w:lang w:eastAsia="zh-CN"/>
        </w:rPr>
        <w:t>他资料，分析该尾矿库可能存在的主要危险</w:t>
      </w:r>
      <w:r>
        <w:rPr>
          <w:rFonts w:ascii="宋体" w:hAnsi="宋体" w:eastAsia="宋体" w:cs="宋体"/>
          <w:spacing w:val="-1"/>
          <w:sz w:val="28"/>
          <w:szCs w:val="28"/>
          <w:lang w:eastAsia="zh-CN"/>
        </w:rPr>
        <w:t>、有害因素，并运用定性、定量分析法进行评价</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在评价的基础上提出了相应的安全措施</w:t>
      </w:r>
      <w:r>
        <w:rPr>
          <w:rFonts w:ascii="宋体" w:hAnsi="宋体" w:eastAsia="宋体" w:cs="宋体"/>
          <w:spacing w:val="-2"/>
          <w:sz w:val="28"/>
          <w:szCs w:val="28"/>
          <w:lang w:eastAsia="zh-CN"/>
        </w:rPr>
        <w:t>和建议，最终得出了该项目的安全现状评价结论</w:t>
      </w:r>
      <w:r>
        <w:rPr>
          <w:rFonts w:hint="eastAsia" w:ascii="宋体" w:hAnsi="宋体" w:eastAsia="宋体" w:cs="宋体"/>
          <w:spacing w:val="-2"/>
          <w:sz w:val="28"/>
          <w:szCs w:val="28"/>
          <w:lang w:eastAsia="zh-CN"/>
        </w:rPr>
        <w:t>并</w:t>
      </w:r>
      <w:r>
        <w:rPr>
          <w:rFonts w:ascii="宋体" w:hAnsi="宋体" w:eastAsia="宋体" w:cs="宋体"/>
          <w:spacing w:val="-2"/>
          <w:sz w:val="28"/>
          <w:szCs w:val="28"/>
          <w:lang w:eastAsia="zh-CN"/>
        </w:rPr>
        <w:t>于</w:t>
      </w:r>
      <w:r>
        <w:rPr>
          <w:rFonts w:ascii="Times New Roman" w:hAnsi="Times New Roman" w:eastAsia="Times New Roman" w:cs="Times New Roman"/>
          <w:spacing w:val="-3"/>
          <w:sz w:val="28"/>
          <w:szCs w:val="28"/>
          <w:lang w:eastAsia="zh-CN"/>
        </w:rPr>
        <w:t>202</w:t>
      </w:r>
      <w:r>
        <w:rPr>
          <w:rFonts w:hint="eastAsia" w:ascii="Times New Roman" w:hAnsi="Times New Roman" w:eastAsia="宋体" w:cs="Times New Roman"/>
          <w:spacing w:val="-3"/>
          <w:sz w:val="28"/>
          <w:szCs w:val="28"/>
          <w:lang w:val="en-US" w:eastAsia="zh-CN"/>
        </w:rPr>
        <w:t>6</w:t>
      </w:r>
      <w:r>
        <w:rPr>
          <w:rFonts w:ascii="宋体" w:hAnsi="宋体" w:eastAsia="宋体" w:cs="宋体"/>
          <w:spacing w:val="-3"/>
          <w:sz w:val="28"/>
          <w:szCs w:val="28"/>
          <w:lang w:eastAsia="zh-CN"/>
        </w:rPr>
        <w:t>年</w:t>
      </w:r>
      <w:r>
        <w:rPr>
          <w:rFonts w:hint="eastAsia" w:ascii="Times New Roman" w:hAnsi="Times New Roman" w:eastAsia="Times New Roman" w:cs="Times New Roman"/>
          <w:spacing w:val="-3"/>
          <w:sz w:val="28"/>
          <w:szCs w:val="28"/>
          <w:lang w:val="en-US" w:eastAsia="zh-CN"/>
        </w:rPr>
        <w:t>2</w:t>
      </w:r>
      <w:r>
        <w:rPr>
          <w:rFonts w:ascii="宋体" w:hAnsi="宋体" w:eastAsia="宋体" w:cs="宋体"/>
          <w:spacing w:val="-3"/>
          <w:sz w:val="28"/>
          <w:szCs w:val="28"/>
          <w:lang w:eastAsia="zh-CN"/>
        </w:rPr>
        <w:t>月</w:t>
      </w:r>
      <w:r>
        <w:rPr>
          <w:rFonts w:ascii="宋体" w:hAnsi="宋体" w:eastAsia="宋体" w:cs="宋体"/>
          <w:spacing w:val="-1"/>
          <w:sz w:val="28"/>
          <w:szCs w:val="28"/>
          <w:lang w:eastAsia="zh-CN"/>
        </w:rPr>
        <w:t>编制完成了《</w:t>
      </w:r>
      <w:r>
        <w:rPr>
          <w:rFonts w:hint="eastAsia" w:ascii="宋体" w:hAnsi="宋体" w:eastAsia="宋体" w:cs="宋体"/>
          <w:spacing w:val="-1"/>
          <w:sz w:val="28"/>
          <w:szCs w:val="28"/>
          <w:lang w:eastAsia="zh-CN"/>
        </w:rPr>
        <w:t>凤城市添合矿业有限公司尾矿库安全现状评价报告</w:t>
      </w:r>
      <w:r>
        <w:rPr>
          <w:rFonts w:ascii="宋体" w:hAnsi="宋体" w:eastAsia="宋体" w:cs="宋体"/>
          <w:spacing w:val="-4"/>
          <w:sz w:val="28"/>
          <w:szCs w:val="28"/>
          <w:lang w:eastAsia="zh-CN"/>
        </w:rPr>
        <w:t>》。</w:t>
      </w:r>
    </w:p>
    <w:p w14:paraId="715BAE83">
      <w:pPr>
        <w:spacing w:line="360" w:lineRule="auto"/>
        <w:ind w:firstLine="628" w:firstLineChars="200"/>
        <w:rPr>
          <w:rFonts w:hint="eastAsia" w:ascii="宋体" w:hAnsi="宋体" w:eastAsia="宋体" w:cs="宋体"/>
          <w:sz w:val="28"/>
          <w:szCs w:val="28"/>
          <w:lang w:eastAsia="zh-CN"/>
        </w:rPr>
      </w:pPr>
      <w:r>
        <w:rPr>
          <w:rFonts w:ascii="宋体" w:hAnsi="宋体" w:eastAsia="宋体" w:cs="宋体"/>
          <w:spacing w:val="17"/>
          <w:sz w:val="28"/>
          <w:szCs w:val="28"/>
          <w:lang w:eastAsia="zh-CN"/>
        </w:rPr>
        <w:t>本安全现状评价报告的格式和内容，按照《安全评价通则》</w:t>
      </w:r>
      <w:r>
        <w:rPr>
          <w:rFonts w:ascii="宋体" w:hAnsi="宋体" w:eastAsia="宋体" w:cs="宋体"/>
          <w:sz w:val="28"/>
          <w:szCs w:val="28"/>
          <w:lang w:eastAsia="zh-CN"/>
        </w:rPr>
        <w:t xml:space="preserve">  （</w:t>
      </w:r>
      <w:r>
        <w:rPr>
          <w:rFonts w:ascii="Times New Roman" w:hAnsi="Times New Roman" w:eastAsia="Times New Roman" w:cs="Times New Roman"/>
          <w:sz w:val="28"/>
          <w:szCs w:val="28"/>
          <w:lang w:eastAsia="zh-CN"/>
        </w:rPr>
        <w:t>AQ</w:t>
      </w:r>
      <w:r>
        <w:rPr>
          <w:rFonts w:ascii="Times New Roman" w:hAnsi="Times New Roman" w:eastAsia="Times New Roman" w:cs="Times New Roman"/>
          <w:spacing w:val="34"/>
          <w:w w:val="101"/>
          <w:sz w:val="28"/>
          <w:szCs w:val="28"/>
          <w:lang w:eastAsia="zh-CN"/>
        </w:rPr>
        <w:t xml:space="preserve"> </w:t>
      </w:r>
      <w:r>
        <w:rPr>
          <w:rFonts w:ascii="Times New Roman" w:hAnsi="Times New Roman" w:eastAsia="Times New Roman" w:cs="Times New Roman"/>
          <w:sz w:val="28"/>
          <w:szCs w:val="28"/>
          <w:lang w:eastAsia="zh-CN"/>
        </w:rPr>
        <w:t>8001-2007</w:t>
      </w:r>
      <w:r>
        <w:rPr>
          <w:rFonts w:ascii="宋体" w:hAnsi="宋体" w:eastAsia="宋体" w:cs="宋体"/>
          <w:sz w:val="28"/>
          <w:szCs w:val="28"/>
          <w:lang w:eastAsia="zh-CN"/>
        </w:rPr>
        <w:t>）、《尾矿库安全规程》（</w:t>
      </w:r>
      <w:r>
        <w:rPr>
          <w:rFonts w:ascii="Times New Roman" w:hAnsi="Times New Roman" w:eastAsia="Times New Roman" w:cs="Times New Roman"/>
          <w:sz w:val="28"/>
          <w:szCs w:val="28"/>
          <w:lang w:eastAsia="zh-CN"/>
        </w:rPr>
        <w:t>GB 39496-2020</w:t>
      </w:r>
      <w:r>
        <w:rPr>
          <w:rFonts w:ascii="宋体" w:hAnsi="宋体" w:eastAsia="宋体" w:cs="宋体"/>
          <w:sz w:val="28"/>
          <w:szCs w:val="28"/>
          <w:lang w:eastAsia="zh-CN"/>
        </w:rPr>
        <w:t>）、《国  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关于加强非煤矿山安全生产工作的指导</w:t>
      </w:r>
      <w:r>
        <w:rPr>
          <w:rFonts w:ascii="宋体" w:hAnsi="宋体" w:eastAsia="宋体" w:cs="宋体"/>
          <w:spacing w:val="8"/>
          <w:sz w:val="28"/>
          <w:szCs w:val="28"/>
          <w:lang w:eastAsia="zh-CN"/>
        </w:rPr>
        <w:t xml:space="preserve">  </w:t>
      </w:r>
      <w:r>
        <w:rPr>
          <w:rFonts w:ascii="宋体" w:hAnsi="宋体" w:eastAsia="宋体" w:cs="宋体"/>
          <w:spacing w:val="4"/>
          <w:sz w:val="28"/>
          <w:szCs w:val="28"/>
          <w:lang w:eastAsia="zh-CN"/>
        </w:rPr>
        <w:t>意见</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9"/>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[2022]4</w:t>
      </w:r>
      <w:r>
        <w:rPr>
          <w:rFonts w:ascii="宋体" w:hAnsi="宋体" w:eastAsia="宋体" w:cs="宋体"/>
          <w:spacing w:val="4"/>
          <w:sz w:val="28"/>
          <w:szCs w:val="28"/>
          <w:lang w:eastAsia="zh-CN"/>
        </w:rPr>
        <w:t>号）、《国家矿山安全监察局关于印</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发</w:t>
      </w:r>
      <w:r>
        <w:rPr>
          <w:rFonts w:ascii="Times New Roman" w:hAnsi="Times New Roman" w:eastAsia="Times New Roman" w:cs="Times New Roman"/>
          <w:spacing w:val="3"/>
          <w:sz w:val="28"/>
          <w:szCs w:val="28"/>
          <w:lang w:eastAsia="zh-CN"/>
        </w:rPr>
        <w:t>&lt;</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22"/>
          <w:sz w:val="28"/>
          <w:szCs w:val="28"/>
          <w:lang w:eastAsia="zh-CN"/>
        </w:rPr>
        <w:t xml:space="preserve"> </w:t>
      </w:r>
      <w:r>
        <w:rPr>
          <w:rFonts w:ascii="宋体" w:hAnsi="宋体" w:eastAsia="宋体" w:cs="宋体"/>
          <w:spacing w:val="3"/>
          <w:sz w:val="28"/>
          <w:szCs w:val="28"/>
          <w:lang w:eastAsia="zh-CN"/>
        </w:rPr>
        <w:t>的通知》（矿</w:t>
      </w:r>
      <w:r>
        <w:rPr>
          <w:rFonts w:ascii="宋体" w:hAnsi="宋体" w:eastAsia="宋体" w:cs="宋体"/>
          <w:sz w:val="28"/>
          <w:szCs w:val="28"/>
          <w:lang w:eastAsia="zh-CN"/>
        </w:rPr>
        <w:t xml:space="preserve">  </w:t>
      </w:r>
      <w:r>
        <w:rPr>
          <w:rFonts w:ascii="宋体" w:hAnsi="宋体" w:eastAsia="宋体" w:cs="宋体"/>
          <w:spacing w:val="8"/>
          <w:sz w:val="28"/>
          <w:szCs w:val="28"/>
          <w:lang w:eastAsia="zh-CN"/>
        </w:rPr>
        <w:t>安</w:t>
      </w:r>
      <w:r>
        <w:rPr>
          <w:rFonts w:ascii="Times New Roman" w:hAnsi="Times New Roman" w:eastAsia="Times New Roman" w:cs="Times New Roman"/>
          <w:spacing w:val="8"/>
          <w:sz w:val="28"/>
          <w:szCs w:val="28"/>
          <w:lang w:eastAsia="zh-CN"/>
        </w:rPr>
        <w:t>[2024]41</w:t>
      </w:r>
      <w:r>
        <w:rPr>
          <w:rFonts w:ascii="宋体" w:hAnsi="宋体" w:eastAsia="宋体" w:cs="宋体"/>
          <w:spacing w:val="8"/>
          <w:sz w:val="28"/>
          <w:szCs w:val="28"/>
          <w:lang w:eastAsia="zh-CN"/>
        </w:rPr>
        <w:t>号）、《辽宁省安全生产监督管理局关于进一步规范非</w:t>
      </w:r>
      <w:r>
        <w:rPr>
          <w:rFonts w:ascii="宋体" w:hAnsi="宋体" w:eastAsia="宋体" w:cs="宋体"/>
          <w:spacing w:val="2"/>
          <w:sz w:val="28"/>
          <w:szCs w:val="28"/>
          <w:lang w:eastAsia="zh-CN"/>
        </w:rPr>
        <w:t xml:space="preserve">  </w:t>
      </w:r>
      <w:r>
        <w:rPr>
          <w:rFonts w:ascii="宋体" w:hAnsi="宋体" w:eastAsia="宋体" w:cs="宋体"/>
          <w:spacing w:val="35"/>
          <w:sz w:val="28"/>
          <w:szCs w:val="28"/>
          <w:lang w:eastAsia="zh-CN"/>
        </w:rPr>
        <w:t>煤矿矿山安全生产行政许可管理工作的通知</w:t>
      </w:r>
      <w:r>
        <w:rPr>
          <w:rFonts w:ascii="宋体" w:hAnsi="宋体" w:eastAsia="宋体" w:cs="宋体"/>
          <w:spacing w:val="-73"/>
          <w:sz w:val="28"/>
          <w:szCs w:val="28"/>
          <w:lang w:eastAsia="zh-CN"/>
        </w:rPr>
        <w:t xml:space="preserve"> </w:t>
      </w:r>
      <w:r>
        <w:rPr>
          <w:rFonts w:ascii="宋体" w:hAnsi="宋体" w:eastAsia="宋体" w:cs="宋体"/>
          <w:spacing w:val="35"/>
          <w:sz w:val="28"/>
          <w:szCs w:val="28"/>
          <w:lang w:eastAsia="zh-CN"/>
        </w:rPr>
        <w:t>》</w:t>
      </w:r>
      <w:r>
        <w:rPr>
          <w:rFonts w:ascii="宋体" w:hAnsi="宋体" w:eastAsia="宋体" w:cs="宋体"/>
          <w:spacing w:val="-101"/>
          <w:sz w:val="28"/>
          <w:szCs w:val="28"/>
          <w:lang w:eastAsia="zh-CN"/>
        </w:rPr>
        <w:t xml:space="preserve"> </w:t>
      </w:r>
      <w:r>
        <w:rPr>
          <w:rFonts w:ascii="宋体" w:hAnsi="宋体" w:eastAsia="宋体" w:cs="宋体"/>
          <w:spacing w:val="35"/>
          <w:sz w:val="28"/>
          <w:szCs w:val="28"/>
          <w:lang w:eastAsia="zh-CN"/>
        </w:rPr>
        <w:t>（辽安监</w:t>
      </w:r>
      <w:r>
        <w:rPr>
          <w:rFonts w:ascii="宋体" w:hAnsi="宋体" w:eastAsia="宋体" w:cs="宋体"/>
          <w:spacing w:val="34"/>
          <w:sz w:val="28"/>
          <w:szCs w:val="28"/>
          <w:lang w:eastAsia="zh-CN"/>
        </w:rPr>
        <w:t>非煤</w:t>
      </w:r>
      <w:r>
        <w:rPr>
          <w:rFonts w:ascii="宋体" w:hAnsi="宋体" w:eastAsia="宋体" w:cs="宋体"/>
          <w:sz w:val="28"/>
          <w:szCs w:val="28"/>
          <w:lang w:eastAsia="zh-CN"/>
        </w:rPr>
        <w:t xml:space="preserve">  </w:t>
      </w:r>
      <w:r>
        <w:rPr>
          <w:rFonts w:ascii="Times New Roman" w:hAnsi="Times New Roman" w:eastAsia="Times New Roman" w:cs="Times New Roman"/>
          <w:spacing w:val="1"/>
          <w:sz w:val="28"/>
          <w:szCs w:val="28"/>
          <w:lang w:eastAsia="zh-CN"/>
        </w:rPr>
        <w:t xml:space="preserve">[2018]29 </w:t>
      </w:r>
      <w:r>
        <w:rPr>
          <w:rFonts w:ascii="宋体" w:hAnsi="宋体" w:eastAsia="宋体" w:cs="宋体"/>
          <w:spacing w:val="1"/>
          <w:sz w:val="28"/>
          <w:szCs w:val="28"/>
          <w:lang w:eastAsia="zh-CN"/>
        </w:rPr>
        <w:t>号）及《国家矿山安全监察局关于</w:t>
      </w:r>
      <w:r>
        <w:rPr>
          <w:rFonts w:ascii="Times New Roman" w:hAnsi="Times New Roman" w:eastAsia="Times New Roman" w:cs="Times New Roman"/>
          <w:spacing w:val="1"/>
          <w:sz w:val="28"/>
          <w:szCs w:val="28"/>
          <w:lang w:eastAsia="zh-CN"/>
        </w:rPr>
        <w:t>&lt;</w:t>
      </w:r>
      <w:r>
        <w:rPr>
          <w:rFonts w:ascii="宋体" w:hAnsi="宋体" w:eastAsia="宋体" w:cs="宋体"/>
          <w:spacing w:val="1"/>
          <w:sz w:val="28"/>
          <w:szCs w:val="28"/>
          <w:lang w:eastAsia="zh-CN"/>
        </w:rPr>
        <w:t>进一步加强非煤矿山安</w:t>
      </w:r>
      <w:r>
        <w:rPr>
          <w:rFonts w:ascii="宋体" w:hAnsi="宋体" w:eastAsia="宋体" w:cs="宋体"/>
          <w:spacing w:val="2"/>
          <w:sz w:val="28"/>
          <w:szCs w:val="28"/>
          <w:lang w:eastAsia="zh-CN"/>
        </w:rPr>
        <w:t xml:space="preserve">  </w:t>
      </w:r>
      <w:r>
        <w:rPr>
          <w:rFonts w:ascii="宋体" w:hAnsi="宋体" w:eastAsia="宋体" w:cs="宋体"/>
          <w:spacing w:val="-3"/>
          <w:sz w:val="28"/>
          <w:szCs w:val="28"/>
          <w:lang w:eastAsia="zh-CN"/>
        </w:rPr>
        <w:t>全生产行政许可工作</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0"/>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 xml:space="preserve">[2024]70 </w:t>
      </w:r>
      <w:r>
        <w:rPr>
          <w:rFonts w:ascii="宋体" w:hAnsi="宋体" w:eastAsia="宋体" w:cs="宋体"/>
          <w:spacing w:val="-3"/>
          <w:sz w:val="28"/>
          <w:szCs w:val="28"/>
          <w:lang w:eastAsia="zh-CN"/>
        </w:rPr>
        <w:t>号）等相关要求确定。</w:t>
      </w:r>
    </w:p>
    <w:p w14:paraId="6542DA1D">
      <w:pPr>
        <w:spacing w:line="360" w:lineRule="auto"/>
        <w:ind w:firstLine="552" w:firstLineChars="200"/>
        <w:rPr>
          <w:rFonts w:hint="eastAsia" w:ascii="宋体" w:hAnsi="宋体" w:eastAsia="宋体" w:cs="宋体"/>
          <w:sz w:val="28"/>
          <w:szCs w:val="28"/>
          <w:lang w:eastAsia="zh-CN"/>
        </w:rPr>
        <w:sectPr>
          <w:pgSz w:w="11906" w:h="16839"/>
          <w:pgMar w:top="1431" w:right="1627" w:bottom="1429" w:left="1785" w:header="0" w:footer="0" w:gutter="0"/>
          <w:cols w:space="720" w:num="1"/>
        </w:sectPr>
      </w:pPr>
      <w:r>
        <w:rPr>
          <w:rFonts w:ascii="宋体" w:hAnsi="宋体" w:eastAsia="宋体" w:cs="宋体"/>
          <w:spacing w:val="-2"/>
          <w:sz w:val="28"/>
          <w:szCs w:val="28"/>
          <w:lang w:eastAsia="zh-CN"/>
        </w:rPr>
        <w:t>在此，对评价过程中给予我公司评价组帮助和配合的各位领导、</w:t>
      </w:r>
      <w:r>
        <w:rPr>
          <w:rFonts w:ascii="宋体" w:hAnsi="宋体" w:eastAsia="宋体" w:cs="宋体"/>
          <w:spacing w:val="4"/>
          <w:sz w:val="28"/>
          <w:szCs w:val="28"/>
          <w:lang w:eastAsia="zh-CN"/>
        </w:rPr>
        <w:t xml:space="preserve"> </w:t>
      </w:r>
      <w:r>
        <w:rPr>
          <w:rFonts w:ascii="宋体" w:hAnsi="宋体" w:eastAsia="宋体" w:cs="宋体"/>
          <w:spacing w:val="-1"/>
          <w:sz w:val="28"/>
          <w:szCs w:val="28"/>
          <w:lang w:eastAsia="zh-CN"/>
        </w:rPr>
        <w:t>工程师、现场工作人员表示由衷的感谢！</w:t>
      </w:r>
    </w:p>
    <w:p w14:paraId="50B6748F">
      <w:pPr>
        <w:spacing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目录</w:t>
      </w:r>
    </w:p>
    <w:p w14:paraId="02A26C9E">
      <w:pPr>
        <w:pStyle w:val="15"/>
        <w:tabs>
          <w:tab w:val="right" w:leader="dot" w:pos="8504"/>
        </w:tabs>
        <w:spacing w:line="360" w:lineRule="auto"/>
        <w:rPr>
          <w:rFonts w:ascii="Times New Roman" w:hAnsi="Times New Roman" w:eastAsia="宋体" w:cs="Times New Roman"/>
          <w:b/>
          <w:bCs/>
          <w:sz w:val="28"/>
          <w:szCs w:val="28"/>
        </w:rPr>
      </w:pP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TOC \o "1-3" \h \u </w:instrText>
      </w:r>
      <w:r>
        <w:rPr>
          <w:rFonts w:ascii="Times New Roman" w:hAnsi="Times New Roman" w:eastAsia="宋体" w:cs="Times New Roman"/>
          <w:b/>
          <w:bCs/>
          <w:sz w:val="28"/>
          <w:szCs w:val="28"/>
        </w:rPr>
        <w:fldChar w:fldCharType="separate"/>
      </w:r>
      <w:r>
        <w:fldChar w:fldCharType="begin"/>
      </w:r>
      <w:r>
        <w:instrText xml:space="preserve"> HYPERLINK \l "_Toc29380" </w:instrText>
      </w:r>
      <w:r>
        <w:fldChar w:fldCharType="separate"/>
      </w:r>
      <w:r>
        <w:rPr>
          <w:rFonts w:ascii="Times New Roman" w:hAnsi="Times New Roman" w:eastAsia="宋体" w:cs="Times New Roman"/>
          <w:b/>
          <w:bCs/>
          <w:spacing w:val="6"/>
          <w:sz w:val="28"/>
          <w:szCs w:val="28"/>
        </w:rPr>
        <w:t>1 安全评价的目的、范围、依据与工作程序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_Toc29380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C2D94A2">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"_Toc9464" </w:instrText>
      </w:r>
      <w:r>
        <w:fldChar w:fldCharType="separate"/>
      </w:r>
      <w:r>
        <w:rPr>
          <w:rFonts w:ascii="Times New Roman" w:hAnsi="Times New Roman" w:eastAsia="宋体" w:cs="Times New Roman"/>
          <w:b/>
          <w:bCs/>
          <w:spacing w:val="-5"/>
          <w:sz w:val="28"/>
          <w:szCs w:val="28"/>
        </w:rPr>
        <w:t>1.1 安全现状评价目的</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_Toc9464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BABDD46">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"_Toc13047" </w:instrText>
      </w:r>
      <w:r>
        <w:fldChar w:fldCharType="separate"/>
      </w:r>
      <w:r>
        <w:rPr>
          <w:rFonts w:ascii="Times New Roman" w:hAnsi="Times New Roman" w:eastAsia="宋体" w:cs="Times New Roman"/>
          <w:b/>
          <w:bCs/>
          <w:spacing w:val="-5"/>
          <w:sz w:val="28"/>
          <w:szCs w:val="28"/>
        </w:rPr>
        <w:t>1.2 安全评价的范围</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_Toc13047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B54AFC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"_Toc6869" </w:instrText>
      </w:r>
      <w:r>
        <w:fldChar w:fldCharType="separate"/>
      </w:r>
      <w:r>
        <w:rPr>
          <w:rFonts w:ascii="Times New Roman" w:hAnsi="Times New Roman" w:eastAsia="宋体" w:cs="Times New Roman"/>
          <w:b/>
          <w:bCs/>
          <w:spacing w:val="-5"/>
          <w:sz w:val="28"/>
          <w:szCs w:val="28"/>
        </w:rPr>
        <w:t>1.3 安全现状评价依据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_Toc6869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E84E1E">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"_Toc15164" </w:instrText>
      </w:r>
      <w:r>
        <w:fldChar w:fldCharType="separate"/>
      </w:r>
      <w:r>
        <w:rPr>
          <w:rFonts w:ascii="Times New Roman" w:hAnsi="Times New Roman" w:eastAsia="宋体" w:cs="Times New Roman"/>
          <w:b/>
          <w:bCs/>
          <w:spacing w:val="-6"/>
          <w:sz w:val="28"/>
          <w:szCs w:val="28"/>
        </w:rPr>
        <w:t>1.4</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6"/>
          <w:sz w:val="28"/>
          <w:szCs w:val="28"/>
        </w:rPr>
        <w:t>安全评价的工作程序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_Toc15164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D09B32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"_Toc27733" </w:instrText>
      </w:r>
      <w:r>
        <w:fldChar w:fldCharType="separate"/>
      </w:r>
      <w:r>
        <w:rPr>
          <w:rFonts w:ascii="Times New Roman" w:hAnsi="Times New Roman" w:eastAsia="宋体" w:cs="Times New Roman"/>
          <w:b/>
          <w:bCs/>
          <w:spacing w:val="3"/>
          <w:sz w:val="28"/>
          <w:szCs w:val="28"/>
        </w:rPr>
        <w:t>2 项目概况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_Toc27733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82AF2B3">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"_Toc31501" </w:instrText>
      </w:r>
      <w:r>
        <w:fldChar w:fldCharType="separate"/>
      </w:r>
      <w:r>
        <w:rPr>
          <w:rFonts w:ascii="Times New Roman" w:hAnsi="Times New Roman" w:eastAsia="宋体" w:cs="Times New Roman"/>
          <w:b/>
          <w:bCs/>
          <w:spacing w:val="-4"/>
          <w:sz w:val="28"/>
          <w:szCs w:val="28"/>
        </w:rPr>
        <w:t>2.1 企业概况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2ADAFE5">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"_Toc22193" </w:instrText>
      </w:r>
      <w:r>
        <w:fldChar w:fldCharType="separate"/>
      </w:r>
      <w:r>
        <w:rPr>
          <w:rFonts w:ascii="Times New Roman" w:hAnsi="Times New Roman" w:eastAsia="宋体" w:cs="Times New Roman"/>
          <w:b/>
          <w:bCs/>
          <w:spacing w:val="-8"/>
          <w:sz w:val="28"/>
          <w:szCs w:val="28"/>
        </w:rPr>
        <w:t>2.2</w:t>
      </w:r>
      <w:r>
        <w:rPr>
          <w:rFonts w:ascii="Times New Roman" w:hAnsi="Times New Roman" w:eastAsia="宋体" w:cs="Times New Roman"/>
          <w:b/>
          <w:bCs/>
          <w:spacing w:val="38"/>
          <w:w w:val="101"/>
          <w:sz w:val="28"/>
          <w:szCs w:val="28"/>
        </w:rPr>
        <w:t xml:space="preserve"> </w:t>
      </w:r>
      <w:r>
        <w:rPr>
          <w:rFonts w:ascii="Times New Roman" w:hAnsi="Times New Roman" w:eastAsia="宋体" w:cs="Times New Roman"/>
          <w:b/>
          <w:bCs/>
          <w:spacing w:val="-8"/>
          <w:sz w:val="28"/>
          <w:szCs w:val="28"/>
        </w:rPr>
        <w:t>自然环境概况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_Toc22193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C41A932">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"_Toc21950" </w:instrText>
      </w:r>
      <w:r>
        <w:fldChar w:fldCharType="separate"/>
      </w:r>
      <w:r>
        <w:rPr>
          <w:rFonts w:ascii="Times New Roman" w:hAnsi="Times New Roman" w:eastAsia="宋体" w:cs="Times New Roman"/>
          <w:b/>
          <w:bCs/>
          <w:spacing w:val="-4"/>
          <w:sz w:val="28"/>
          <w:szCs w:val="28"/>
        </w:rPr>
        <w:t>2.3 地质概况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_Toc21950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E04EE87">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"_Toc11560" </w:instrText>
      </w:r>
      <w:r>
        <w:fldChar w:fldCharType="separate"/>
      </w:r>
      <w:r>
        <w:rPr>
          <w:rFonts w:ascii="Times New Roman" w:hAnsi="Times New Roman" w:eastAsia="宋体" w:cs="Times New Roman"/>
          <w:b/>
          <w:bCs/>
          <w:spacing w:val="-4"/>
          <w:sz w:val="28"/>
          <w:szCs w:val="28"/>
        </w:rPr>
        <w:t>2.4 尾矿库设计概况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_Toc11560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E3FAB8E">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"_Toc13734" </w:instrText>
      </w:r>
      <w:r>
        <w:fldChar w:fldCharType="separate"/>
      </w:r>
      <w:r>
        <w:rPr>
          <w:rFonts w:ascii="Times New Roman" w:hAnsi="Times New Roman" w:eastAsia="宋体" w:cs="Times New Roman"/>
          <w:b/>
          <w:bCs/>
          <w:spacing w:val="-4"/>
          <w:sz w:val="28"/>
          <w:szCs w:val="28"/>
        </w:rPr>
        <w:t>2.5 尾矿库现状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_Toc13734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BA51977">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"_Toc2908" </w:instrText>
      </w:r>
      <w:r>
        <w:fldChar w:fldCharType="separate"/>
      </w:r>
      <w:r>
        <w:rPr>
          <w:rFonts w:ascii="Times New Roman" w:hAnsi="Times New Roman" w:eastAsia="宋体" w:cs="Times New Roman"/>
          <w:b/>
          <w:bCs/>
          <w:spacing w:val="6"/>
          <w:sz w:val="28"/>
          <w:szCs w:val="28"/>
        </w:rPr>
        <w:t>3 主要危险、有害因素辨识及分析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7CEAA85">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"_Toc32518" </w:instrText>
      </w:r>
      <w:r>
        <w:fldChar w:fldCharType="separate"/>
      </w:r>
      <w:r>
        <w:rPr>
          <w:rFonts w:ascii="Times New Roman" w:hAnsi="Times New Roman" w:eastAsia="宋体" w:cs="Times New Roman"/>
          <w:b/>
          <w:bCs/>
          <w:spacing w:val="-3"/>
          <w:sz w:val="28"/>
          <w:szCs w:val="28"/>
        </w:rPr>
        <w:t>3.1 主要危险因素辨识及分析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_Toc32518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E708450">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"_Toc7313" </w:instrText>
      </w:r>
      <w:r>
        <w:fldChar w:fldCharType="separate"/>
      </w:r>
      <w:r>
        <w:rPr>
          <w:rFonts w:ascii="Times New Roman" w:hAnsi="Times New Roman" w:eastAsia="宋体" w:cs="Times New Roman"/>
          <w:b/>
          <w:bCs/>
          <w:spacing w:val="-3"/>
          <w:sz w:val="28"/>
          <w:szCs w:val="28"/>
        </w:rPr>
        <w:t>3.2 主要有害因素辨识及分析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_Toc7313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D90BC4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"_Toc24454" </w:instrText>
      </w:r>
      <w:r>
        <w:fldChar w:fldCharType="separate"/>
      </w:r>
      <w:r>
        <w:rPr>
          <w:rFonts w:ascii="Times New Roman" w:hAnsi="Times New Roman" w:eastAsia="宋体" w:cs="Times New Roman"/>
          <w:b/>
          <w:bCs/>
          <w:spacing w:val="5"/>
          <w:sz w:val="28"/>
          <w:szCs w:val="28"/>
        </w:rPr>
        <w:t>4 评价单元划分与评价方法选择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_Toc24454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4944ACF">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"_Toc14204" </w:instrText>
      </w:r>
      <w:r>
        <w:fldChar w:fldCharType="separate"/>
      </w:r>
      <w:r>
        <w:rPr>
          <w:rFonts w:ascii="Times New Roman" w:hAnsi="Times New Roman" w:eastAsia="宋体" w:cs="Times New Roman"/>
          <w:b/>
          <w:bCs/>
          <w:spacing w:val="-4"/>
          <w:sz w:val="28"/>
          <w:szCs w:val="28"/>
        </w:rPr>
        <w:t>4.1 评价单元划分</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_Toc14204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806BE90">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"_Toc22461" </w:instrText>
      </w:r>
      <w:r>
        <w:fldChar w:fldCharType="separate"/>
      </w:r>
      <w:r>
        <w:rPr>
          <w:rFonts w:ascii="Times New Roman" w:hAnsi="Times New Roman" w:eastAsia="宋体" w:cs="Times New Roman"/>
          <w:b/>
          <w:bCs/>
          <w:spacing w:val="-4"/>
          <w:sz w:val="28"/>
          <w:szCs w:val="28"/>
        </w:rPr>
        <w:t>4.2 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_Toc22461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5C99292">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"_Toc9084" </w:instrText>
      </w:r>
      <w:r>
        <w:fldChar w:fldCharType="separate"/>
      </w:r>
      <w:r>
        <w:rPr>
          <w:rFonts w:ascii="Times New Roman" w:hAnsi="Times New Roman" w:eastAsia="宋体" w:cs="Times New Roman"/>
          <w:b/>
          <w:bCs/>
          <w:spacing w:val="-3"/>
          <w:sz w:val="28"/>
          <w:szCs w:val="28"/>
        </w:rPr>
        <w:t>4.3 各评价单元采用的评价方法</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_Toc9084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108D956">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"_Toc15386" </w:instrText>
      </w:r>
      <w:r>
        <w:fldChar w:fldCharType="separate"/>
      </w:r>
      <w:r>
        <w:rPr>
          <w:rFonts w:ascii="Times New Roman" w:hAnsi="Times New Roman" w:eastAsia="宋体" w:cs="Times New Roman"/>
          <w:b/>
          <w:bCs/>
          <w:spacing w:val="3"/>
          <w:sz w:val="28"/>
          <w:szCs w:val="28"/>
        </w:rPr>
        <w:t>5 定性定量评价</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_Toc15386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B867A1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"_Toc18895" </w:instrText>
      </w:r>
      <w:r>
        <w:fldChar w:fldCharType="separate"/>
      </w:r>
      <w:r>
        <w:rPr>
          <w:rFonts w:ascii="Times New Roman" w:hAnsi="Times New Roman" w:eastAsia="宋体" w:cs="Times New Roman"/>
          <w:b/>
          <w:bCs/>
          <w:spacing w:val="-4"/>
          <w:sz w:val="28"/>
          <w:szCs w:val="28"/>
        </w:rPr>
        <w:t>5.1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_Toc18895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1072AB1">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"_Toc21997" </w:instrText>
      </w:r>
      <w:r>
        <w:fldChar w:fldCharType="separate"/>
      </w:r>
      <w:r>
        <w:rPr>
          <w:rFonts w:ascii="Times New Roman" w:hAnsi="Times New Roman" w:eastAsia="宋体" w:cs="Times New Roman"/>
          <w:b/>
          <w:bCs/>
          <w:spacing w:val="-4"/>
          <w:sz w:val="28"/>
          <w:szCs w:val="28"/>
        </w:rPr>
        <w:t>5.2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_Toc21997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AFD6ED1">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"_Toc14523" </w:instrText>
      </w:r>
      <w:r>
        <w:fldChar w:fldCharType="separate"/>
      </w:r>
      <w:r>
        <w:rPr>
          <w:rFonts w:ascii="Times New Roman" w:hAnsi="Times New Roman" w:eastAsia="宋体" w:cs="Times New Roman"/>
          <w:b/>
          <w:bCs/>
          <w:spacing w:val="-4"/>
          <w:sz w:val="28"/>
          <w:szCs w:val="28"/>
        </w:rPr>
        <w:t>5.3 防排洪系统单元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_Toc14523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7910957">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"_Toc23590" </w:instrText>
      </w:r>
      <w:r>
        <w:fldChar w:fldCharType="separate"/>
      </w:r>
      <w:r>
        <w:rPr>
          <w:rFonts w:ascii="Times New Roman" w:hAnsi="Times New Roman" w:eastAsia="宋体" w:cs="Times New Roman"/>
          <w:b/>
          <w:bCs/>
          <w:spacing w:val="-4"/>
          <w:sz w:val="28"/>
          <w:szCs w:val="28"/>
        </w:rPr>
        <w:t>5.4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_Toc23590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2202389">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"_Toc11489" </w:instrText>
      </w:r>
      <w:r>
        <w:fldChar w:fldCharType="separate"/>
      </w:r>
      <w:r>
        <w:rPr>
          <w:rFonts w:ascii="Times New Roman" w:hAnsi="Times New Roman" w:eastAsia="宋体" w:cs="Times New Roman"/>
          <w:b/>
          <w:bCs/>
          <w:spacing w:val="-4"/>
          <w:sz w:val="28"/>
          <w:szCs w:val="28"/>
        </w:rPr>
        <w:t>5.5 辅助设施单元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_Toc11489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6002785">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"_Toc2505" </w:instrText>
      </w:r>
      <w:r>
        <w:fldChar w:fldCharType="separate"/>
      </w:r>
      <w:r>
        <w:rPr>
          <w:rFonts w:ascii="Times New Roman" w:hAnsi="Times New Roman" w:eastAsia="宋体" w:cs="Times New Roman"/>
          <w:b/>
          <w:bCs/>
          <w:spacing w:val="-4"/>
          <w:sz w:val="28"/>
          <w:szCs w:val="28"/>
        </w:rPr>
        <w:t>5.6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_Toc2505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EF8F09C">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"_Toc4851" </w:instrText>
      </w:r>
      <w:r>
        <w:fldChar w:fldCharType="separate"/>
      </w:r>
      <w:r>
        <w:rPr>
          <w:rFonts w:ascii="Times New Roman" w:hAnsi="Times New Roman" w:eastAsia="宋体" w:cs="Times New Roman"/>
          <w:b/>
          <w:bCs/>
          <w:spacing w:val="-4"/>
          <w:sz w:val="28"/>
          <w:szCs w:val="28"/>
        </w:rPr>
        <w:t>5.7 重大事故隐患判定单元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_Toc4851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F335B99">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"_Toc19135" </w:instrText>
      </w:r>
      <w:r>
        <w:fldChar w:fldCharType="separate"/>
      </w:r>
      <w:r>
        <w:rPr>
          <w:rFonts w:ascii="Times New Roman" w:hAnsi="Times New Roman" w:eastAsia="宋体" w:cs="Times New Roman"/>
          <w:b/>
          <w:bCs/>
          <w:spacing w:val="-3"/>
          <w:sz w:val="28"/>
          <w:szCs w:val="28"/>
        </w:rPr>
        <w:t>5.8“延期换证审核”单元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_Toc19135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04DEF00">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"_Toc22421" </w:instrText>
      </w:r>
      <w:r>
        <w:fldChar w:fldCharType="separate"/>
      </w:r>
      <w:r>
        <w:rPr>
          <w:rFonts w:ascii="Times New Roman" w:hAnsi="Times New Roman" w:eastAsia="宋体" w:cs="Times New Roman"/>
          <w:b/>
          <w:bCs/>
          <w:spacing w:val="5"/>
          <w:sz w:val="28"/>
          <w:szCs w:val="28"/>
        </w:rPr>
        <w:t>6 建议补充的安全对策措施</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_Toc22421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8D6948F">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"_Toc16501" </w:instrText>
      </w:r>
      <w:r>
        <w:fldChar w:fldCharType="separate"/>
      </w:r>
      <w:r>
        <w:rPr>
          <w:rFonts w:ascii="Times New Roman" w:hAnsi="Times New Roman" w:eastAsia="宋体" w:cs="Times New Roman"/>
          <w:b/>
          <w:bCs/>
          <w:spacing w:val="-4"/>
          <w:sz w:val="28"/>
          <w:szCs w:val="28"/>
        </w:rPr>
        <w:t>6.1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B0E2FAF">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"_Toc11756" </w:instrText>
      </w:r>
      <w:r>
        <w:fldChar w:fldCharType="separate"/>
      </w:r>
      <w:r>
        <w:rPr>
          <w:rFonts w:ascii="Times New Roman" w:hAnsi="Times New Roman" w:eastAsia="宋体" w:cs="Times New Roman"/>
          <w:b/>
          <w:bCs/>
          <w:spacing w:val="-4"/>
          <w:sz w:val="28"/>
          <w:szCs w:val="28"/>
        </w:rPr>
        <w:t>6.2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_Toc11756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47F81C">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"_Toc16376" </w:instrText>
      </w:r>
      <w:r>
        <w:fldChar w:fldCharType="separate"/>
      </w:r>
      <w:r>
        <w:rPr>
          <w:rFonts w:ascii="Times New Roman" w:hAnsi="Times New Roman" w:eastAsia="宋体" w:cs="Times New Roman"/>
          <w:b/>
          <w:bCs/>
          <w:spacing w:val="-4"/>
          <w:sz w:val="28"/>
          <w:szCs w:val="28"/>
        </w:rPr>
        <w:t>6.3 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_Toc16376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606121A">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"_Toc17008" </w:instrText>
      </w:r>
      <w:r>
        <w:fldChar w:fldCharType="separate"/>
      </w:r>
      <w:r>
        <w:rPr>
          <w:rFonts w:ascii="Times New Roman" w:hAnsi="Times New Roman" w:eastAsia="宋体" w:cs="Times New Roman"/>
          <w:b/>
          <w:bCs/>
          <w:spacing w:val="-4"/>
          <w:sz w:val="28"/>
          <w:szCs w:val="28"/>
        </w:rPr>
        <w:t>6.4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_Toc17008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1F157AB">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"_Toc31074" </w:instrText>
      </w:r>
      <w:r>
        <w:fldChar w:fldCharType="separate"/>
      </w:r>
      <w:r>
        <w:rPr>
          <w:rFonts w:ascii="Times New Roman" w:hAnsi="Times New Roman" w:eastAsia="宋体" w:cs="Times New Roman"/>
          <w:b/>
          <w:bCs/>
          <w:spacing w:val="-4"/>
          <w:sz w:val="28"/>
          <w:szCs w:val="28"/>
        </w:rPr>
        <w:t>6.5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_Toc31074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2BD2E71">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"_Toc8426" </w:instrText>
      </w:r>
      <w:r>
        <w:fldChar w:fldCharType="separate"/>
      </w:r>
      <w:r>
        <w:rPr>
          <w:rFonts w:ascii="Times New Roman" w:hAnsi="Times New Roman" w:eastAsia="宋体" w:cs="Times New Roman"/>
          <w:b/>
          <w:bCs/>
          <w:spacing w:val="2"/>
          <w:sz w:val="28"/>
          <w:szCs w:val="28"/>
        </w:rPr>
        <w:t>7 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_Toc8426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EAB4712">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"_Toc28391" </w:instrText>
      </w:r>
      <w:r>
        <w:fldChar w:fldCharType="separate"/>
      </w:r>
      <w:r>
        <w:rPr>
          <w:rFonts w:ascii="Times New Roman" w:hAnsi="Times New Roman" w:eastAsia="宋体" w:cs="Times New Roman"/>
          <w:b/>
          <w:bCs/>
          <w:spacing w:val="-4"/>
          <w:sz w:val="28"/>
          <w:szCs w:val="28"/>
        </w:rPr>
        <w:t>7.1 安全现状综合评述</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_Toc28391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BD242D9">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"_Toc31269" </w:instrText>
      </w:r>
      <w:r>
        <w:fldChar w:fldCharType="separate"/>
      </w:r>
      <w:r>
        <w:rPr>
          <w:rFonts w:ascii="Times New Roman" w:hAnsi="Times New Roman" w:eastAsia="宋体" w:cs="Times New Roman"/>
          <w:b/>
          <w:bCs/>
          <w:spacing w:val="-4"/>
          <w:sz w:val="28"/>
          <w:szCs w:val="28"/>
        </w:rPr>
        <w:t>7.2 各评价单元评价结果</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_Toc31269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C5B7059">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"_Toc28671" </w:instrText>
      </w:r>
      <w:r>
        <w:fldChar w:fldCharType="separate"/>
      </w:r>
      <w:r>
        <w:rPr>
          <w:rFonts w:ascii="Times New Roman" w:hAnsi="Times New Roman" w:eastAsia="宋体" w:cs="Times New Roman"/>
          <w:b/>
          <w:bCs/>
          <w:spacing w:val="-4"/>
          <w:sz w:val="28"/>
          <w:szCs w:val="28"/>
        </w:rPr>
        <w:t>7.3 总体评价结论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_Toc28671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AF1E75D">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"_Toc8740" </w:instrText>
      </w:r>
      <w:r>
        <w:fldChar w:fldCharType="separate"/>
      </w:r>
      <w:r>
        <w:rPr>
          <w:rFonts w:ascii="Times New Roman" w:hAnsi="Times New Roman" w:eastAsia="宋体" w:cs="Times New Roman"/>
          <w:b/>
          <w:bCs/>
          <w:spacing w:val="-8"/>
          <w:sz w:val="28"/>
          <w:szCs w:val="28"/>
        </w:rPr>
        <w:t>8</w:t>
      </w:r>
      <w:r>
        <w:rPr>
          <w:rFonts w:ascii="Times New Roman" w:hAnsi="Times New Roman" w:eastAsia="宋体" w:cs="Times New Roman"/>
          <w:b/>
          <w:bCs/>
          <w:spacing w:val="21"/>
          <w:sz w:val="28"/>
          <w:szCs w:val="28"/>
        </w:rPr>
        <w:t xml:space="preserve"> </w:t>
      </w:r>
      <w:r>
        <w:rPr>
          <w:rFonts w:ascii="Times New Roman" w:hAnsi="Times New Roman" w:eastAsia="宋体" w:cs="Times New Roman"/>
          <w:b/>
          <w:bCs/>
          <w:spacing w:val="-8"/>
          <w:sz w:val="28"/>
          <w:szCs w:val="28"/>
        </w:rPr>
        <w:t>附件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_Toc8740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D45BD3D">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"_Toc329" </w:instrText>
      </w:r>
      <w:r>
        <w:fldChar w:fldCharType="separate"/>
      </w:r>
      <w:r>
        <w:rPr>
          <w:rFonts w:ascii="Times New Roman" w:hAnsi="Times New Roman" w:eastAsia="宋体" w:cs="Times New Roman"/>
          <w:b/>
          <w:bCs/>
          <w:spacing w:val="-10"/>
          <w:sz w:val="28"/>
          <w:szCs w:val="28"/>
        </w:rPr>
        <w:t>9</w:t>
      </w:r>
      <w:r>
        <w:rPr>
          <w:rFonts w:ascii="Times New Roman" w:hAnsi="Times New Roman" w:eastAsia="宋体" w:cs="Times New Roman"/>
          <w:b/>
          <w:bCs/>
          <w:spacing w:val="28"/>
          <w:sz w:val="28"/>
          <w:szCs w:val="28"/>
        </w:rPr>
        <w:t xml:space="preserve"> </w:t>
      </w:r>
      <w:r>
        <w:rPr>
          <w:rFonts w:ascii="Times New Roman" w:hAnsi="Times New Roman" w:eastAsia="宋体" w:cs="Times New Roman"/>
          <w:b/>
          <w:bCs/>
          <w:spacing w:val="-10"/>
          <w:sz w:val="28"/>
          <w:szCs w:val="28"/>
        </w:rPr>
        <w:t>附图</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779C113">
      <w:pPr>
        <w:spacing w:line="360" w:lineRule="auto"/>
        <w:rPr>
          <w:rFonts w:ascii="Times New Roman" w:hAnsi="Times New Roman" w:eastAsia="Times New Roman" w:cs="Times New Roman"/>
          <w:szCs w:val="31"/>
        </w:rPr>
      </w:pPr>
      <w:r>
        <w:rPr>
          <w:rFonts w:ascii="Times New Roman" w:hAnsi="Times New Roman" w:eastAsia="宋体" w:cs="Times New Roman"/>
          <w:b/>
          <w:bCs/>
          <w:sz w:val="28"/>
          <w:szCs w:val="28"/>
        </w:rPr>
        <w:fldChar w:fldCharType="end"/>
      </w:r>
    </w:p>
    <w:p w14:paraId="74F0CFAA">
      <w:pPr>
        <w:pStyle w:val="20"/>
        <w:sectPr>
          <w:pgSz w:w="11906" w:h="16839"/>
          <w:pgMar w:top="1431" w:right="1701" w:bottom="1457" w:left="1701" w:header="0" w:footer="0" w:gutter="0"/>
          <w:cols w:space="720" w:num="1"/>
        </w:sectPr>
      </w:pPr>
    </w:p>
    <w:p w14:paraId="555B9DD3">
      <w:pPr>
        <w:keepNext w:val="0"/>
        <w:keepLines w:val="0"/>
        <w:pageBreakBefore w:val="0"/>
        <w:widowControl/>
        <w:wordWrap/>
        <w:overflowPunct/>
        <w:topLinePunct w:val="0"/>
        <w:bidi w:val="0"/>
        <w:adjustRightInd w:val="0"/>
        <w:snapToGrid w:val="0"/>
        <w:spacing w:line="360" w:lineRule="auto"/>
        <w:jc w:val="center"/>
        <w:textAlignment w:val="baseline"/>
        <w:outlineLvl w:val="0"/>
        <w:rPr>
          <w:rFonts w:hint="eastAsia" w:ascii="黑体" w:hAnsi="黑体" w:eastAsia="黑体" w:cs="黑体"/>
          <w:sz w:val="31"/>
          <w:szCs w:val="31"/>
          <w:lang w:eastAsia="zh-CN"/>
        </w:rPr>
      </w:pPr>
      <w:bookmarkStart w:id="0" w:name="bookmark2"/>
      <w:bookmarkEnd w:id="0"/>
      <w:bookmarkStart w:id="1" w:name="_Toc18377"/>
      <w:bookmarkStart w:id="2" w:name="_Toc29380"/>
      <w:r>
        <w:rPr>
          <w:rFonts w:ascii="Times New Roman" w:hAnsi="Times New Roman" w:eastAsia="Times New Roman" w:cs="Times New Roman"/>
          <w:b/>
          <w:bCs/>
          <w:spacing w:val="6"/>
          <w:sz w:val="31"/>
          <w:szCs w:val="31"/>
          <w:lang w:eastAsia="zh-CN"/>
        </w:rPr>
        <w:t xml:space="preserve">1 </w:t>
      </w:r>
      <w:r>
        <w:rPr>
          <w:rFonts w:ascii="黑体" w:hAnsi="黑体" w:eastAsia="黑体" w:cs="黑体"/>
          <w:b/>
          <w:bCs/>
          <w:spacing w:val="6"/>
          <w:sz w:val="31"/>
          <w:szCs w:val="31"/>
          <w:lang w:eastAsia="zh-CN"/>
        </w:rPr>
        <w:t>安全评价的目的、范围、依据与工作程序</w:t>
      </w:r>
      <w:bookmarkEnd w:id="1"/>
      <w:bookmarkEnd w:id="2"/>
    </w:p>
    <w:p w14:paraId="36C2853D">
      <w:pPr>
        <w:keepNext w:val="0"/>
        <w:keepLines w:val="0"/>
        <w:pageBreakBefore w:val="0"/>
        <w:widowControl/>
        <w:wordWrap/>
        <w:overflowPunct/>
        <w:topLinePunct w:val="0"/>
        <w:bidi w:val="0"/>
        <w:adjustRightInd w:val="0"/>
        <w:snapToGrid w:val="0"/>
        <w:spacing w:line="360" w:lineRule="auto"/>
        <w:jc w:val="center"/>
        <w:textAlignment w:val="baseline"/>
        <w:outlineLvl w:val="0"/>
        <w:rPr>
          <w:rFonts w:hint="eastAsia" w:ascii="黑体" w:hAnsi="黑体" w:eastAsia="黑体" w:cs="黑体"/>
          <w:sz w:val="30"/>
          <w:szCs w:val="30"/>
          <w:lang w:eastAsia="zh-CN"/>
        </w:rPr>
      </w:pPr>
      <w:bookmarkStart w:id="3" w:name="bookmark4"/>
      <w:bookmarkEnd w:id="3"/>
      <w:bookmarkStart w:id="4" w:name="_Toc9464"/>
      <w:bookmarkStart w:id="5" w:name="_Toc24099"/>
      <w:r>
        <w:rPr>
          <w:rFonts w:ascii="Times New Roman" w:hAnsi="Times New Roman" w:eastAsia="Times New Roman" w:cs="Times New Roman"/>
          <w:b/>
          <w:bCs/>
          <w:spacing w:val="-5"/>
          <w:sz w:val="30"/>
          <w:szCs w:val="30"/>
          <w:lang w:eastAsia="zh-CN"/>
        </w:rPr>
        <w:t xml:space="preserve">1.1 </w:t>
      </w:r>
      <w:r>
        <w:rPr>
          <w:rFonts w:ascii="黑体" w:hAnsi="黑体" w:eastAsia="黑体" w:cs="黑体"/>
          <w:b/>
          <w:bCs/>
          <w:spacing w:val="-5"/>
          <w:sz w:val="30"/>
          <w:szCs w:val="30"/>
          <w:lang w:eastAsia="zh-CN"/>
        </w:rPr>
        <w:t>安全现状评价目的</w:t>
      </w:r>
      <w:bookmarkEnd w:id="4"/>
      <w:bookmarkEnd w:id="5"/>
    </w:p>
    <w:p w14:paraId="5F7E49FA">
      <w:pPr>
        <w:keepNext w:val="0"/>
        <w:keepLines w:val="0"/>
        <w:pageBreakBefore w:val="0"/>
        <w:widowControl/>
        <w:wordWrap/>
        <w:overflowPunct/>
        <w:topLinePunct w:val="0"/>
        <w:bidi w:val="0"/>
        <w:adjustRightInd w:val="0"/>
        <w:snapToGrid w:val="0"/>
        <w:spacing w:line="360" w:lineRule="auto"/>
        <w:ind w:firstLine="565"/>
        <w:jc w:val="both"/>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 xml:space="preserve">安全评价目的是贯彻“安全第一，预防为主，综合治理”方针，提高  </w:t>
      </w:r>
      <w:r>
        <w:rPr>
          <w:rFonts w:ascii="宋体" w:hAnsi="宋体" w:eastAsia="宋体" w:cs="宋体"/>
          <w:spacing w:val="-2"/>
          <w:sz w:val="28"/>
          <w:szCs w:val="28"/>
          <w:lang w:eastAsia="zh-CN"/>
        </w:rPr>
        <w:t>该尾矿库的安全程度和安全管理水平，减少和控制该尾矿库运行中的危险、</w:t>
      </w:r>
      <w:r>
        <w:rPr>
          <w:rFonts w:ascii="宋体" w:hAnsi="宋体" w:eastAsia="宋体" w:cs="宋体"/>
          <w:spacing w:val="13"/>
          <w:sz w:val="28"/>
          <w:szCs w:val="28"/>
          <w:lang w:eastAsia="zh-CN"/>
        </w:rPr>
        <w:t xml:space="preserve"> </w:t>
      </w:r>
      <w:r>
        <w:rPr>
          <w:rFonts w:ascii="宋体" w:hAnsi="宋体" w:eastAsia="宋体" w:cs="宋体"/>
          <w:spacing w:val="2"/>
          <w:sz w:val="28"/>
          <w:szCs w:val="28"/>
          <w:lang w:eastAsia="zh-CN"/>
        </w:rPr>
        <w:t>有害因素，降低其风险，预防事故发生，保护企业的财产安全及</w:t>
      </w:r>
      <w:r>
        <w:rPr>
          <w:rFonts w:ascii="宋体" w:hAnsi="宋体" w:eastAsia="宋体" w:cs="宋体"/>
          <w:spacing w:val="1"/>
          <w:sz w:val="28"/>
          <w:szCs w:val="28"/>
          <w:lang w:eastAsia="zh-CN"/>
        </w:rPr>
        <w:t>人员的健</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康和生命安全。本次安全现状评价的主要目的如下：</w:t>
      </w:r>
    </w:p>
    <w:p w14:paraId="0AE8ED57">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）根据现场检查情况以及尾矿库现有技术资料，辨识、分析现状</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条件下尾矿库存在的主要危险、有害因素及其可能导致</w:t>
      </w:r>
      <w:r>
        <w:rPr>
          <w:rFonts w:ascii="宋体" w:hAnsi="宋体" w:eastAsia="宋体" w:cs="宋体"/>
          <w:spacing w:val="1"/>
          <w:sz w:val="28"/>
          <w:szCs w:val="28"/>
          <w:lang w:eastAsia="zh-CN"/>
        </w:rPr>
        <w:t>事故的诱发因</w:t>
      </w:r>
      <w:r>
        <w:rPr>
          <w:rFonts w:ascii="宋体" w:hAnsi="宋体" w:eastAsia="宋体" w:cs="宋体"/>
          <w:spacing w:val="-7"/>
          <w:sz w:val="28"/>
          <w:szCs w:val="28"/>
          <w:lang w:eastAsia="zh-CN"/>
        </w:rPr>
        <w:t>素。</w:t>
      </w:r>
    </w:p>
    <w:p w14:paraId="24E5DD34">
      <w:pPr>
        <w:keepNext w:val="0"/>
        <w:keepLines w:val="0"/>
        <w:pageBreakBefore w:val="0"/>
        <w:widowControl/>
        <w:wordWrap/>
        <w:overflowPunct/>
        <w:topLinePunct w:val="0"/>
        <w:bidi w:val="0"/>
        <w:adjustRightInd w:val="0"/>
        <w:snapToGrid w:val="0"/>
        <w:spacing w:line="360" w:lineRule="auto"/>
        <w:ind w:firstLine="566"/>
        <w:textAlignment w:val="baseline"/>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）排查尾矿库存在的安全隐患，针对存在的危险有害因素及隐患</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情况，提出合理安全对策措施。</w:t>
      </w:r>
    </w:p>
    <w:p w14:paraId="2163C904">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3</w:t>
      </w:r>
      <w:r>
        <w:rPr>
          <w:rFonts w:ascii="宋体" w:hAnsi="宋体" w:eastAsia="宋体" w:cs="宋体"/>
          <w:spacing w:val="6"/>
          <w:sz w:val="28"/>
          <w:szCs w:val="28"/>
          <w:lang w:eastAsia="zh-CN"/>
        </w:rPr>
        <w:t>）为尾矿库日常运行提供安全技术指导及参考，提高尾矿库的安</w:t>
      </w:r>
      <w:r>
        <w:rPr>
          <w:rFonts w:ascii="宋体" w:hAnsi="宋体" w:eastAsia="宋体" w:cs="宋体"/>
          <w:spacing w:val="9"/>
          <w:sz w:val="28"/>
          <w:szCs w:val="28"/>
          <w:lang w:eastAsia="zh-CN"/>
        </w:rPr>
        <w:t xml:space="preserve"> </w:t>
      </w:r>
      <w:r>
        <w:rPr>
          <w:rFonts w:ascii="宋体" w:hAnsi="宋体" w:eastAsia="宋体" w:cs="宋体"/>
          <w:spacing w:val="-1"/>
          <w:sz w:val="28"/>
          <w:szCs w:val="28"/>
          <w:lang w:eastAsia="zh-CN"/>
        </w:rPr>
        <w:t>全度，实现评价对象的运行安全。</w:t>
      </w:r>
    </w:p>
    <w:p w14:paraId="0C236FFB">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）为政府应急管理部门进行尾矿库安全监督、监察及安全生产许</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可证延续提供依据。</w:t>
      </w:r>
    </w:p>
    <w:p w14:paraId="468B9546">
      <w:pPr>
        <w:keepNext w:val="0"/>
        <w:keepLines w:val="0"/>
        <w:pageBreakBefore w:val="0"/>
        <w:widowControl/>
        <w:wordWrap/>
        <w:overflowPunct/>
        <w:topLinePunct w:val="0"/>
        <w:bidi w:val="0"/>
        <w:adjustRightInd w:val="0"/>
        <w:snapToGrid w:val="0"/>
        <w:spacing w:line="360" w:lineRule="auto"/>
        <w:jc w:val="center"/>
        <w:textAlignment w:val="baseline"/>
        <w:outlineLvl w:val="0"/>
        <w:rPr>
          <w:rFonts w:hint="eastAsia" w:ascii="黑体" w:hAnsi="黑体" w:eastAsia="黑体" w:cs="黑体"/>
          <w:sz w:val="30"/>
          <w:szCs w:val="30"/>
          <w:lang w:eastAsia="zh-CN"/>
        </w:rPr>
      </w:pPr>
      <w:bookmarkStart w:id="6" w:name="bookmark6"/>
      <w:bookmarkEnd w:id="6"/>
      <w:bookmarkStart w:id="7" w:name="_Toc21465"/>
      <w:bookmarkStart w:id="8" w:name="_Toc13047"/>
      <w:r>
        <w:rPr>
          <w:rFonts w:ascii="Times New Roman" w:hAnsi="Times New Roman" w:eastAsia="Times New Roman" w:cs="Times New Roman"/>
          <w:b/>
          <w:bCs/>
          <w:spacing w:val="-5"/>
          <w:sz w:val="30"/>
          <w:szCs w:val="30"/>
          <w:lang w:eastAsia="zh-CN"/>
        </w:rPr>
        <w:t xml:space="preserve">1.2 </w:t>
      </w:r>
      <w:r>
        <w:rPr>
          <w:rFonts w:ascii="黑体" w:hAnsi="黑体" w:eastAsia="黑体" w:cs="黑体"/>
          <w:b/>
          <w:bCs/>
          <w:spacing w:val="-5"/>
          <w:sz w:val="30"/>
          <w:szCs w:val="30"/>
          <w:lang w:eastAsia="zh-CN"/>
        </w:rPr>
        <w:t>安全评价的范围</w:t>
      </w:r>
      <w:bookmarkEnd w:id="7"/>
      <w:bookmarkEnd w:id="8"/>
    </w:p>
    <w:p w14:paraId="73EA74E5">
      <w:pPr>
        <w:keepNext w:val="0"/>
        <w:keepLines w:val="0"/>
        <w:pageBreakBefore w:val="0"/>
        <w:widowControl/>
        <w:wordWrap/>
        <w:overflowPunct/>
        <w:topLinePunct w:val="0"/>
        <w:bidi w:val="0"/>
        <w:adjustRightInd w:val="0"/>
        <w:snapToGrid w:val="0"/>
        <w:spacing w:line="360" w:lineRule="auto"/>
        <w:ind w:firstLine="561"/>
        <w:jc w:val="both"/>
        <w:textAlignment w:val="baseline"/>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本次安全评价的范围包括：</w:t>
      </w:r>
      <w:r>
        <w:rPr>
          <w:rFonts w:hint="eastAsia" w:ascii="宋体" w:hAnsi="宋体" w:eastAsia="宋体" w:cs="宋体"/>
          <w:spacing w:val="2"/>
          <w:sz w:val="28"/>
          <w:szCs w:val="28"/>
          <w:lang w:eastAsia="zh-CN"/>
        </w:rPr>
        <w:t>凤城市添合矿业有限公司</w:t>
      </w:r>
      <w:r>
        <w:rPr>
          <w:rFonts w:ascii="宋体" w:hAnsi="宋体" w:eastAsia="宋体" w:cs="宋体"/>
          <w:spacing w:val="2"/>
          <w:sz w:val="28"/>
          <w:szCs w:val="28"/>
          <w:lang w:eastAsia="zh-CN"/>
        </w:rPr>
        <w:t>尾</w:t>
      </w:r>
      <w:r>
        <w:rPr>
          <w:rFonts w:ascii="宋体" w:hAnsi="宋体" w:eastAsia="宋体" w:cs="宋体"/>
          <w:spacing w:val="1"/>
          <w:sz w:val="28"/>
          <w:szCs w:val="28"/>
          <w:lang w:eastAsia="zh-CN"/>
        </w:rPr>
        <w:t>矿库基本</w:t>
      </w:r>
      <w:r>
        <w:rPr>
          <w:rFonts w:ascii="宋体" w:hAnsi="宋体" w:eastAsia="宋体" w:cs="宋体"/>
          <w:spacing w:val="2"/>
          <w:sz w:val="28"/>
          <w:szCs w:val="28"/>
          <w:lang w:eastAsia="zh-CN"/>
        </w:rPr>
        <w:t>安全设施、专用安全设施及安全管理，其中包括</w:t>
      </w:r>
      <w:r>
        <w:rPr>
          <w:rFonts w:hint="eastAsia" w:ascii="宋体" w:hAnsi="宋体" w:eastAsia="宋体" w:cs="宋体"/>
          <w:spacing w:val="2"/>
          <w:sz w:val="28"/>
          <w:szCs w:val="28"/>
          <w:lang w:val="en-US" w:eastAsia="zh-CN"/>
        </w:rPr>
        <w:t>尾矿坝、</w:t>
      </w:r>
      <w:r>
        <w:rPr>
          <w:rFonts w:ascii="宋体" w:hAnsi="宋体" w:eastAsia="宋体" w:cs="宋体"/>
          <w:spacing w:val="2"/>
          <w:sz w:val="28"/>
          <w:szCs w:val="28"/>
          <w:lang w:eastAsia="zh-CN"/>
        </w:rPr>
        <w:t>排水设</w:t>
      </w:r>
      <w:r>
        <w:rPr>
          <w:rFonts w:ascii="宋体" w:hAnsi="宋体" w:eastAsia="宋体" w:cs="宋体"/>
          <w:spacing w:val="1"/>
          <w:sz w:val="28"/>
          <w:szCs w:val="28"/>
          <w:lang w:eastAsia="zh-CN"/>
        </w:rPr>
        <w:t>施、</w:t>
      </w:r>
      <w:r>
        <w:rPr>
          <w:rFonts w:ascii="宋体" w:hAnsi="宋体" w:eastAsia="宋体" w:cs="宋体"/>
          <w:spacing w:val="2"/>
          <w:sz w:val="28"/>
          <w:szCs w:val="28"/>
          <w:lang w:eastAsia="zh-CN"/>
        </w:rPr>
        <w:t>辅助设施、安全监测设施、应急救援器材及设</w:t>
      </w:r>
      <w:r>
        <w:rPr>
          <w:rFonts w:ascii="宋体" w:hAnsi="宋体" w:eastAsia="宋体" w:cs="宋体"/>
          <w:spacing w:val="1"/>
          <w:sz w:val="28"/>
          <w:szCs w:val="28"/>
          <w:lang w:eastAsia="zh-CN"/>
        </w:rPr>
        <w:t>备、周边</w:t>
      </w:r>
      <w:r>
        <w:rPr>
          <w:rFonts w:ascii="宋体" w:hAnsi="宋体" w:eastAsia="宋体" w:cs="宋体"/>
          <w:spacing w:val="-1"/>
          <w:sz w:val="28"/>
          <w:szCs w:val="28"/>
          <w:lang w:eastAsia="zh-CN"/>
        </w:rPr>
        <w:t>环境、安全管理等，回水系统不在本次评价范围之内。</w:t>
      </w:r>
    </w:p>
    <w:p w14:paraId="04936690">
      <w:pPr>
        <w:keepNext w:val="0"/>
        <w:keepLines w:val="0"/>
        <w:pageBreakBefore w:val="0"/>
        <w:widowControl/>
        <w:wordWrap/>
        <w:overflowPunct/>
        <w:topLinePunct w:val="0"/>
        <w:bidi w:val="0"/>
        <w:adjustRightInd w:val="0"/>
        <w:snapToGrid w:val="0"/>
        <w:spacing w:line="360" w:lineRule="auto"/>
        <w:jc w:val="center"/>
        <w:textAlignment w:val="baseline"/>
        <w:outlineLvl w:val="0"/>
        <w:rPr>
          <w:rFonts w:hint="eastAsia" w:ascii="黑体" w:hAnsi="黑体" w:eastAsia="黑体" w:cs="黑体"/>
          <w:sz w:val="30"/>
          <w:szCs w:val="30"/>
          <w:lang w:eastAsia="zh-CN"/>
        </w:rPr>
      </w:pPr>
      <w:bookmarkStart w:id="9" w:name="bookmark8"/>
      <w:bookmarkEnd w:id="9"/>
      <w:bookmarkStart w:id="10" w:name="_Toc13273"/>
      <w:bookmarkStart w:id="11" w:name="_Toc6869"/>
      <w:r>
        <w:rPr>
          <w:rFonts w:ascii="Times New Roman" w:hAnsi="Times New Roman" w:eastAsia="Times New Roman" w:cs="Times New Roman"/>
          <w:b/>
          <w:bCs/>
          <w:spacing w:val="-5"/>
          <w:sz w:val="30"/>
          <w:szCs w:val="30"/>
          <w:lang w:eastAsia="zh-CN"/>
        </w:rPr>
        <w:t xml:space="preserve">1.3 </w:t>
      </w:r>
      <w:r>
        <w:rPr>
          <w:rFonts w:ascii="黑体" w:hAnsi="黑体" w:eastAsia="黑体" w:cs="黑体"/>
          <w:b/>
          <w:bCs/>
          <w:spacing w:val="-5"/>
          <w:sz w:val="30"/>
          <w:szCs w:val="30"/>
          <w:lang w:eastAsia="zh-CN"/>
        </w:rPr>
        <w:t>安全现状评价依据</w:t>
      </w:r>
      <w:bookmarkEnd w:id="10"/>
      <w:bookmarkEnd w:id="11"/>
    </w:p>
    <w:p w14:paraId="25D24F0C">
      <w:pPr>
        <w:keepNext w:val="0"/>
        <w:keepLines w:val="0"/>
        <w:pageBreakBefore w:val="0"/>
        <w:widowControl/>
        <w:wordWrap/>
        <w:overflowPunct/>
        <w:topLinePunct w:val="0"/>
        <w:bidi w:val="0"/>
        <w:adjustRightInd w:val="0"/>
        <w:snapToGrid w:val="0"/>
        <w:spacing w:line="360" w:lineRule="auto"/>
        <w:textAlignment w:val="baseline"/>
        <w:outlineLvl w:val="2"/>
        <w:rPr>
          <w:rFonts w:hint="eastAsia" w:ascii="宋体" w:hAnsi="宋体" w:eastAsia="宋体" w:cs="宋体"/>
          <w:sz w:val="28"/>
          <w:szCs w:val="28"/>
          <w:lang w:eastAsia="zh-CN"/>
        </w:rPr>
      </w:pPr>
      <w:bookmarkStart w:id="12" w:name="_Toc28314"/>
      <w:bookmarkStart w:id="13" w:name="_Toc16828"/>
      <w:bookmarkStart w:id="14" w:name="_Toc19999"/>
      <w:r>
        <w:rPr>
          <w:rFonts w:ascii="Times New Roman" w:hAnsi="Times New Roman" w:eastAsia="Times New Roman" w:cs="Times New Roman"/>
          <w:b/>
          <w:bCs/>
          <w:spacing w:val="-5"/>
          <w:sz w:val="28"/>
          <w:szCs w:val="28"/>
          <w:lang w:eastAsia="zh-CN"/>
        </w:rPr>
        <w:t xml:space="preserve">1.3.1 </w:t>
      </w:r>
      <w:r>
        <w:rPr>
          <w:rFonts w:ascii="宋体" w:hAnsi="宋体" w:eastAsia="宋体" w:cs="宋体"/>
          <w:b/>
          <w:bCs/>
          <w:spacing w:val="-5"/>
          <w:sz w:val="28"/>
          <w:szCs w:val="28"/>
          <w:lang w:eastAsia="zh-CN"/>
        </w:rPr>
        <w:t>法律</w:t>
      </w:r>
      <w:bookmarkEnd w:id="12"/>
      <w:bookmarkEnd w:id="13"/>
      <w:bookmarkEnd w:id="14"/>
    </w:p>
    <w:p w14:paraId="102F43B2">
      <w:pPr>
        <w:keepNext w:val="0"/>
        <w:keepLines w:val="0"/>
        <w:pageBreakBefore w:val="0"/>
        <w:widowControl/>
        <w:wordWrap/>
        <w:overflowPunct/>
        <w:topLinePunct w:val="0"/>
        <w:bidi w:val="0"/>
        <w:adjustRightInd w:val="0"/>
        <w:snapToGrid w:val="0"/>
        <w:spacing w:line="360" w:lineRule="auto"/>
        <w:textAlignment w:val="baseline"/>
        <w:outlineLvl w:val="3"/>
        <w:rPr>
          <w:rFonts w:hint="eastAsia" w:ascii="宋体" w:hAnsi="宋体" w:eastAsia="宋体" w:cs="宋体"/>
          <w:sz w:val="28"/>
          <w:szCs w:val="28"/>
          <w:lang w:eastAsia="zh-CN"/>
        </w:rPr>
      </w:pPr>
      <w:r>
        <w:fldChar w:fldCharType="begin"/>
      </w:r>
      <w:r>
        <w:instrText xml:space="preserve"> HYPERLINK "1.3.1.1" </w:instrText>
      </w:r>
      <w:r>
        <w:fldChar w:fldCharType="separate"/>
      </w:r>
      <w:r>
        <w:rPr>
          <w:rFonts w:ascii="Times New Roman" w:hAnsi="Times New Roman" w:eastAsia="Times New Roman" w:cs="Times New Roman"/>
          <w:sz w:val="28"/>
          <w:szCs w:val="28"/>
          <w:lang w:eastAsia="zh-CN"/>
        </w:rPr>
        <w:t>1.3.1.1</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法律</w:t>
      </w:r>
    </w:p>
    <w:p w14:paraId="0044D052">
      <w:pPr>
        <w:keepNext w:val="0"/>
        <w:keepLines w:val="0"/>
        <w:pageBreakBefore w:val="0"/>
        <w:widowControl/>
        <w:wordWrap/>
        <w:overflowPunct/>
        <w:topLinePunct w:val="0"/>
        <w:bidi w:val="0"/>
        <w:adjustRightInd w:val="0"/>
        <w:snapToGrid w:val="0"/>
        <w:spacing w:line="360" w:lineRule="auto"/>
        <w:ind w:firstLine="56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）《中华人民共和国环境保护法》（中华人民共和国主席令第</w:t>
      </w:r>
      <w:r>
        <w:rPr>
          <w:rFonts w:ascii="Times New Roman" w:hAnsi="Times New Roman" w:eastAsia="Times New Roman" w:cs="Times New Roman"/>
          <w:sz w:val="28"/>
          <w:szCs w:val="28"/>
          <w:lang w:eastAsia="zh-CN"/>
        </w:rPr>
        <w:t xml:space="preserve">22   </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 xml:space="preserve">1989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26</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号修正，</w:t>
      </w:r>
    </w:p>
    <w:p w14:paraId="6AF8864B">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sectPr>
          <w:headerReference r:id="rId3" w:type="default"/>
          <w:footerReference r:id="rId4" w:type="default"/>
          <w:pgSz w:w="11906" w:h="16839"/>
          <w:pgMar w:top="1150" w:right="1118" w:bottom="1314" w:left="1588" w:header="868" w:footer="984" w:gutter="0"/>
          <w:pgNumType w:start="1"/>
          <w:cols w:space="720" w:num="1"/>
        </w:sectPr>
      </w:pPr>
    </w:p>
    <w:p w14:paraId="5B44E767">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 xml:space="preserve">2015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7D6E41E4">
      <w:pPr>
        <w:keepNext w:val="0"/>
        <w:keepLines w:val="0"/>
        <w:pageBreakBefore w:val="0"/>
        <w:widowControl/>
        <w:wordWrap/>
        <w:overflowPunct/>
        <w:topLinePunct w:val="0"/>
        <w:autoSpaceDN/>
        <w:bidi w:val="0"/>
        <w:adjustRightInd w:val="0"/>
        <w:snapToGrid w:val="0"/>
        <w:spacing w:line="360" w:lineRule="auto"/>
        <w:ind w:firstLine="561"/>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）《中华人民共和国水土保持法》（中华人民共和国主席令第</w:t>
      </w:r>
      <w:r>
        <w:rPr>
          <w:rFonts w:ascii="Times New Roman" w:hAnsi="Times New Roman" w:eastAsia="Times New Roman" w:cs="Times New Roman"/>
          <w:sz w:val="28"/>
          <w:szCs w:val="28"/>
          <w:lang w:eastAsia="zh-CN"/>
        </w:rPr>
        <w:t xml:space="preserve">49 </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39</w:t>
      </w:r>
      <w:r>
        <w:rPr>
          <w:rFonts w:ascii="宋体" w:hAnsi="宋体" w:eastAsia="宋体" w:cs="宋体"/>
          <w:sz w:val="28"/>
          <w:szCs w:val="28"/>
          <w:lang w:eastAsia="zh-CN"/>
        </w:rPr>
        <w:t>号第二 次修正，</w:t>
      </w:r>
      <w:r>
        <w:rPr>
          <w:rFonts w:ascii="Times New Roman" w:hAnsi="Times New Roman" w:eastAsia="Times New Roman" w:cs="Times New Roman"/>
          <w:sz w:val="28"/>
          <w:szCs w:val="28"/>
          <w:lang w:eastAsia="zh-CN"/>
        </w:rPr>
        <w:t xml:space="preserve">2011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09E2C21D">
      <w:pPr>
        <w:keepNext w:val="0"/>
        <w:keepLines w:val="0"/>
        <w:pageBreakBefore w:val="0"/>
        <w:widowControl/>
        <w:wordWrap/>
        <w:overflowPunct/>
        <w:topLinePunct w:val="0"/>
        <w:bidi w:val="0"/>
        <w:adjustRightInd w:val="0"/>
        <w:snapToGrid w:val="0"/>
        <w:spacing w:line="360" w:lineRule="auto"/>
        <w:ind w:firstLine="572"/>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）《中华人民共和国矿山安全法》（中华人民共和国主席令第</w:t>
      </w:r>
      <w:r>
        <w:rPr>
          <w:rFonts w:ascii="Times New Roman" w:hAnsi="Times New Roman" w:eastAsia="Times New Roman" w:cs="Times New Roman"/>
          <w:sz w:val="28"/>
          <w:szCs w:val="28"/>
          <w:lang w:eastAsia="zh-CN"/>
        </w:rPr>
        <w:t>65</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1993</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18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 xml:space="preserve">2009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27</w:t>
      </w:r>
      <w:r>
        <w:rPr>
          <w:rFonts w:ascii="宋体" w:hAnsi="宋体" w:eastAsia="宋体" w:cs="宋体"/>
          <w:sz w:val="28"/>
          <w:szCs w:val="28"/>
          <w:lang w:eastAsia="zh-CN"/>
        </w:rPr>
        <w:t>日施行）；</w:t>
      </w:r>
    </w:p>
    <w:p w14:paraId="5B3D96CB">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）《中华人民共和国防洪法》（中华人民共和国主席令第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号公 布，</w:t>
      </w:r>
      <w:r>
        <w:rPr>
          <w:rFonts w:ascii="Times New Roman" w:hAnsi="Times New Roman" w:eastAsia="Times New Roman" w:cs="Times New Roman"/>
          <w:sz w:val="28"/>
          <w:szCs w:val="28"/>
          <w:lang w:eastAsia="zh-CN"/>
        </w:rPr>
        <w:t>1998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48</w:t>
      </w:r>
      <w:r>
        <w:rPr>
          <w:rFonts w:ascii="宋体" w:hAnsi="宋体" w:eastAsia="宋体" w:cs="宋体"/>
          <w:sz w:val="28"/>
          <w:szCs w:val="28"/>
          <w:lang w:eastAsia="zh-CN"/>
        </w:rPr>
        <w:t>号第三次修正，</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日施行）；</w:t>
      </w:r>
    </w:p>
    <w:p w14:paraId="64CED5CA">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）《中华人民共和国消防法》（中华人民共和国主席令第</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81</w:t>
      </w:r>
      <w:r>
        <w:rPr>
          <w:rFonts w:ascii="宋体" w:hAnsi="宋体" w:eastAsia="宋体" w:cs="宋体"/>
          <w:sz w:val="28"/>
          <w:szCs w:val="28"/>
          <w:lang w:eastAsia="zh-CN"/>
        </w:rPr>
        <w:t>号第二次修正，</w:t>
      </w:r>
      <w:r>
        <w:rPr>
          <w:rFonts w:ascii="Times New Roman" w:hAnsi="Times New Roman" w:eastAsia="Times New Roman" w:cs="Times New Roman"/>
          <w:sz w:val="28"/>
          <w:szCs w:val="28"/>
          <w:lang w:eastAsia="zh-CN"/>
        </w:rPr>
        <w:t>2021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6DECA3BC">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）《中华人民共和国职业病防治法》（中华人民共和国主席令第</w:t>
      </w:r>
      <w:r>
        <w:rPr>
          <w:rFonts w:ascii="Times New Roman" w:hAnsi="Times New Roman" w:eastAsia="Times New Roman" w:cs="Times New Roman"/>
          <w:sz w:val="28"/>
          <w:szCs w:val="28"/>
          <w:lang w:eastAsia="zh-CN"/>
        </w:rPr>
        <w:t>60</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2002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24</w:t>
      </w:r>
      <w:r>
        <w:rPr>
          <w:rFonts w:ascii="宋体" w:hAnsi="宋体" w:eastAsia="宋体" w:cs="宋体"/>
          <w:sz w:val="28"/>
          <w:szCs w:val="28"/>
          <w:lang w:eastAsia="zh-CN"/>
        </w:rPr>
        <w:t>号第四次修正，</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2A525F14">
      <w:pPr>
        <w:keepNext w:val="0"/>
        <w:keepLines w:val="0"/>
        <w:pageBreakBefore w:val="0"/>
        <w:widowControl/>
        <w:wordWrap/>
        <w:overflowPunct/>
        <w:topLinePunct w:val="0"/>
        <w:bidi w:val="0"/>
        <w:adjustRightInd w:val="0"/>
        <w:snapToGrid w:val="0"/>
        <w:spacing w:line="360" w:lineRule="auto"/>
        <w:ind w:firstLine="56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）《中华人民共和国安全生产法》（中华人民共和国主席令第</w:t>
      </w:r>
      <w:r>
        <w:rPr>
          <w:rFonts w:ascii="Times New Roman" w:hAnsi="Times New Roman" w:eastAsia="Times New Roman" w:cs="Times New Roman"/>
          <w:sz w:val="28"/>
          <w:szCs w:val="28"/>
          <w:lang w:eastAsia="zh-CN"/>
        </w:rPr>
        <w:t>70</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2002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号第三次修正，</w:t>
      </w:r>
      <w:r>
        <w:rPr>
          <w:rFonts w:ascii="Times New Roman" w:hAnsi="Times New Roman" w:eastAsia="Times New Roman" w:cs="Times New Roman"/>
          <w:sz w:val="28"/>
          <w:szCs w:val="28"/>
          <w:lang w:eastAsia="zh-CN"/>
        </w:rPr>
        <w:t>2021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35165ECE">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w:t>
      </w:r>
      <w:r>
        <w:rPr>
          <w:rFonts w:hint="default" w:ascii="Times New Roman" w:hAnsi="Times New Roman" w:cs="Times New Roman"/>
          <w:sz w:val="28"/>
        </w:rPr>
        <w:t>《中华人民共和国突发事件应对法》（中华人民共和国主席令第六十九号，2007年8月30日发布，自2007年11月1日起施行</w:t>
      </w:r>
      <w:r>
        <w:rPr>
          <w:rFonts w:hint="default" w:ascii="Times New Roman" w:hAnsi="Times New Roman" w:cs="Times New Roman"/>
          <w:sz w:val="28"/>
          <w:lang w:eastAsia="zh-CN"/>
        </w:rPr>
        <w:t>；</w:t>
      </w:r>
      <w:r>
        <w:rPr>
          <w:rFonts w:hint="default" w:ascii="Times New Roman" w:hAnsi="Times New Roman" w:eastAsia="宋体" w:cs="Times New Roman"/>
          <w:sz w:val="28"/>
        </w:rPr>
        <w:t xml:space="preserve"> 2024年6月28日第十四届全国人民代表大会常务委员会第十次会议修订</w:t>
      </w:r>
      <w:r>
        <w:rPr>
          <w:rFonts w:hint="default" w:ascii="Times New Roman" w:hAnsi="Times New Roman" w:eastAsia="宋体" w:cs="Times New Roman"/>
          <w:sz w:val="28"/>
          <w:lang w:eastAsia="zh-CN"/>
        </w:rPr>
        <w:t>，自2024年11月1日起施行</w:t>
      </w:r>
      <w:r>
        <w:rPr>
          <w:rFonts w:hint="default" w:ascii="Times New Roman" w:hAnsi="Times New Roman" w:eastAsia="宋体" w:cs="Times New Roman"/>
          <w:sz w:val="28"/>
        </w:rPr>
        <w:t>）</w:t>
      </w:r>
      <w:r>
        <w:rPr>
          <w:rFonts w:hint="default" w:ascii="Times New Roman" w:hAnsi="Times New Roman" w:eastAsia="宋体" w:cs="Times New Roman"/>
          <w:sz w:val="28"/>
          <w:szCs w:val="28"/>
          <w:lang w:eastAsia="zh-CN"/>
        </w:rPr>
        <w:t>。</w:t>
      </w:r>
    </w:p>
    <w:p w14:paraId="363FC4D3">
      <w:pPr>
        <w:keepNext w:val="0"/>
        <w:keepLines w:val="0"/>
        <w:pageBreakBefore w:val="0"/>
        <w:widowControl/>
        <w:wordWrap/>
        <w:overflowPunct/>
        <w:topLinePunct w:val="0"/>
        <w:bidi w:val="0"/>
        <w:adjustRightInd w:val="0"/>
        <w:snapToGrid w:val="0"/>
        <w:spacing w:line="360" w:lineRule="auto"/>
        <w:textAlignment w:val="baseline"/>
        <w:outlineLvl w:val="3"/>
        <w:rPr>
          <w:rFonts w:hint="eastAsia" w:ascii="宋体" w:hAnsi="宋体" w:eastAsia="宋体" w:cs="宋体"/>
          <w:sz w:val="28"/>
          <w:szCs w:val="28"/>
          <w:lang w:eastAsia="zh-CN"/>
        </w:rPr>
      </w:pPr>
      <w:r>
        <w:fldChar w:fldCharType="begin"/>
      </w:r>
      <w:r>
        <w:instrText xml:space="preserve"> HYPERLINK "1.3.1.2" </w:instrText>
      </w:r>
      <w:r>
        <w:fldChar w:fldCharType="separate"/>
      </w:r>
      <w:r>
        <w:rPr>
          <w:rFonts w:ascii="Times New Roman" w:hAnsi="Times New Roman" w:eastAsia="Times New Roman" w:cs="Times New Roman"/>
          <w:sz w:val="28"/>
          <w:szCs w:val="28"/>
          <w:lang w:eastAsia="zh-CN"/>
        </w:rPr>
        <w:t>1.3.1.2</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行政法规</w:t>
      </w:r>
    </w:p>
    <w:p w14:paraId="476EB123">
      <w:pPr>
        <w:keepNext w:val="0"/>
        <w:keepLines w:val="0"/>
        <w:pageBreakBefore w:val="0"/>
        <w:widowControl/>
        <w:wordWrap/>
        <w:overflowPunct/>
        <w:topLinePunct w:val="0"/>
        <w:bidi w:val="0"/>
        <w:adjustRightInd w:val="0"/>
        <w:snapToGrid w:val="0"/>
        <w:spacing w:line="360" w:lineRule="auto"/>
        <w:ind w:firstLine="545"/>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）《中华人民共和国矿山安全法实施条例》（原劳动部令第</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 xml:space="preserve">号， </w:t>
      </w:r>
      <w:r>
        <w:rPr>
          <w:rFonts w:ascii="Times New Roman" w:hAnsi="Times New Roman" w:eastAsia="Times New Roman" w:cs="Times New Roman"/>
          <w:sz w:val="28"/>
          <w:szCs w:val="28"/>
          <w:lang w:eastAsia="zh-CN"/>
        </w:rPr>
        <w:t xml:space="preserve">1996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30</w:t>
      </w:r>
      <w:r>
        <w:rPr>
          <w:rFonts w:ascii="宋体" w:hAnsi="宋体" w:eastAsia="宋体" w:cs="宋体"/>
          <w:sz w:val="28"/>
          <w:szCs w:val="28"/>
          <w:lang w:eastAsia="zh-CN"/>
        </w:rPr>
        <w:t>日施行）；</w:t>
      </w:r>
    </w:p>
    <w:p w14:paraId="126E76B6">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）《工伤保险条例》（中华人民共和国主席令第</w:t>
      </w:r>
      <w:r>
        <w:rPr>
          <w:rFonts w:ascii="Times New Roman" w:hAnsi="Times New Roman" w:eastAsia="Times New Roman" w:cs="Times New Roman"/>
          <w:sz w:val="28"/>
          <w:szCs w:val="28"/>
          <w:lang w:eastAsia="zh-CN"/>
        </w:rPr>
        <w:t>375</w:t>
      </w:r>
      <w:r>
        <w:rPr>
          <w:rFonts w:ascii="宋体" w:hAnsi="宋体" w:eastAsia="宋体" w:cs="宋体"/>
          <w:sz w:val="28"/>
          <w:szCs w:val="28"/>
          <w:lang w:eastAsia="zh-CN"/>
        </w:rPr>
        <w:t>号，中华人民共和国主席令第</w:t>
      </w:r>
      <w:r>
        <w:rPr>
          <w:rFonts w:ascii="Times New Roman" w:hAnsi="Times New Roman" w:eastAsia="Times New Roman" w:cs="Times New Roman"/>
          <w:sz w:val="28"/>
          <w:szCs w:val="28"/>
          <w:lang w:eastAsia="zh-CN"/>
        </w:rPr>
        <w:t>586</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32CCDC64">
      <w:pPr>
        <w:keepNext w:val="0"/>
        <w:keepLines w:val="0"/>
        <w:pageBreakBefore w:val="0"/>
        <w:widowControl/>
        <w:wordWrap/>
        <w:overflowPunct/>
        <w:topLinePunct w:val="0"/>
        <w:bidi w:val="0"/>
        <w:adjustRightInd w:val="0"/>
        <w:snapToGrid w:val="0"/>
        <w:spacing w:line="360" w:lineRule="auto"/>
        <w:ind w:firstLine="518"/>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）《安全生产许可证条例》（国务院令第</w:t>
      </w:r>
      <w:r>
        <w:rPr>
          <w:rFonts w:ascii="Times New Roman" w:hAnsi="Times New Roman" w:eastAsia="Times New Roman" w:cs="Times New Roman"/>
          <w:sz w:val="28"/>
          <w:szCs w:val="28"/>
          <w:lang w:eastAsia="zh-CN"/>
        </w:rPr>
        <w:t>653</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2014</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782FAB9C">
      <w:pPr>
        <w:keepNext w:val="0"/>
        <w:keepLines w:val="0"/>
        <w:pageBreakBefore w:val="0"/>
        <w:widowControl/>
        <w:wordWrap/>
        <w:overflowPunct/>
        <w:topLinePunct w:val="0"/>
        <w:bidi w:val="0"/>
        <w:adjustRightInd w:val="0"/>
        <w:snapToGrid w:val="0"/>
        <w:spacing w:line="360" w:lineRule="auto"/>
        <w:ind w:firstLine="539"/>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）《生产安全事故报告和调查处理条例》（国务院令第</w:t>
      </w:r>
      <w:r>
        <w:rPr>
          <w:rFonts w:ascii="Times New Roman" w:hAnsi="Times New Roman" w:eastAsia="Times New Roman" w:cs="Times New Roman"/>
          <w:sz w:val="28"/>
          <w:szCs w:val="28"/>
          <w:lang w:eastAsia="zh-CN"/>
        </w:rPr>
        <w:t>493</w:t>
      </w:r>
      <w:r>
        <w:rPr>
          <w:rFonts w:ascii="宋体" w:hAnsi="宋体" w:eastAsia="宋体" w:cs="宋体"/>
          <w:sz w:val="28"/>
          <w:szCs w:val="28"/>
          <w:lang w:eastAsia="zh-CN"/>
        </w:rPr>
        <w:t>号，国家安全生产监督管理总局令第</w:t>
      </w:r>
      <w:r>
        <w:rPr>
          <w:rFonts w:ascii="Times New Roman" w:hAnsi="Times New Roman" w:eastAsia="Times New Roman" w:cs="Times New Roman"/>
          <w:sz w:val="28"/>
          <w:szCs w:val="28"/>
          <w:lang w:eastAsia="zh-CN"/>
        </w:rPr>
        <w:t>77</w:t>
      </w:r>
      <w:r>
        <w:rPr>
          <w:rFonts w:ascii="宋体" w:hAnsi="宋体" w:eastAsia="宋体" w:cs="宋体"/>
          <w:sz w:val="28"/>
          <w:szCs w:val="28"/>
          <w:lang w:eastAsia="zh-CN"/>
        </w:rPr>
        <w:t>号修订，</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57D78438">
      <w:pPr>
        <w:keepNext w:val="0"/>
        <w:keepLines w:val="0"/>
        <w:pageBreakBefore w:val="0"/>
        <w:widowControl/>
        <w:wordWrap/>
        <w:overflowPunct/>
        <w:topLinePunct w:val="0"/>
        <w:bidi w:val="0"/>
        <w:adjustRightInd w:val="0"/>
        <w:snapToGrid w:val="0"/>
        <w:spacing w:line="360" w:lineRule="auto"/>
        <w:ind w:firstLine="572"/>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）《生产安全事故应急条例》（中华人民共和国主席令第</w:t>
      </w:r>
      <w:r>
        <w:rPr>
          <w:rFonts w:ascii="Times New Roman" w:hAnsi="Times New Roman" w:eastAsia="Times New Roman" w:cs="Times New Roman"/>
          <w:sz w:val="28"/>
          <w:szCs w:val="28"/>
          <w:lang w:eastAsia="zh-CN"/>
        </w:rPr>
        <w:t>708</w:t>
      </w:r>
      <w:r>
        <w:rPr>
          <w:rFonts w:ascii="宋体" w:hAnsi="宋体" w:eastAsia="宋体" w:cs="宋体"/>
          <w:sz w:val="28"/>
          <w:szCs w:val="28"/>
          <w:lang w:eastAsia="zh-CN"/>
        </w:rPr>
        <w:t xml:space="preserve">号， </w:t>
      </w:r>
      <w:r>
        <w:rPr>
          <w:rFonts w:ascii="Times New Roman" w:hAnsi="Times New Roman" w:eastAsia="Times New Roman" w:cs="Times New Roman"/>
          <w:sz w:val="28"/>
          <w:szCs w:val="28"/>
          <w:lang w:eastAsia="zh-CN"/>
        </w:rPr>
        <w:t xml:space="preserve">2019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01F83EA0">
      <w:pPr>
        <w:keepNext w:val="0"/>
        <w:keepLines w:val="0"/>
        <w:pageBreakBefore w:val="0"/>
        <w:widowControl/>
        <w:wordWrap/>
        <w:overflowPunct/>
        <w:topLinePunct w:val="0"/>
        <w:bidi w:val="0"/>
        <w:adjustRightInd w:val="0"/>
        <w:snapToGrid w:val="0"/>
        <w:spacing w:line="360" w:lineRule="auto"/>
        <w:textAlignment w:val="baseline"/>
        <w:outlineLvl w:val="3"/>
        <w:rPr>
          <w:rFonts w:hint="eastAsia" w:ascii="宋体" w:hAnsi="宋体" w:eastAsia="宋体" w:cs="宋体"/>
          <w:sz w:val="28"/>
          <w:szCs w:val="28"/>
          <w:lang w:eastAsia="zh-CN"/>
        </w:rPr>
      </w:pPr>
      <w:r>
        <w:fldChar w:fldCharType="begin"/>
      </w:r>
      <w:r>
        <w:instrText xml:space="preserve"> HYPERLINK "1.3.1.3" </w:instrText>
      </w:r>
      <w:r>
        <w:fldChar w:fldCharType="separate"/>
      </w:r>
      <w:r>
        <w:rPr>
          <w:rFonts w:ascii="Times New Roman" w:hAnsi="Times New Roman" w:eastAsia="Times New Roman" w:cs="Times New Roman"/>
          <w:sz w:val="28"/>
          <w:szCs w:val="28"/>
          <w:lang w:eastAsia="zh-CN"/>
        </w:rPr>
        <w:t>1.3.1.3</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部门规章</w:t>
      </w:r>
    </w:p>
    <w:p w14:paraId="2B873148">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）《国务院关于进一步加强企业安全生产工作的通知》（国发</w:t>
      </w:r>
    </w:p>
    <w:p w14:paraId="7C7A50A0">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[2010]23</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19</w:t>
      </w:r>
      <w:r>
        <w:rPr>
          <w:rFonts w:ascii="宋体" w:hAnsi="宋体" w:eastAsia="宋体" w:cs="宋体"/>
          <w:sz w:val="28"/>
          <w:szCs w:val="28"/>
          <w:lang w:eastAsia="zh-CN"/>
        </w:rPr>
        <w:t>日施行）；</w:t>
      </w:r>
    </w:p>
    <w:p w14:paraId="7B74072D">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）《关于进一步加强尾矿库监督管理工作的指导意见》（国家安 全监管总局、国家发展改革委、工业和信息化部、国土资源部、环境保护 部，安监总管</w:t>
      </w:r>
      <w:r>
        <w:rPr>
          <w:rFonts w:ascii="Times New Roman" w:hAnsi="Times New Roman" w:eastAsia="Times New Roman" w:cs="Times New Roman"/>
          <w:sz w:val="28"/>
          <w:szCs w:val="28"/>
          <w:lang w:eastAsia="zh-CN"/>
        </w:rPr>
        <w:t>[2012]32</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日施行）；</w:t>
      </w:r>
    </w:p>
    <w:p w14:paraId="2D444FB2">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）《尾矿库安全监督管理规定》（国家安全生产监督管理总局令 第</w:t>
      </w:r>
      <w:r>
        <w:rPr>
          <w:rFonts w:ascii="Times New Roman" w:hAnsi="Times New Roman" w:eastAsia="Times New Roman" w:cs="Times New Roman"/>
          <w:sz w:val="28"/>
          <w:szCs w:val="28"/>
          <w:lang w:eastAsia="zh-CN"/>
        </w:rPr>
        <w:t>38</w:t>
      </w:r>
      <w:r>
        <w:rPr>
          <w:rFonts w:ascii="宋体" w:hAnsi="宋体" w:eastAsia="宋体" w:cs="宋体"/>
          <w:sz w:val="28"/>
          <w:szCs w:val="28"/>
          <w:lang w:eastAsia="zh-CN"/>
        </w:rPr>
        <w:t>号；国家安全生产监督管理总局令第</w:t>
      </w:r>
      <w:r>
        <w:rPr>
          <w:rFonts w:ascii="Times New Roman" w:hAnsi="Times New Roman" w:eastAsia="Times New Roman" w:cs="Times New Roman"/>
          <w:sz w:val="28"/>
          <w:szCs w:val="28"/>
          <w:lang w:eastAsia="zh-CN"/>
        </w:rPr>
        <w:t>78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r>
        <w:rPr>
          <w:rFonts w:hint="eastAsia" w:ascii="宋体" w:hAnsi="宋体" w:eastAsia="宋体" w:cs="宋体"/>
          <w:sz w:val="28"/>
          <w:szCs w:val="28"/>
          <w:lang w:eastAsia="zh-CN"/>
        </w:rPr>
        <w:t>；</w:t>
      </w:r>
    </w:p>
    <w:p w14:paraId="30B22D5E">
      <w:pPr>
        <w:keepNext w:val="0"/>
        <w:keepLines w:val="0"/>
        <w:pageBreakBefore w:val="0"/>
        <w:widowControl/>
        <w:wordWrap/>
        <w:overflowPunct/>
        <w:topLinePunct w:val="0"/>
        <w:bidi w:val="0"/>
        <w:adjustRightInd w:val="0"/>
        <w:snapToGrid w:val="0"/>
        <w:spacing w:line="360" w:lineRule="auto"/>
        <w:ind w:firstLine="566"/>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）《非煤矿矿山企业安全生产许可证实施办法》（</w:t>
      </w:r>
      <w:r>
        <w:fldChar w:fldCharType="begin"/>
      </w:r>
      <w:r>
        <w:rPr>
          <w:lang w:eastAsia="zh-CN"/>
        </w:rPr>
        <w:instrText xml:space="preserve"> HYPERLINK "http://baike.baidu.com/view/867660.htm" </w:instrText>
      </w:r>
      <w:r>
        <w:fldChar w:fldCharType="separate"/>
      </w:r>
      <w:r>
        <w:rPr>
          <w:rFonts w:ascii="宋体" w:hAnsi="宋体" w:eastAsia="宋体" w:cs="宋体"/>
          <w:sz w:val="28"/>
          <w:szCs w:val="28"/>
          <w:lang w:eastAsia="zh-CN"/>
        </w:rPr>
        <w:t>国家安全生产</w:t>
      </w:r>
      <w:r>
        <w:rPr>
          <w:rFonts w:ascii="宋体" w:hAnsi="宋体" w:eastAsia="宋体" w:cs="宋体"/>
          <w:sz w:val="28"/>
          <w:szCs w:val="28"/>
        </w:rPr>
        <w:fldChar w:fldCharType="end"/>
      </w:r>
      <w:r>
        <w:rPr>
          <w:rFonts w:ascii="宋体" w:hAnsi="宋体" w:eastAsia="宋体" w:cs="宋体"/>
          <w:sz w:val="28"/>
          <w:szCs w:val="28"/>
          <w:lang w:eastAsia="zh-CN"/>
        </w:rPr>
        <w:t xml:space="preserve"> </w:t>
      </w:r>
      <w:r>
        <w:fldChar w:fldCharType="begin"/>
      </w:r>
      <w:r>
        <w:instrText xml:space="preserve"> HYPERLINK "http://baike.baidu.com/view/867660.htm" </w:instrText>
      </w:r>
      <w:r>
        <w:fldChar w:fldCharType="separate"/>
      </w:r>
      <w:r>
        <w:rPr>
          <w:rFonts w:ascii="宋体" w:hAnsi="宋体" w:eastAsia="宋体" w:cs="宋体"/>
          <w:sz w:val="28"/>
          <w:szCs w:val="28"/>
          <w:lang w:eastAsia="zh-CN"/>
        </w:rPr>
        <w:t>监督管理总局</w:t>
      </w:r>
      <w:r>
        <w:rPr>
          <w:rFonts w:ascii="宋体" w:hAnsi="宋体" w:eastAsia="宋体" w:cs="宋体"/>
          <w:sz w:val="28"/>
          <w:szCs w:val="28"/>
          <w:lang w:eastAsia="zh-CN"/>
        </w:rPr>
        <w:fldChar w:fldCharType="end"/>
      </w:r>
      <w:r>
        <w:rPr>
          <w:rFonts w:ascii="宋体" w:hAnsi="宋体" w:eastAsia="宋体" w:cs="宋体"/>
          <w:sz w:val="28"/>
          <w:szCs w:val="28"/>
          <w:lang w:eastAsia="zh-CN"/>
        </w:rPr>
        <w:t>令第</w:t>
      </w:r>
      <w:r>
        <w:rPr>
          <w:rFonts w:ascii="Times New Roman" w:hAnsi="Times New Roman" w:eastAsia="Times New Roman" w:cs="Times New Roman"/>
          <w:sz w:val="28"/>
          <w:szCs w:val="28"/>
          <w:lang w:eastAsia="zh-CN"/>
        </w:rPr>
        <w:t>20</w:t>
      </w:r>
      <w:r>
        <w:rPr>
          <w:rFonts w:ascii="宋体" w:hAnsi="宋体" w:eastAsia="宋体" w:cs="宋体"/>
          <w:sz w:val="28"/>
          <w:szCs w:val="28"/>
          <w:lang w:eastAsia="zh-CN"/>
        </w:rPr>
        <w:t>号；根据国家安全监管总局令第</w:t>
      </w:r>
      <w:r>
        <w:rPr>
          <w:rFonts w:ascii="Times New Roman" w:hAnsi="Times New Roman" w:eastAsia="Times New Roman" w:cs="Times New Roman"/>
          <w:sz w:val="28"/>
          <w:szCs w:val="28"/>
          <w:lang w:eastAsia="zh-CN"/>
        </w:rPr>
        <w:t>78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 xml:space="preserve">月 </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日施行；应急部公告</w:t>
      </w:r>
      <w:r>
        <w:rPr>
          <w:rFonts w:ascii="Times New Roman" w:hAnsi="Times New Roman" w:eastAsia="Times New Roman" w:cs="Times New Roman"/>
          <w:sz w:val="28"/>
          <w:szCs w:val="28"/>
          <w:lang w:eastAsia="zh-CN"/>
        </w:rPr>
        <w:t>[2018]12</w:t>
      </w:r>
      <w:r>
        <w:rPr>
          <w:rFonts w:ascii="宋体" w:hAnsi="宋体" w:eastAsia="宋体" w:cs="宋体"/>
          <w:sz w:val="28"/>
          <w:szCs w:val="28"/>
          <w:lang w:eastAsia="zh-CN"/>
        </w:rPr>
        <w:t>号进行修整）；</w:t>
      </w:r>
    </w:p>
    <w:p w14:paraId="3E83307C">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）《金属非金属矿山建设项目安全设施目录（试行）》（国家安 全生产监督管理总局第</w:t>
      </w:r>
      <w:r>
        <w:rPr>
          <w:rFonts w:ascii="Times New Roman" w:hAnsi="Times New Roman" w:eastAsia="Times New Roman" w:cs="Times New Roman"/>
          <w:sz w:val="28"/>
          <w:szCs w:val="28"/>
          <w:lang w:eastAsia="zh-CN"/>
        </w:rPr>
        <w:t>75</w:t>
      </w:r>
      <w:r>
        <w:rPr>
          <w:rFonts w:ascii="宋体" w:hAnsi="宋体" w:eastAsia="宋体" w:cs="宋体"/>
          <w:sz w:val="28"/>
          <w:szCs w:val="28"/>
          <w:lang w:eastAsia="zh-CN"/>
        </w:rPr>
        <w:t>号令，</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49E7EDDF">
      <w:pPr>
        <w:keepNext w:val="0"/>
        <w:keepLines w:val="0"/>
        <w:pageBreakBefore w:val="0"/>
        <w:widowControl/>
        <w:wordWrap/>
        <w:overflowPunct/>
        <w:topLinePunct w:val="0"/>
        <w:bidi w:val="0"/>
        <w:adjustRightInd w:val="0"/>
        <w:snapToGrid w:val="0"/>
        <w:spacing w:line="360" w:lineRule="auto"/>
        <w:ind w:firstLine="563"/>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）《生产安全事故应急预案管理办法》（</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日，国家安全生产监督管理总局令第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号公布；根据</w:t>
      </w:r>
      <w:r>
        <w:rPr>
          <w:rFonts w:ascii="Times New Roman" w:hAnsi="Times New Roman" w:eastAsia="Times New Roman" w:cs="Times New Roman"/>
          <w:sz w:val="28"/>
          <w:szCs w:val="28"/>
          <w:lang w:eastAsia="zh-CN"/>
        </w:rPr>
        <w:t>2019</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日应急管理部令第</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号《应急管理部关于修改</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生产安全事故应急预案管理办法</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的决定》修正，</w:t>
      </w:r>
      <w:r>
        <w:rPr>
          <w:rFonts w:ascii="Times New Roman" w:hAnsi="Times New Roman" w:eastAsia="Times New Roman" w:cs="Times New Roman"/>
          <w:sz w:val="28"/>
          <w:szCs w:val="28"/>
          <w:lang w:eastAsia="zh-CN"/>
        </w:rPr>
        <w:t>2019</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619D6245">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）《辽宁省安全生产监督管理局关于进一步加强非煤矿山企业特</w:t>
      </w:r>
    </w:p>
    <w:p w14:paraId="6DCFDE3C">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种作业人员管理的通知》（辽安监管</w:t>
      </w:r>
      <w:r>
        <w:rPr>
          <w:rFonts w:ascii="Times New Roman" w:hAnsi="Times New Roman" w:eastAsia="Times New Roman" w:cs="Times New Roman"/>
          <w:sz w:val="28"/>
          <w:szCs w:val="28"/>
          <w:lang w:eastAsia="zh-CN"/>
        </w:rPr>
        <w:t>[2016]29</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16</w:t>
      </w:r>
      <w:r>
        <w:rPr>
          <w:rFonts w:ascii="宋体" w:hAnsi="宋体" w:eastAsia="宋体" w:cs="宋体"/>
          <w:sz w:val="28"/>
          <w:szCs w:val="28"/>
          <w:lang w:eastAsia="zh-CN"/>
        </w:rPr>
        <w:t>日施行）；</w:t>
      </w:r>
    </w:p>
    <w:p w14:paraId="5A8D9696">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）《辽宁省安全生产条例》（</w:t>
      </w:r>
      <w:r>
        <w:rPr>
          <w:rFonts w:ascii="Times New Roman" w:hAnsi="Times New Roman" w:eastAsia="Times New Roman" w:cs="Times New Roman"/>
          <w:sz w:val="28"/>
          <w:szCs w:val="28"/>
          <w:lang w:eastAsia="zh-CN"/>
        </w:rPr>
        <w:t>2017</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日，辽宁省第十二届人民代表大会常务委员会第三十一次会议通过；</w:t>
      </w:r>
      <w:r>
        <w:rPr>
          <w:rFonts w:ascii="Times New Roman" w:hAnsi="Times New Roman" w:eastAsia="Times New Roman" w:cs="Times New Roman"/>
          <w:sz w:val="28"/>
          <w:szCs w:val="28"/>
          <w:lang w:eastAsia="zh-CN"/>
        </w:rPr>
        <w:t>2020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30</w:t>
      </w:r>
      <w:r>
        <w:rPr>
          <w:rFonts w:ascii="宋体" w:hAnsi="宋体" w:eastAsia="宋体" w:cs="宋体"/>
          <w:sz w:val="28"/>
          <w:szCs w:val="28"/>
          <w:lang w:eastAsia="zh-CN"/>
        </w:rPr>
        <w:t>日，辽宁省第十三届人民代表大会常务委员会第十七次会议第一次修正；</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日，辽宁省第十三届人民代表大会常务委员会第三十二次会议第二次修正）；</w:t>
      </w:r>
    </w:p>
    <w:p w14:paraId="04D6DCD3">
      <w:pPr>
        <w:keepNext w:val="0"/>
        <w:keepLines w:val="0"/>
        <w:pageBreakBefore w:val="0"/>
        <w:widowControl/>
        <w:wordWrap/>
        <w:overflowPunct/>
        <w:topLinePunct w:val="0"/>
        <w:bidi w:val="0"/>
        <w:adjustRightInd w:val="0"/>
        <w:snapToGrid w:val="0"/>
        <w:spacing w:line="360" w:lineRule="auto"/>
        <w:ind w:firstLine="561"/>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）《用人单位劳动防护用品管理规范（</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修改）》（安监总厅 安健</w:t>
      </w:r>
      <w:r>
        <w:rPr>
          <w:rFonts w:ascii="Times New Roman" w:hAnsi="Times New Roman" w:eastAsia="Times New Roman" w:cs="Times New Roman"/>
          <w:sz w:val="28"/>
          <w:szCs w:val="28"/>
          <w:lang w:eastAsia="zh-CN"/>
        </w:rPr>
        <w:t>[2018]3</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15</w:t>
      </w:r>
      <w:r>
        <w:rPr>
          <w:rFonts w:ascii="宋体" w:hAnsi="宋体" w:eastAsia="宋体" w:cs="宋体"/>
          <w:sz w:val="28"/>
          <w:szCs w:val="28"/>
          <w:lang w:eastAsia="zh-CN"/>
        </w:rPr>
        <w:t>日施行）；</w:t>
      </w:r>
    </w:p>
    <w:p w14:paraId="20B55B4F">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0</w:t>
      </w:r>
      <w:r>
        <w:rPr>
          <w:rFonts w:ascii="宋体" w:hAnsi="宋体" w:eastAsia="宋体" w:cs="宋体"/>
          <w:sz w:val="28"/>
          <w:szCs w:val="28"/>
          <w:lang w:eastAsia="zh-CN"/>
        </w:rPr>
        <w:t>）《关于印发防范化解尾矿库安全风险工作方案的通知》（应急</w:t>
      </w:r>
    </w:p>
    <w:p w14:paraId="0F6C00C1">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[2020]15</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日施行）；</w:t>
      </w:r>
    </w:p>
    <w:p w14:paraId="3D65B099">
      <w:pPr>
        <w:keepNext w:val="0"/>
        <w:keepLines w:val="0"/>
        <w:pageBreakBefore w:val="0"/>
        <w:widowControl/>
        <w:wordWrap/>
        <w:overflowPunct/>
        <w:topLinePunct w:val="0"/>
        <w:bidi w:val="0"/>
        <w:adjustRightInd w:val="0"/>
        <w:snapToGrid w:val="0"/>
        <w:spacing w:line="360" w:lineRule="auto"/>
        <w:ind w:firstLine="563"/>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1</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关于加强非煤矿山安全生产 工作的指导意见</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[2022]4</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日施行）；</w:t>
      </w:r>
    </w:p>
    <w:p w14:paraId="0134B82D">
      <w:pPr>
        <w:keepNext w:val="0"/>
        <w:keepLines w:val="0"/>
        <w:pageBreakBefore w:val="0"/>
        <w:widowControl/>
        <w:wordWrap/>
        <w:overflowPunct/>
        <w:topLinePunct w:val="0"/>
        <w:bidi w:val="0"/>
        <w:adjustRightInd w:val="0"/>
        <w:snapToGrid w:val="0"/>
        <w:spacing w:line="360" w:lineRule="auto"/>
        <w:ind w:firstLine="554"/>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2</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金属非金属矿山重大事故隐 患判定标准</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[2022]88</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5E8A3A9D">
      <w:pPr>
        <w:keepNext w:val="0"/>
        <w:keepLines w:val="0"/>
        <w:pageBreakBefore w:val="0"/>
        <w:widowControl/>
        <w:wordWrap/>
        <w:overflowPunct/>
        <w:topLinePunct w:val="0"/>
        <w:bidi w:val="0"/>
        <w:adjustRightInd w:val="0"/>
        <w:snapToGrid w:val="0"/>
        <w:spacing w:line="360" w:lineRule="auto"/>
        <w:ind w:firstLine="563"/>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3</w:t>
      </w:r>
      <w:r>
        <w:rPr>
          <w:rFonts w:ascii="宋体" w:hAnsi="宋体" w:eastAsia="宋体" w:cs="宋体"/>
          <w:sz w:val="28"/>
          <w:szCs w:val="28"/>
          <w:lang w:eastAsia="zh-CN"/>
        </w:rPr>
        <w:t>） 《财政部、应急部关于印发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企业安全生产费用提取和使用管 理办法</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的通知》（财资</w:t>
      </w:r>
      <w:r>
        <w:rPr>
          <w:rFonts w:ascii="Times New Roman" w:hAnsi="Times New Roman" w:eastAsia="Times New Roman" w:cs="Times New Roman"/>
          <w:sz w:val="28"/>
          <w:szCs w:val="28"/>
          <w:lang w:eastAsia="zh-CN"/>
        </w:rPr>
        <w:t>[2022]136</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13</w:t>
      </w:r>
      <w:r>
        <w:rPr>
          <w:rFonts w:ascii="宋体" w:hAnsi="宋体" w:eastAsia="宋体" w:cs="宋体"/>
          <w:sz w:val="28"/>
          <w:szCs w:val="28"/>
          <w:lang w:eastAsia="zh-CN"/>
        </w:rPr>
        <w:t>日施行）；</w:t>
      </w:r>
    </w:p>
    <w:p w14:paraId="77F76F93">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4</w:t>
      </w:r>
      <w:r>
        <w:rPr>
          <w:rFonts w:ascii="宋体" w:hAnsi="宋体" w:eastAsia="宋体" w:cs="宋体"/>
          <w:sz w:val="28"/>
          <w:szCs w:val="28"/>
          <w:lang w:eastAsia="zh-CN"/>
        </w:rPr>
        <w:t>）《国务院安委会办公室关于学习宣传贯彻</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中共中央办公厅 国 务院办公厅关于进一步加强矿山安全生产工作的意见</w:t>
      </w:r>
      <w:r>
        <w:rPr>
          <w:rFonts w:ascii="Times New Roman" w:hAnsi="Times New Roman" w:eastAsia="Times New Roman" w:cs="Times New Roman"/>
          <w:sz w:val="28"/>
          <w:szCs w:val="28"/>
          <w:lang w:eastAsia="zh-CN"/>
        </w:rPr>
        <w:t>&gt;</w:t>
      </w:r>
      <w:r>
        <w:rPr>
          <w:rFonts w:ascii="宋体" w:hAnsi="宋体" w:eastAsia="宋体" w:cs="宋体"/>
          <w:sz w:val="28"/>
          <w:szCs w:val="28"/>
          <w:lang w:eastAsia="zh-CN"/>
        </w:rPr>
        <w:t>的通知》（安委办</w:t>
      </w:r>
    </w:p>
    <w:p w14:paraId="6A805E33">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rPr>
      </w:pPr>
      <w:r>
        <w:rPr>
          <w:rFonts w:ascii="Times New Roman" w:hAnsi="Times New Roman" w:eastAsia="Times New Roman" w:cs="Times New Roman"/>
          <w:sz w:val="28"/>
          <w:szCs w:val="28"/>
        </w:rPr>
        <w:t>[2023]7</w:t>
      </w:r>
      <w:r>
        <w:rPr>
          <w:rFonts w:ascii="宋体" w:hAnsi="宋体" w:eastAsia="宋体" w:cs="宋体"/>
          <w:sz w:val="28"/>
          <w:szCs w:val="28"/>
        </w:rPr>
        <w:t>号）；</w:t>
      </w:r>
    </w:p>
    <w:p w14:paraId="59AAB7D9">
      <w:pPr>
        <w:keepNext w:val="0"/>
        <w:keepLines w:val="0"/>
        <w:pageBreakBefore w:val="0"/>
        <w:widowControl/>
        <w:numPr>
          <w:ilvl w:val="0"/>
          <w:numId w:val="0"/>
        </w:numPr>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hint="default" w:ascii="Times New Roman" w:hAnsi="Times New Roman" w:eastAsia="宋体" w:cs="Times New Roman"/>
          <w:sz w:val="28"/>
          <w:szCs w:val="28"/>
          <w:lang w:eastAsia="zh-CN"/>
        </w:rPr>
        <w:t>（</w:t>
      </w:r>
      <w:r>
        <w:rPr>
          <w:rFonts w:hint="default" w:ascii="Times New Roman" w:hAnsi="Times New Roman" w:eastAsia="宋体" w:cs="Times New Roman"/>
          <w:sz w:val="28"/>
          <w:szCs w:val="28"/>
          <w:lang w:val="en-US" w:eastAsia="zh-CN"/>
        </w:rPr>
        <w:t>1</w:t>
      </w:r>
      <w:r>
        <w:rPr>
          <w:rFonts w:hint="eastAsia" w:ascii="Times New Roman" w:hAnsi="Times New Roman" w:eastAsia="宋体" w:cs="Times New Roman"/>
          <w:sz w:val="28"/>
          <w:szCs w:val="28"/>
          <w:lang w:val="en-US" w:eastAsia="zh-CN"/>
        </w:rPr>
        <w:t>5</w:t>
      </w:r>
      <w:r>
        <w:rPr>
          <w:rFonts w:hint="default" w:ascii="Times New Roman" w:hAnsi="Times New Roman" w:eastAsia="宋体" w:cs="Times New Roman"/>
          <w:sz w:val="28"/>
          <w:szCs w:val="28"/>
          <w:lang w:val="en-US" w:eastAsia="zh-CN"/>
        </w:rPr>
        <w:t>）</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 xml:space="preserve">&lt; </w:t>
      </w:r>
      <w:r>
        <w:rPr>
          <w:rFonts w:ascii="宋体" w:hAnsi="宋体" w:eastAsia="宋体" w:cs="宋体"/>
          <w:sz w:val="28"/>
          <w:szCs w:val="28"/>
          <w:lang w:eastAsia="zh-CN"/>
        </w:rPr>
        <w:t>防范非煤矿山典型多发事故</w:t>
      </w:r>
    </w:p>
    <w:p w14:paraId="055BDA33">
      <w:pPr>
        <w:keepNext w:val="0"/>
        <w:keepLines w:val="0"/>
        <w:pageBreakBefore w:val="0"/>
        <w:widowControl/>
        <w:wordWrap/>
        <w:overflowPunct/>
        <w:topLinePunct w:val="0"/>
        <w:bidi w:val="0"/>
        <w:adjustRightInd w:val="0"/>
        <w:snapToGrid w:val="0"/>
        <w:spacing w:line="360" w:lineRule="auto"/>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六十条措施</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[2023]124</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2023</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日施行）；</w:t>
      </w:r>
    </w:p>
    <w:p w14:paraId="2FCE8C41">
      <w:pPr>
        <w:keepNext w:val="0"/>
        <w:keepLines w:val="0"/>
        <w:pageBreakBefore w:val="0"/>
        <w:widowControl/>
        <w:wordWrap/>
        <w:overflowPunct/>
        <w:topLinePunct w:val="0"/>
        <w:bidi w:val="0"/>
        <w:adjustRightInd w:val="0"/>
        <w:snapToGrid w:val="0"/>
        <w:spacing w:line="360" w:lineRule="auto"/>
        <w:ind w:firstLine="566"/>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6</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非煤矿山建设项目安全设施 重大变更范围</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[2023]147</w:t>
      </w:r>
      <w:r>
        <w:rPr>
          <w:rFonts w:ascii="宋体" w:hAnsi="宋体" w:eastAsia="宋体" w:cs="宋体"/>
          <w:sz w:val="28"/>
          <w:szCs w:val="28"/>
          <w:lang w:eastAsia="zh-CN"/>
        </w:rPr>
        <w:t>号）；</w:t>
      </w:r>
    </w:p>
    <w:p w14:paraId="5414EAF6">
      <w:pPr>
        <w:keepNext w:val="0"/>
        <w:keepLines w:val="0"/>
        <w:pageBreakBefore w:val="0"/>
        <w:widowControl/>
        <w:wordWrap/>
        <w:overflowPunct/>
        <w:topLinePunct w:val="0"/>
        <w:bidi w:val="0"/>
        <w:adjustRightInd w:val="0"/>
        <w:snapToGrid w:val="0"/>
        <w:spacing w:line="360" w:lineRule="auto"/>
        <w:ind w:firstLine="562"/>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7</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金属非金属矿山重大事故隐 患判定标准补充情形</w:t>
      </w:r>
      <w:r>
        <w:rPr>
          <w:rFonts w:ascii="Times New Roman" w:hAnsi="Times New Roman" w:eastAsia="Times New Roman" w:cs="Times New Roman"/>
          <w:sz w:val="28"/>
          <w:szCs w:val="28"/>
          <w:lang w:eastAsia="zh-CN"/>
        </w:rPr>
        <w:t>&gt;</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[2024]41</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2024</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23</w:t>
      </w:r>
      <w:r>
        <w:rPr>
          <w:rFonts w:ascii="宋体" w:hAnsi="宋体" w:eastAsia="宋体" w:cs="宋体"/>
          <w:sz w:val="28"/>
          <w:szCs w:val="28"/>
          <w:lang w:eastAsia="zh-CN"/>
        </w:rPr>
        <w:t>日施行）；</w:t>
      </w:r>
    </w:p>
    <w:p w14:paraId="4ECB1BB4">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18</w:t>
      </w:r>
      <w:r>
        <w:rPr>
          <w:rFonts w:ascii="宋体" w:hAnsi="宋体" w:eastAsia="宋体" w:cs="宋体"/>
          <w:sz w:val="28"/>
          <w:szCs w:val="28"/>
          <w:lang w:eastAsia="zh-CN"/>
        </w:rPr>
        <w:t>）《国务院安全生产委员会印发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关于防范遏制矿山领域重特大 生产安全事故的硬措施</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的通知》（安委</w:t>
      </w:r>
      <w:r>
        <w:rPr>
          <w:rFonts w:ascii="Times New Roman" w:hAnsi="Times New Roman" w:eastAsia="Times New Roman" w:cs="Times New Roman"/>
          <w:sz w:val="28"/>
          <w:szCs w:val="28"/>
          <w:lang w:eastAsia="zh-CN"/>
        </w:rPr>
        <w:t>[2024]1</w:t>
      </w:r>
      <w:r>
        <w:rPr>
          <w:rFonts w:ascii="宋体" w:hAnsi="宋体" w:eastAsia="宋体" w:cs="宋体"/>
          <w:sz w:val="28"/>
          <w:szCs w:val="28"/>
          <w:lang w:eastAsia="zh-CN"/>
        </w:rPr>
        <w:t>号）；</w:t>
      </w:r>
    </w:p>
    <w:p w14:paraId="60F29D95">
      <w:pPr>
        <w:keepNext w:val="0"/>
        <w:keepLines w:val="0"/>
        <w:pageBreakBefore w:val="0"/>
        <w:widowControl/>
        <w:wordWrap/>
        <w:overflowPunct/>
        <w:topLinePunct w:val="0"/>
        <w:bidi w:val="0"/>
        <w:adjustRightInd w:val="0"/>
        <w:snapToGrid w:val="0"/>
        <w:spacing w:line="360" w:lineRule="auto"/>
        <w:ind w:firstLine="563"/>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19</w:t>
      </w:r>
      <w:r>
        <w:rPr>
          <w:rFonts w:ascii="宋体" w:hAnsi="宋体" w:eastAsia="宋体" w:cs="宋体"/>
          <w:sz w:val="28"/>
          <w:szCs w:val="28"/>
          <w:lang w:eastAsia="zh-CN"/>
        </w:rPr>
        <w:t>）《国家矿山安全监察局关于做好尾矿库隐蔽工程专项检查等汛 期安全生产工作的通知》（矿安</w:t>
      </w:r>
      <w:r>
        <w:rPr>
          <w:rFonts w:ascii="Times New Roman" w:hAnsi="Times New Roman" w:eastAsia="Times New Roman" w:cs="Times New Roman"/>
          <w:sz w:val="28"/>
          <w:szCs w:val="28"/>
          <w:lang w:eastAsia="zh-CN"/>
        </w:rPr>
        <w:t>[2024]6</w:t>
      </w:r>
      <w:r>
        <w:rPr>
          <w:rFonts w:ascii="宋体" w:hAnsi="宋体" w:eastAsia="宋体" w:cs="宋体"/>
          <w:sz w:val="28"/>
          <w:szCs w:val="28"/>
          <w:lang w:eastAsia="zh-CN"/>
        </w:rPr>
        <w:t>号）；</w:t>
      </w:r>
    </w:p>
    <w:p w14:paraId="56944B1F">
      <w:pPr>
        <w:keepNext w:val="0"/>
        <w:keepLines w:val="0"/>
        <w:pageBreakBefore w:val="0"/>
        <w:widowControl/>
        <w:wordWrap/>
        <w:overflowPunct/>
        <w:topLinePunct w:val="0"/>
        <w:bidi w:val="0"/>
        <w:adjustRightInd w:val="0"/>
        <w:snapToGrid w:val="0"/>
        <w:spacing w:line="360" w:lineRule="auto"/>
        <w:ind w:firstLine="568"/>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0</w:t>
      </w:r>
      <w:r>
        <w:rPr>
          <w:rFonts w:ascii="宋体" w:hAnsi="宋体" w:eastAsia="宋体" w:cs="宋体"/>
          <w:sz w:val="28"/>
          <w:szCs w:val="28"/>
          <w:lang w:eastAsia="zh-CN"/>
        </w:rPr>
        <w:t>）《国家矿山安全监察局关于</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进一步加强非煤矿山安全生产行 政许可工作</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[2024]70</w:t>
      </w:r>
      <w:r>
        <w:rPr>
          <w:rFonts w:ascii="宋体" w:hAnsi="宋体" w:eastAsia="宋体" w:cs="宋体"/>
          <w:sz w:val="28"/>
          <w:szCs w:val="28"/>
          <w:lang w:eastAsia="zh-CN"/>
        </w:rPr>
        <w:t>号）；</w:t>
      </w:r>
    </w:p>
    <w:p w14:paraId="1212D6FB">
      <w:pPr>
        <w:keepNext w:val="0"/>
        <w:keepLines w:val="0"/>
        <w:pageBreakBefore w:val="0"/>
        <w:widowControl/>
        <w:wordWrap/>
        <w:overflowPunct/>
        <w:topLinePunct w:val="0"/>
        <w:bidi w:val="0"/>
        <w:adjustRightInd w:val="0"/>
        <w:snapToGrid w:val="0"/>
        <w:spacing w:line="360" w:lineRule="auto"/>
        <w:ind w:firstLine="566"/>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1</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“学铁规、明责任、硬落实、 保安全 ”专项活动方案</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[2024]72</w:t>
      </w:r>
      <w:r>
        <w:rPr>
          <w:rFonts w:ascii="宋体" w:hAnsi="宋体" w:eastAsia="宋体" w:cs="宋体"/>
          <w:sz w:val="28"/>
          <w:szCs w:val="28"/>
          <w:lang w:eastAsia="zh-CN"/>
        </w:rPr>
        <w:t>号）；</w:t>
      </w:r>
    </w:p>
    <w:p w14:paraId="77CE122E">
      <w:pPr>
        <w:keepNext w:val="0"/>
        <w:keepLines w:val="0"/>
        <w:pageBreakBefore w:val="0"/>
        <w:widowControl/>
        <w:wordWrap/>
        <w:overflowPunct/>
        <w:topLinePunct w:val="0"/>
        <w:bidi w:val="0"/>
        <w:adjustRightInd w:val="0"/>
        <w:snapToGrid w:val="0"/>
        <w:spacing w:line="360" w:lineRule="auto"/>
        <w:ind w:firstLine="559"/>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2</w:t>
      </w:r>
      <w:r>
        <w:rPr>
          <w:rFonts w:ascii="宋体" w:hAnsi="宋体" w:eastAsia="宋体" w:cs="宋体"/>
          <w:sz w:val="28"/>
          <w:szCs w:val="28"/>
          <w:lang w:eastAsia="zh-CN"/>
        </w:rPr>
        <w:t>）《国家矿山安全监察局关于加强汛期矿山安全防范工作的通知》 （矿安</w:t>
      </w:r>
      <w:r>
        <w:rPr>
          <w:rFonts w:ascii="Times New Roman" w:hAnsi="Times New Roman" w:eastAsia="Times New Roman" w:cs="Times New Roman"/>
          <w:sz w:val="28"/>
          <w:szCs w:val="28"/>
          <w:lang w:eastAsia="zh-CN"/>
        </w:rPr>
        <w:t xml:space="preserve">[2024]75 </w:t>
      </w:r>
      <w:r>
        <w:rPr>
          <w:rFonts w:ascii="宋体" w:hAnsi="宋体" w:eastAsia="宋体" w:cs="宋体"/>
          <w:sz w:val="28"/>
          <w:szCs w:val="28"/>
          <w:lang w:eastAsia="zh-CN"/>
        </w:rPr>
        <w:t>号）；</w:t>
      </w:r>
    </w:p>
    <w:p w14:paraId="379C54FD">
      <w:pPr>
        <w:keepNext w:val="0"/>
        <w:keepLines w:val="0"/>
        <w:pageBreakBefore w:val="0"/>
        <w:widowControl/>
        <w:wordWrap/>
        <w:overflowPunct/>
        <w:topLinePunct w:val="0"/>
        <w:bidi w:val="0"/>
        <w:adjustRightInd w:val="0"/>
        <w:snapToGrid w:val="0"/>
        <w:spacing w:line="360" w:lineRule="auto"/>
        <w:textAlignment w:val="baseline"/>
        <w:outlineLvl w:val="3"/>
        <w:rPr>
          <w:rFonts w:hint="eastAsia" w:ascii="宋体" w:hAnsi="宋体" w:eastAsia="宋体" w:cs="宋体"/>
          <w:sz w:val="28"/>
          <w:szCs w:val="28"/>
          <w:lang w:eastAsia="zh-CN"/>
        </w:rPr>
      </w:pPr>
      <w:r>
        <w:fldChar w:fldCharType="begin"/>
      </w:r>
      <w:r>
        <w:instrText xml:space="preserve"> HYPERLINK "1.3.1.4" </w:instrText>
      </w:r>
      <w:r>
        <w:fldChar w:fldCharType="separate"/>
      </w:r>
      <w:r>
        <w:rPr>
          <w:rFonts w:ascii="Times New Roman" w:hAnsi="Times New Roman" w:eastAsia="Times New Roman" w:cs="Times New Roman"/>
          <w:sz w:val="28"/>
          <w:szCs w:val="28"/>
          <w:lang w:eastAsia="zh-CN"/>
        </w:rPr>
        <w:t>1.3.1.4</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地方政府规章</w:t>
      </w:r>
    </w:p>
    <w:p w14:paraId="03754581">
      <w:pPr>
        <w:keepNext w:val="0"/>
        <w:keepLines w:val="0"/>
        <w:pageBreakBefore w:val="0"/>
        <w:widowControl/>
        <w:wordWrap/>
        <w:overflowPunct/>
        <w:topLinePunct w:val="0"/>
        <w:bidi w:val="0"/>
        <w:adjustRightInd w:val="0"/>
        <w:snapToGrid w:val="0"/>
        <w:spacing w:line="360" w:lineRule="auto"/>
        <w:ind w:firstLine="559"/>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）《辽宁省应急管理厅印发高危行业安全生产责任保险实施方案》 （辽宁省应急管理厅）；</w:t>
      </w:r>
    </w:p>
    <w:p w14:paraId="44F8264D">
      <w:pPr>
        <w:keepNext w:val="0"/>
        <w:keepLines w:val="0"/>
        <w:pageBreakBefore w:val="0"/>
        <w:widowControl/>
        <w:wordWrap/>
        <w:overflowPunct/>
        <w:topLinePunct w:val="0"/>
        <w:bidi w:val="0"/>
        <w:adjustRightInd w:val="0"/>
        <w:snapToGrid w:val="0"/>
        <w:spacing w:line="360" w:lineRule="auto"/>
        <w:ind w:firstLine="565"/>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）《辽宁省安全生产监督管理局关于进一步规范非煤矿矿山安全 生产行政许可管理工作的通知》（辽安监非煤</w:t>
      </w:r>
      <w:r>
        <w:rPr>
          <w:rFonts w:ascii="Times New Roman" w:hAnsi="Times New Roman" w:eastAsia="Times New Roman" w:cs="Times New Roman"/>
          <w:sz w:val="28"/>
          <w:szCs w:val="28"/>
          <w:lang w:eastAsia="zh-CN"/>
        </w:rPr>
        <w:t>[2018]29</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19</w:t>
      </w:r>
      <w:r>
        <w:rPr>
          <w:rFonts w:ascii="宋体" w:hAnsi="宋体" w:eastAsia="宋体" w:cs="宋体"/>
          <w:sz w:val="28"/>
          <w:szCs w:val="28"/>
          <w:lang w:eastAsia="zh-CN"/>
        </w:rPr>
        <w:t>日施行）。</w:t>
      </w:r>
    </w:p>
    <w:p w14:paraId="7EE239E7">
      <w:pPr>
        <w:keepNext w:val="0"/>
        <w:keepLines w:val="0"/>
        <w:pageBreakBefore w:val="0"/>
        <w:widowControl/>
        <w:wordWrap/>
        <w:overflowPunct/>
        <w:topLinePunct w:val="0"/>
        <w:bidi w:val="0"/>
        <w:adjustRightInd w:val="0"/>
        <w:snapToGrid w:val="0"/>
        <w:spacing w:line="360" w:lineRule="auto"/>
        <w:textAlignment w:val="baseline"/>
        <w:outlineLvl w:val="2"/>
        <w:rPr>
          <w:rFonts w:hint="eastAsia" w:ascii="宋体" w:hAnsi="宋体" w:eastAsia="宋体" w:cs="宋体"/>
          <w:sz w:val="28"/>
          <w:szCs w:val="28"/>
          <w:lang w:eastAsia="zh-CN"/>
        </w:rPr>
      </w:pPr>
      <w:bookmarkStart w:id="15" w:name="_Toc26002"/>
      <w:bookmarkStart w:id="16" w:name="_Toc20064"/>
      <w:bookmarkStart w:id="17" w:name="_Toc5997"/>
      <w:r>
        <w:rPr>
          <w:rFonts w:ascii="Times New Roman" w:hAnsi="Times New Roman" w:eastAsia="Times New Roman" w:cs="Times New Roman"/>
          <w:b/>
          <w:bCs/>
          <w:sz w:val="28"/>
          <w:szCs w:val="28"/>
          <w:lang w:eastAsia="zh-CN"/>
        </w:rPr>
        <w:t xml:space="preserve">1.3.2 </w:t>
      </w:r>
      <w:r>
        <w:rPr>
          <w:rFonts w:ascii="宋体" w:hAnsi="宋体" w:eastAsia="宋体" w:cs="宋体"/>
          <w:b/>
          <w:bCs/>
          <w:sz w:val="28"/>
          <w:szCs w:val="28"/>
          <w:lang w:eastAsia="zh-CN"/>
        </w:rPr>
        <w:t>标准规范</w:t>
      </w:r>
      <w:bookmarkEnd w:id="15"/>
      <w:bookmarkEnd w:id="16"/>
      <w:bookmarkEnd w:id="17"/>
    </w:p>
    <w:p w14:paraId="47D43C44">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）《岩土工程勘察规范</w:t>
      </w:r>
      <w:r>
        <w:rPr>
          <w:rFonts w:ascii="Times New Roman" w:hAnsi="Times New Roman" w:eastAsia="Times New Roman" w:cs="Times New Roman"/>
          <w:sz w:val="28"/>
          <w:szCs w:val="28"/>
          <w:lang w:eastAsia="zh-CN"/>
        </w:rPr>
        <w:t>[2009</w:t>
      </w:r>
      <w:r>
        <w:rPr>
          <w:rFonts w:ascii="宋体" w:hAnsi="宋体" w:eastAsia="宋体" w:cs="宋体"/>
          <w:sz w:val="28"/>
          <w:szCs w:val="28"/>
          <w:lang w:eastAsia="zh-CN"/>
        </w:rPr>
        <w:t>年版</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GB 50021-2001</w:t>
      </w:r>
      <w:r>
        <w:rPr>
          <w:rFonts w:ascii="宋体" w:hAnsi="宋体" w:eastAsia="宋体" w:cs="宋体"/>
          <w:sz w:val="28"/>
          <w:szCs w:val="28"/>
          <w:lang w:eastAsia="zh-CN"/>
        </w:rPr>
        <w:t>）；</w:t>
      </w:r>
    </w:p>
    <w:p w14:paraId="3418E587">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）《安全标志及其使用导则》（</w:t>
      </w:r>
      <w:r>
        <w:rPr>
          <w:rFonts w:ascii="Times New Roman" w:hAnsi="Times New Roman" w:eastAsia="Times New Roman" w:cs="Times New Roman"/>
          <w:sz w:val="28"/>
          <w:szCs w:val="28"/>
          <w:lang w:eastAsia="zh-CN"/>
        </w:rPr>
        <w:t>GB 2894-2008</w:t>
      </w:r>
      <w:r>
        <w:rPr>
          <w:rFonts w:ascii="宋体" w:hAnsi="宋体" w:eastAsia="宋体" w:cs="宋体"/>
          <w:sz w:val="28"/>
          <w:szCs w:val="28"/>
          <w:lang w:eastAsia="zh-CN"/>
        </w:rPr>
        <w:t>）；</w:t>
      </w:r>
    </w:p>
    <w:p w14:paraId="03715926">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3</w:t>
      </w:r>
      <w:r>
        <w:rPr>
          <w:rFonts w:ascii="宋体" w:hAnsi="宋体" w:eastAsia="宋体" w:cs="宋体"/>
          <w:sz w:val="28"/>
          <w:szCs w:val="28"/>
          <w:lang w:eastAsia="zh-CN"/>
        </w:rPr>
        <w:t>）《工业企业总平面设计规范》（</w:t>
      </w:r>
      <w:r>
        <w:rPr>
          <w:rFonts w:ascii="Times New Roman" w:hAnsi="Times New Roman" w:eastAsia="Times New Roman" w:cs="Times New Roman"/>
          <w:sz w:val="28"/>
          <w:szCs w:val="28"/>
          <w:lang w:eastAsia="zh-CN"/>
        </w:rPr>
        <w:t>GB 50187-2012</w:t>
      </w:r>
      <w:r>
        <w:rPr>
          <w:rFonts w:ascii="宋体" w:hAnsi="宋体" w:eastAsia="宋体" w:cs="宋体"/>
          <w:sz w:val="28"/>
          <w:szCs w:val="28"/>
          <w:lang w:eastAsia="zh-CN"/>
        </w:rPr>
        <w:t>）；</w:t>
      </w:r>
    </w:p>
    <w:p w14:paraId="2E75ACDF">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4</w:t>
      </w:r>
      <w:r>
        <w:rPr>
          <w:rFonts w:ascii="宋体" w:hAnsi="宋体" w:eastAsia="宋体" w:cs="宋体"/>
          <w:sz w:val="28"/>
          <w:szCs w:val="28"/>
          <w:lang w:eastAsia="zh-CN"/>
        </w:rPr>
        <w:t>）《构筑物抗震设计规范》（</w:t>
      </w:r>
      <w:r>
        <w:rPr>
          <w:rFonts w:ascii="Times New Roman" w:hAnsi="Times New Roman" w:eastAsia="Times New Roman" w:cs="Times New Roman"/>
          <w:sz w:val="28"/>
          <w:szCs w:val="28"/>
          <w:lang w:eastAsia="zh-CN"/>
        </w:rPr>
        <w:t>GB 50191-2012</w:t>
      </w:r>
      <w:r>
        <w:rPr>
          <w:rFonts w:ascii="宋体" w:hAnsi="宋体" w:eastAsia="宋体" w:cs="宋体"/>
          <w:sz w:val="28"/>
          <w:szCs w:val="28"/>
          <w:lang w:eastAsia="zh-CN"/>
        </w:rPr>
        <w:t>）；</w:t>
      </w:r>
    </w:p>
    <w:p w14:paraId="7375A4F9">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5</w:t>
      </w:r>
      <w:r>
        <w:rPr>
          <w:rFonts w:ascii="宋体" w:hAnsi="宋体" w:eastAsia="宋体" w:cs="宋体"/>
          <w:sz w:val="28"/>
          <w:szCs w:val="28"/>
          <w:lang w:eastAsia="zh-CN"/>
        </w:rPr>
        <w:t>）《尾矿设施设计规范》（</w:t>
      </w:r>
      <w:r>
        <w:rPr>
          <w:rFonts w:ascii="Times New Roman" w:hAnsi="Times New Roman" w:eastAsia="Times New Roman" w:cs="Times New Roman"/>
          <w:sz w:val="28"/>
          <w:szCs w:val="28"/>
          <w:lang w:eastAsia="zh-CN"/>
        </w:rPr>
        <w:t>GB 50863-2013</w:t>
      </w:r>
      <w:r>
        <w:rPr>
          <w:rFonts w:ascii="宋体" w:hAnsi="宋体" w:eastAsia="宋体" w:cs="宋体"/>
          <w:sz w:val="28"/>
          <w:szCs w:val="28"/>
          <w:lang w:eastAsia="zh-CN"/>
        </w:rPr>
        <w:t>）；</w:t>
      </w:r>
    </w:p>
    <w:p w14:paraId="0346ECFB">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6</w:t>
      </w:r>
      <w:r>
        <w:rPr>
          <w:rFonts w:ascii="宋体" w:hAnsi="宋体" w:eastAsia="宋体" w:cs="宋体"/>
          <w:sz w:val="28"/>
          <w:szCs w:val="28"/>
          <w:lang w:eastAsia="zh-CN"/>
        </w:rPr>
        <w:t>）《尾矿设施施工及验收规范》（</w:t>
      </w:r>
      <w:r>
        <w:rPr>
          <w:rFonts w:ascii="Times New Roman" w:hAnsi="Times New Roman" w:eastAsia="Times New Roman" w:cs="Times New Roman"/>
          <w:sz w:val="28"/>
          <w:szCs w:val="28"/>
          <w:lang w:eastAsia="zh-CN"/>
        </w:rPr>
        <w:t>GB 50864-2013</w:t>
      </w:r>
      <w:r>
        <w:rPr>
          <w:rFonts w:ascii="宋体" w:hAnsi="宋体" w:eastAsia="宋体" w:cs="宋体"/>
          <w:sz w:val="28"/>
          <w:szCs w:val="28"/>
          <w:lang w:eastAsia="zh-CN"/>
        </w:rPr>
        <w:t>）；</w:t>
      </w:r>
    </w:p>
    <w:p w14:paraId="52FE0ADC">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7</w:t>
      </w:r>
      <w:r>
        <w:rPr>
          <w:rFonts w:ascii="宋体" w:hAnsi="宋体" w:eastAsia="宋体" w:cs="宋体"/>
          <w:sz w:val="28"/>
          <w:szCs w:val="28"/>
          <w:lang w:eastAsia="zh-CN"/>
        </w:rPr>
        <w:t>）《防洪标准》（</w:t>
      </w:r>
      <w:r>
        <w:rPr>
          <w:rFonts w:ascii="Times New Roman" w:hAnsi="Times New Roman" w:eastAsia="Times New Roman" w:cs="Times New Roman"/>
          <w:sz w:val="28"/>
          <w:szCs w:val="28"/>
          <w:lang w:eastAsia="zh-CN"/>
        </w:rPr>
        <w:t>GB 50201-2014</w:t>
      </w:r>
      <w:r>
        <w:rPr>
          <w:rFonts w:ascii="宋体" w:hAnsi="宋体" w:eastAsia="宋体" w:cs="宋体"/>
          <w:sz w:val="28"/>
          <w:szCs w:val="28"/>
          <w:lang w:eastAsia="zh-CN"/>
        </w:rPr>
        <w:t>）；</w:t>
      </w:r>
    </w:p>
    <w:p w14:paraId="5A3431E4">
      <w:pPr>
        <w:keepNext w:val="0"/>
        <w:keepLines w:val="0"/>
        <w:pageBreakBefore w:val="0"/>
        <w:widowControl/>
        <w:wordWrap/>
        <w:overflowPunct/>
        <w:topLinePunct w:val="0"/>
        <w:bidi w:val="0"/>
        <w:adjustRightInd w:val="0"/>
        <w:snapToGrid w:val="0"/>
        <w:spacing w:line="360" w:lineRule="auto"/>
        <w:ind w:firstLine="560" w:firstLineChars="200"/>
        <w:jc w:val="both"/>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8</w:t>
      </w:r>
      <w:r>
        <w:rPr>
          <w:rFonts w:ascii="宋体" w:hAnsi="宋体" w:eastAsia="宋体" w:cs="宋体"/>
          <w:sz w:val="28"/>
          <w:szCs w:val="28"/>
          <w:lang w:eastAsia="zh-CN"/>
        </w:rPr>
        <w:t>）《尾矿库在线安全监测系统工程技术规范》（</w:t>
      </w:r>
      <w:r>
        <w:rPr>
          <w:rFonts w:ascii="Times New Roman" w:hAnsi="Times New Roman" w:eastAsia="Times New Roman" w:cs="Times New Roman"/>
          <w:sz w:val="28"/>
          <w:szCs w:val="28"/>
          <w:lang w:eastAsia="zh-CN"/>
        </w:rPr>
        <w:t>GB 51108-2015</w:t>
      </w:r>
      <w:r>
        <w:rPr>
          <w:rFonts w:ascii="宋体" w:hAnsi="宋体" w:eastAsia="宋体" w:cs="宋体"/>
          <w:sz w:val="28"/>
          <w:szCs w:val="28"/>
          <w:lang w:eastAsia="zh-CN"/>
        </w:rPr>
        <w:t>）</w:t>
      </w:r>
    </w:p>
    <w:p w14:paraId="54FD033C">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9</w:t>
      </w:r>
      <w:r>
        <w:rPr>
          <w:rFonts w:ascii="宋体" w:hAnsi="宋体" w:eastAsia="宋体" w:cs="宋体"/>
          <w:sz w:val="28"/>
          <w:szCs w:val="28"/>
          <w:lang w:eastAsia="zh-CN"/>
        </w:rPr>
        <w:t>）《中国地震动参数区划图》（</w:t>
      </w:r>
      <w:r>
        <w:rPr>
          <w:rFonts w:ascii="Times New Roman" w:hAnsi="Times New Roman" w:eastAsia="Times New Roman" w:cs="Times New Roman"/>
          <w:sz w:val="28"/>
          <w:szCs w:val="28"/>
          <w:lang w:eastAsia="zh-CN"/>
        </w:rPr>
        <w:t>GB 18306-2015</w:t>
      </w:r>
      <w:r>
        <w:rPr>
          <w:rFonts w:ascii="宋体" w:hAnsi="宋体" w:eastAsia="宋体" w:cs="宋体"/>
          <w:sz w:val="28"/>
          <w:szCs w:val="28"/>
          <w:lang w:eastAsia="zh-CN"/>
        </w:rPr>
        <w:t>）；</w:t>
      </w:r>
    </w:p>
    <w:p w14:paraId="79D16F52">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0</w:t>
      </w:r>
      <w:r>
        <w:rPr>
          <w:rFonts w:ascii="宋体" w:hAnsi="宋体" w:eastAsia="宋体" w:cs="宋体"/>
          <w:sz w:val="28"/>
          <w:szCs w:val="28"/>
          <w:lang w:eastAsia="zh-CN"/>
        </w:rPr>
        <w:t>）《尾矿库安全规程》（</w:t>
      </w:r>
      <w:r>
        <w:rPr>
          <w:rFonts w:ascii="Times New Roman" w:hAnsi="Times New Roman" w:eastAsia="Times New Roman" w:cs="Times New Roman"/>
          <w:sz w:val="28"/>
          <w:szCs w:val="28"/>
          <w:lang w:eastAsia="zh-CN"/>
        </w:rPr>
        <w:t>GB 39496-2020</w:t>
      </w:r>
      <w:r>
        <w:rPr>
          <w:rFonts w:ascii="宋体" w:hAnsi="宋体" w:eastAsia="宋体" w:cs="宋体"/>
          <w:sz w:val="28"/>
          <w:szCs w:val="28"/>
          <w:lang w:eastAsia="zh-CN"/>
        </w:rPr>
        <w:t>）；</w:t>
      </w:r>
    </w:p>
    <w:p w14:paraId="72A891E6">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1</w:t>
      </w:r>
      <w:r>
        <w:rPr>
          <w:rFonts w:ascii="宋体" w:hAnsi="宋体" w:eastAsia="宋体" w:cs="宋体"/>
          <w:sz w:val="28"/>
          <w:szCs w:val="28"/>
          <w:lang w:eastAsia="zh-CN"/>
        </w:rPr>
        <w:t>）《一般工业固体废物贮存和填埋污染控制标准》（</w:t>
      </w:r>
      <w:r>
        <w:rPr>
          <w:rFonts w:ascii="Times New Roman" w:hAnsi="Times New Roman" w:eastAsia="Times New Roman" w:cs="Times New Roman"/>
          <w:sz w:val="28"/>
          <w:szCs w:val="28"/>
          <w:lang w:eastAsia="zh-CN"/>
        </w:rPr>
        <w:t>GB 18599-2020</w:t>
      </w:r>
      <w:r>
        <w:rPr>
          <w:rFonts w:ascii="宋体" w:hAnsi="宋体" w:eastAsia="宋体" w:cs="宋体"/>
          <w:sz w:val="28"/>
          <w:szCs w:val="28"/>
          <w:lang w:eastAsia="zh-CN"/>
        </w:rPr>
        <w:t>）；</w:t>
      </w:r>
    </w:p>
    <w:p w14:paraId="47F22129">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2</w:t>
      </w:r>
      <w:r>
        <w:rPr>
          <w:rFonts w:ascii="宋体" w:hAnsi="宋体" w:eastAsia="宋体" w:cs="宋体"/>
          <w:sz w:val="28"/>
          <w:szCs w:val="28"/>
          <w:lang w:eastAsia="zh-CN"/>
        </w:rPr>
        <w:t>）《厂矿道路设计规范》（</w:t>
      </w:r>
      <w:r>
        <w:rPr>
          <w:rFonts w:ascii="Times New Roman" w:hAnsi="Times New Roman" w:eastAsia="Times New Roman" w:cs="Times New Roman"/>
          <w:sz w:val="28"/>
          <w:szCs w:val="28"/>
          <w:lang w:eastAsia="zh-CN"/>
        </w:rPr>
        <w:t>GBJ 22-1987</w:t>
      </w:r>
      <w:r>
        <w:rPr>
          <w:rFonts w:ascii="宋体" w:hAnsi="宋体" w:eastAsia="宋体" w:cs="宋体"/>
          <w:sz w:val="28"/>
          <w:szCs w:val="28"/>
          <w:lang w:eastAsia="zh-CN"/>
        </w:rPr>
        <w:t>）；</w:t>
      </w:r>
    </w:p>
    <w:p w14:paraId="40C14EF2">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13</w:t>
      </w:r>
      <w:r>
        <w:rPr>
          <w:rFonts w:ascii="宋体" w:hAnsi="宋体" w:eastAsia="宋体" w:cs="宋体"/>
          <w:sz w:val="28"/>
          <w:szCs w:val="28"/>
          <w:lang w:eastAsia="zh-CN"/>
        </w:rPr>
        <w:t>）《建筑抗震设计标准</w:t>
      </w:r>
      <w:r>
        <w:rPr>
          <w:rFonts w:ascii="Times New Roman" w:hAnsi="Times New Roman" w:eastAsia="Times New Roman" w:cs="Times New Roman"/>
          <w:sz w:val="28"/>
          <w:szCs w:val="28"/>
          <w:lang w:eastAsia="zh-CN"/>
        </w:rPr>
        <w:t>[2024</w:t>
      </w:r>
      <w:r>
        <w:rPr>
          <w:rFonts w:ascii="宋体" w:hAnsi="宋体" w:eastAsia="宋体" w:cs="宋体"/>
          <w:sz w:val="28"/>
          <w:szCs w:val="28"/>
          <w:lang w:eastAsia="zh-CN"/>
        </w:rPr>
        <w:t>年版</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(GB/T 50011-2010)</w:t>
      </w:r>
      <w:r>
        <w:rPr>
          <w:rFonts w:ascii="宋体" w:hAnsi="宋体" w:eastAsia="宋体" w:cs="宋体"/>
          <w:sz w:val="28"/>
          <w:szCs w:val="28"/>
          <w:lang w:eastAsia="zh-CN"/>
        </w:rPr>
        <w:t>；</w:t>
      </w:r>
    </w:p>
    <w:p w14:paraId="2EEEFE6F">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14</w:t>
      </w:r>
      <w:r>
        <w:rPr>
          <w:rFonts w:ascii="宋体" w:hAnsi="宋体" w:eastAsia="宋体" w:cs="宋体"/>
          <w:sz w:val="28"/>
          <w:szCs w:val="28"/>
          <w:lang w:eastAsia="zh-CN"/>
        </w:rPr>
        <w:t>）《土工合成材料应用技术规范》（</w:t>
      </w:r>
      <w:r>
        <w:rPr>
          <w:rFonts w:ascii="Times New Roman" w:hAnsi="Times New Roman" w:eastAsia="Times New Roman" w:cs="Times New Roman"/>
          <w:sz w:val="28"/>
          <w:szCs w:val="28"/>
          <w:lang w:eastAsia="zh-CN"/>
        </w:rPr>
        <w:t>GB/T 50290-2014</w:t>
      </w:r>
      <w:r>
        <w:rPr>
          <w:rFonts w:ascii="宋体" w:hAnsi="宋体" w:eastAsia="宋体" w:cs="宋体"/>
          <w:sz w:val="28"/>
          <w:szCs w:val="28"/>
          <w:lang w:eastAsia="zh-CN"/>
        </w:rPr>
        <w:t>）；</w:t>
      </w:r>
    </w:p>
    <w:p w14:paraId="21A3A851">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15</w:t>
      </w:r>
      <w:r>
        <w:rPr>
          <w:rFonts w:ascii="宋体" w:hAnsi="宋体" w:eastAsia="宋体" w:cs="宋体"/>
          <w:sz w:val="28"/>
          <w:szCs w:val="28"/>
          <w:lang w:eastAsia="zh-CN"/>
        </w:rPr>
        <w:t>）《生产经营单位生产安全事故应急预案编制导则》 （</w:t>
      </w:r>
      <w:r>
        <w:rPr>
          <w:rFonts w:ascii="Times New Roman" w:hAnsi="Times New Roman" w:eastAsia="Times New Roman" w:cs="Times New Roman"/>
          <w:sz w:val="28"/>
          <w:szCs w:val="28"/>
          <w:lang w:eastAsia="zh-CN"/>
        </w:rPr>
        <w:t>GB/T 29639-2020</w:t>
      </w:r>
      <w:r>
        <w:rPr>
          <w:rFonts w:ascii="宋体" w:hAnsi="宋体" w:eastAsia="宋体" w:cs="宋体"/>
          <w:sz w:val="28"/>
          <w:szCs w:val="28"/>
          <w:lang w:eastAsia="zh-CN"/>
        </w:rPr>
        <w:t>）；</w:t>
      </w:r>
    </w:p>
    <w:p w14:paraId="1E7CE38D">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16</w:t>
      </w:r>
      <w:r>
        <w:rPr>
          <w:rFonts w:ascii="宋体" w:hAnsi="宋体" w:eastAsia="宋体" w:cs="宋体"/>
          <w:sz w:val="28"/>
          <w:szCs w:val="28"/>
          <w:lang w:eastAsia="zh-CN"/>
        </w:rPr>
        <w:t>）《安全评价通则》（</w:t>
      </w:r>
      <w:r>
        <w:rPr>
          <w:rFonts w:ascii="Times New Roman" w:hAnsi="Times New Roman" w:eastAsia="Times New Roman" w:cs="Times New Roman"/>
          <w:sz w:val="28"/>
          <w:szCs w:val="28"/>
          <w:lang w:eastAsia="zh-CN"/>
        </w:rPr>
        <w:t>AQ 8001-2007</w:t>
      </w:r>
      <w:r>
        <w:rPr>
          <w:rFonts w:ascii="宋体" w:hAnsi="宋体" w:eastAsia="宋体" w:cs="宋体"/>
          <w:sz w:val="28"/>
          <w:szCs w:val="28"/>
          <w:lang w:eastAsia="zh-CN"/>
        </w:rPr>
        <w:t>）；</w:t>
      </w:r>
    </w:p>
    <w:p w14:paraId="38324D93">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17</w:t>
      </w:r>
      <w:r>
        <w:rPr>
          <w:rFonts w:ascii="宋体" w:hAnsi="宋体" w:eastAsia="宋体" w:cs="宋体"/>
          <w:sz w:val="28"/>
          <w:szCs w:val="28"/>
          <w:lang w:eastAsia="zh-CN"/>
        </w:rPr>
        <w:t>）《尾矿库安全监测技术规范》（</w:t>
      </w:r>
      <w:r>
        <w:rPr>
          <w:rFonts w:ascii="Times New Roman" w:hAnsi="Times New Roman" w:eastAsia="Times New Roman" w:cs="Times New Roman"/>
          <w:sz w:val="28"/>
          <w:szCs w:val="28"/>
          <w:lang w:eastAsia="zh-CN"/>
        </w:rPr>
        <w:t>AQ 2030-2010</w:t>
      </w:r>
      <w:r>
        <w:rPr>
          <w:rFonts w:ascii="宋体" w:hAnsi="宋体" w:eastAsia="宋体" w:cs="宋体"/>
          <w:sz w:val="28"/>
          <w:szCs w:val="28"/>
          <w:lang w:eastAsia="zh-CN"/>
        </w:rPr>
        <w:t>）；</w:t>
      </w:r>
    </w:p>
    <w:p w14:paraId="7CD6C076">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18</w:t>
      </w:r>
      <w:r>
        <w:rPr>
          <w:rFonts w:ascii="宋体" w:hAnsi="宋体" w:eastAsia="宋体" w:cs="宋体"/>
          <w:sz w:val="28"/>
          <w:szCs w:val="28"/>
          <w:lang w:eastAsia="zh-CN"/>
        </w:rPr>
        <w:t>）《水工混凝土结构设计规范》（</w:t>
      </w:r>
      <w:r>
        <w:rPr>
          <w:rFonts w:ascii="Times New Roman" w:hAnsi="Times New Roman" w:eastAsia="Times New Roman" w:cs="Times New Roman"/>
          <w:sz w:val="28"/>
          <w:szCs w:val="28"/>
          <w:lang w:eastAsia="zh-CN"/>
        </w:rPr>
        <w:t>SL 191-2008</w:t>
      </w:r>
      <w:r>
        <w:rPr>
          <w:rFonts w:ascii="宋体" w:hAnsi="宋体" w:eastAsia="宋体" w:cs="宋体"/>
          <w:sz w:val="28"/>
          <w:szCs w:val="28"/>
          <w:lang w:eastAsia="zh-CN"/>
        </w:rPr>
        <w:t>）；</w:t>
      </w:r>
    </w:p>
    <w:p w14:paraId="55A27AAF">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19</w:t>
      </w:r>
      <w:r>
        <w:rPr>
          <w:rFonts w:ascii="宋体" w:hAnsi="宋体" w:eastAsia="宋体" w:cs="宋体"/>
          <w:sz w:val="28"/>
          <w:szCs w:val="28"/>
          <w:lang w:eastAsia="zh-CN"/>
        </w:rPr>
        <w:t>）《碾压式土石坝设计规范》（</w:t>
      </w:r>
      <w:r>
        <w:rPr>
          <w:rFonts w:ascii="Times New Roman" w:hAnsi="Times New Roman" w:eastAsia="Times New Roman" w:cs="Times New Roman"/>
          <w:sz w:val="28"/>
          <w:szCs w:val="28"/>
          <w:lang w:eastAsia="zh-CN"/>
        </w:rPr>
        <w:t>SL 274-2020</w:t>
      </w:r>
      <w:r>
        <w:rPr>
          <w:rFonts w:ascii="宋体" w:hAnsi="宋体" w:eastAsia="宋体" w:cs="宋体"/>
          <w:sz w:val="28"/>
          <w:szCs w:val="28"/>
          <w:lang w:eastAsia="zh-CN"/>
        </w:rPr>
        <w:t>）；</w:t>
      </w:r>
    </w:p>
    <w:p w14:paraId="55496350">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20</w:t>
      </w:r>
      <w:r>
        <w:rPr>
          <w:rFonts w:ascii="宋体" w:hAnsi="宋体" w:eastAsia="宋体" w:cs="宋体"/>
          <w:sz w:val="28"/>
          <w:szCs w:val="28"/>
          <w:lang w:eastAsia="zh-CN"/>
        </w:rPr>
        <w:t>）《碾压式土石坝施工规范》（</w:t>
      </w:r>
      <w:r>
        <w:rPr>
          <w:rFonts w:ascii="Times New Roman" w:hAnsi="Times New Roman" w:eastAsia="Times New Roman" w:cs="Times New Roman"/>
          <w:sz w:val="28"/>
          <w:szCs w:val="28"/>
          <w:lang w:eastAsia="zh-CN"/>
        </w:rPr>
        <w:t>DL/T 5129-2013</w:t>
      </w:r>
      <w:r>
        <w:rPr>
          <w:rFonts w:ascii="宋体" w:hAnsi="宋体" w:eastAsia="宋体" w:cs="宋体"/>
          <w:sz w:val="28"/>
          <w:szCs w:val="28"/>
          <w:lang w:eastAsia="zh-CN"/>
        </w:rPr>
        <w:t>）；</w:t>
      </w:r>
    </w:p>
    <w:p w14:paraId="7B73E8CC">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）《水电工程水工建筑物抗震设计规范》（行业标准第一号修改 单，</w:t>
      </w:r>
      <w:r>
        <w:rPr>
          <w:rFonts w:ascii="Times New Roman" w:hAnsi="Times New Roman" w:eastAsia="Times New Roman" w:cs="Times New Roman"/>
          <w:sz w:val="28"/>
          <w:szCs w:val="28"/>
          <w:lang w:eastAsia="zh-CN"/>
        </w:rPr>
        <w:t>NB</w:t>
      </w:r>
      <w:r>
        <w:rPr>
          <w:rFonts w:hint="eastAsia" w:ascii="Times New Roman" w:hAnsi="Times New Roman" w:eastAsia="宋体" w:cs="Times New Roman"/>
          <w:sz w:val="28"/>
          <w:szCs w:val="28"/>
          <w:lang w:eastAsia="zh-CN"/>
        </w:rPr>
        <w:t xml:space="preserve"> </w:t>
      </w:r>
      <w:r>
        <w:rPr>
          <w:rFonts w:ascii="Times New Roman" w:hAnsi="Times New Roman" w:eastAsia="Times New Roman" w:cs="Times New Roman"/>
          <w:sz w:val="28"/>
          <w:szCs w:val="28"/>
          <w:lang w:eastAsia="zh-CN"/>
        </w:rPr>
        <w:t>35047-2015/XG1-2021</w:t>
      </w:r>
      <w:r>
        <w:rPr>
          <w:rFonts w:ascii="宋体" w:hAnsi="宋体" w:eastAsia="宋体" w:cs="宋体"/>
          <w:sz w:val="28"/>
          <w:szCs w:val="28"/>
          <w:lang w:eastAsia="zh-CN"/>
        </w:rPr>
        <w:t>）；</w:t>
      </w:r>
    </w:p>
    <w:p w14:paraId="28B6DA2A">
      <w:pPr>
        <w:keepNext w:val="0"/>
        <w:keepLines w:val="0"/>
        <w:pageBreakBefore w:val="0"/>
        <w:widowControl/>
        <w:wordWrap/>
        <w:overflowPunct/>
        <w:topLinePunct w:val="0"/>
        <w:bidi w:val="0"/>
        <w:adjustRightInd w:val="0"/>
        <w:snapToGrid w:val="0"/>
        <w:spacing w:line="360" w:lineRule="auto"/>
        <w:textAlignment w:val="baseline"/>
        <w:outlineLvl w:val="2"/>
        <w:rPr>
          <w:rFonts w:hint="eastAsia" w:ascii="宋体" w:hAnsi="宋体" w:eastAsia="宋体" w:cs="宋体"/>
          <w:sz w:val="28"/>
          <w:szCs w:val="28"/>
          <w:lang w:eastAsia="zh-CN"/>
        </w:rPr>
      </w:pPr>
      <w:bookmarkStart w:id="18" w:name="_Toc26168"/>
      <w:bookmarkStart w:id="19" w:name="_Toc21530"/>
      <w:bookmarkStart w:id="20" w:name="_Toc24146"/>
      <w:r>
        <w:rPr>
          <w:rFonts w:ascii="Times New Roman" w:hAnsi="Times New Roman" w:eastAsia="Times New Roman" w:cs="Times New Roman"/>
          <w:b/>
          <w:bCs/>
          <w:sz w:val="28"/>
          <w:szCs w:val="28"/>
          <w:lang w:eastAsia="zh-CN"/>
        </w:rPr>
        <w:t xml:space="preserve">1.3.3 </w:t>
      </w:r>
      <w:r>
        <w:rPr>
          <w:rFonts w:ascii="宋体" w:hAnsi="宋体" w:eastAsia="宋体" w:cs="宋体"/>
          <w:b/>
          <w:bCs/>
          <w:sz w:val="28"/>
          <w:szCs w:val="28"/>
          <w:lang w:eastAsia="zh-CN"/>
        </w:rPr>
        <w:t>建设项目技术资料</w:t>
      </w:r>
      <w:bookmarkEnd w:id="18"/>
      <w:bookmarkEnd w:id="19"/>
      <w:bookmarkEnd w:id="20"/>
    </w:p>
    <w:p w14:paraId="09DC4112">
      <w:pPr>
        <w:keepNext w:val="0"/>
        <w:keepLines w:val="0"/>
        <w:pageBreakBefore w:val="0"/>
        <w:widowControl/>
        <w:wordWrap/>
        <w:overflowPunct/>
        <w:topLinePunct w:val="0"/>
        <w:bidi w:val="0"/>
        <w:adjustRightInd w:val="0"/>
        <w:snapToGrid w:val="0"/>
        <w:spacing w:line="360" w:lineRule="auto"/>
        <w:ind w:firstLine="567"/>
        <w:textAlignment w:val="baseline"/>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w:t>
      </w:r>
      <w:r>
        <w:rPr>
          <w:rFonts w:ascii="Times New Roman" w:hAnsi="Times New Roman" w:eastAsia="Times New Roman" w:cs="Times New Roman"/>
          <w:color w:val="auto"/>
          <w:sz w:val="28"/>
          <w:szCs w:val="28"/>
          <w:lang w:eastAsia="zh-CN"/>
        </w:rPr>
        <w:t>1</w:t>
      </w: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凤城市添合矿业有限公司</w:t>
      </w:r>
      <w:r>
        <w:rPr>
          <w:rFonts w:ascii="Times New Roman" w:hAnsi="Times New Roman" w:eastAsia="宋体" w:cs="Times New Roman"/>
          <w:color w:val="auto"/>
          <w:sz w:val="28"/>
          <w:szCs w:val="28"/>
          <w:lang w:eastAsia="zh-CN"/>
        </w:rPr>
        <w:t>和辽宁诺诚安全科技有限公司双方签订的安全评价技术服务合同；</w:t>
      </w:r>
    </w:p>
    <w:p w14:paraId="093E787A">
      <w:pPr>
        <w:keepNext w:val="0"/>
        <w:keepLines w:val="0"/>
        <w:pageBreakBefore w:val="0"/>
        <w:widowControl/>
        <w:kinsoku/>
        <w:wordWrap/>
        <w:overflowPunct/>
        <w:topLinePunct w:val="0"/>
        <w:autoSpaceDE/>
        <w:autoSpaceDN/>
        <w:bidi w:val="0"/>
        <w:adjustRightInd w:val="0"/>
        <w:snapToGrid w:val="0"/>
        <w:spacing w:before="0" w:after="0" w:line="360" w:lineRule="auto"/>
        <w:ind w:firstLine="560" w:firstLineChars="200"/>
        <w:textAlignment w:val="baseline"/>
        <w:rPr>
          <w:rFonts w:hint="default" w:ascii="Times New Roman" w:hAnsi="Times New Roman" w:cs="Times New Roman"/>
          <w:color w:val="auto"/>
          <w:sz w:val="28"/>
          <w:szCs w:val="28"/>
          <w:lang w:eastAsia="zh-CN"/>
        </w:rPr>
      </w:pPr>
      <w:r>
        <w:rPr>
          <w:rFonts w:hint="default" w:ascii="Times New Roman" w:hAnsi="Times New Roman" w:cs="Times New Roman"/>
          <w:color w:val="auto"/>
          <w:sz w:val="28"/>
          <w:szCs w:val="28"/>
          <w:lang w:eastAsia="zh-CN"/>
        </w:rPr>
        <w:t>（</w:t>
      </w:r>
      <w:r>
        <w:rPr>
          <w:rFonts w:hint="eastAsia" w:ascii="Times New Roman" w:hAnsi="Times New Roman" w:cs="Times New Roman"/>
          <w:color w:val="auto"/>
          <w:sz w:val="28"/>
          <w:szCs w:val="28"/>
          <w:lang w:val="en-US" w:eastAsia="zh-CN"/>
        </w:rPr>
        <w:t>2</w:t>
      </w:r>
      <w:r>
        <w:rPr>
          <w:rFonts w:hint="default" w:ascii="Times New Roman" w:hAnsi="Times New Roman" w:cs="Times New Roman"/>
          <w:color w:val="auto"/>
          <w:sz w:val="28"/>
          <w:szCs w:val="28"/>
          <w:lang w:eastAsia="zh-CN"/>
        </w:rPr>
        <w:t>）《</w:t>
      </w:r>
      <w:r>
        <w:rPr>
          <w:rFonts w:hint="default" w:ascii="Times New Roman" w:hAnsi="Times New Roman" w:cs="Times New Roman"/>
          <w:color w:val="auto"/>
          <w:sz w:val="28"/>
          <w:szCs w:val="28"/>
          <w:lang w:val="en-US" w:eastAsia="zh-CN"/>
        </w:rPr>
        <w:t>凤城市天合实业有限公司尾矿库设计报告</w:t>
      </w:r>
      <w:r>
        <w:rPr>
          <w:rFonts w:hint="default" w:ascii="Times New Roman" w:hAnsi="Times New Roman" w:cs="Times New Roman"/>
          <w:color w:val="auto"/>
          <w:sz w:val="28"/>
          <w:szCs w:val="28"/>
          <w:lang w:eastAsia="zh-CN"/>
        </w:rPr>
        <w:t>》（</w:t>
      </w:r>
      <w:r>
        <w:rPr>
          <w:rFonts w:hint="default" w:ascii="Times New Roman" w:hAnsi="Times New Roman" w:cs="Times New Roman"/>
          <w:color w:val="auto"/>
          <w:sz w:val="28"/>
          <w:szCs w:val="28"/>
          <w:lang w:val="en-US" w:eastAsia="zh-CN"/>
        </w:rPr>
        <w:t>中国冶金矿业总公司鞍山冶金设计研究所</w:t>
      </w:r>
      <w:r>
        <w:rPr>
          <w:rFonts w:hint="default" w:ascii="Times New Roman" w:hAnsi="Times New Roman" w:cs="Times New Roman"/>
          <w:color w:val="auto"/>
          <w:sz w:val="28"/>
          <w:szCs w:val="28"/>
          <w:lang w:eastAsia="zh-CN"/>
        </w:rPr>
        <w:t>，20</w:t>
      </w:r>
      <w:r>
        <w:rPr>
          <w:rFonts w:hint="default" w:ascii="Times New Roman" w:hAnsi="Times New Roman" w:cs="Times New Roman"/>
          <w:color w:val="auto"/>
          <w:sz w:val="28"/>
          <w:szCs w:val="28"/>
          <w:lang w:val="en-US" w:eastAsia="zh-CN"/>
        </w:rPr>
        <w:t>05</w:t>
      </w:r>
      <w:r>
        <w:rPr>
          <w:rFonts w:hint="default" w:ascii="Times New Roman" w:hAnsi="Times New Roman" w:cs="Times New Roman"/>
          <w:color w:val="auto"/>
          <w:sz w:val="28"/>
          <w:szCs w:val="28"/>
          <w:lang w:eastAsia="zh-CN"/>
        </w:rPr>
        <w:t>年</w:t>
      </w:r>
      <w:r>
        <w:rPr>
          <w:rFonts w:hint="default" w:ascii="Times New Roman" w:hAnsi="Times New Roman" w:cs="Times New Roman"/>
          <w:color w:val="auto"/>
          <w:sz w:val="28"/>
          <w:szCs w:val="28"/>
          <w:lang w:val="en-US" w:eastAsia="zh-CN"/>
        </w:rPr>
        <w:t>9</w:t>
      </w:r>
      <w:r>
        <w:rPr>
          <w:rFonts w:hint="default" w:ascii="Times New Roman" w:hAnsi="Times New Roman" w:cs="Times New Roman"/>
          <w:color w:val="auto"/>
          <w:sz w:val="28"/>
          <w:szCs w:val="28"/>
          <w:lang w:eastAsia="zh-CN"/>
        </w:rPr>
        <w:t>月）；</w:t>
      </w:r>
    </w:p>
    <w:p w14:paraId="5F71B2AF">
      <w:pPr>
        <w:keepNext w:val="0"/>
        <w:keepLines w:val="0"/>
        <w:pageBreakBefore w:val="0"/>
        <w:widowControl/>
        <w:wordWrap/>
        <w:overflowPunct/>
        <w:topLinePunct w:val="0"/>
        <w:bidi w:val="0"/>
        <w:adjustRightInd w:val="0"/>
        <w:snapToGrid w:val="0"/>
        <w:spacing w:line="360" w:lineRule="auto"/>
        <w:ind w:firstLine="567"/>
        <w:textAlignment w:val="baseline"/>
        <w:rPr>
          <w:rFonts w:hint="default"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3）</w:t>
      </w:r>
      <w:r>
        <w:rPr>
          <w:rFonts w:hint="default" w:ascii="Times New Roman" w:hAnsi="Times New Roman" w:eastAsia="宋体" w:cs="Times New Roman"/>
          <w:color w:val="auto"/>
          <w:sz w:val="28"/>
          <w:szCs w:val="28"/>
          <w:lang w:eastAsia="zh-CN"/>
        </w:rPr>
        <w:t>《凤城市天合矿业有限公司尾矿库现状坝体岩土工程勘察报告》</w:t>
      </w:r>
      <w:r>
        <w:rPr>
          <w:rFonts w:hint="eastAsia" w:ascii="Times New Roman" w:hAnsi="Times New Roman" w:eastAsia="宋体" w:cs="Times New Roman"/>
          <w:color w:val="auto"/>
          <w:sz w:val="28"/>
          <w:szCs w:val="28"/>
          <w:lang w:eastAsia="zh-CN"/>
        </w:rPr>
        <w:t>（沈阳核工业建设工</w:t>
      </w:r>
      <w:r>
        <w:rPr>
          <w:rFonts w:hint="default" w:ascii="Times New Roman" w:hAnsi="Times New Roman" w:eastAsia="宋体" w:cs="Times New Roman"/>
          <w:color w:val="auto"/>
          <w:sz w:val="28"/>
          <w:szCs w:val="28"/>
          <w:lang w:eastAsia="zh-CN"/>
        </w:rPr>
        <w:t>程总公司，</w:t>
      </w:r>
      <w:r>
        <w:rPr>
          <w:rFonts w:hint="default" w:ascii="Times New Roman" w:hAnsi="Times New Roman" w:cs="Times New Roman"/>
          <w:color w:val="auto"/>
          <w:sz w:val="28"/>
          <w:szCs w:val="28"/>
          <w:lang w:eastAsia="zh-CN"/>
        </w:rPr>
        <w:t>2019年7月</w:t>
      </w:r>
      <w:r>
        <w:rPr>
          <w:rFonts w:hint="eastAsia" w:ascii="Times New Roman" w:hAnsi="Times New Roman" w:eastAsia="宋体" w:cs="Times New Roman"/>
          <w:color w:val="auto"/>
          <w:sz w:val="28"/>
          <w:szCs w:val="28"/>
          <w:lang w:eastAsia="zh-CN"/>
        </w:rPr>
        <w:t>）；</w:t>
      </w:r>
    </w:p>
    <w:p w14:paraId="34A64299">
      <w:pPr>
        <w:keepNext w:val="0"/>
        <w:keepLines w:val="0"/>
        <w:pageBreakBefore w:val="0"/>
        <w:widowControl/>
        <w:wordWrap/>
        <w:overflowPunct/>
        <w:topLinePunct w:val="0"/>
        <w:bidi w:val="0"/>
        <w:adjustRightInd w:val="0"/>
        <w:snapToGrid w:val="0"/>
        <w:spacing w:line="360" w:lineRule="auto"/>
        <w:ind w:firstLine="567"/>
        <w:textAlignment w:val="baseline"/>
        <w:rPr>
          <w:rFonts w:hint="default" w:ascii="Times New Roman" w:hAnsi="Times New Roman" w:eastAsia="宋体" w:cs="Times New Roman"/>
          <w:color w:val="auto"/>
          <w:sz w:val="28"/>
          <w:szCs w:val="28"/>
          <w:lang w:eastAsia="zh-CN"/>
        </w:rPr>
      </w:pPr>
      <w:r>
        <w:rPr>
          <w:rFonts w:hint="default"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4</w:t>
      </w:r>
      <w:r>
        <w:rPr>
          <w:rFonts w:hint="default" w:ascii="Times New Roman" w:hAnsi="Times New Roman" w:eastAsia="宋体" w:cs="Times New Roman"/>
          <w:color w:val="auto"/>
          <w:sz w:val="28"/>
          <w:szCs w:val="28"/>
          <w:lang w:eastAsia="zh-CN"/>
        </w:rPr>
        <w:t>）</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凤城市天合矿业有限公司尾矿库加高扩容工程初步设计</w:t>
      </w:r>
      <w:r>
        <w:rPr>
          <w:rFonts w:hint="default" w:ascii="Times New Roman" w:hAnsi="Times New Roman" w:eastAsia="宋体" w:cs="Times New Roman"/>
          <w:color w:val="auto"/>
          <w:sz w:val="28"/>
          <w:szCs w:val="28"/>
          <w:lang w:val="en-US" w:eastAsia="zh-CN"/>
        </w:rPr>
        <w:t>》</w:t>
      </w:r>
      <w:r>
        <w:rPr>
          <w:rFonts w:hint="default"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兰州有色冶金设计研究院有限公司沈阳分公司</w:t>
      </w:r>
      <w:r>
        <w:rPr>
          <w:rFonts w:hint="default" w:ascii="Times New Roman" w:hAnsi="Times New Roman" w:eastAsia="宋体" w:cs="Times New Roman"/>
          <w:color w:val="auto"/>
          <w:sz w:val="28"/>
          <w:szCs w:val="28"/>
          <w:lang w:eastAsia="zh-CN"/>
        </w:rPr>
        <w:t>，</w:t>
      </w:r>
      <w:r>
        <w:rPr>
          <w:rFonts w:hint="default" w:ascii="Times New Roman" w:hAnsi="Times New Roman" w:eastAsia="宋体" w:cs="Times New Roman"/>
          <w:color w:val="auto"/>
          <w:sz w:val="28"/>
          <w:szCs w:val="28"/>
          <w:lang w:val="en-US" w:eastAsia="zh-CN"/>
        </w:rPr>
        <w:t>2019年</w:t>
      </w:r>
      <w:r>
        <w:rPr>
          <w:rFonts w:hint="eastAsia" w:ascii="Times New Roman" w:hAnsi="Times New Roman" w:eastAsia="宋体" w:cs="Times New Roman"/>
          <w:color w:val="auto"/>
          <w:sz w:val="28"/>
          <w:szCs w:val="28"/>
          <w:lang w:val="en-US" w:eastAsia="zh-CN"/>
        </w:rPr>
        <w:t>12</w:t>
      </w:r>
      <w:r>
        <w:rPr>
          <w:rFonts w:hint="default" w:ascii="Times New Roman" w:hAnsi="Times New Roman" w:eastAsia="宋体" w:cs="Times New Roman"/>
          <w:color w:val="auto"/>
          <w:sz w:val="28"/>
          <w:szCs w:val="28"/>
          <w:lang w:val="en-US" w:eastAsia="zh-CN"/>
        </w:rPr>
        <w:t>月</w:t>
      </w:r>
      <w:r>
        <w:rPr>
          <w:rFonts w:hint="default" w:ascii="Times New Roman" w:hAnsi="Times New Roman" w:eastAsia="宋体" w:cs="Times New Roman"/>
          <w:color w:val="auto"/>
          <w:sz w:val="28"/>
          <w:szCs w:val="28"/>
          <w:lang w:eastAsia="zh-CN"/>
        </w:rPr>
        <w:t>）；</w:t>
      </w:r>
    </w:p>
    <w:p w14:paraId="3C754530">
      <w:pPr>
        <w:keepNext w:val="0"/>
        <w:keepLines w:val="0"/>
        <w:pageBreakBefore w:val="0"/>
        <w:widowControl/>
        <w:wordWrap/>
        <w:overflowPunct/>
        <w:topLinePunct w:val="0"/>
        <w:bidi w:val="0"/>
        <w:adjustRightInd w:val="0"/>
        <w:snapToGrid w:val="0"/>
        <w:spacing w:line="360" w:lineRule="auto"/>
        <w:ind w:firstLine="567"/>
        <w:textAlignment w:val="baseline"/>
        <w:rPr>
          <w:rFonts w:hint="default"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5）</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凤城市天合矿业有限公司尾矿库加高扩容工程安全设施设计</w:t>
      </w:r>
      <w:r>
        <w:rPr>
          <w:rFonts w:hint="default" w:ascii="Times New Roman" w:hAnsi="Times New Roman" w:eastAsia="宋体" w:cs="Times New Roman"/>
          <w:color w:val="auto"/>
          <w:sz w:val="28"/>
          <w:szCs w:val="28"/>
          <w:lang w:val="en-US" w:eastAsia="zh-CN"/>
        </w:rPr>
        <w:t>》</w:t>
      </w:r>
      <w:r>
        <w:rPr>
          <w:rFonts w:hint="default"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兰州有色冶金设计研究院有限公司沈阳分公司</w:t>
      </w:r>
      <w:r>
        <w:rPr>
          <w:rFonts w:hint="default" w:ascii="Times New Roman" w:hAnsi="Times New Roman" w:eastAsia="宋体" w:cs="Times New Roman"/>
          <w:color w:val="auto"/>
          <w:sz w:val="28"/>
          <w:szCs w:val="28"/>
          <w:lang w:val="en-US" w:eastAsia="zh-CN"/>
        </w:rPr>
        <w:t>，2019年</w:t>
      </w:r>
      <w:r>
        <w:rPr>
          <w:rFonts w:hint="eastAsia" w:ascii="Times New Roman" w:hAnsi="Times New Roman" w:eastAsia="宋体" w:cs="Times New Roman"/>
          <w:color w:val="auto"/>
          <w:sz w:val="28"/>
          <w:szCs w:val="28"/>
          <w:lang w:val="en-US" w:eastAsia="zh-CN"/>
        </w:rPr>
        <w:t>12</w:t>
      </w:r>
      <w:r>
        <w:rPr>
          <w:rFonts w:hint="default" w:ascii="Times New Roman" w:hAnsi="Times New Roman" w:eastAsia="宋体" w:cs="Times New Roman"/>
          <w:color w:val="auto"/>
          <w:sz w:val="28"/>
          <w:szCs w:val="28"/>
          <w:lang w:val="en-US" w:eastAsia="zh-CN"/>
        </w:rPr>
        <w:t>月）；</w:t>
      </w:r>
    </w:p>
    <w:p w14:paraId="77EC27E6">
      <w:pPr>
        <w:keepNext w:val="0"/>
        <w:keepLines w:val="0"/>
        <w:pageBreakBefore w:val="0"/>
        <w:widowControl/>
        <w:wordWrap/>
        <w:overflowPunct/>
        <w:topLinePunct w:val="0"/>
        <w:bidi w:val="0"/>
        <w:adjustRightInd w:val="0"/>
        <w:snapToGrid w:val="0"/>
        <w:spacing w:line="360" w:lineRule="auto"/>
        <w:ind w:firstLine="567"/>
        <w:textAlignment w:val="baseline"/>
        <w:rPr>
          <w:rFonts w:hint="default"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val="en-US" w:eastAsia="zh-CN"/>
        </w:rPr>
        <w:t>（6）</w:t>
      </w:r>
      <w:r>
        <w:rPr>
          <w:rFonts w:hint="default"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val="zh-CN" w:eastAsia="zh-CN"/>
        </w:rPr>
        <w:t>凤城市添合矿业有限公司</w:t>
      </w:r>
      <w:r>
        <w:rPr>
          <w:rFonts w:hint="default" w:ascii="Times New Roman" w:hAnsi="Times New Roman" w:eastAsia="宋体" w:cs="Times New Roman"/>
          <w:color w:val="auto"/>
          <w:sz w:val="28"/>
          <w:szCs w:val="28"/>
          <w:lang w:val="zh-CN" w:eastAsia="zh-CN"/>
        </w:rPr>
        <w:t>尾矿库在线监测系统</w:t>
      </w:r>
      <w:r>
        <w:rPr>
          <w:rFonts w:hint="eastAsia" w:ascii="Times New Roman" w:hAnsi="Times New Roman" w:eastAsia="宋体" w:cs="Times New Roman"/>
          <w:color w:val="auto"/>
          <w:sz w:val="28"/>
          <w:szCs w:val="28"/>
          <w:lang w:val="en-US" w:eastAsia="zh-CN"/>
        </w:rPr>
        <w:t>项目</w:t>
      </w:r>
      <w:r>
        <w:rPr>
          <w:rFonts w:hint="default" w:ascii="Times New Roman" w:hAnsi="Times New Roman" w:eastAsia="宋体" w:cs="Times New Roman"/>
          <w:color w:val="auto"/>
          <w:sz w:val="28"/>
          <w:szCs w:val="28"/>
          <w:lang w:val="zh-CN" w:eastAsia="zh-CN"/>
        </w:rPr>
        <w:t>设计方案》</w:t>
      </w:r>
      <w:r>
        <w:rPr>
          <w:rFonts w:hint="eastAsia"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val="en-US" w:eastAsia="zh-CN"/>
        </w:rPr>
        <w:t>辽宁有色勘察研究院有限责任公司，2021年5月）；</w:t>
      </w:r>
    </w:p>
    <w:p w14:paraId="30D9C1CF">
      <w:pPr>
        <w:keepNext w:val="0"/>
        <w:keepLines w:val="0"/>
        <w:pageBreakBefore w:val="0"/>
        <w:widowControl/>
        <w:wordWrap/>
        <w:overflowPunct/>
        <w:topLinePunct w:val="0"/>
        <w:bidi w:val="0"/>
        <w:adjustRightInd w:val="0"/>
        <w:snapToGrid w:val="0"/>
        <w:spacing w:line="360" w:lineRule="auto"/>
        <w:ind w:firstLine="567"/>
        <w:textAlignment w:val="baseline"/>
        <w:rPr>
          <w:rFonts w:hint="default" w:ascii="Times New Roman" w:hAnsi="Times New Roman" w:eastAsia="宋体" w:cs="Times New Roman"/>
          <w:color w:val="auto"/>
          <w:sz w:val="28"/>
          <w:szCs w:val="28"/>
          <w:lang w:eastAsia="zh-CN"/>
        </w:rPr>
      </w:pPr>
      <w:r>
        <w:rPr>
          <w:rFonts w:hint="eastAsia" w:ascii="Times New Roman" w:hAnsi="Times New Roman" w:cs="Times New Roman"/>
          <w:color w:val="auto"/>
          <w:sz w:val="28"/>
          <w:szCs w:val="28"/>
          <w:lang w:val="en-US" w:eastAsia="zh-CN"/>
        </w:rPr>
        <w:t>（7）</w:t>
      </w:r>
      <w:r>
        <w:rPr>
          <w:rFonts w:hint="default" w:ascii="Times New Roman" w:hAnsi="Times New Roman" w:eastAsia="宋体" w:cs="Times New Roman"/>
          <w:color w:val="auto"/>
          <w:sz w:val="28"/>
          <w:szCs w:val="28"/>
          <w:lang w:eastAsia="zh-CN"/>
        </w:rPr>
        <w:t>《凤城市添合矿业有限公司尾矿库加高扩容工程安全设施验收评价报告》(沈阳万益安全科技有限公司，2022年11月</w:t>
      </w:r>
      <w:r>
        <w:rPr>
          <w:rFonts w:hint="eastAsia" w:ascii="Times New Roman" w:hAnsi="Times New Roman" w:eastAsia="宋体" w:cs="Times New Roman"/>
          <w:color w:val="auto"/>
          <w:sz w:val="28"/>
          <w:szCs w:val="28"/>
          <w:lang w:eastAsia="zh-CN"/>
        </w:rPr>
        <w:t>）；</w:t>
      </w:r>
    </w:p>
    <w:p w14:paraId="73E1F210">
      <w:pPr>
        <w:keepNext w:val="0"/>
        <w:keepLines w:val="0"/>
        <w:pageBreakBefore w:val="0"/>
        <w:widowControl/>
        <w:kinsoku/>
        <w:wordWrap/>
        <w:overflowPunct/>
        <w:topLinePunct w:val="0"/>
        <w:autoSpaceDE/>
        <w:autoSpaceDN/>
        <w:bidi w:val="0"/>
        <w:adjustRightInd w:val="0"/>
        <w:snapToGrid w:val="0"/>
        <w:spacing w:before="0" w:after="0" w:line="360" w:lineRule="auto"/>
        <w:ind w:firstLine="560" w:firstLineChars="200"/>
        <w:textAlignment w:val="baseline"/>
        <w:rPr>
          <w:rFonts w:hint="eastAsia" w:ascii="Times New Roman" w:hAnsi="Times New Roman" w:cs="Times New Roman"/>
          <w:color w:val="auto"/>
          <w:sz w:val="28"/>
          <w:szCs w:val="28"/>
          <w:lang w:val="en-US" w:eastAsia="zh-CN"/>
        </w:rPr>
      </w:pPr>
      <w:r>
        <w:rPr>
          <w:rFonts w:hint="eastAsia" w:ascii="Times New Roman" w:hAnsi="Times New Roman" w:cs="Times New Roman"/>
          <w:color w:val="auto"/>
          <w:sz w:val="28"/>
          <w:szCs w:val="28"/>
          <w:lang w:val="en-US" w:eastAsia="zh-CN"/>
        </w:rPr>
        <w:t>（8）《凤城市添合矿业有限公司尾矿库安全性复核报告》（中国冶   金矿业中国矿业鞍山冶金设计研究院有限责任公司，2023年7月）；</w:t>
      </w:r>
    </w:p>
    <w:p w14:paraId="0AFCA5DD">
      <w:pPr>
        <w:keepNext w:val="0"/>
        <w:keepLines w:val="0"/>
        <w:pageBreakBefore w:val="0"/>
        <w:widowControl/>
        <w:kinsoku/>
        <w:wordWrap/>
        <w:overflowPunct/>
        <w:topLinePunct w:val="0"/>
        <w:autoSpaceDE/>
        <w:autoSpaceDN/>
        <w:bidi w:val="0"/>
        <w:adjustRightInd w:val="0"/>
        <w:snapToGrid w:val="0"/>
        <w:spacing w:before="0" w:after="0" w:line="360" w:lineRule="auto"/>
        <w:ind w:firstLine="560" w:firstLineChars="200"/>
        <w:textAlignment w:val="baseline"/>
        <w:rPr>
          <w:rFonts w:hint="default" w:ascii="Times New Roman" w:hAnsi="Times New Roman" w:cs="Times New Roman"/>
          <w:color w:val="auto"/>
          <w:sz w:val="28"/>
          <w:szCs w:val="28"/>
          <w:lang w:val="en-US" w:eastAsia="zh-CN"/>
        </w:rPr>
      </w:pPr>
      <w:r>
        <w:rPr>
          <w:rFonts w:hint="eastAsia" w:ascii="Times New Roman" w:hAnsi="Times New Roman" w:cs="Times New Roman"/>
          <w:color w:val="auto"/>
          <w:sz w:val="28"/>
          <w:szCs w:val="28"/>
          <w:lang w:val="en-US" w:eastAsia="zh-CN"/>
        </w:rPr>
        <w:t>（9）《凤城市添合矿业有限公司尾矿库构筑物结构工程质量检测》（辽宁东辰检测技术有限公司，2024年5月）；</w:t>
      </w:r>
    </w:p>
    <w:p w14:paraId="41C1CBD2">
      <w:pPr>
        <w:keepNext w:val="0"/>
        <w:keepLines w:val="0"/>
        <w:pageBreakBefore w:val="0"/>
        <w:widowControl/>
        <w:kinsoku/>
        <w:wordWrap/>
        <w:overflowPunct/>
        <w:topLinePunct w:val="0"/>
        <w:autoSpaceDE/>
        <w:autoSpaceDN/>
        <w:bidi w:val="0"/>
        <w:adjustRightInd w:val="0"/>
        <w:snapToGrid w:val="0"/>
        <w:spacing w:before="0" w:after="0" w:line="360" w:lineRule="auto"/>
        <w:ind w:firstLine="560" w:firstLineChars="200"/>
        <w:textAlignment w:val="baseline"/>
        <w:rPr>
          <w:rFonts w:hint="eastAsia" w:ascii="Times New Roman" w:hAnsi="Times New Roman" w:cs="Times New Roman"/>
          <w:color w:val="auto"/>
          <w:sz w:val="28"/>
          <w:szCs w:val="28"/>
          <w:lang w:val="en-US" w:eastAsia="zh-CN"/>
        </w:rPr>
      </w:pP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10</w:t>
      </w:r>
      <w:r>
        <w:rPr>
          <w:rFonts w:ascii="Times New Roman" w:hAnsi="Times New Roman" w:eastAsia="宋体" w:cs="Times New Roman"/>
          <w:color w:val="auto"/>
          <w:sz w:val="28"/>
          <w:szCs w:val="28"/>
          <w:lang w:eastAsia="zh-CN"/>
        </w:rPr>
        <w:t>）</w:t>
      </w:r>
      <w:r>
        <w:rPr>
          <w:rFonts w:hint="eastAsia" w:ascii="Times New Roman" w:hAnsi="Times New Roman" w:cs="Times New Roman"/>
          <w:color w:val="auto"/>
          <w:sz w:val="28"/>
          <w:szCs w:val="28"/>
          <w:lang w:val="en-US" w:eastAsia="zh-CN"/>
        </w:rPr>
        <w:t>《凤城市添合矿业有限公司尾矿库调洪演算（2025年度）》（辽宁知骏工程技术有限公司，2025年3月）；</w:t>
      </w:r>
    </w:p>
    <w:p w14:paraId="45D79FDB">
      <w:pPr>
        <w:keepNext w:val="0"/>
        <w:keepLines w:val="0"/>
        <w:pageBreakBefore w:val="0"/>
        <w:widowControl/>
        <w:wordWrap/>
        <w:overflowPunct/>
        <w:topLinePunct w:val="0"/>
        <w:bidi w:val="0"/>
        <w:adjustRightInd w:val="0"/>
        <w:snapToGrid w:val="0"/>
        <w:spacing w:line="360" w:lineRule="auto"/>
        <w:ind w:firstLine="565"/>
        <w:textAlignment w:val="baseline"/>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11）</w:t>
      </w:r>
      <w:r>
        <w:rPr>
          <w:rFonts w:hint="eastAsia" w:ascii="Times New Roman" w:hAnsi="Times New Roman" w:eastAsia="宋体" w:cs="Times New Roman"/>
          <w:color w:val="auto"/>
          <w:sz w:val="28"/>
          <w:szCs w:val="28"/>
          <w:lang w:eastAsia="zh-CN"/>
        </w:rPr>
        <w:t>凤城市添合矿业有限公司</w:t>
      </w:r>
      <w:r>
        <w:rPr>
          <w:rFonts w:ascii="Times New Roman" w:hAnsi="Times New Roman" w:eastAsia="宋体" w:cs="Times New Roman"/>
          <w:color w:val="auto"/>
          <w:sz w:val="28"/>
          <w:szCs w:val="28"/>
          <w:lang w:eastAsia="zh-CN"/>
        </w:rPr>
        <w:t>提供的其他有关书面资料、文件和数据。</w:t>
      </w:r>
    </w:p>
    <w:p w14:paraId="7C1C6687">
      <w:pPr>
        <w:keepNext w:val="0"/>
        <w:keepLines w:val="0"/>
        <w:pageBreakBefore w:val="0"/>
        <w:widowControl/>
        <w:wordWrap/>
        <w:overflowPunct/>
        <w:topLinePunct w:val="0"/>
        <w:bidi w:val="0"/>
        <w:adjustRightInd w:val="0"/>
        <w:snapToGrid w:val="0"/>
        <w:spacing w:line="360" w:lineRule="auto"/>
        <w:textAlignment w:val="baseline"/>
        <w:outlineLvl w:val="2"/>
        <w:rPr>
          <w:rFonts w:hint="eastAsia" w:ascii="宋体" w:hAnsi="宋体" w:eastAsia="宋体" w:cs="宋体"/>
          <w:color w:val="auto"/>
          <w:sz w:val="28"/>
          <w:szCs w:val="28"/>
          <w:lang w:eastAsia="zh-CN"/>
        </w:rPr>
      </w:pPr>
      <w:bookmarkStart w:id="21" w:name="_Toc24547"/>
      <w:bookmarkStart w:id="22" w:name="_Toc8108"/>
      <w:bookmarkStart w:id="23" w:name="_Toc19481"/>
      <w:r>
        <w:rPr>
          <w:rFonts w:ascii="Times New Roman" w:hAnsi="Times New Roman" w:eastAsia="Times New Roman" w:cs="Times New Roman"/>
          <w:b/>
          <w:bCs/>
          <w:color w:val="auto"/>
          <w:sz w:val="28"/>
          <w:szCs w:val="28"/>
          <w:lang w:eastAsia="zh-CN"/>
        </w:rPr>
        <w:t xml:space="preserve">1.3.4 </w:t>
      </w:r>
      <w:r>
        <w:rPr>
          <w:rFonts w:ascii="宋体" w:hAnsi="宋体" w:eastAsia="宋体" w:cs="宋体"/>
          <w:b/>
          <w:bCs/>
          <w:color w:val="auto"/>
          <w:sz w:val="28"/>
          <w:szCs w:val="28"/>
          <w:lang w:eastAsia="zh-CN"/>
        </w:rPr>
        <w:t>其他评价依据</w:t>
      </w:r>
      <w:bookmarkEnd w:id="21"/>
      <w:bookmarkEnd w:id="22"/>
      <w:bookmarkEnd w:id="23"/>
    </w:p>
    <w:p w14:paraId="68963E4E">
      <w:pPr>
        <w:keepNext w:val="0"/>
        <w:keepLines w:val="0"/>
        <w:pageBreakBefore w:val="0"/>
        <w:widowControl/>
        <w:wordWrap/>
        <w:overflowPunct/>
        <w:topLinePunct w:val="0"/>
        <w:bidi w:val="0"/>
        <w:adjustRightInd w:val="0"/>
        <w:snapToGrid w:val="0"/>
        <w:spacing w:line="360" w:lineRule="auto"/>
        <w:ind w:firstLine="547"/>
        <w:textAlignment w:val="baseline"/>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）营业执照</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统一社会信用代码：</w:t>
      </w:r>
      <w:r>
        <w:rPr>
          <w:rFonts w:hint="eastAsia" w:ascii="Times New Roman" w:hAnsi="Times New Roman" w:eastAsia="Times New Roman" w:cs="Times New Roman"/>
          <w:color w:val="auto"/>
          <w:sz w:val="28"/>
          <w:szCs w:val="28"/>
          <w:lang w:val="en-US" w:eastAsia="zh-CN"/>
        </w:rPr>
        <w:t>xxx</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营业期限：</w:t>
      </w:r>
      <w:r>
        <w:rPr>
          <w:rFonts w:hint="eastAsia" w:ascii="Times New Roman" w:hAnsi="Times New Roman" w:eastAsia="Times New Roman" w:cs="Times New Roman"/>
          <w:color w:val="auto"/>
          <w:sz w:val="28"/>
          <w:szCs w:val="28"/>
          <w:lang w:eastAsia="zh-CN"/>
        </w:rPr>
        <w:t>2005-12-30</w:t>
      </w:r>
      <w:r>
        <w:rPr>
          <w:rFonts w:ascii="宋体" w:hAnsi="宋体" w:eastAsia="宋体" w:cs="宋体"/>
          <w:color w:val="auto"/>
          <w:sz w:val="28"/>
          <w:szCs w:val="28"/>
          <w:lang w:eastAsia="zh-CN"/>
        </w:rPr>
        <w:t>至无固定期限；</w:t>
      </w:r>
    </w:p>
    <w:p w14:paraId="66E11A83">
      <w:pPr>
        <w:keepNext w:val="0"/>
        <w:keepLines w:val="0"/>
        <w:pageBreakBefore w:val="0"/>
        <w:widowControl/>
        <w:wordWrap/>
        <w:overflowPunct/>
        <w:topLinePunct w:val="0"/>
        <w:bidi w:val="0"/>
        <w:adjustRightInd w:val="0"/>
        <w:snapToGrid w:val="0"/>
        <w:spacing w:line="360" w:lineRule="auto"/>
        <w:ind w:firstLine="560"/>
        <w:textAlignment w:val="baseline"/>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）安全生产许可证编号</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lang w:val="en-US" w:eastAsia="zh-CN"/>
        </w:rPr>
        <w:t>xxxx</w:t>
      </w:r>
      <w:r>
        <w:rPr>
          <w:rFonts w:ascii="Times New Roman" w:hAnsi="Times New Roman" w:eastAsia="宋体" w:cs="Times New Roman"/>
          <w:color w:val="auto"/>
          <w:sz w:val="28"/>
          <w:szCs w:val="28"/>
          <w:lang w:eastAsia="zh-CN"/>
        </w:rPr>
        <w:t>；</w:t>
      </w:r>
    </w:p>
    <w:p w14:paraId="64C30E2C">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w:t>
      </w:r>
      <w:r>
        <w:rPr>
          <w:rFonts w:hint="eastAsia" w:ascii="宋体" w:hAnsi="宋体" w:eastAsia="宋体" w:cs="宋体"/>
          <w:color w:val="auto"/>
          <w:spacing w:val="-2"/>
          <w:sz w:val="28"/>
          <w:szCs w:val="28"/>
          <w:lang w:eastAsia="zh-CN"/>
        </w:rPr>
        <w:t>尾矿库成立安全</w:t>
      </w:r>
      <w:r>
        <w:rPr>
          <w:rFonts w:hint="eastAsia" w:ascii="宋体" w:hAnsi="宋体" w:eastAsia="宋体" w:cs="宋体"/>
          <w:color w:val="auto"/>
          <w:spacing w:val="-2"/>
          <w:sz w:val="28"/>
          <w:szCs w:val="28"/>
          <w:lang w:val="en-US" w:eastAsia="zh-CN"/>
        </w:rPr>
        <w:t>生产</w:t>
      </w:r>
      <w:r>
        <w:rPr>
          <w:rFonts w:hint="eastAsia" w:ascii="宋体" w:hAnsi="宋体" w:eastAsia="宋体" w:cs="宋体"/>
          <w:color w:val="auto"/>
          <w:spacing w:val="-2"/>
          <w:sz w:val="28"/>
          <w:szCs w:val="28"/>
          <w:lang w:eastAsia="zh-CN"/>
        </w:rPr>
        <w:t>管理</w:t>
      </w:r>
      <w:r>
        <w:rPr>
          <w:rFonts w:hint="eastAsia" w:ascii="宋体" w:hAnsi="宋体" w:eastAsia="宋体" w:cs="宋体"/>
          <w:color w:val="auto"/>
          <w:spacing w:val="-2"/>
          <w:sz w:val="28"/>
          <w:szCs w:val="28"/>
          <w:lang w:val="en-US" w:eastAsia="zh-CN"/>
        </w:rPr>
        <w:t>组织</w:t>
      </w:r>
      <w:r>
        <w:rPr>
          <w:rFonts w:hint="eastAsia" w:ascii="宋体" w:hAnsi="宋体" w:eastAsia="宋体" w:cs="宋体"/>
          <w:color w:val="auto"/>
          <w:spacing w:val="-2"/>
          <w:sz w:val="28"/>
          <w:szCs w:val="28"/>
          <w:lang w:eastAsia="zh-CN"/>
        </w:rPr>
        <w:t>机构</w:t>
      </w:r>
      <w:r>
        <w:rPr>
          <w:rFonts w:hint="eastAsia" w:ascii="宋体" w:hAnsi="宋体" w:eastAsia="宋体" w:cs="宋体"/>
          <w:color w:val="auto"/>
          <w:spacing w:val="-2"/>
          <w:sz w:val="28"/>
          <w:szCs w:val="28"/>
          <w:lang w:val="en-US" w:eastAsia="zh-CN"/>
        </w:rPr>
        <w:t>文件</w:t>
      </w:r>
      <w:r>
        <w:rPr>
          <w:rFonts w:ascii="宋体" w:hAnsi="宋体" w:eastAsia="宋体" w:cs="宋体"/>
          <w:color w:val="auto"/>
          <w:spacing w:val="-2"/>
          <w:sz w:val="28"/>
          <w:szCs w:val="28"/>
          <w:lang w:eastAsia="zh-CN"/>
        </w:rPr>
        <w:t>通知</w:t>
      </w:r>
      <w:r>
        <w:rPr>
          <w:rFonts w:ascii="宋体" w:hAnsi="宋体" w:eastAsia="宋体" w:cs="宋体"/>
          <w:color w:val="auto"/>
          <w:sz w:val="28"/>
          <w:szCs w:val="28"/>
          <w:lang w:eastAsia="zh-CN"/>
        </w:rPr>
        <w:t>；</w:t>
      </w:r>
    </w:p>
    <w:p w14:paraId="2A038E1E">
      <w:pPr>
        <w:keepNext w:val="0"/>
        <w:keepLines w:val="0"/>
        <w:pageBreakBefore w:val="0"/>
        <w:widowControl/>
        <w:wordWrap/>
        <w:overflowPunct/>
        <w:topLinePunct w:val="0"/>
        <w:bidi w:val="0"/>
        <w:adjustRightInd w:val="0"/>
        <w:snapToGrid w:val="0"/>
        <w:spacing w:line="360" w:lineRule="auto"/>
        <w:ind w:firstLine="556"/>
        <w:textAlignment w:val="baseline"/>
        <w:rPr>
          <w:rFonts w:hint="eastAsia" w:ascii="宋体" w:hAnsi="宋体" w:eastAsia="宋体" w:cs="宋体"/>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）企业主要负责人、安全</w:t>
      </w:r>
      <w:r>
        <w:rPr>
          <w:rFonts w:hint="eastAsia" w:ascii="宋体" w:hAnsi="宋体" w:eastAsia="宋体" w:cs="宋体"/>
          <w:color w:val="auto"/>
          <w:sz w:val="28"/>
          <w:szCs w:val="28"/>
          <w:lang w:val="en-US" w:eastAsia="zh-CN"/>
        </w:rPr>
        <w:t>生产</w:t>
      </w:r>
      <w:r>
        <w:rPr>
          <w:rFonts w:ascii="宋体" w:hAnsi="宋体" w:eastAsia="宋体" w:cs="宋体"/>
          <w:color w:val="auto"/>
          <w:sz w:val="28"/>
          <w:szCs w:val="28"/>
          <w:lang w:eastAsia="zh-CN"/>
        </w:rPr>
        <w:t>管理人员、专业技术人员、特种作</w:t>
      </w:r>
      <w:r>
        <w:rPr>
          <w:rFonts w:ascii="宋体" w:hAnsi="宋体" w:eastAsia="宋体" w:cs="宋体"/>
          <w:sz w:val="28"/>
          <w:szCs w:val="28"/>
          <w:lang w:eastAsia="zh-CN"/>
        </w:rPr>
        <w:t>业人 员操作资格证件、注安人员证件；</w:t>
      </w:r>
    </w:p>
    <w:p w14:paraId="656FF075">
      <w:pPr>
        <w:keepNext w:val="0"/>
        <w:keepLines w:val="0"/>
        <w:pageBreakBefore w:val="0"/>
        <w:widowControl/>
        <w:wordWrap/>
        <w:overflowPunct/>
        <w:topLinePunct w:val="0"/>
        <w:bidi w:val="0"/>
        <w:adjustRightInd w:val="0"/>
        <w:snapToGrid w:val="0"/>
        <w:spacing w:line="360" w:lineRule="auto"/>
        <w:ind w:firstLine="560" w:firstLineChars="200"/>
        <w:textAlignment w:val="baseline"/>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）安全生产责任制、规章制度及岗位操作规程文件及目录；</w:t>
      </w:r>
    </w:p>
    <w:p w14:paraId="1268B75C">
      <w:pPr>
        <w:keepNext w:val="0"/>
        <w:keepLines w:val="0"/>
        <w:pageBreakBefore w:val="0"/>
        <w:widowControl/>
        <w:wordWrap/>
        <w:overflowPunct/>
        <w:topLinePunct w:val="0"/>
        <w:bidi w:val="0"/>
        <w:adjustRightInd w:val="0"/>
        <w:snapToGrid w:val="0"/>
        <w:spacing w:line="360" w:lineRule="auto"/>
        <w:ind w:firstLine="556"/>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（6）</w:t>
      </w:r>
      <w:r>
        <w:rPr>
          <w:rFonts w:hint="eastAsia" w:ascii="Times New Roman" w:hAnsi="Times New Roman" w:eastAsia="宋体" w:cs="Times New Roman"/>
          <w:sz w:val="28"/>
          <w:szCs w:val="28"/>
          <w:lang w:val="en-US" w:eastAsia="zh-CN"/>
        </w:rPr>
        <w:t>2026</w:t>
      </w:r>
      <w:r>
        <w:rPr>
          <w:rFonts w:ascii="Times New Roman" w:hAnsi="Times New Roman" w:eastAsia="宋体" w:cs="Times New Roman"/>
          <w:sz w:val="28"/>
          <w:szCs w:val="28"/>
          <w:lang w:eastAsia="zh-CN"/>
        </w:rPr>
        <w:t>年提取安全生产费用计划和使用明细；</w:t>
      </w:r>
    </w:p>
    <w:p w14:paraId="564F0BC1">
      <w:pPr>
        <w:keepNext w:val="0"/>
        <w:keepLines w:val="0"/>
        <w:pageBreakBefore w:val="0"/>
        <w:widowControl/>
        <w:wordWrap/>
        <w:overflowPunct/>
        <w:topLinePunct w:val="0"/>
        <w:bidi w:val="0"/>
        <w:adjustRightInd w:val="0"/>
        <w:snapToGrid w:val="0"/>
        <w:spacing w:line="360" w:lineRule="auto"/>
        <w:ind w:firstLine="556"/>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（7）</w:t>
      </w:r>
      <w:r>
        <w:rPr>
          <w:rFonts w:hint="eastAsia" w:ascii="Times New Roman" w:hAnsi="Times New Roman" w:eastAsia="宋体" w:cs="Times New Roman"/>
          <w:sz w:val="28"/>
          <w:szCs w:val="28"/>
          <w:lang w:val="en-US" w:eastAsia="zh-CN"/>
        </w:rPr>
        <w:t>工伤保险及</w:t>
      </w:r>
      <w:r>
        <w:rPr>
          <w:rFonts w:ascii="Times New Roman" w:hAnsi="Times New Roman" w:eastAsia="宋体" w:cs="Times New Roman"/>
          <w:sz w:val="28"/>
          <w:szCs w:val="28"/>
          <w:lang w:eastAsia="zh-CN"/>
        </w:rPr>
        <w:t>安全生产责任险保单；</w:t>
      </w:r>
    </w:p>
    <w:p w14:paraId="3182C1F5">
      <w:pPr>
        <w:keepNext w:val="0"/>
        <w:keepLines w:val="0"/>
        <w:pageBreakBefore w:val="0"/>
        <w:widowControl/>
        <w:wordWrap/>
        <w:overflowPunct/>
        <w:topLinePunct w:val="0"/>
        <w:bidi w:val="0"/>
        <w:adjustRightInd w:val="0"/>
        <w:snapToGrid w:val="0"/>
        <w:spacing w:line="360" w:lineRule="auto"/>
        <w:ind w:firstLine="556"/>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（8）事故应急预案备案登记表；</w:t>
      </w:r>
    </w:p>
    <w:p w14:paraId="00579B7D">
      <w:pPr>
        <w:keepNext w:val="0"/>
        <w:keepLines w:val="0"/>
        <w:pageBreakBefore w:val="0"/>
        <w:widowControl/>
        <w:wordWrap/>
        <w:overflowPunct/>
        <w:topLinePunct w:val="0"/>
        <w:bidi w:val="0"/>
        <w:adjustRightInd w:val="0"/>
        <w:snapToGrid w:val="0"/>
        <w:spacing w:line="360" w:lineRule="auto"/>
        <w:ind w:firstLine="556"/>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（9）救护协议；</w:t>
      </w:r>
    </w:p>
    <w:p w14:paraId="3BF4C8D3">
      <w:pPr>
        <w:keepNext w:val="0"/>
        <w:keepLines w:val="0"/>
        <w:pageBreakBefore w:val="0"/>
        <w:widowControl/>
        <w:wordWrap/>
        <w:overflowPunct/>
        <w:topLinePunct w:val="0"/>
        <w:bidi w:val="0"/>
        <w:adjustRightInd w:val="0"/>
        <w:snapToGrid w:val="0"/>
        <w:spacing w:line="360" w:lineRule="auto"/>
        <w:ind w:firstLine="556"/>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（10）现状图纸。</w:t>
      </w:r>
    </w:p>
    <w:p w14:paraId="38C92C42">
      <w:pPr>
        <w:spacing w:line="360" w:lineRule="auto"/>
        <w:rPr>
          <w:rFonts w:hint="eastAsia" w:ascii="宋体" w:hAnsi="宋体" w:eastAsia="宋体" w:cs="宋体"/>
          <w:sz w:val="28"/>
          <w:szCs w:val="28"/>
          <w:lang w:eastAsia="zh-CN"/>
        </w:rPr>
        <w:sectPr>
          <w:headerReference r:id="rId5" w:type="default"/>
          <w:footerReference r:id="rId6" w:type="default"/>
          <w:pgSz w:w="11906" w:h="16839"/>
          <w:pgMar w:top="1150" w:right="1132" w:bottom="1314" w:left="1588" w:header="868" w:footer="984" w:gutter="0"/>
          <w:cols w:space="720" w:num="1"/>
        </w:sectPr>
      </w:pPr>
    </w:p>
    <w:p w14:paraId="18B3AD88">
      <w:pPr>
        <w:spacing w:line="360" w:lineRule="auto"/>
        <w:jc w:val="center"/>
        <w:outlineLvl w:val="0"/>
        <w:rPr>
          <w:rFonts w:hint="eastAsia" w:ascii="黑体" w:hAnsi="黑体" w:eastAsia="黑体" w:cs="黑体"/>
          <w:sz w:val="30"/>
          <w:szCs w:val="30"/>
          <w:lang w:eastAsia="zh-CN"/>
        </w:rPr>
      </w:pPr>
      <w:bookmarkStart w:id="24" w:name="bookmark10"/>
      <w:bookmarkEnd w:id="24"/>
      <w:bookmarkStart w:id="25" w:name="_Toc24114"/>
      <w:bookmarkStart w:id="26" w:name="_Toc15164"/>
      <w:r>
        <w:rPr>
          <w:rFonts w:ascii="Times New Roman" w:hAnsi="Times New Roman" w:eastAsia="Times New Roman" w:cs="Times New Roman"/>
          <w:b/>
          <w:bCs/>
          <w:spacing w:val="-6"/>
          <w:sz w:val="30"/>
          <w:szCs w:val="30"/>
          <w:lang w:eastAsia="zh-CN"/>
        </w:rPr>
        <w:t>1.4</w:t>
      </w:r>
      <w:r>
        <w:rPr>
          <w:rFonts w:ascii="Times New Roman" w:hAnsi="Times New Roman" w:eastAsia="Times New Roman" w:cs="Times New Roman"/>
          <w:b/>
          <w:bCs/>
          <w:spacing w:val="31"/>
          <w:sz w:val="30"/>
          <w:szCs w:val="30"/>
          <w:lang w:eastAsia="zh-CN"/>
        </w:rPr>
        <w:t xml:space="preserve"> </w:t>
      </w:r>
      <w:r>
        <w:rPr>
          <w:rFonts w:ascii="黑体" w:hAnsi="黑体" w:eastAsia="黑体" w:cs="黑体"/>
          <w:b/>
          <w:bCs/>
          <w:spacing w:val="-6"/>
          <w:sz w:val="30"/>
          <w:szCs w:val="30"/>
          <w:lang w:eastAsia="zh-CN"/>
        </w:rPr>
        <w:t>安全评价的工作程序</w:t>
      </w:r>
      <w:bookmarkEnd w:id="25"/>
      <w:bookmarkEnd w:id="26"/>
    </w:p>
    <w:p w14:paraId="4014EDCF">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本次安全评价的程序主要包括：前期准备；危险、有害因素辨识</w:t>
      </w:r>
      <w:r>
        <w:rPr>
          <w:rFonts w:ascii="宋体" w:hAnsi="宋体" w:eastAsia="宋体" w:cs="宋体"/>
          <w:spacing w:val="1"/>
          <w:sz w:val="28"/>
          <w:szCs w:val="28"/>
          <w:lang w:eastAsia="zh-CN"/>
        </w:rPr>
        <w:t>与分</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析；划分评价单元；选择评价方法；进行定性、定量评价；提出</w:t>
      </w:r>
      <w:r>
        <w:rPr>
          <w:rFonts w:ascii="宋体" w:hAnsi="宋体" w:eastAsia="宋体" w:cs="宋体"/>
          <w:spacing w:val="1"/>
          <w:sz w:val="28"/>
          <w:szCs w:val="28"/>
          <w:lang w:eastAsia="zh-CN"/>
        </w:rPr>
        <w:t>相应安全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对策措施及建议；确定评价结论；编制安全现状评价报告。具体</w:t>
      </w:r>
      <w:r>
        <w:rPr>
          <w:rFonts w:ascii="宋体" w:hAnsi="宋体" w:eastAsia="宋体" w:cs="宋体"/>
          <w:spacing w:val="1"/>
          <w:sz w:val="28"/>
          <w:szCs w:val="28"/>
          <w:lang w:eastAsia="zh-CN"/>
        </w:rPr>
        <w:t>的安全现</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状评价工作程序如图</w:t>
      </w:r>
      <w:r>
        <w:rPr>
          <w:rFonts w:ascii="Times New Roman" w:hAnsi="Times New Roman" w:eastAsia="Times New Roman" w:cs="Times New Roman"/>
          <w:spacing w:val="-4"/>
          <w:sz w:val="28"/>
          <w:szCs w:val="28"/>
          <w:lang w:eastAsia="zh-CN"/>
        </w:rPr>
        <w:t xml:space="preserve">1.4-1 </w:t>
      </w:r>
      <w:r>
        <w:rPr>
          <w:rFonts w:ascii="宋体" w:hAnsi="宋体" w:eastAsia="宋体" w:cs="宋体"/>
          <w:spacing w:val="-4"/>
          <w:sz w:val="28"/>
          <w:szCs w:val="28"/>
          <w:lang w:eastAsia="zh-CN"/>
        </w:rPr>
        <w:t>所示：</w:t>
      </w:r>
    </w:p>
    <w:p w14:paraId="7DF3E8E6">
      <w:pPr>
        <w:spacing w:line="360" w:lineRule="auto"/>
        <w:rPr>
          <w:rFonts w:hint="eastAsia" w:ascii="宋体" w:hAnsi="宋体" w:eastAsia="宋体" w:cs="宋体"/>
          <w:sz w:val="28"/>
          <w:szCs w:val="28"/>
          <w:lang w:eastAsia="zh-CN"/>
        </w:rPr>
      </w:pPr>
    </w:p>
    <w:p w14:paraId="113AC36F">
      <w:pPr>
        <w:spacing w:line="360" w:lineRule="auto"/>
        <w:jc w:val="center"/>
        <w:rPr>
          <w:rFonts w:hint="eastAsia" w:ascii="宋体" w:hAnsi="宋体" w:eastAsia="宋体" w:cs="宋体"/>
          <w:sz w:val="24"/>
          <w:szCs w:val="24"/>
          <w:lang w:eastAsia="zh-CN"/>
        </w:rPr>
      </w:pPr>
      <w:r>
        <w:rPr>
          <w:sz w:val="21"/>
        </w:rPr>
        <mc:AlternateContent>
          <mc:Choice Requires="wpg">
            <w:drawing>
              <wp:anchor distT="0" distB="0" distL="114300" distR="114300" simplePos="0" relativeHeight="251660288" behindDoc="0" locked="0" layoutInCell="1" allowOverlap="1">
                <wp:simplePos x="0" y="0"/>
                <wp:positionH relativeFrom="column">
                  <wp:posOffset>1542415</wp:posOffset>
                </wp:positionH>
                <wp:positionV relativeFrom="paragraph">
                  <wp:posOffset>214630</wp:posOffset>
                </wp:positionV>
                <wp:extent cx="2779395" cy="4736465"/>
                <wp:effectExtent l="4445" t="4445" r="16510" b="21590"/>
                <wp:wrapTopAndBottom/>
                <wp:docPr id="83" name="组合 83"/>
                <wp:cNvGraphicFramePr/>
                <a:graphic xmlns:a="http://schemas.openxmlformats.org/drawingml/2006/main">
                  <a:graphicData uri="http://schemas.microsoft.com/office/word/2010/wordprocessingGroup">
                    <wpg:wgp>
                      <wpg:cNvGrpSpPr/>
                      <wpg:grpSpPr>
                        <a:xfrm>
                          <a:off x="0" y="0"/>
                          <a:ext cx="2779395" cy="4736465"/>
                          <a:chOff x="5131" y="227664"/>
                          <a:chExt cx="4377" cy="7459"/>
                        </a:xfrm>
                      </wpg:grpSpPr>
                      <wps:wsp>
                        <wps:cNvPr id="3" name="矩形 2"/>
                        <wps:cNvSpPr/>
                        <wps:spPr>
                          <a:xfrm>
                            <a:off x="5172" y="227664"/>
                            <a:ext cx="4337" cy="5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C2F75CE">
                              <w:pPr>
                                <w:jc w:val="center"/>
                                <w:rPr>
                                  <w:rFonts w:ascii="宋体" w:hAnsi="宋体"/>
                                </w:rPr>
                              </w:pPr>
                              <w:r>
                                <w:rPr>
                                  <w:rFonts w:hint="eastAsia" w:ascii="宋体" w:hAnsi="宋体"/>
                                </w:rPr>
                                <w:t>前期准备</w:t>
                              </w:r>
                            </w:p>
                          </w:txbxContent>
                        </wps:txbx>
                        <wps:bodyPr wrap="square" anchor="t" anchorCtr="0" upright="1"/>
                      </wps:wsp>
                      <wps:wsp>
                        <wps:cNvPr id="5" name="矩形 3"/>
                        <wps:cNvSpPr/>
                        <wps:spPr>
                          <a:xfrm>
                            <a:off x="5131" y="228616"/>
                            <a:ext cx="4337" cy="58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B80F627">
                              <w:pPr>
                                <w:jc w:val="center"/>
                                <w:rPr>
                                  <w:rFonts w:ascii="宋体" w:hAnsi="宋体"/>
                                  <w:lang w:eastAsia="zh-CN"/>
                                </w:rPr>
                              </w:pPr>
                              <w:r>
                                <w:rPr>
                                  <w:rFonts w:hint="eastAsia" w:ascii="宋体" w:hAnsi="宋体"/>
                                  <w:lang w:eastAsia="zh-CN"/>
                                </w:rPr>
                                <w:t>辨识与分析危险、有害因素</w:t>
                              </w:r>
                            </w:p>
                          </w:txbxContent>
                        </wps:txbx>
                        <wps:bodyPr wrap="square" anchor="t" anchorCtr="0" upright="1"/>
                      </wps:wsp>
                      <wps:wsp>
                        <wps:cNvPr id="7" name="矩形 4"/>
                        <wps:cNvSpPr/>
                        <wps:spPr>
                          <a:xfrm>
                            <a:off x="5131" y="229638"/>
                            <a:ext cx="4337" cy="54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2ECEE3D">
                              <w:pPr>
                                <w:jc w:val="center"/>
                                <w:rPr>
                                  <w:rFonts w:ascii="宋体" w:hAnsi="宋体"/>
                                </w:rPr>
                              </w:pPr>
                              <w:r>
                                <w:rPr>
                                  <w:rFonts w:hint="eastAsia" w:ascii="宋体" w:hAnsi="宋体"/>
                                </w:rPr>
                                <w:t>划分评价单元</w:t>
                              </w:r>
                            </w:p>
                          </w:txbxContent>
                        </wps:txbx>
                        <wps:bodyPr wrap="square" anchor="t" anchorCtr="0" upright="1"/>
                      </wps:wsp>
                      <wps:wsp>
                        <wps:cNvPr id="9" name="矩形 5"/>
                        <wps:cNvSpPr/>
                        <wps:spPr>
                          <a:xfrm>
                            <a:off x="5145" y="230616"/>
                            <a:ext cx="4337" cy="53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5D5766F">
                              <w:pPr>
                                <w:jc w:val="center"/>
                                <w:rPr>
                                  <w:rFonts w:ascii="宋体" w:hAnsi="宋体"/>
                                </w:rPr>
                              </w:pPr>
                              <w:r>
                                <w:rPr>
                                  <w:rFonts w:hint="eastAsia" w:ascii="宋体" w:hAnsi="宋体"/>
                                </w:rPr>
                                <w:t>选择评价方法</w:t>
                              </w:r>
                            </w:p>
                          </w:txbxContent>
                        </wps:txbx>
                        <wps:bodyPr wrap="square" anchor="t" anchorCtr="0" upright="1"/>
                      </wps:wsp>
                      <wps:wsp>
                        <wps:cNvPr id="10" name="矩形 6"/>
                        <wps:cNvSpPr/>
                        <wps:spPr>
                          <a:xfrm>
                            <a:off x="5145" y="231599"/>
                            <a:ext cx="4337" cy="50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41D60AA">
                              <w:pPr>
                                <w:jc w:val="center"/>
                              </w:pPr>
                              <w:r>
                                <w:rPr>
                                  <w:rFonts w:hint="eastAsia"/>
                                </w:rPr>
                                <w:t>定性、定量评价</w:t>
                              </w:r>
                            </w:p>
                          </w:txbxContent>
                        </wps:txbx>
                        <wps:bodyPr wrap="square" anchor="t" anchorCtr="0" upright="1"/>
                      </wps:wsp>
                      <wps:wsp>
                        <wps:cNvPr id="11" name="矩形 7"/>
                        <wps:cNvSpPr/>
                        <wps:spPr>
                          <a:xfrm>
                            <a:off x="5138" y="232564"/>
                            <a:ext cx="4337" cy="56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926B75D">
                              <w:pPr>
                                <w:jc w:val="center"/>
                                <w:rPr>
                                  <w:rFonts w:ascii="宋体" w:hAnsi="宋体"/>
                                  <w:lang w:eastAsia="zh-CN"/>
                                </w:rPr>
                              </w:pPr>
                              <w:r>
                                <w:rPr>
                                  <w:rFonts w:hint="eastAsia" w:ascii="宋体" w:hAnsi="宋体"/>
                                  <w:lang w:eastAsia="zh-CN"/>
                                </w:rPr>
                                <w:t>提出安全对策措施及建议</w:t>
                              </w:r>
                            </w:p>
                            <w:p w14:paraId="7FB1A039">
                              <w:pPr>
                                <w:rPr>
                                  <w:lang w:eastAsia="zh-CN"/>
                                </w:rPr>
                              </w:pPr>
                            </w:p>
                          </w:txbxContent>
                        </wps:txbx>
                        <wps:bodyPr wrap="square" anchor="t" anchorCtr="0" upright="1"/>
                      </wps:wsp>
                      <wps:wsp>
                        <wps:cNvPr id="13" name="矩形 8"/>
                        <wps:cNvSpPr/>
                        <wps:spPr>
                          <a:xfrm>
                            <a:off x="5145" y="233583"/>
                            <a:ext cx="4337" cy="52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078537">
                              <w:pPr>
                                <w:jc w:val="center"/>
                                <w:rPr>
                                  <w:rFonts w:ascii="宋体" w:hAnsi="宋体"/>
                                </w:rPr>
                              </w:pPr>
                              <w:r>
                                <w:rPr>
                                  <w:rFonts w:hint="eastAsia" w:ascii="宋体" w:hAnsi="宋体"/>
                                </w:rPr>
                                <w:t>做出评价结论</w:t>
                              </w:r>
                            </w:p>
                            <w:p w14:paraId="015F5CE3"/>
                          </w:txbxContent>
                        </wps:txbx>
                        <wps:bodyPr wrap="square" anchor="t" anchorCtr="0" upright="1"/>
                      </wps:wsp>
                      <wps:wsp>
                        <wps:cNvPr id="15" name="矩形 10"/>
                        <wps:cNvSpPr/>
                        <wps:spPr>
                          <a:xfrm>
                            <a:off x="5158" y="234575"/>
                            <a:ext cx="4276" cy="54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3BFE63B">
                              <w:pPr>
                                <w:jc w:val="center"/>
                              </w:pPr>
                              <w:r>
                                <w:rPr>
                                  <w:rFonts w:hint="eastAsia"/>
                                </w:rPr>
                                <w:t>编制安全现状评价报告</w:t>
                              </w:r>
                            </w:p>
                          </w:txbxContent>
                        </wps:txbx>
                        <wps:bodyPr wrap="square" anchor="t" anchorCtr="0" upright="1"/>
                      </wps:wsp>
                      <wps:wsp>
                        <wps:cNvPr id="19" name="直接连接符 12"/>
                        <wps:cNvCnPr/>
                        <wps:spPr>
                          <a:xfrm>
                            <a:off x="7310" y="228185"/>
                            <a:ext cx="2" cy="439"/>
                          </a:xfrm>
                          <a:prstGeom prst="line">
                            <a:avLst/>
                          </a:prstGeom>
                          <a:ln w="9525" cap="flat" cmpd="sng">
                            <a:solidFill>
                              <a:srgbClr val="000000"/>
                            </a:solidFill>
                            <a:prstDash val="solid"/>
                            <a:headEnd type="none" w="med" len="med"/>
                            <a:tailEnd type="triangle" w="med" len="med"/>
                          </a:ln>
                          <a:effectLst/>
                        </wps:spPr>
                        <wps:bodyPr/>
                      </wps:wsp>
                      <wps:wsp>
                        <wps:cNvPr id="74" name="直接连接符 12"/>
                        <wps:cNvCnPr/>
                        <wps:spPr>
                          <a:xfrm>
                            <a:off x="7354" y="231179"/>
                            <a:ext cx="2" cy="439"/>
                          </a:xfrm>
                          <a:prstGeom prst="line">
                            <a:avLst/>
                          </a:prstGeom>
                          <a:ln w="9525" cap="flat" cmpd="sng">
                            <a:solidFill>
                              <a:srgbClr val="000000"/>
                            </a:solidFill>
                            <a:prstDash val="solid"/>
                            <a:headEnd type="none" w="med" len="med"/>
                            <a:tailEnd type="triangle" w="med" len="med"/>
                          </a:ln>
                          <a:effectLst/>
                        </wps:spPr>
                        <wps:bodyPr/>
                      </wps:wsp>
                      <wps:wsp>
                        <wps:cNvPr id="77" name="直接连接符 12"/>
                        <wps:cNvCnPr/>
                        <wps:spPr>
                          <a:xfrm>
                            <a:off x="7373" y="232119"/>
                            <a:ext cx="2" cy="439"/>
                          </a:xfrm>
                          <a:prstGeom prst="line">
                            <a:avLst/>
                          </a:prstGeom>
                          <a:ln w="9525" cap="flat" cmpd="sng">
                            <a:solidFill>
                              <a:srgbClr val="000000"/>
                            </a:solidFill>
                            <a:prstDash val="solid"/>
                            <a:headEnd type="none" w="med" len="med"/>
                            <a:tailEnd type="triangle" w="med" len="med"/>
                          </a:ln>
                          <a:effectLst/>
                        </wps:spPr>
                        <wps:bodyPr/>
                      </wps:wsp>
                      <wps:wsp>
                        <wps:cNvPr id="78" name="直接连接符 12"/>
                        <wps:cNvCnPr/>
                        <wps:spPr>
                          <a:xfrm>
                            <a:off x="7361" y="234130"/>
                            <a:ext cx="2" cy="439"/>
                          </a:xfrm>
                          <a:prstGeom prst="line">
                            <a:avLst/>
                          </a:prstGeom>
                          <a:ln w="9525" cap="flat" cmpd="sng">
                            <a:solidFill>
                              <a:srgbClr val="000000"/>
                            </a:solidFill>
                            <a:prstDash val="solid"/>
                            <a:headEnd type="none" w="med" len="med"/>
                            <a:tailEnd type="triangle" w="med" len="med"/>
                          </a:ln>
                          <a:effectLst/>
                        </wps:spPr>
                        <wps:bodyPr/>
                      </wps:wsp>
                      <wps:wsp>
                        <wps:cNvPr id="79" name="直接连接符 12"/>
                        <wps:cNvCnPr/>
                        <wps:spPr>
                          <a:xfrm>
                            <a:off x="7369" y="233130"/>
                            <a:ext cx="2" cy="439"/>
                          </a:xfrm>
                          <a:prstGeom prst="line">
                            <a:avLst/>
                          </a:prstGeom>
                          <a:ln w="9525" cap="flat" cmpd="sng">
                            <a:solidFill>
                              <a:srgbClr val="000000"/>
                            </a:solidFill>
                            <a:prstDash val="solid"/>
                            <a:headEnd type="none" w="med" len="med"/>
                            <a:tailEnd type="triangle" w="med" len="med"/>
                          </a:ln>
                          <a:effectLst/>
                        </wps:spPr>
                        <wps:bodyPr/>
                      </wps:wsp>
                      <wps:wsp>
                        <wps:cNvPr id="81" name="直接连接符 12"/>
                        <wps:cNvCnPr/>
                        <wps:spPr>
                          <a:xfrm>
                            <a:off x="7360" y="230199"/>
                            <a:ext cx="2" cy="439"/>
                          </a:xfrm>
                          <a:prstGeom prst="line">
                            <a:avLst/>
                          </a:prstGeom>
                          <a:ln w="9525" cap="flat" cmpd="sng">
                            <a:solidFill>
                              <a:srgbClr val="000000"/>
                            </a:solidFill>
                            <a:prstDash val="solid"/>
                            <a:headEnd type="none" w="med" len="med"/>
                            <a:tailEnd type="triangle" w="med" len="med"/>
                          </a:ln>
                          <a:effectLst/>
                        </wps:spPr>
                        <wps:bodyPr/>
                      </wps:wsp>
                      <wps:wsp>
                        <wps:cNvPr id="82" name="直接连接符 12"/>
                        <wps:cNvCnPr/>
                        <wps:spPr>
                          <a:xfrm>
                            <a:off x="7337" y="229198"/>
                            <a:ext cx="2" cy="439"/>
                          </a:xfrm>
                          <a:prstGeom prst="line">
                            <a:avLst/>
                          </a:prstGeom>
                          <a:ln w="9525" cap="flat" cmpd="sng">
                            <a:solidFill>
                              <a:srgbClr val="000000"/>
                            </a:solidFill>
                            <a:prstDash val="solid"/>
                            <a:headEnd type="none" w="med" len="med"/>
                            <a:tailEnd type="triangle" w="med" len="med"/>
                          </a:ln>
                          <a:effectLst/>
                        </wps:spPr>
                        <wps:bodyPr/>
                      </wps:wsp>
                    </wpg:wgp>
                  </a:graphicData>
                </a:graphic>
              </wp:anchor>
            </w:drawing>
          </mc:Choice>
          <mc:Fallback>
            <w:pict>
              <v:group id="_x0000_s1026" o:spid="_x0000_s1026" o:spt="203" style="position:absolute;left:0pt;margin-left:121.45pt;margin-top:16.9pt;height:372.95pt;width:218.85pt;mso-wrap-distance-bottom:0pt;mso-wrap-distance-top:0pt;z-index:251660288;mso-width-relative:page;mso-height-relative:page;" coordorigin="5131,227664" coordsize="4377,7459" o:gfxdata="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">
                <o:lock v:ext="edit" aspectratio="f"/>
                <v:rect id="矩形 2" o:spid="_x0000_s1026" o:spt="1" style="position:absolute;left:5172;top:227664;height:516;width:4337;"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3C2F75CE">
                        <w:pPr>
                          <w:jc w:val="center"/>
                          <w:rPr>
                            <w:rFonts w:ascii="宋体" w:hAnsi="宋体"/>
                          </w:rPr>
                        </w:pPr>
                        <w:r>
                          <w:rPr>
                            <w:rFonts w:hint="eastAsia" w:ascii="宋体" w:hAnsi="宋体"/>
                          </w:rPr>
                          <w:t>前期准备</w:t>
                        </w:r>
                      </w:p>
                    </w:txbxContent>
                  </v:textbox>
                </v:rect>
                <v:rect id="矩形 3" o:spid="_x0000_s1026" o:spt="1" style="position:absolute;left:5131;top:228616;height:587;width:4337;"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4B80F627">
                        <w:pPr>
                          <w:jc w:val="center"/>
                          <w:rPr>
                            <w:rFonts w:ascii="宋体" w:hAnsi="宋体"/>
                            <w:lang w:eastAsia="zh-CN"/>
                          </w:rPr>
                        </w:pPr>
                        <w:r>
                          <w:rPr>
                            <w:rFonts w:hint="eastAsia" w:ascii="宋体" w:hAnsi="宋体"/>
                            <w:lang w:eastAsia="zh-CN"/>
                          </w:rPr>
                          <w:t>辨识与分析危险、有害因素</w:t>
                        </w:r>
                      </w:p>
                    </w:txbxContent>
                  </v:textbox>
                </v:rect>
                <v:rect id="矩形 4" o:spid="_x0000_s1026" o:spt="1" style="position:absolute;left:5131;top:229638;height:544;width:4337;"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2ECEE3D">
                        <w:pPr>
                          <w:jc w:val="center"/>
                          <w:rPr>
                            <w:rFonts w:ascii="宋体" w:hAnsi="宋体"/>
                          </w:rPr>
                        </w:pPr>
                        <w:r>
                          <w:rPr>
                            <w:rFonts w:hint="eastAsia" w:ascii="宋体" w:hAnsi="宋体"/>
                          </w:rPr>
                          <w:t>划分评价单元</w:t>
                        </w:r>
                      </w:p>
                    </w:txbxContent>
                  </v:textbox>
                </v:rect>
                <v:rect id="矩形 5" o:spid="_x0000_s1026" o:spt="1" style="position:absolute;left:5145;top:230616;height:533;width:4337;"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5D5766F">
                        <w:pPr>
                          <w:jc w:val="center"/>
                          <w:rPr>
                            <w:rFonts w:ascii="宋体" w:hAnsi="宋体"/>
                          </w:rPr>
                        </w:pPr>
                        <w:r>
                          <w:rPr>
                            <w:rFonts w:hint="eastAsia" w:ascii="宋体" w:hAnsi="宋体"/>
                          </w:rPr>
                          <w:t>选择评价方法</w:t>
                        </w:r>
                      </w:p>
                    </w:txbxContent>
                  </v:textbox>
                </v:rect>
                <v:rect id="矩形 6" o:spid="_x0000_s1026" o:spt="1" style="position:absolute;left:5145;top:231599;height:509;width:4337;" fillcolor="#FFFFFF" filled="t" stroked="t" coordsize="21600,21600" o:gfxdata="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cHpG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741D60AA">
                        <w:pPr>
                          <w:jc w:val="center"/>
                        </w:pPr>
                        <w:r>
                          <w:rPr>
                            <w:rFonts w:hint="eastAsia"/>
                          </w:rPr>
                          <w:t>定性、定量评价</w:t>
                        </w:r>
                      </w:p>
                    </w:txbxContent>
                  </v:textbox>
                </v:rect>
                <v:rect id="矩形 7" o:spid="_x0000_s1026" o:spt="1" style="position:absolute;left:5138;top:232564;height:565;width:4337;" fillcolor="#FFFFFF" filled="t" stroked="t" coordsize="21600,21600" o:gfxdata="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tC7C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7926B75D">
                        <w:pPr>
                          <w:jc w:val="center"/>
                          <w:rPr>
                            <w:rFonts w:ascii="宋体" w:hAnsi="宋体"/>
                            <w:lang w:eastAsia="zh-CN"/>
                          </w:rPr>
                        </w:pPr>
                        <w:r>
                          <w:rPr>
                            <w:rFonts w:hint="eastAsia" w:ascii="宋体" w:hAnsi="宋体"/>
                            <w:lang w:eastAsia="zh-CN"/>
                          </w:rPr>
                          <w:t>提出安全对策措施及建议</w:t>
                        </w:r>
                      </w:p>
                      <w:p w14:paraId="7FB1A039">
                        <w:pPr>
                          <w:rPr>
                            <w:lang w:eastAsia="zh-CN"/>
                          </w:rPr>
                        </w:pPr>
                      </w:p>
                    </w:txbxContent>
                  </v:textbox>
                </v:rect>
                <v:rect id="矩形 8" o:spid="_x0000_s1026" o:spt="1" style="position:absolute;left:5145;top:233583;height:523;width:4337;" fillcolor="#FFFFFF" filled="t" stroked="t" coordsize="21600,21600" o:gfxdata="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ToDm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E078537">
                        <w:pPr>
                          <w:jc w:val="center"/>
                          <w:rPr>
                            <w:rFonts w:ascii="宋体" w:hAnsi="宋体"/>
                          </w:rPr>
                        </w:pPr>
                        <w:r>
                          <w:rPr>
                            <w:rFonts w:hint="eastAsia" w:ascii="宋体" w:hAnsi="宋体"/>
                          </w:rPr>
                          <w:t>做出评价结论</w:t>
                        </w:r>
                      </w:p>
                      <w:p w14:paraId="015F5CE3"/>
                    </w:txbxContent>
                  </v:textbox>
                </v:rect>
                <v:rect id="矩形 10" o:spid="_x0000_s1026" o:spt="1" style="position:absolute;left:5158;top:234575;height:549;width:4276;" fillcolor="#FFFFFF" filled="t" stroked="t" coordsize="21600,21600" o:gfxdata="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670J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63BFE63B">
                        <w:pPr>
                          <w:jc w:val="center"/>
                        </w:pPr>
                        <w:r>
                          <w:rPr>
                            <w:rFonts w:hint="eastAsia"/>
                          </w:rPr>
                          <w:t>编制安全现状评价报告</w:t>
                        </w:r>
                      </w:p>
                    </w:txbxContent>
                  </v:textbox>
                </v:rect>
                <v:line id="直接连接符 12" o:spid="_x0000_s1026" o:spt="20" style="position:absolute;left:7310;top:228185;height:439;width:2;" filled="f" stroked="t" coordsize="21600,21600" o:gfxdata="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k1U2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接连接符 12" o:spid="_x0000_s1026" o:spt="20" style="position:absolute;left:7354;top:231179;height:439;width:2;" filled="f" stroked="t" coordsize="21600,21600" o:gfxdata="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tNHwi/&#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73;top:232119;height:439;width:2;" filled="f" stroked="t" coordsize="21600,21600" o:gfxdata="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ufgX+/&#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1;top:234130;height:439;width:2;" filled="f" stroked="t" coordsize="21600,21600" o:gfxdata="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gAVD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直接连接符 12" o:spid="_x0000_s1026" o:spt="20" style="position:absolute;left:7369;top:233130;height:439;width:2;" filled="f" stroked="t" coordsize="21600,21600" o:gfxdata="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VMsJ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0;top:230199;height:439;width:2;" filled="f" stroked="t" coordsize="21600,21600" o:gfxdata="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u/Mt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12" o:spid="_x0000_s1026" o:spt="20" style="position:absolute;left:7337;top:229198;height:439;width:2;" filled="f" stroked="t" coordsize="21600,21600" o:gfxdata="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j1Sw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w10:wrap type="topAndBottom"/>
              </v:group>
            </w:pict>
          </mc:Fallback>
        </mc:AlternateContent>
      </w: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 xml:space="preserve">1.4-1 </w:t>
      </w:r>
      <w:r>
        <w:rPr>
          <w:rFonts w:ascii="宋体" w:hAnsi="宋体" w:eastAsia="宋体" w:cs="宋体"/>
          <w:spacing w:val="-4"/>
          <w:sz w:val="24"/>
          <w:szCs w:val="24"/>
          <w:lang w:eastAsia="zh-CN"/>
        </w:rPr>
        <w:t>安全现状评价工作程序</w:t>
      </w:r>
    </w:p>
    <w:p w14:paraId="166820D0">
      <w:pPr>
        <w:spacing w:line="360" w:lineRule="auto"/>
        <w:rPr>
          <w:rFonts w:hint="eastAsia" w:ascii="宋体" w:hAnsi="宋体" w:eastAsia="宋体" w:cs="宋体"/>
          <w:sz w:val="28"/>
          <w:szCs w:val="28"/>
          <w:lang w:eastAsia="zh-CN"/>
        </w:rPr>
        <w:sectPr>
          <w:headerReference r:id="rId7" w:type="default"/>
          <w:footerReference r:id="rId8" w:type="default"/>
          <w:pgSz w:w="11906" w:h="16839"/>
          <w:pgMar w:top="1150" w:right="1133" w:bottom="1314" w:left="1588" w:header="868" w:footer="984" w:gutter="0"/>
          <w:cols w:space="720" w:num="1"/>
        </w:sectPr>
      </w:pPr>
    </w:p>
    <w:p w14:paraId="33BF9AD6">
      <w:pPr>
        <w:spacing w:line="360" w:lineRule="auto"/>
        <w:jc w:val="center"/>
        <w:outlineLvl w:val="0"/>
        <w:rPr>
          <w:rFonts w:hint="eastAsia" w:ascii="黑体" w:hAnsi="黑体" w:eastAsia="黑体" w:cs="黑体"/>
          <w:color w:val="auto"/>
          <w:sz w:val="31"/>
          <w:szCs w:val="31"/>
          <w:lang w:eastAsia="zh-CN"/>
        </w:rPr>
      </w:pPr>
      <w:bookmarkStart w:id="27" w:name="bookmark12"/>
      <w:bookmarkEnd w:id="27"/>
      <w:bookmarkStart w:id="28" w:name="_Toc27733"/>
      <w:bookmarkStart w:id="29" w:name="_Toc3283"/>
      <w:r>
        <w:rPr>
          <w:rFonts w:ascii="Times New Roman" w:hAnsi="Times New Roman" w:eastAsia="Times New Roman" w:cs="Times New Roman"/>
          <w:b/>
          <w:bCs/>
          <w:color w:val="auto"/>
          <w:spacing w:val="3"/>
          <w:sz w:val="31"/>
          <w:szCs w:val="31"/>
          <w:lang w:eastAsia="zh-CN"/>
        </w:rPr>
        <w:t xml:space="preserve">2 </w:t>
      </w:r>
      <w:r>
        <w:rPr>
          <w:rFonts w:ascii="黑体" w:hAnsi="黑体" w:eastAsia="黑体" w:cs="黑体"/>
          <w:b/>
          <w:bCs/>
          <w:color w:val="auto"/>
          <w:spacing w:val="3"/>
          <w:sz w:val="31"/>
          <w:szCs w:val="31"/>
          <w:lang w:eastAsia="zh-CN"/>
        </w:rPr>
        <w:t>项目概况</w:t>
      </w:r>
      <w:bookmarkEnd w:id="28"/>
      <w:bookmarkEnd w:id="29"/>
    </w:p>
    <w:p w14:paraId="58A3E453">
      <w:pPr>
        <w:spacing w:line="360" w:lineRule="auto"/>
        <w:jc w:val="center"/>
        <w:outlineLvl w:val="0"/>
        <w:rPr>
          <w:rFonts w:hint="eastAsia" w:ascii="黑体" w:hAnsi="黑体" w:eastAsia="黑体" w:cs="黑体"/>
          <w:color w:val="auto"/>
          <w:sz w:val="30"/>
          <w:szCs w:val="30"/>
          <w:lang w:eastAsia="zh-CN"/>
        </w:rPr>
      </w:pPr>
      <w:bookmarkStart w:id="30" w:name="bookmark14"/>
      <w:bookmarkEnd w:id="30"/>
      <w:bookmarkStart w:id="31" w:name="_Toc11393"/>
      <w:bookmarkStart w:id="32" w:name="_Toc31501"/>
      <w:r>
        <w:rPr>
          <w:rFonts w:ascii="Times New Roman" w:hAnsi="Times New Roman" w:eastAsia="Times New Roman" w:cs="Times New Roman"/>
          <w:b/>
          <w:bCs/>
          <w:color w:val="auto"/>
          <w:spacing w:val="-4"/>
          <w:sz w:val="30"/>
          <w:szCs w:val="30"/>
          <w:lang w:eastAsia="zh-CN"/>
        </w:rPr>
        <w:t xml:space="preserve">2.1 </w:t>
      </w:r>
      <w:r>
        <w:rPr>
          <w:rFonts w:ascii="黑体" w:hAnsi="黑体" w:eastAsia="黑体" w:cs="黑体"/>
          <w:b/>
          <w:bCs/>
          <w:color w:val="auto"/>
          <w:spacing w:val="-4"/>
          <w:sz w:val="30"/>
          <w:szCs w:val="30"/>
          <w:lang w:eastAsia="zh-CN"/>
        </w:rPr>
        <w:t>企业概况</w:t>
      </w:r>
      <w:bookmarkEnd w:id="31"/>
      <w:bookmarkEnd w:id="32"/>
    </w:p>
    <w:p w14:paraId="227B232A">
      <w:pPr>
        <w:spacing w:line="360" w:lineRule="auto"/>
        <w:outlineLvl w:val="2"/>
        <w:rPr>
          <w:rFonts w:hint="eastAsia" w:ascii="宋体" w:hAnsi="宋体" w:eastAsia="宋体" w:cs="宋体"/>
          <w:color w:val="auto"/>
          <w:sz w:val="28"/>
          <w:szCs w:val="28"/>
          <w:lang w:eastAsia="zh-CN"/>
        </w:rPr>
      </w:pPr>
      <w:bookmarkStart w:id="33" w:name="_Toc26252"/>
      <w:bookmarkStart w:id="34" w:name="_Toc19506"/>
      <w:bookmarkStart w:id="35" w:name="_Toc14099"/>
      <w:r>
        <w:rPr>
          <w:rFonts w:ascii="Times New Roman" w:hAnsi="Times New Roman" w:eastAsia="Times New Roman" w:cs="Times New Roman"/>
          <w:b/>
          <w:bCs/>
          <w:color w:val="auto"/>
          <w:spacing w:val="-3"/>
          <w:sz w:val="28"/>
          <w:szCs w:val="28"/>
          <w:lang w:eastAsia="zh-CN"/>
        </w:rPr>
        <w:t xml:space="preserve">2.1.1 </w:t>
      </w:r>
      <w:r>
        <w:rPr>
          <w:rFonts w:ascii="宋体" w:hAnsi="宋体" w:eastAsia="宋体" w:cs="宋体"/>
          <w:b/>
          <w:bCs/>
          <w:color w:val="auto"/>
          <w:spacing w:val="-3"/>
          <w:sz w:val="28"/>
          <w:szCs w:val="28"/>
          <w:lang w:eastAsia="zh-CN"/>
        </w:rPr>
        <w:t>企业简介</w:t>
      </w:r>
      <w:bookmarkEnd w:id="33"/>
      <w:bookmarkEnd w:id="34"/>
      <w:bookmarkEnd w:id="35"/>
    </w:p>
    <w:p w14:paraId="7CD65283">
      <w:pPr>
        <w:spacing w:line="360" w:lineRule="auto"/>
        <w:ind w:firstLine="561"/>
        <w:rPr>
          <w:rFonts w:hint="eastAsia" w:ascii="宋体" w:hAnsi="宋体" w:eastAsia="宋体" w:cs="宋体"/>
          <w:color w:val="auto"/>
          <w:spacing w:val="-1"/>
          <w:sz w:val="28"/>
          <w:szCs w:val="28"/>
          <w:lang w:eastAsia="zh-CN"/>
        </w:rPr>
      </w:pPr>
      <w:r>
        <w:rPr>
          <w:rFonts w:hint="eastAsia" w:ascii="宋体" w:hAnsi="宋体" w:eastAsia="宋体" w:cs="宋体"/>
          <w:color w:val="auto"/>
          <w:spacing w:val="-1"/>
          <w:sz w:val="28"/>
          <w:szCs w:val="28"/>
          <w:lang w:eastAsia="zh-CN"/>
        </w:rPr>
        <w:t>凤城市添合矿业有限公司位于凤城市四门子镇湾垅地村；法定代表人：刚锟；</w:t>
      </w:r>
      <w:r>
        <w:rPr>
          <w:rFonts w:ascii="宋体" w:hAnsi="宋体" w:eastAsia="宋体" w:cs="宋体"/>
          <w:color w:val="auto"/>
          <w:spacing w:val="4"/>
          <w:sz w:val="28"/>
          <w:szCs w:val="28"/>
          <w:lang w:eastAsia="zh-CN"/>
        </w:rPr>
        <w:t>统一社会信用代码</w:t>
      </w:r>
      <w:r>
        <w:rPr>
          <w:rFonts w:hint="eastAsia" w:ascii="宋体" w:hAnsi="宋体" w:eastAsia="宋体" w:cs="宋体"/>
          <w:color w:val="auto"/>
          <w:spacing w:val="4"/>
          <w:sz w:val="28"/>
          <w:szCs w:val="28"/>
          <w:lang w:eastAsia="zh-CN"/>
        </w:rPr>
        <w:t>：</w:t>
      </w:r>
      <w:r>
        <w:rPr>
          <w:rFonts w:hint="eastAsia" w:ascii="Times New Roman" w:hAnsi="Times New Roman" w:eastAsia="Times New Roman" w:cs="Times New Roman"/>
          <w:color w:val="auto"/>
          <w:sz w:val="28"/>
          <w:szCs w:val="28"/>
          <w:lang w:eastAsia="zh-CN"/>
        </w:rPr>
        <w:t>91210682781636932H</w:t>
      </w:r>
      <w:r>
        <w:rPr>
          <w:rFonts w:hint="eastAsia" w:ascii="Times New Roman" w:hAnsi="Times New Roman" w:eastAsia="宋体" w:cs="Times New Roman"/>
          <w:color w:val="auto"/>
          <w:spacing w:val="4"/>
          <w:sz w:val="28"/>
          <w:szCs w:val="28"/>
          <w:lang w:eastAsia="zh-CN"/>
        </w:rPr>
        <w:t>；成立日期：</w:t>
      </w:r>
      <w:r>
        <w:rPr>
          <w:rFonts w:hint="eastAsia" w:ascii="Times New Roman" w:hAnsi="Times New Roman" w:eastAsia="Times New Roman" w:cs="Times New Roman"/>
          <w:color w:val="auto"/>
          <w:sz w:val="28"/>
          <w:szCs w:val="28"/>
          <w:lang w:eastAsia="zh-CN"/>
        </w:rPr>
        <w:t>200</w:t>
      </w:r>
      <w:r>
        <w:rPr>
          <w:rFonts w:hint="eastAsia" w:ascii="Times New Roman" w:hAnsi="Times New Roman" w:eastAsia="Times New Roman" w:cs="Times New Roman"/>
          <w:color w:val="auto"/>
          <w:sz w:val="28"/>
          <w:szCs w:val="28"/>
          <w:lang w:val="en-US" w:eastAsia="zh-CN"/>
        </w:rPr>
        <w:t>5-</w:t>
      </w:r>
      <w:r>
        <w:rPr>
          <w:rFonts w:hint="eastAsia" w:ascii="Times New Roman" w:hAnsi="Times New Roman" w:eastAsia="Times New Roman" w:cs="Times New Roman"/>
          <w:color w:val="auto"/>
          <w:sz w:val="28"/>
          <w:szCs w:val="28"/>
          <w:lang w:eastAsia="zh-CN"/>
        </w:rPr>
        <w:t>12</w:t>
      </w:r>
      <w:r>
        <w:rPr>
          <w:rFonts w:hint="eastAsia" w:ascii="Times New Roman" w:hAnsi="Times New Roman" w:eastAsia="Times New Roman" w:cs="Times New Roman"/>
          <w:color w:val="auto"/>
          <w:sz w:val="28"/>
          <w:szCs w:val="28"/>
          <w:lang w:val="en-US" w:eastAsia="zh-CN"/>
        </w:rPr>
        <w:t>-</w:t>
      </w:r>
      <w:r>
        <w:rPr>
          <w:rFonts w:hint="eastAsia" w:ascii="Times New Roman" w:hAnsi="Times New Roman" w:eastAsia="Times New Roman" w:cs="Times New Roman"/>
          <w:color w:val="auto"/>
          <w:sz w:val="28"/>
          <w:szCs w:val="28"/>
          <w:lang w:eastAsia="zh-CN"/>
        </w:rPr>
        <w:t>30；</w:t>
      </w:r>
      <w:r>
        <w:rPr>
          <w:rFonts w:hint="eastAsia" w:ascii="宋体" w:hAnsi="宋体" w:eastAsia="宋体" w:cs="宋体"/>
          <w:color w:val="auto"/>
          <w:spacing w:val="-1"/>
          <w:sz w:val="28"/>
          <w:szCs w:val="28"/>
          <w:lang w:eastAsia="zh-CN"/>
        </w:rPr>
        <w:t>公司类型：有限责任公司；公司</w:t>
      </w:r>
      <w:r>
        <w:rPr>
          <w:rFonts w:hint="eastAsia" w:ascii="宋体" w:hAnsi="宋体" w:eastAsia="宋体" w:cs="宋体"/>
          <w:color w:val="auto"/>
          <w:spacing w:val="-1"/>
          <w:sz w:val="28"/>
          <w:szCs w:val="28"/>
          <w:lang w:val="en-US" w:eastAsia="zh-CN"/>
        </w:rPr>
        <w:t>经营范围</w:t>
      </w:r>
      <w:r>
        <w:rPr>
          <w:rFonts w:hint="eastAsia" w:ascii="宋体" w:hAnsi="宋体" w:eastAsia="宋体" w:cs="宋体"/>
          <w:color w:val="auto"/>
          <w:spacing w:val="-1"/>
          <w:sz w:val="28"/>
          <w:szCs w:val="28"/>
          <w:lang w:eastAsia="zh-CN"/>
        </w:rPr>
        <w:t>：黄金冶炼，矿产品开发、加工、销售；（以下二项分支机构经营）金矿、铁矿开采（依法须经批准的项目，经相关部门批准后方可开展经营活动）。</w:t>
      </w:r>
    </w:p>
    <w:p w14:paraId="23F04632">
      <w:pPr>
        <w:keepNext w:val="0"/>
        <w:keepLines w:val="0"/>
        <w:pageBreakBefore w:val="0"/>
        <w:widowControl/>
        <w:kinsoku w:val="0"/>
        <w:wordWrap/>
        <w:overflowPunct/>
        <w:topLinePunct w:val="0"/>
        <w:autoSpaceDE w:val="0"/>
        <w:autoSpaceDN/>
        <w:bidi w:val="0"/>
        <w:adjustRightInd w:val="0"/>
        <w:snapToGrid w:val="0"/>
        <w:spacing w:line="360" w:lineRule="auto"/>
        <w:ind w:firstLine="561"/>
        <w:textAlignment w:val="baseline"/>
        <w:rPr>
          <w:rFonts w:hint="default" w:ascii="Times New Roman" w:hAnsi="Times New Roman" w:eastAsia="宋体" w:cs="Times New Roman"/>
          <w:color w:val="auto"/>
          <w:spacing w:val="-1"/>
          <w:sz w:val="28"/>
          <w:szCs w:val="28"/>
          <w:lang w:val="en-US" w:eastAsia="zh-CN"/>
        </w:rPr>
      </w:pPr>
      <w:r>
        <w:rPr>
          <w:rFonts w:hint="default" w:ascii="Times New Roman" w:hAnsi="Times New Roman" w:eastAsia="宋体" w:cs="Times New Roman"/>
          <w:color w:val="auto"/>
          <w:spacing w:val="-1"/>
          <w:sz w:val="28"/>
          <w:szCs w:val="28"/>
          <w:lang w:val="en-US" w:eastAsia="zh-CN"/>
        </w:rPr>
        <w:t>凤城市添合矿业有限公司原名为</w:t>
      </w:r>
      <w:r>
        <w:rPr>
          <w:rFonts w:hint="default" w:ascii="Times New Roman" w:hAnsi="Times New Roman" w:eastAsia="宋体" w:cs="Times New Roman"/>
          <w:color w:val="auto"/>
          <w:spacing w:val="-1"/>
          <w:sz w:val="28"/>
          <w:szCs w:val="28"/>
          <w:lang w:eastAsia="zh-CN"/>
        </w:rPr>
        <w:t>凤城市天合矿业有限公司，</w:t>
      </w:r>
      <w:r>
        <w:rPr>
          <w:rFonts w:hint="default" w:ascii="Times New Roman" w:hAnsi="Times New Roman" w:eastAsia="宋体" w:cs="Times New Roman"/>
          <w:color w:val="auto"/>
          <w:spacing w:val="-1"/>
          <w:sz w:val="28"/>
          <w:szCs w:val="28"/>
          <w:lang w:val="en-US" w:eastAsia="zh-CN"/>
        </w:rPr>
        <w:t>2020年7月3日因</w:t>
      </w:r>
      <w:r>
        <w:rPr>
          <w:rFonts w:hint="default" w:ascii="Times New Roman" w:hAnsi="Times New Roman" w:eastAsia="宋体" w:cs="Times New Roman"/>
          <w:color w:val="auto"/>
          <w:spacing w:val="-1"/>
          <w:sz w:val="28"/>
          <w:szCs w:val="28"/>
          <w:lang w:eastAsia="zh-CN"/>
        </w:rPr>
        <w:t>企业需要变更法人代表</w:t>
      </w:r>
      <w:r>
        <w:rPr>
          <w:rFonts w:hint="default" w:ascii="Times New Roman" w:hAnsi="Times New Roman" w:eastAsia="宋体" w:cs="Times New Roman"/>
          <w:color w:val="auto"/>
          <w:spacing w:val="-1"/>
          <w:sz w:val="28"/>
          <w:szCs w:val="28"/>
          <w:lang w:val="en-US" w:eastAsia="zh-CN"/>
        </w:rPr>
        <w:t>从而变更企业名称，变更后企业名称为凤城市添合矿业有限公司。</w:t>
      </w:r>
    </w:p>
    <w:p w14:paraId="28030987">
      <w:pPr>
        <w:spacing w:line="360" w:lineRule="auto"/>
        <w:outlineLvl w:val="2"/>
        <w:rPr>
          <w:rFonts w:hint="eastAsia" w:ascii="宋体" w:hAnsi="宋体" w:eastAsia="宋体" w:cs="宋体"/>
          <w:color w:val="auto"/>
          <w:sz w:val="28"/>
          <w:szCs w:val="28"/>
          <w:lang w:eastAsia="zh-CN"/>
        </w:rPr>
      </w:pPr>
      <w:bookmarkStart w:id="36" w:name="_Toc13318"/>
      <w:bookmarkStart w:id="37" w:name="_Toc9232"/>
      <w:bookmarkStart w:id="38" w:name="_Toc11423"/>
      <w:r>
        <w:rPr>
          <w:rFonts w:ascii="Times New Roman" w:hAnsi="Times New Roman" w:eastAsia="Times New Roman" w:cs="Times New Roman"/>
          <w:b/>
          <w:bCs/>
          <w:color w:val="auto"/>
          <w:spacing w:val="-3"/>
          <w:sz w:val="28"/>
          <w:szCs w:val="28"/>
          <w:lang w:eastAsia="zh-CN"/>
        </w:rPr>
        <w:t xml:space="preserve">2.1.2 </w:t>
      </w:r>
      <w:r>
        <w:rPr>
          <w:rFonts w:ascii="宋体" w:hAnsi="宋体" w:eastAsia="宋体" w:cs="宋体"/>
          <w:b/>
          <w:bCs/>
          <w:color w:val="auto"/>
          <w:spacing w:val="-3"/>
          <w:sz w:val="28"/>
          <w:szCs w:val="28"/>
          <w:lang w:eastAsia="zh-CN"/>
        </w:rPr>
        <w:t>地理位置及交通</w:t>
      </w:r>
      <w:bookmarkEnd w:id="36"/>
      <w:bookmarkEnd w:id="37"/>
      <w:bookmarkEnd w:id="38"/>
    </w:p>
    <w:p w14:paraId="09AA1D56">
      <w:pPr>
        <w:adjustRightInd w:val="0"/>
        <w:snapToGrid w:val="0"/>
        <w:spacing w:line="360" w:lineRule="auto"/>
        <w:ind w:firstLine="560" w:firstLineChars="200"/>
        <w:rPr>
          <w:rFonts w:hint="default"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val="en-US" w:eastAsia="zh-CN"/>
        </w:rPr>
        <w:t>该</w:t>
      </w:r>
      <w:r>
        <w:rPr>
          <w:rFonts w:hint="default" w:ascii="Times New Roman" w:hAnsi="Times New Roman" w:eastAsia="宋体" w:cs="Times New Roman"/>
          <w:color w:val="auto"/>
          <w:sz w:val="28"/>
          <w:szCs w:val="28"/>
          <w:lang w:val="en-US" w:eastAsia="zh-CN"/>
        </w:rPr>
        <w:t>尾矿库位于</w:t>
      </w:r>
      <w:r>
        <w:rPr>
          <w:rFonts w:hint="eastAsia" w:ascii="Times New Roman" w:hAnsi="Times New Roman" w:eastAsia="宋体" w:cs="Times New Roman"/>
          <w:color w:val="auto"/>
          <w:sz w:val="28"/>
          <w:szCs w:val="28"/>
          <w:lang w:val="en-US" w:eastAsia="zh-CN"/>
        </w:rPr>
        <w:t>xxx</w:t>
      </w:r>
    </w:p>
    <w:p w14:paraId="0AB67BCD">
      <w:pPr>
        <w:adjustRightInd w:val="0"/>
        <w:snapToGrid w:val="0"/>
        <w:spacing w:line="360" w:lineRule="auto"/>
        <w:ind w:firstLine="560" w:firstLineChars="200"/>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 xml:space="preserve">企业选厂自设道路与村级公路相通，道路均可直通至各省市，交通四通八达，十分便捷。 </w:t>
      </w:r>
    </w:p>
    <w:p w14:paraId="09910F21">
      <w:pPr>
        <w:adjustRightInd w:val="0"/>
        <w:snapToGrid w:val="0"/>
        <w:spacing w:line="360" w:lineRule="auto"/>
        <w:ind w:firstLine="560" w:firstLineChars="200"/>
        <w:rPr>
          <w:rFonts w:hint="default" w:ascii="Times New Roman" w:hAnsi="Times New Roman" w:cs="Times New Roman"/>
          <w:color w:val="auto"/>
          <w:sz w:val="28"/>
          <w:szCs w:val="28"/>
          <w:lang w:val="en-US" w:eastAsia="zh-CN"/>
        </w:rPr>
      </w:pPr>
      <w:r>
        <w:rPr>
          <w:rFonts w:hint="eastAsia" w:ascii="Times New Roman" w:hAnsi="Times New Roman" w:eastAsia="宋体" w:cs="Times New Roman"/>
          <w:color w:val="auto"/>
          <w:sz w:val="28"/>
          <w:szCs w:val="28"/>
          <w:lang w:val="en-US" w:eastAsia="zh-CN"/>
        </w:rPr>
        <w:t>该</w:t>
      </w:r>
      <w:r>
        <w:rPr>
          <w:rFonts w:hint="default" w:ascii="Times New Roman" w:hAnsi="Times New Roman" w:eastAsia="宋体" w:cs="Times New Roman"/>
          <w:color w:val="auto"/>
          <w:sz w:val="28"/>
          <w:szCs w:val="28"/>
          <w:lang w:val="en-US" w:eastAsia="zh-CN"/>
        </w:rPr>
        <w:t>尾矿库中心地理坐标：</w:t>
      </w:r>
      <w:r>
        <w:rPr>
          <w:rFonts w:hint="eastAsia" w:ascii="Times New Roman" w:hAnsi="Times New Roman" w:cs="Times New Roman"/>
          <w:color w:val="auto"/>
          <w:sz w:val="28"/>
          <w:szCs w:val="28"/>
          <w:lang w:val="en-US" w:eastAsia="zh-CN"/>
        </w:rPr>
        <w:t>xxx</w:t>
      </w:r>
      <w:r>
        <w:rPr>
          <w:rFonts w:hint="default" w:ascii="Times New Roman" w:hAnsi="Times New Roman" w:cs="Times New Roman"/>
          <w:color w:val="auto"/>
          <w:sz w:val="28"/>
          <w:szCs w:val="28"/>
          <w:lang w:eastAsia="zh-CN"/>
        </w:rPr>
        <w:t xml:space="preserve"> </w:t>
      </w:r>
      <w:r>
        <w:rPr>
          <w:rFonts w:hint="eastAsia" w:ascii="Times New Roman" w:hAnsi="Times New Roman" w:cs="Times New Roman"/>
          <w:color w:val="auto"/>
          <w:sz w:val="28"/>
          <w:szCs w:val="28"/>
          <w:lang w:eastAsia="zh-CN"/>
        </w:rPr>
        <w:t>。</w:t>
      </w:r>
    </w:p>
    <w:p w14:paraId="1EB2E681">
      <w:pPr>
        <w:pStyle w:val="9"/>
        <w:rPr>
          <w:color w:val="0000FF"/>
        </w:rPr>
      </w:pPr>
    </w:p>
    <w:p w14:paraId="5041AF70">
      <w:pPr>
        <w:jc w:val="center"/>
        <w:rPr>
          <w:rFonts w:hint="eastAsia" w:ascii="宋体" w:hAnsi="宋体" w:eastAsia="宋体" w:cs="宋体"/>
          <w:color w:val="auto"/>
          <w:sz w:val="24"/>
          <w:szCs w:val="24"/>
          <w:lang w:eastAsia="zh-CN"/>
        </w:rPr>
      </w:pPr>
      <w:r>
        <w:rPr>
          <w:rFonts w:ascii="宋体" w:hAnsi="宋体" w:eastAsia="宋体" w:cs="宋体"/>
          <w:color w:val="auto"/>
          <w:spacing w:val="-5"/>
          <w:sz w:val="24"/>
          <w:szCs w:val="24"/>
          <w:lang w:eastAsia="zh-CN"/>
        </w:rPr>
        <w:t>图</w:t>
      </w:r>
      <w:r>
        <w:rPr>
          <w:rFonts w:ascii="Times New Roman" w:hAnsi="Times New Roman" w:eastAsia="Times New Roman" w:cs="Times New Roman"/>
          <w:color w:val="auto"/>
          <w:spacing w:val="-5"/>
          <w:sz w:val="24"/>
          <w:szCs w:val="24"/>
          <w:lang w:eastAsia="zh-CN"/>
        </w:rPr>
        <w:t xml:space="preserve">2.1-1 </w:t>
      </w:r>
      <w:r>
        <w:rPr>
          <w:rFonts w:ascii="宋体" w:hAnsi="宋体" w:eastAsia="宋体" w:cs="宋体"/>
          <w:color w:val="auto"/>
          <w:spacing w:val="-5"/>
          <w:sz w:val="24"/>
          <w:szCs w:val="24"/>
          <w:lang w:eastAsia="zh-CN"/>
        </w:rPr>
        <w:t>交通位置图</w:t>
      </w:r>
    </w:p>
    <w:p w14:paraId="02F44DF5">
      <w:pPr>
        <w:spacing w:line="360" w:lineRule="auto"/>
        <w:jc w:val="center"/>
        <w:outlineLvl w:val="0"/>
        <w:rPr>
          <w:rFonts w:hint="eastAsia" w:ascii="黑体" w:hAnsi="黑体" w:eastAsia="黑体" w:cs="黑体"/>
          <w:color w:val="auto"/>
          <w:sz w:val="30"/>
          <w:szCs w:val="30"/>
          <w:lang w:eastAsia="zh-CN"/>
        </w:rPr>
      </w:pPr>
      <w:bookmarkStart w:id="39" w:name="bookmark16"/>
      <w:bookmarkEnd w:id="39"/>
      <w:bookmarkStart w:id="40" w:name="_Toc22988"/>
      <w:bookmarkStart w:id="41" w:name="_Toc22193"/>
      <w:r>
        <w:rPr>
          <w:rFonts w:ascii="Times New Roman" w:hAnsi="Times New Roman" w:eastAsia="Times New Roman" w:cs="Times New Roman"/>
          <w:b/>
          <w:bCs/>
          <w:color w:val="auto"/>
          <w:spacing w:val="-8"/>
          <w:sz w:val="30"/>
          <w:szCs w:val="30"/>
          <w:lang w:eastAsia="zh-CN"/>
        </w:rPr>
        <w:t>2.2</w:t>
      </w:r>
      <w:r>
        <w:rPr>
          <w:rFonts w:ascii="黑体" w:hAnsi="黑体" w:eastAsia="黑体" w:cs="黑体"/>
          <w:b/>
          <w:bCs/>
          <w:color w:val="auto"/>
          <w:spacing w:val="-8"/>
          <w:sz w:val="30"/>
          <w:szCs w:val="30"/>
          <w:lang w:eastAsia="zh-CN"/>
        </w:rPr>
        <w:t>自然环境概况</w:t>
      </w:r>
      <w:bookmarkEnd w:id="40"/>
      <w:bookmarkEnd w:id="41"/>
    </w:p>
    <w:p w14:paraId="715F638D">
      <w:pPr>
        <w:spacing w:line="360" w:lineRule="auto"/>
        <w:outlineLvl w:val="2"/>
        <w:rPr>
          <w:rFonts w:hint="eastAsia" w:ascii="宋体" w:hAnsi="宋体" w:eastAsia="宋体" w:cs="宋体"/>
          <w:color w:val="auto"/>
          <w:sz w:val="28"/>
          <w:szCs w:val="28"/>
          <w:lang w:eastAsia="zh-CN"/>
        </w:rPr>
      </w:pPr>
      <w:bookmarkStart w:id="42" w:name="_Toc31670"/>
      <w:bookmarkStart w:id="43" w:name="_Toc28419"/>
      <w:bookmarkStart w:id="44" w:name="_Toc23"/>
      <w:r>
        <w:rPr>
          <w:rFonts w:ascii="Times New Roman" w:hAnsi="Times New Roman" w:eastAsia="Times New Roman" w:cs="Times New Roman"/>
          <w:b/>
          <w:bCs/>
          <w:color w:val="auto"/>
          <w:spacing w:val="-3"/>
          <w:sz w:val="28"/>
          <w:szCs w:val="28"/>
          <w:lang w:eastAsia="zh-CN"/>
        </w:rPr>
        <w:t xml:space="preserve">2.2.1 </w:t>
      </w:r>
      <w:r>
        <w:rPr>
          <w:rFonts w:ascii="宋体" w:hAnsi="宋体" w:eastAsia="宋体" w:cs="宋体"/>
          <w:b/>
          <w:bCs/>
          <w:color w:val="auto"/>
          <w:spacing w:val="-3"/>
          <w:sz w:val="28"/>
          <w:szCs w:val="28"/>
          <w:lang w:eastAsia="zh-CN"/>
        </w:rPr>
        <w:t>地形地貌</w:t>
      </w:r>
      <w:bookmarkEnd w:id="42"/>
      <w:bookmarkEnd w:id="43"/>
      <w:bookmarkEnd w:id="44"/>
    </w:p>
    <w:p w14:paraId="237D1433">
      <w:pPr>
        <w:spacing w:line="360" w:lineRule="auto"/>
        <w:ind w:firstLine="568"/>
        <w:rPr>
          <w:color w:val="auto"/>
          <w:sz w:val="28"/>
          <w:szCs w:val="28"/>
        </w:rPr>
      </w:pPr>
      <w:r>
        <w:rPr>
          <w:rFonts w:ascii="Times New Roman" w:hAnsi="Times New Roman" w:eastAsia="宋体" w:cs="Times New Roman"/>
          <w:color w:val="auto"/>
          <w:spacing w:val="1"/>
          <w:sz w:val="28"/>
          <w:szCs w:val="28"/>
          <w:lang w:eastAsia="zh-CN"/>
        </w:rPr>
        <w:t>该</w:t>
      </w:r>
      <w:r>
        <w:rPr>
          <w:rFonts w:hint="eastAsia" w:ascii="Times New Roman" w:hAnsi="Times New Roman" w:eastAsia="宋体" w:cs="Times New Roman"/>
          <w:color w:val="auto"/>
          <w:spacing w:val="1"/>
          <w:sz w:val="28"/>
          <w:szCs w:val="28"/>
          <w:lang w:eastAsia="zh-CN"/>
        </w:rPr>
        <w:t>项目</w:t>
      </w:r>
      <w:r>
        <w:rPr>
          <w:color w:val="auto"/>
          <w:sz w:val="28"/>
          <w:szCs w:val="28"/>
        </w:rPr>
        <w:t>地貌属于低山沟谷型，库区南北东三面环山，地貌形态属剥蚀山地，剥蚀作用强烈，山坡、坡角处堆积层较厚。</w:t>
      </w:r>
    </w:p>
    <w:p w14:paraId="5436F857">
      <w:pPr>
        <w:spacing w:line="360" w:lineRule="auto"/>
        <w:ind w:firstLine="568"/>
        <w:rPr>
          <w:rFonts w:ascii="Times New Roman" w:hAnsi="Times New Roman" w:eastAsia="宋体" w:cs="Times New Roman"/>
          <w:color w:val="auto"/>
          <w:sz w:val="28"/>
          <w:szCs w:val="28"/>
          <w:lang w:eastAsia="zh-CN"/>
        </w:rPr>
      </w:pPr>
      <w:r>
        <w:rPr>
          <w:color w:val="auto"/>
          <w:sz w:val="28"/>
          <w:szCs w:val="28"/>
        </w:rPr>
        <w:t>库区地貌类型简单，地形相对高差较大。</w:t>
      </w:r>
    </w:p>
    <w:p w14:paraId="5BE20D93">
      <w:pPr>
        <w:spacing w:line="360" w:lineRule="auto"/>
        <w:outlineLvl w:val="2"/>
        <w:rPr>
          <w:rFonts w:hint="eastAsia" w:ascii="宋体" w:hAnsi="宋体" w:eastAsia="宋体" w:cs="宋体"/>
          <w:color w:val="auto"/>
          <w:sz w:val="28"/>
          <w:szCs w:val="28"/>
          <w:lang w:eastAsia="zh-CN"/>
        </w:rPr>
      </w:pPr>
      <w:bookmarkStart w:id="45" w:name="_Toc6811"/>
      <w:bookmarkStart w:id="46" w:name="_Toc16289"/>
      <w:bookmarkStart w:id="47" w:name="_Toc30768"/>
      <w:r>
        <w:rPr>
          <w:rFonts w:ascii="Times New Roman" w:hAnsi="Times New Roman" w:eastAsia="Times New Roman" w:cs="Times New Roman"/>
          <w:b/>
          <w:bCs/>
          <w:color w:val="auto"/>
          <w:spacing w:val="-3"/>
          <w:sz w:val="28"/>
          <w:szCs w:val="28"/>
          <w:lang w:eastAsia="zh-CN"/>
        </w:rPr>
        <w:t xml:space="preserve">2.2.2 </w:t>
      </w:r>
      <w:r>
        <w:rPr>
          <w:rFonts w:ascii="宋体" w:hAnsi="宋体" w:eastAsia="宋体" w:cs="宋体"/>
          <w:b/>
          <w:bCs/>
          <w:color w:val="auto"/>
          <w:spacing w:val="-3"/>
          <w:sz w:val="28"/>
          <w:szCs w:val="28"/>
          <w:lang w:eastAsia="zh-CN"/>
        </w:rPr>
        <w:t>气象条件</w:t>
      </w:r>
      <w:bookmarkEnd w:id="45"/>
      <w:bookmarkEnd w:id="46"/>
      <w:bookmarkEnd w:id="47"/>
    </w:p>
    <w:p w14:paraId="18F56938">
      <w:pPr>
        <w:keepNext w:val="0"/>
        <w:keepLines w:val="0"/>
        <w:pageBreakBefore w:val="0"/>
        <w:widowControl w:val="0"/>
        <w:kinsoku/>
        <w:wordWrap/>
        <w:overflowPunct/>
        <w:topLinePunct w:val="0"/>
        <w:autoSpaceDE w:val="0"/>
        <w:autoSpaceDN w:val="0"/>
        <w:bidi w:val="0"/>
        <w:adjustRightInd w:val="0"/>
        <w:snapToGrid/>
        <w:spacing w:line="360" w:lineRule="auto"/>
        <w:ind w:right="0" w:firstLine="572" w:firstLineChars="200"/>
        <w:textAlignment w:val="auto"/>
        <w:rPr>
          <w:rFonts w:hint="default" w:ascii="Times New Roman" w:hAnsi="Times New Roman" w:cs="Times New Roman"/>
          <w:color w:val="auto"/>
          <w:sz w:val="28"/>
          <w:szCs w:val="28"/>
        </w:rPr>
      </w:pPr>
      <w:r>
        <w:rPr>
          <w:rFonts w:ascii="Times New Roman" w:hAnsi="Times New Roman" w:eastAsia="宋体" w:cs="Times New Roman"/>
          <w:color w:val="auto"/>
          <w:spacing w:val="3"/>
          <w:sz w:val="28"/>
          <w:szCs w:val="28"/>
          <w:lang w:eastAsia="zh-CN"/>
        </w:rPr>
        <w:t>本区</w:t>
      </w:r>
      <w:r>
        <w:rPr>
          <w:rFonts w:hint="default" w:ascii="Times New Roman" w:hAnsi="Times New Roman" w:cs="Times New Roman"/>
          <w:color w:val="auto"/>
          <w:sz w:val="28"/>
          <w:szCs w:val="28"/>
        </w:rPr>
        <w:t>属温热带气候，温度变化不大，最高气温为33℃，最低气温为-23℃。年平均降雨量为982.5mm，年最大降雨量为1325.3mm，年最小降雨量为598.5mm，冻土深度为1.2m。</w:t>
      </w:r>
    </w:p>
    <w:p w14:paraId="2B490C11">
      <w:pPr>
        <w:spacing w:line="360" w:lineRule="auto"/>
        <w:outlineLvl w:val="2"/>
        <w:rPr>
          <w:rFonts w:hint="eastAsia" w:ascii="宋体" w:hAnsi="宋体" w:eastAsia="宋体" w:cs="宋体"/>
          <w:color w:val="auto"/>
          <w:sz w:val="28"/>
          <w:szCs w:val="28"/>
          <w:lang w:eastAsia="zh-CN"/>
        </w:rPr>
      </w:pPr>
      <w:bookmarkStart w:id="48" w:name="_Toc1538"/>
      <w:bookmarkStart w:id="49" w:name="_Toc29031"/>
      <w:bookmarkStart w:id="50" w:name="_Toc12714"/>
      <w:r>
        <w:rPr>
          <w:rFonts w:ascii="Times New Roman" w:hAnsi="Times New Roman" w:eastAsia="Times New Roman" w:cs="Times New Roman"/>
          <w:b/>
          <w:bCs/>
          <w:color w:val="auto"/>
          <w:spacing w:val="-3"/>
          <w:sz w:val="28"/>
          <w:szCs w:val="28"/>
          <w:lang w:eastAsia="zh-CN"/>
        </w:rPr>
        <w:t xml:space="preserve">2.2.3 </w:t>
      </w:r>
      <w:r>
        <w:rPr>
          <w:rFonts w:ascii="宋体" w:hAnsi="宋体" w:eastAsia="宋体" w:cs="宋体"/>
          <w:b/>
          <w:bCs/>
          <w:color w:val="auto"/>
          <w:spacing w:val="-3"/>
          <w:sz w:val="28"/>
          <w:szCs w:val="28"/>
          <w:lang w:eastAsia="zh-CN"/>
        </w:rPr>
        <w:t>地震效应</w:t>
      </w:r>
      <w:bookmarkEnd w:id="48"/>
      <w:bookmarkEnd w:id="49"/>
      <w:bookmarkEnd w:id="50"/>
    </w:p>
    <w:p w14:paraId="7B8A2C63">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根据</w:t>
      </w:r>
      <w:r>
        <w:rPr>
          <w:rFonts w:hint="default" w:ascii="Times New Roman" w:hAnsi="Times New Roman" w:cs="Times New Roman"/>
          <w:color w:val="auto"/>
          <w:sz w:val="28"/>
          <w:szCs w:val="28"/>
          <w:lang w:eastAsia="zh-CN"/>
        </w:rPr>
        <w:t>《建筑抗震设计</w:t>
      </w:r>
      <w:r>
        <w:rPr>
          <w:rFonts w:hint="eastAsia" w:ascii="Times New Roman" w:hAnsi="Times New Roman" w:cs="Times New Roman"/>
          <w:color w:val="auto"/>
          <w:sz w:val="28"/>
          <w:szCs w:val="28"/>
          <w:lang w:val="en-US" w:eastAsia="zh-CN"/>
        </w:rPr>
        <w:t>标准</w:t>
      </w:r>
      <w:r>
        <w:rPr>
          <w:rFonts w:hint="default" w:ascii="Times New Roman" w:hAnsi="Times New Roman" w:cs="Times New Roman"/>
          <w:color w:val="auto"/>
          <w:sz w:val="28"/>
          <w:szCs w:val="28"/>
          <w:lang w:val="en-US" w:eastAsia="zh-CN"/>
        </w:rPr>
        <w:t>[</w:t>
      </w:r>
      <w:r>
        <w:rPr>
          <w:rFonts w:hint="default" w:ascii="Times New Roman" w:hAnsi="Times New Roman" w:cs="Times New Roman"/>
          <w:color w:val="auto"/>
          <w:sz w:val="28"/>
          <w:szCs w:val="28"/>
          <w:lang w:eastAsia="zh-CN"/>
        </w:rPr>
        <w:t>2024年版]》（GB</w:t>
      </w:r>
      <w:r>
        <w:rPr>
          <w:rFonts w:hint="default" w:ascii="Times New Roman" w:hAnsi="Times New Roman" w:cs="Times New Roman"/>
          <w:color w:val="auto"/>
          <w:sz w:val="28"/>
          <w:szCs w:val="28"/>
          <w:lang w:val="en-US" w:eastAsia="zh-CN"/>
        </w:rPr>
        <w:t>/T</w:t>
      </w:r>
      <w:r>
        <w:rPr>
          <w:rFonts w:hint="default" w:ascii="Times New Roman" w:hAnsi="Times New Roman" w:cs="Times New Roman"/>
          <w:color w:val="auto"/>
          <w:sz w:val="28"/>
          <w:szCs w:val="28"/>
          <w:lang w:eastAsia="zh-CN"/>
        </w:rPr>
        <w:t xml:space="preserve"> 50011-2010）</w:t>
      </w:r>
      <w:r>
        <w:rPr>
          <w:rFonts w:hint="default" w:ascii="Times New Roman" w:hAnsi="Times New Roman" w:cs="Times New Roman"/>
          <w:color w:val="auto"/>
          <w:sz w:val="28"/>
          <w:szCs w:val="28"/>
        </w:rPr>
        <w:t>规定，本地区抗震设防烈度为6度，设计基本地震加速度值为0.05g，设计地震分组属第二组，场地设计特征周期为0.40s。</w:t>
      </w:r>
    </w:p>
    <w:p w14:paraId="21F91753">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该场地抗震设防烈度为6度，依据</w:t>
      </w:r>
      <w:r>
        <w:rPr>
          <w:rFonts w:hint="default" w:ascii="Times New Roman" w:hAnsi="Times New Roman" w:cs="Times New Roman"/>
          <w:color w:val="auto"/>
          <w:sz w:val="28"/>
          <w:szCs w:val="28"/>
          <w:lang w:eastAsia="zh-CN"/>
        </w:rPr>
        <w:t>《建筑抗震设计</w:t>
      </w:r>
      <w:r>
        <w:rPr>
          <w:rFonts w:hint="eastAsia" w:ascii="Times New Roman" w:hAnsi="Times New Roman" w:cs="Times New Roman"/>
          <w:color w:val="auto"/>
          <w:sz w:val="28"/>
          <w:szCs w:val="28"/>
          <w:lang w:val="en-US" w:eastAsia="zh-CN"/>
        </w:rPr>
        <w:t>标准</w:t>
      </w:r>
      <w:r>
        <w:rPr>
          <w:rFonts w:hint="default" w:ascii="Times New Roman" w:hAnsi="Times New Roman" w:cs="Times New Roman"/>
          <w:color w:val="auto"/>
          <w:sz w:val="28"/>
          <w:szCs w:val="28"/>
          <w:lang w:val="en-US" w:eastAsia="zh-CN"/>
        </w:rPr>
        <w:t>[</w:t>
      </w:r>
      <w:r>
        <w:rPr>
          <w:rFonts w:hint="default" w:ascii="Times New Roman" w:hAnsi="Times New Roman" w:cs="Times New Roman"/>
          <w:color w:val="auto"/>
          <w:sz w:val="28"/>
          <w:szCs w:val="28"/>
          <w:lang w:eastAsia="zh-CN"/>
        </w:rPr>
        <w:t>2024年版]》（GB</w:t>
      </w:r>
      <w:r>
        <w:rPr>
          <w:rFonts w:hint="default" w:ascii="Times New Roman" w:hAnsi="Times New Roman" w:cs="Times New Roman"/>
          <w:color w:val="auto"/>
          <w:sz w:val="28"/>
          <w:szCs w:val="28"/>
          <w:lang w:val="en-US" w:eastAsia="zh-CN"/>
        </w:rPr>
        <w:t>/T</w:t>
      </w:r>
      <w:r>
        <w:rPr>
          <w:rFonts w:hint="default" w:ascii="Times New Roman" w:hAnsi="Times New Roman" w:cs="Times New Roman"/>
          <w:color w:val="auto"/>
          <w:sz w:val="28"/>
          <w:szCs w:val="28"/>
          <w:lang w:eastAsia="zh-CN"/>
        </w:rPr>
        <w:t xml:space="preserve"> 50011-2010）</w:t>
      </w:r>
      <w:r>
        <w:rPr>
          <w:rFonts w:hint="default" w:ascii="Times New Roman" w:hAnsi="Times New Roman" w:cs="Times New Roman"/>
          <w:color w:val="auto"/>
          <w:sz w:val="28"/>
          <w:szCs w:val="28"/>
        </w:rPr>
        <w:t>第4.3.1条规定，本文不对该场地进行地震液化判别。</w:t>
      </w:r>
    </w:p>
    <w:p w14:paraId="23C55232">
      <w:pPr>
        <w:spacing w:line="360" w:lineRule="auto"/>
        <w:jc w:val="center"/>
        <w:outlineLvl w:val="0"/>
        <w:rPr>
          <w:rFonts w:hint="eastAsia" w:ascii="黑体" w:hAnsi="黑体" w:eastAsia="黑体" w:cs="黑体"/>
          <w:sz w:val="30"/>
          <w:szCs w:val="30"/>
          <w:lang w:eastAsia="zh-CN"/>
        </w:rPr>
      </w:pPr>
      <w:bookmarkStart w:id="51" w:name="bookmark18"/>
      <w:bookmarkEnd w:id="51"/>
      <w:bookmarkStart w:id="52" w:name="_Toc14299"/>
      <w:bookmarkStart w:id="53" w:name="_Toc21950"/>
      <w:r>
        <w:rPr>
          <w:rFonts w:ascii="Times New Roman" w:hAnsi="Times New Roman" w:eastAsia="Times New Roman" w:cs="Times New Roman"/>
          <w:b/>
          <w:bCs/>
          <w:spacing w:val="-4"/>
          <w:sz w:val="30"/>
          <w:szCs w:val="30"/>
          <w:lang w:eastAsia="zh-CN"/>
        </w:rPr>
        <w:t xml:space="preserve">2.3 </w:t>
      </w:r>
      <w:r>
        <w:rPr>
          <w:rFonts w:ascii="黑体" w:hAnsi="黑体" w:eastAsia="黑体" w:cs="黑体"/>
          <w:b/>
          <w:bCs/>
          <w:spacing w:val="-4"/>
          <w:sz w:val="30"/>
          <w:szCs w:val="30"/>
          <w:lang w:eastAsia="zh-CN"/>
        </w:rPr>
        <w:t>地质概况</w:t>
      </w:r>
      <w:bookmarkEnd w:id="52"/>
      <w:bookmarkEnd w:id="53"/>
    </w:p>
    <w:p w14:paraId="0643BE51">
      <w:pPr>
        <w:autoSpaceDE w:val="0"/>
        <w:autoSpaceDN w:val="0"/>
        <w:adjustRightInd w:val="0"/>
        <w:spacing w:line="360" w:lineRule="auto"/>
        <w:ind w:right="-51" w:firstLine="560" w:firstLineChars="200"/>
        <w:rPr>
          <w:rFonts w:hint="default" w:ascii="Times New Roman" w:hAnsi="Times New Roman" w:cs="Times New Roman"/>
          <w:color w:val="auto"/>
          <w:sz w:val="28"/>
          <w:szCs w:val="28"/>
          <w:lang w:eastAsia="zh-CN"/>
        </w:rPr>
      </w:pPr>
      <w:bookmarkStart w:id="54" w:name="_Toc1433"/>
      <w:bookmarkStart w:id="55" w:name="_Toc2307"/>
      <w:bookmarkStart w:id="56" w:name="_Toc12837"/>
      <w:r>
        <w:rPr>
          <w:rFonts w:hint="eastAsia" w:ascii="Times New Roman" w:hAnsi="Times New Roman" w:cs="Times New Roman"/>
          <w:color w:val="auto"/>
          <w:sz w:val="28"/>
          <w:szCs w:val="28"/>
          <w:lang w:val="en-US" w:eastAsia="zh-CN"/>
        </w:rPr>
        <w:t>以下内容来源于</w:t>
      </w:r>
      <w:r>
        <w:rPr>
          <w:rFonts w:hint="default" w:ascii="Times New Roman" w:hAnsi="Times New Roman" w:cs="Times New Roman"/>
          <w:color w:val="auto"/>
          <w:sz w:val="28"/>
          <w:szCs w:val="28"/>
          <w:lang w:eastAsia="zh-CN"/>
        </w:rPr>
        <w:t>《凤城市天合矿业有限公司尾矿库现状坝体岩土工程勘察报告》</w:t>
      </w:r>
      <w:r>
        <w:rPr>
          <w:rFonts w:hint="eastAsia" w:ascii="Times New Roman" w:hAnsi="Times New Roman" w:cs="Times New Roman"/>
          <w:color w:val="auto"/>
          <w:sz w:val="28"/>
          <w:szCs w:val="28"/>
          <w:lang w:eastAsia="zh-CN"/>
        </w:rPr>
        <w:t>（沈阳核工业建设工</w:t>
      </w:r>
      <w:r>
        <w:rPr>
          <w:rFonts w:hint="default" w:ascii="Times New Roman" w:hAnsi="Times New Roman" w:cs="Times New Roman"/>
          <w:color w:val="auto"/>
          <w:sz w:val="28"/>
          <w:szCs w:val="28"/>
          <w:lang w:eastAsia="zh-CN"/>
        </w:rPr>
        <w:t>程总公司，2019年7月</w:t>
      </w:r>
      <w:r>
        <w:rPr>
          <w:rFonts w:hint="eastAsia" w:ascii="Times New Roman" w:hAnsi="Times New Roman" w:cs="Times New Roman"/>
          <w:color w:val="auto"/>
          <w:sz w:val="28"/>
          <w:szCs w:val="28"/>
          <w:lang w:eastAsia="zh-CN"/>
        </w:rPr>
        <w:t>）。</w:t>
      </w:r>
    </w:p>
    <w:p w14:paraId="63EF1663">
      <w:pPr>
        <w:spacing w:line="360" w:lineRule="auto"/>
        <w:outlineLvl w:val="2"/>
        <w:rPr>
          <w:rFonts w:hint="default" w:ascii="宋体" w:hAnsi="宋体" w:eastAsia="宋体" w:cs="宋体"/>
          <w:sz w:val="28"/>
          <w:szCs w:val="28"/>
          <w:lang w:val="en-US" w:eastAsia="zh-CN"/>
        </w:rPr>
      </w:pPr>
      <w:r>
        <w:rPr>
          <w:rFonts w:ascii="Times New Roman" w:hAnsi="Times New Roman" w:eastAsia="Times New Roman" w:cs="Times New Roman"/>
          <w:b/>
          <w:bCs/>
          <w:spacing w:val="-3"/>
          <w:sz w:val="28"/>
          <w:szCs w:val="28"/>
          <w:lang w:eastAsia="zh-CN"/>
        </w:rPr>
        <w:t>2.3.</w:t>
      </w:r>
      <w:r>
        <w:rPr>
          <w:rFonts w:hint="eastAsia" w:ascii="Times New Roman" w:hAnsi="Times New Roman" w:eastAsia="宋体" w:cs="Times New Roman"/>
          <w:b/>
          <w:bCs/>
          <w:spacing w:val="-3"/>
          <w:sz w:val="28"/>
          <w:szCs w:val="28"/>
          <w:lang w:eastAsia="zh-CN"/>
        </w:rPr>
        <w:t>1</w:t>
      </w:r>
      <w:r>
        <w:rPr>
          <w:rFonts w:ascii="Times New Roman" w:hAnsi="Times New Roman" w:eastAsia="Times New Roman" w:cs="Times New Roman"/>
          <w:b/>
          <w:bCs/>
          <w:spacing w:val="-3"/>
          <w:sz w:val="28"/>
          <w:szCs w:val="28"/>
          <w:lang w:eastAsia="zh-CN"/>
        </w:rPr>
        <w:t xml:space="preserve"> </w:t>
      </w:r>
      <w:bookmarkEnd w:id="54"/>
      <w:bookmarkEnd w:id="55"/>
      <w:bookmarkEnd w:id="56"/>
      <w:r>
        <w:rPr>
          <w:rFonts w:hint="eastAsia" w:ascii="Times New Roman" w:hAnsi="Times New Roman" w:eastAsia="Times New Roman" w:cs="Times New Roman"/>
          <w:b/>
          <w:bCs/>
          <w:spacing w:val="-3"/>
          <w:sz w:val="28"/>
          <w:szCs w:val="28"/>
          <w:lang w:val="en-US" w:eastAsia="zh-CN"/>
        </w:rPr>
        <w:t>工程地质条件</w:t>
      </w:r>
    </w:p>
    <w:p w14:paraId="0660E9A9">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本次勘察对尾矿的分类原则按照《岩土工程勘察技术规范》</w:t>
      </w:r>
      <w:r>
        <w:rPr>
          <w:rFonts w:hint="eastAsia" w:ascii="Times New Roman" w:hAnsi="Times New Roman" w:eastAsia="宋体" w:cs="Times New Roman"/>
          <w:color w:val="auto"/>
          <w:sz w:val="28"/>
          <w:szCs w:val="28"/>
          <w:lang w:eastAsia="zh-CN"/>
        </w:rPr>
        <w:t>（</w:t>
      </w:r>
      <w:r>
        <w:rPr>
          <w:rFonts w:hint="default" w:ascii="Times New Roman" w:hAnsi="Times New Roman" w:cs="Times New Roman"/>
          <w:color w:val="auto"/>
          <w:sz w:val="28"/>
          <w:szCs w:val="28"/>
        </w:rPr>
        <w:t>YS</w:t>
      </w:r>
      <w:r>
        <w:rPr>
          <w:rFonts w:hint="eastAsia" w:ascii="Times New Roman" w:hAnsi="Times New Roman" w:eastAsia="宋体" w:cs="Times New Roman"/>
          <w:color w:val="auto"/>
          <w:sz w:val="28"/>
          <w:szCs w:val="28"/>
          <w:lang w:val="en-US" w:eastAsia="zh-CN"/>
        </w:rPr>
        <w:t xml:space="preserve"> </w:t>
      </w:r>
      <w:r>
        <w:rPr>
          <w:rFonts w:hint="default" w:ascii="Times New Roman" w:hAnsi="Times New Roman" w:cs="Times New Roman"/>
          <w:color w:val="auto"/>
          <w:sz w:val="28"/>
          <w:szCs w:val="28"/>
        </w:rPr>
        <w:t>5202-2004</w:t>
      </w:r>
      <w:r>
        <w:rPr>
          <w:rFonts w:hint="eastAsia" w:ascii="Times New Roman" w:hAnsi="Times New Roman" w:eastAsia="宋体" w:cs="Times New Roman"/>
          <w:color w:val="auto"/>
          <w:sz w:val="28"/>
          <w:szCs w:val="28"/>
          <w:lang w:eastAsia="zh-CN"/>
        </w:rPr>
        <w:t>）</w:t>
      </w:r>
      <w:r>
        <w:rPr>
          <w:rFonts w:hint="default" w:ascii="Times New Roman" w:hAnsi="Times New Roman" w:cs="Times New Roman"/>
          <w:color w:val="auto"/>
          <w:sz w:val="28"/>
          <w:szCs w:val="28"/>
        </w:rPr>
        <w:t>第4.5.4条之规定定名为：尾粉砂。其它地层定名原则执行《岩土工程勘察规范》</w:t>
      </w:r>
      <w:r>
        <w:rPr>
          <w:rFonts w:hint="eastAsia" w:ascii="Times New Roman" w:hAnsi="Times New Roman" w:eastAsia="宋体" w:cs="Times New Roman"/>
          <w:color w:val="auto"/>
          <w:sz w:val="28"/>
          <w:szCs w:val="28"/>
          <w:lang w:eastAsia="zh-CN"/>
        </w:rPr>
        <w:t>（</w:t>
      </w:r>
      <w:r>
        <w:rPr>
          <w:rFonts w:hint="default" w:ascii="Times New Roman" w:hAnsi="Times New Roman" w:cs="Times New Roman"/>
          <w:color w:val="auto"/>
          <w:sz w:val="28"/>
          <w:szCs w:val="28"/>
        </w:rPr>
        <w:t>GB</w:t>
      </w:r>
      <w:r>
        <w:rPr>
          <w:rFonts w:hint="eastAsia" w:ascii="Times New Roman" w:hAnsi="Times New Roman" w:eastAsia="宋体" w:cs="Times New Roman"/>
          <w:color w:val="auto"/>
          <w:sz w:val="28"/>
          <w:szCs w:val="28"/>
          <w:lang w:val="en-US" w:eastAsia="zh-CN"/>
        </w:rPr>
        <w:t xml:space="preserve"> </w:t>
      </w:r>
      <w:r>
        <w:rPr>
          <w:rFonts w:hint="default" w:ascii="Times New Roman" w:hAnsi="Times New Roman" w:cs="Times New Roman"/>
          <w:color w:val="auto"/>
          <w:sz w:val="28"/>
          <w:szCs w:val="28"/>
        </w:rPr>
        <w:t>50021-2001</w:t>
      </w:r>
      <w:r>
        <w:rPr>
          <w:rFonts w:hint="eastAsia" w:ascii="Times New Roman" w:hAnsi="Times New Roman" w:eastAsia="宋体" w:cs="Times New Roman"/>
          <w:color w:val="auto"/>
          <w:sz w:val="28"/>
          <w:szCs w:val="28"/>
          <w:lang w:eastAsia="zh-CN"/>
        </w:rPr>
        <w:t>）</w:t>
      </w:r>
      <w:r>
        <w:rPr>
          <w:rFonts w:hint="default" w:ascii="Times New Roman" w:hAnsi="Times New Roman" w:cs="Times New Roman"/>
          <w:color w:val="auto"/>
          <w:sz w:val="28"/>
          <w:szCs w:val="28"/>
        </w:rPr>
        <w:t>之相关规定。</w:t>
      </w:r>
    </w:p>
    <w:p w14:paraId="28D9735E">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尾矿库的地层由人工堆积层、尾矿堆积物及天然地层构成，人工堆积层较为简单，现就场地各地层情况分别描述如下：</w:t>
      </w:r>
    </w:p>
    <w:p w14:paraId="611904D6">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1）</w:t>
      </w:r>
      <w:r>
        <w:rPr>
          <w:rFonts w:hint="default" w:ascii="Times New Roman" w:hAnsi="Times New Roman" w:cs="Times New Roman"/>
          <w:color w:val="auto"/>
          <w:sz w:val="28"/>
          <w:szCs w:val="28"/>
        </w:rPr>
        <w:t>素填土：呈褐黄色，颗粒级配不良，棱角形为主，母岩成分为石英及长石，稍湿，松散，冲击钻进较容易，层厚2</w:t>
      </w:r>
      <w:r>
        <w:rPr>
          <w:rFonts w:hint="eastAsia" w:ascii="Times New Roman" w:hAnsi="Times New Roman" w:eastAsia="宋体" w:cs="Times New Roman"/>
          <w:color w:val="auto"/>
          <w:sz w:val="28"/>
          <w:szCs w:val="28"/>
          <w:lang w:val="en-US" w:eastAsia="zh-CN"/>
        </w:rPr>
        <w:t>m</w:t>
      </w:r>
      <w:r>
        <w:rPr>
          <w:rFonts w:hint="default" w:ascii="Times New Roman" w:hAnsi="Times New Roman" w:cs="Times New Roman"/>
          <w:color w:val="auto"/>
          <w:sz w:val="28"/>
          <w:szCs w:val="28"/>
        </w:rPr>
        <w:t>。</w:t>
      </w:r>
    </w:p>
    <w:p w14:paraId="386A7CD9">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2）</w:t>
      </w:r>
      <w:r>
        <w:rPr>
          <w:rFonts w:hint="default" w:ascii="Times New Roman" w:hAnsi="Times New Roman" w:cs="Times New Roman"/>
          <w:color w:val="auto"/>
          <w:sz w:val="28"/>
          <w:szCs w:val="28"/>
        </w:rPr>
        <w:t>尾粉砂：灰褐色，稍湿</w:t>
      </w:r>
      <w:r>
        <w:rPr>
          <w:rFonts w:hint="eastAsia" w:ascii="Times New Roman" w:hAnsi="Times New Roman" w:eastAsia="宋体" w:cs="Times New Roman"/>
          <w:color w:val="auto"/>
          <w:sz w:val="28"/>
          <w:szCs w:val="28"/>
          <w:lang w:val="en-US" w:eastAsia="zh-CN"/>
        </w:rPr>
        <w:t>-</w:t>
      </w:r>
      <w:r>
        <w:rPr>
          <w:rFonts w:hint="default" w:ascii="Times New Roman" w:hAnsi="Times New Roman" w:cs="Times New Roman"/>
          <w:color w:val="auto"/>
          <w:sz w:val="28"/>
          <w:szCs w:val="28"/>
        </w:rPr>
        <w:t>饱和，松散</w:t>
      </w:r>
      <w:r>
        <w:rPr>
          <w:rFonts w:hint="eastAsia" w:ascii="Times New Roman" w:hAnsi="Times New Roman" w:eastAsia="宋体" w:cs="Times New Roman"/>
          <w:color w:val="auto"/>
          <w:sz w:val="28"/>
          <w:szCs w:val="28"/>
          <w:lang w:val="en-US" w:eastAsia="zh-CN"/>
        </w:rPr>
        <w:t>-</w:t>
      </w:r>
      <w:r>
        <w:rPr>
          <w:rFonts w:hint="default" w:ascii="Times New Roman" w:hAnsi="Times New Roman" w:cs="Times New Roman"/>
          <w:color w:val="auto"/>
          <w:sz w:val="28"/>
          <w:szCs w:val="28"/>
        </w:rPr>
        <w:t>稍密，下部局部中密，该层以尾粉砂为主，层厚12.9</w:t>
      </w:r>
      <w:r>
        <w:rPr>
          <w:rFonts w:hint="eastAsia" w:ascii="Times New Roman" w:hAnsi="Times New Roman" w:eastAsia="宋体" w:cs="Times New Roman"/>
          <w:color w:val="auto"/>
          <w:sz w:val="28"/>
          <w:szCs w:val="28"/>
          <w:lang w:val="en-US" w:eastAsia="zh-CN"/>
        </w:rPr>
        <w:t>-</w:t>
      </w:r>
      <w:r>
        <w:rPr>
          <w:rFonts w:hint="default" w:ascii="Times New Roman" w:hAnsi="Times New Roman" w:cs="Times New Roman"/>
          <w:color w:val="auto"/>
          <w:sz w:val="28"/>
          <w:szCs w:val="28"/>
        </w:rPr>
        <w:t>38.1</w:t>
      </w:r>
      <w:r>
        <w:rPr>
          <w:rFonts w:hint="eastAsia" w:ascii="Times New Roman" w:hAnsi="Times New Roman" w:eastAsia="宋体" w:cs="Times New Roman"/>
          <w:color w:val="auto"/>
          <w:sz w:val="28"/>
          <w:szCs w:val="28"/>
          <w:lang w:val="en-US" w:eastAsia="zh-CN"/>
        </w:rPr>
        <w:t>m</w:t>
      </w:r>
      <w:r>
        <w:rPr>
          <w:rFonts w:hint="default" w:ascii="Times New Roman" w:hAnsi="Times New Roman" w:cs="Times New Roman"/>
          <w:color w:val="auto"/>
          <w:sz w:val="28"/>
          <w:szCs w:val="28"/>
        </w:rPr>
        <w:t>。</w:t>
      </w:r>
    </w:p>
    <w:p w14:paraId="7ACC6333">
      <w:pPr>
        <w:autoSpaceDE w:val="0"/>
        <w:autoSpaceDN w:val="0"/>
        <w:adjustRightInd w:val="0"/>
        <w:spacing w:line="360" w:lineRule="auto"/>
        <w:ind w:right="-51" w:firstLine="560" w:firstLineChars="200"/>
        <w:rPr>
          <w:rFonts w:hint="default" w:ascii="Times New Roman" w:hAnsi="Times New Roman" w:cs="Times New Roman"/>
          <w:color w:val="auto"/>
          <w:sz w:val="28"/>
          <w:szCs w:val="28"/>
          <w:lang w:eastAsia="zh-CN"/>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3）</w:t>
      </w:r>
      <w:r>
        <w:rPr>
          <w:rFonts w:hint="default" w:ascii="Times New Roman" w:hAnsi="Times New Roman" w:cs="Times New Roman"/>
          <w:color w:val="auto"/>
          <w:sz w:val="28"/>
          <w:szCs w:val="28"/>
        </w:rPr>
        <w:t>花岗岩：呈褐黄色，主要矿物成分为石英及长石。岩石为强风化。中粗粒结构，锤击钻进较容易，属于软质岩。揭露厚度3m，本次勘探钻孔未穿透该岩石层。</w:t>
      </w:r>
    </w:p>
    <w:p w14:paraId="7C50B13E">
      <w:pPr>
        <w:autoSpaceDE w:val="0"/>
        <w:autoSpaceDN w:val="0"/>
        <w:adjustRightInd w:val="0"/>
        <w:spacing w:line="360" w:lineRule="auto"/>
        <w:ind w:right="-51" w:firstLine="560" w:firstLineChars="200"/>
        <w:rPr>
          <w:rFonts w:hint="default" w:ascii="Times New Roman" w:hAnsi="Times New Roman" w:cs="Times New Roman"/>
          <w:color w:val="auto"/>
          <w:sz w:val="28"/>
          <w:szCs w:val="28"/>
          <w:lang w:eastAsia="zh-CN"/>
        </w:rPr>
      </w:pPr>
      <w:r>
        <w:rPr>
          <w:rFonts w:hint="default" w:ascii="Times New Roman" w:hAnsi="Times New Roman" w:cs="Times New Roman"/>
          <w:color w:val="auto"/>
          <w:sz w:val="28"/>
          <w:szCs w:val="28"/>
        </w:rPr>
        <w:t>主轴剖面所揭露尾矿堆积层整体上分布一致，尾矿沉积次序依次为素填土、尾粉砂呈有规则韵律分布特点，基本符合上粗下细的尾矿分布规律。在该尾矿库中，库内微地形对尾矿堆积物的分布起着一定的控制作用</w:t>
      </w:r>
      <w:r>
        <w:rPr>
          <w:rFonts w:hint="default" w:ascii="Times New Roman" w:hAnsi="Times New Roman" w:cs="Times New Roman"/>
          <w:color w:val="auto"/>
          <w:sz w:val="28"/>
          <w:szCs w:val="28"/>
          <w:lang w:eastAsia="zh-CN"/>
        </w:rPr>
        <w:t>。</w:t>
      </w:r>
    </w:p>
    <w:p w14:paraId="382FBC3F">
      <w:pPr>
        <w:spacing w:line="360" w:lineRule="auto"/>
        <w:outlineLvl w:val="2"/>
        <w:rPr>
          <w:rFonts w:hint="eastAsia" w:ascii="宋体" w:hAnsi="宋体" w:eastAsia="宋体" w:cs="宋体"/>
          <w:color w:val="auto"/>
          <w:sz w:val="28"/>
          <w:szCs w:val="28"/>
          <w:lang w:eastAsia="zh-CN"/>
        </w:rPr>
      </w:pPr>
      <w:bookmarkStart w:id="57" w:name="_Toc19235"/>
      <w:bookmarkStart w:id="58" w:name="_Toc21216"/>
      <w:bookmarkStart w:id="59" w:name="_Toc30158"/>
      <w:r>
        <w:rPr>
          <w:rFonts w:ascii="Times New Roman" w:hAnsi="Times New Roman" w:eastAsia="Times New Roman" w:cs="Times New Roman"/>
          <w:b/>
          <w:bCs/>
          <w:color w:val="auto"/>
          <w:spacing w:val="-3"/>
          <w:sz w:val="28"/>
          <w:szCs w:val="28"/>
          <w:lang w:eastAsia="zh-CN"/>
        </w:rPr>
        <w:t>2.3.</w:t>
      </w:r>
      <w:r>
        <w:rPr>
          <w:rFonts w:hint="eastAsia" w:ascii="Times New Roman" w:hAnsi="Times New Roman" w:eastAsia="Times New Roman" w:cs="Times New Roman"/>
          <w:b/>
          <w:bCs/>
          <w:color w:val="auto"/>
          <w:spacing w:val="-3"/>
          <w:sz w:val="28"/>
          <w:szCs w:val="28"/>
          <w:lang w:val="en-US" w:eastAsia="zh-CN"/>
        </w:rPr>
        <w:t>2</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水文地质条件</w:t>
      </w:r>
      <w:bookmarkEnd w:id="57"/>
      <w:bookmarkEnd w:id="58"/>
      <w:bookmarkEnd w:id="59"/>
    </w:p>
    <w:p w14:paraId="468A3017">
      <w:pPr>
        <w:keepNext w:val="0"/>
        <w:keepLines w:val="0"/>
        <w:pageBreakBefore w:val="0"/>
        <w:widowControl w:val="0"/>
        <w:kinsoku/>
        <w:wordWrap/>
        <w:overflowPunct/>
        <w:topLinePunct w:val="0"/>
        <w:autoSpaceDE w:val="0"/>
        <w:autoSpaceDN w:val="0"/>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（1）地下水类型</w:t>
      </w:r>
    </w:p>
    <w:p w14:paraId="22AF1EDE">
      <w:pPr>
        <w:keepNext w:val="0"/>
        <w:keepLines w:val="0"/>
        <w:pageBreakBefore w:val="0"/>
        <w:widowControl w:val="0"/>
        <w:kinsoku/>
        <w:wordWrap/>
        <w:overflowPunct/>
        <w:topLinePunct w:val="0"/>
        <w:autoSpaceDE w:val="0"/>
        <w:autoSpaceDN w:val="0"/>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该场地地下水类型主要为松散堆积物孔隙水，含水层为尾矿堆积物。区域地下水为基岩裂隙水，赋存于花岗岩裂隙中。</w:t>
      </w:r>
    </w:p>
    <w:p w14:paraId="12151C7A">
      <w:pPr>
        <w:keepNext w:val="0"/>
        <w:keepLines w:val="0"/>
        <w:pageBreakBefore w:val="0"/>
        <w:widowControl w:val="0"/>
        <w:kinsoku/>
        <w:wordWrap/>
        <w:overflowPunct/>
        <w:topLinePunct w:val="0"/>
        <w:autoSpaceDE w:val="0"/>
        <w:autoSpaceDN/>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（2）地下水补给、径流和排泄条件</w:t>
      </w:r>
    </w:p>
    <w:p w14:paraId="43908E3B">
      <w:pPr>
        <w:keepNext w:val="0"/>
        <w:keepLines w:val="0"/>
        <w:pageBreakBefore w:val="0"/>
        <w:widowControl w:val="0"/>
        <w:kinsoku/>
        <w:wordWrap/>
        <w:overflowPunct/>
        <w:topLinePunct w:val="0"/>
        <w:autoSpaceDE w:val="0"/>
        <w:autoSpaceDN/>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地下水补给来源为大气降水和矿浆水，排泄条件主要为排洪设施排水、坝体排水及蒸发和植物蒸腾作用。</w:t>
      </w:r>
    </w:p>
    <w:p w14:paraId="66D7D05A">
      <w:pPr>
        <w:keepNext w:val="0"/>
        <w:keepLines w:val="0"/>
        <w:pageBreakBefore w:val="0"/>
        <w:widowControl w:val="0"/>
        <w:kinsoku/>
        <w:wordWrap/>
        <w:overflowPunct/>
        <w:topLinePunct w:val="0"/>
        <w:autoSpaceDE w:val="0"/>
        <w:autoSpaceDN/>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（3）地下水动态</w:t>
      </w:r>
    </w:p>
    <w:p w14:paraId="2A4309BB">
      <w:pPr>
        <w:keepNext w:val="0"/>
        <w:keepLines w:val="0"/>
        <w:pageBreakBefore w:val="0"/>
        <w:widowControl w:val="0"/>
        <w:kinsoku/>
        <w:wordWrap/>
        <w:overflowPunct/>
        <w:topLinePunct w:val="0"/>
        <w:autoSpaceDE w:val="0"/>
        <w:autoSpaceDN/>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勘察期间，ZK2钻孔中遇到地下水，水位埋深10.4m。由于本地区年降雨量主要集中在7-8月份。地下水峰值出现在每年7月至9月。</w:t>
      </w:r>
    </w:p>
    <w:p w14:paraId="2BA1D28E">
      <w:pPr>
        <w:keepNext w:val="0"/>
        <w:keepLines w:val="0"/>
        <w:pageBreakBefore w:val="0"/>
        <w:widowControl w:val="0"/>
        <w:kinsoku/>
        <w:wordWrap/>
        <w:overflowPunct/>
        <w:topLinePunct w:val="0"/>
        <w:autoSpaceDE w:val="0"/>
        <w:autoSpaceDN/>
        <w:bidi w:val="0"/>
        <w:adjustRightInd w:val="0"/>
        <w:snapToGrid/>
        <w:spacing w:line="360" w:lineRule="auto"/>
        <w:ind w:right="0" w:firstLine="560" w:firstLineChars="200"/>
        <w:textAlignment w:val="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因此，本次测量的水位埋深仅勘察时和当前生产状况的反映。</w:t>
      </w:r>
    </w:p>
    <w:p w14:paraId="576D518E">
      <w:pPr>
        <w:spacing w:line="360" w:lineRule="auto"/>
        <w:outlineLvl w:val="2"/>
        <w:rPr>
          <w:rFonts w:hint="default" w:ascii="Times New Roman" w:hAnsi="Times New Roman" w:cs="Times New Roman"/>
          <w:b/>
          <w:bCs/>
          <w:color w:val="auto"/>
          <w:sz w:val="28"/>
          <w:szCs w:val="28"/>
          <w:lang w:val="en-US" w:eastAsia="zh-CN"/>
        </w:rPr>
      </w:pPr>
      <w:r>
        <w:rPr>
          <w:rFonts w:hint="default" w:ascii="Times New Roman" w:hAnsi="Times New Roman" w:cs="Times New Roman"/>
          <w:b/>
          <w:bCs/>
          <w:color w:val="auto"/>
          <w:sz w:val="28"/>
          <w:szCs w:val="28"/>
          <w:lang w:val="en-US" w:eastAsia="zh-CN"/>
        </w:rPr>
        <w:t>2.3.3不良地质作用</w:t>
      </w:r>
    </w:p>
    <w:p w14:paraId="26B2366A">
      <w:pPr>
        <w:autoSpaceDE w:val="0"/>
        <w:autoSpaceDN w:val="0"/>
        <w:adjustRightInd w:val="0"/>
        <w:spacing w:line="360" w:lineRule="auto"/>
        <w:ind w:right="-51"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经现场工程地质调查、收集资料，库区植被发育，其两岸未发现滑坡、泥石流等其他不良地质作用。</w:t>
      </w:r>
    </w:p>
    <w:p w14:paraId="1384470A">
      <w:pPr>
        <w:autoSpaceDE w:val="0"/>
        <w:autoSpaceDN w:val="0"/>
        <w:adjustRightInd w:val="0"/>
        <w:spacing w:line="360" w:lineRule="auto"/>
        <w:ind w:right="-51" w:firstLine="560" w:firstLineChars="200"/>
        <w:rPr>
          <w:rFonts w:hint="default" w:ascii="Times New Roman" w:hAnsi="Times New Roman" w:cs="Times New Roman"/>
          <w:color w:val="auto"/>
        </w:rPr>
      </w:pPr>
      <w:r>
        <w:rPr>
          <w:rFonts w:hint="default" w:ascii="Times New Roman" w:hAnsi="Times New Roman" w:cs="Times New Roman"/>
          <w:color w:val="auto"/>
          <w:sz w:val="28"/>
          <w:szCs w:val="28"/>
        </w:rPr>
        <w:t>尾矿库西北侧山路切削山体形成陡坡，易发生崩塌掉块，对尾矿库影响不大，但行车走人时应注意安全，防止发生危险。</w:t>
      </w:r>
    </w:p>
    <w:p w14:paraId="0A17D687">
      <w:pPr>
        <w:spacing w:line="360" w:lineRule="auto"/>
        <w:jc w:val="center"/>
        <w:outlineLvl w:val="0"/>
        <w:rPr>
          <w:rFonts w:hint="eastAsia" w:ascii="黑体" w:hAnsi="黑体" w:eastAsia="黑体" w:cs="黑体"/>
          <w:color w:val="auto"/>
          <w:sz w:val="30"/>
          <w:szCs w:val="30"/>
          <w:lang w:eastAsia="zh-CN"/>
        </w:rPr>
      </w:pPr>
      <w:bookmarkStart w:id="60" w:name="bookmark20"/>
      <w:bookmarkEnd w:id="60"/>
      <w:bookmarkStart w:id="61" w:name="_Toc307"/>
      <w:bookmarkStart w:id="62" w:name="_Toc11560"/>
      <w:r>
        <w:rPr>
          <w:rFonts w:ascii="Times New Roman" w:hAnsi="Times New Roman" w:eastAsia="Times New Roman" w:cs="Times New Roman"/>
          <w:b/>
          <w:bCs/>
          <w:color w:val="auto"/>
          <w:spacing w:val="-4"/>
          <w:sz w:val="30"/>
          <w:szCs w:val="30"/>
          <w:lang w:eastAsia="zh-CN"/>
        </w:rPr>
        <w:t xml:space="preserve">2.4 </w:t>
      </w:r>
      <w:r>
        <w:rPr>
          <w:rFonts w:ascii="黑体" w:hAnsi="黑体" w:eastAsia="黑体" w:cs="黑体"/>
          <w:b/>
          <w:bCs/>
          <w:color w:val="auto"/>
          <w:spacing w:val="-4"/>
          <w:sz w:val="30"/>
          <w:szCs w:val="30"/>
          <w:lang w:eastAsia="zh-CN"/>
        </w:rPr>
        <w:t>尾矿库设计概况</w:t>
      </w:r>
      <w:bookmarkEnd w:id="61"/>
      <w:bookmarkEnd w:id="62"/>
    </w:p>
    <w:p w14:paraId="4F8DB596">
      <w:pPr>
        <w:keepNext w:val="0"/>
        <w:keepLines w:val="0"/>
        <w:pageBreakBefore w:val="0"/>
        <w:widowControl/>
        <w:wordWrap/>
        <w:overflowPunct/>
        <w:topLinePunct w:val="0"/>
        <w:bidi w:val="0"/>
        <w:adjustRightInd w:val="0"/>
        <w:snapToGrid w:val="0"/>
        <w:spacing w:line="360" w:lineRule="auto"/>
        <w:ind w:firstLine="567"/>
        <w:textAlignment w:val="baseline"/>
        <w:rPr>
          <w:rFonts w:hint="eastAsia" w:ascii="宋体" w:hAnsi="宋体" w:eastAsia="宋体" w:cs="宋体"/>
          <w:color w:val="auto"/>
          <w:sz w:val="28"/>
          <w:szCs w:val="28"/>
          <w:lang w:eastAsia="zh-CN"/>
        </w:rPr>
      </w:pPr>
      <w:r>
        <w:rPr>
          <w:rFonts w:ascii="Times New Roman" w:hAnsi="Times New Roman" w:eastAsia="宋体" w:cs="Times New Roman"/>
          <w:color w:val="auto"/>
          <w:spacing w:val="-3"/>
          <w:sz w:val="28"/>
          <w:szCs w:val="28"/>
          <w:lang w:eastAsia="zh-CN"/>
        </w:rPr>
        <w:t xml:space="preserve">企业于 </w:t>
      </w:r>
      <w:r>
        <w:rPr>
          <w:rFonts w:hint="default" w:ascii="Times New Roman" w:hAnsi="Times New Roman" w:eastAsia="宋体" w:cs="Times New Roman"/>
          <w:color w:val="auto"/>
          <w:sz w:val="28"/>
          <w:szCs w:val="28"/>
          <w:lang w:val="en-US" w:eastAsia="zh-CN"/>
        </w:rPr>
        <w:t>2019年</w:t>
      </w:r>
      <w:r>
        <w:rPr>
          <w:rFonts w:hint="eastAsia" w:ascii="Times New Roman" w:hAnsi="Times New Roman" w:eastAsia="宋体" w:cs="Times New Roman"/>
          <w:color w:val="auto"/>
          <w:sz w:val="28"/>
          <w:szCs w:val="28"/>
          <w:lang w:val="en-US" w:eastAsia="zh-CN"/>
        </w:rPr>
        <w:t>12</w:t>
      </w:r>
      <w:r>
        <w:rPr>
          <w:rFonts w:hint="default" w:ascii="Times New Roman" w:hAnsi="Times New Roman" w:eastAsia="宋体" w:cs="Times New Roman"/>
          <w:color w:val="auto"/>
          <w:sz w:val="28"/>
          <w:szCs w:val="28"/>
          <w:lang w:val="en-US" w:eastAsia="zh-CN"/>
        </w:rPr>
        <w:t>月</w:t>
      </w:r>
      <w:r>
        <w:rPr>
          <w:rFonts w:hint="eastAsia" w:ascii="Times New Roman" w:hAnsi="Times New Roman" w:eastAsia="宋体" w:cs="Times New Roman"/>
          <w:color w:val="auto"/>
          <w:sz w:val="28"/>
          <w:szCs w:val="28"/>
          <w:lang w:val="en-US" w:eastAsia="zh-CN"/>
        </w:rPr>
        <w:t>委托兰州有色冶金设计研究院有限公司沈阳分公司编制</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凤城市天合矿业有限公司尾矿库加高扩容工程初步设计</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及</w:t>
      </w:r>
      <w:r>
        <w:rPr>
          <w:rFonts w:hint="default" w:ascii="Times New Roman" w:hAnsi="Times New Roman" w:eastAsia="宋体" w:cs="Times New Roman"/>
          <w:color w:val="auto"/>
          <w:sz w:val="28"/>
          <w:szCs w:val="28"/>
          <w:lang w:val="en-US" w:eastAsia="zh-CN"/>
        </w:rPr>
        <w:t>《</w:t>
      </w:r>
      <w:r>
        <w:rPr>
          <w:rFonts w:hint="eastAsia" w:ascii="Times New Roman" w:hAnsi="Times New Roman" w:eastAsia="宋体" w:cs="Times New Roman"/>
          <w:color w:val="auto"/>
          <w:sz w:val="28"/>
          <w:szCs w:val="28"/>
          <w:lang w:val="en-US" w:eastAsia="zh-CN"/>
        </w:rPr>
        <w:t>凤城市天合矿业有限公司尾矿库加高扩容工程安全设施设计</w:t>
      </w:r>
      <w:r>
        <w:rPr>
          <w:rFonts w:hint="default" w:ascii="Times New Roman" w:hAnsi="Times New Roman" w:eastAsia="宋体" w:cs="Times New Roman"/>
          <w:color w:val="auto"/>
          <w:sz w:val="28"/>
          <w:szCs w:val="28"/>
          <w:lang w:val="en-US" w:eastAsia="zh-CN"/>
        </w:rPr>
        <w:t>》</w:t>
      </w:r>
      <w:r>
        <w:rPr>
          <w:rFonts w:hint="eastAsia" w:ascii="宋体" w:hAnsi="宋体" w:eastAsia="宋体" w:cs="宋体"/>
          <w:color w:val="auto"/>
          <w:spacing w:val="-7"/>
          <w:sz w:val="28"/>
          <w:szCs w:val="28"/>
          <w:lang w:eastAsia="zh-CN"/>
        </w:rPr>
        <w:t>。</w:t>
      </w:r>
    </w:p>
    <w:p w14:paraId="0A7C0C58">
      <w:pPr>
        <w:spacing w:line="360" w:lineRule="auto"/>
        <w:outlineLvl w:val="2"/>
        <w:rPr>
          <w:rFonts w:ascii="宋体" w:hAnsi="宋体" w:eastAsia="宋体" w:cs="宋体"/>
          <w:b/>
          <w:bCs/>
          <w:spacing w:val="-3"/>
          <w:sz w:val="28"/>
          <w:szCs w:val="28"/>
          <w:lang w:eastAsia="zh-CN"/>
        </w:rPr>
      </w:pPr>
      <w:bookmarkStart w:id="63" w:name="_Toc18099"/>
      <w:bookmarkStart w:id="64" w:name="_Toc6474"/>
      <w:bookmarkStart w:id="65" w:name="_Toc30403"/>
      <w:r>
        <w:rPr>
          <w:rFonts w:ascii="Times New Roman" w:hAnsi="Times New Roman" w:eastAsia="Times New Roman" w:cs="Times New Roman"/>
          <w:b/>
          <w:bCs/>
          <w:spacing w:val="-3"/>
          <w:sz w:val="28"/>
          <w:szCs w:val="28"/>
          <w:lang w:eastAsia="zh-CN"/>
        </w:rPr>
        <w:t xml:space="preserve">2.4.1 </w:t>
      </w:r>
      <w:r>
        <w:rPr>
          <w:rFonts w:ascii="宋体" w:hAnsi="宋体" w:eastAsia="宋体" w:cs="宋体"/>
          <w:b/>
          <w:bCs/>
          <w:spacing w:val="-3"/>
          <w:sz w:val="28"/>
          <w:szCs w:val="28"/>
          <w:lang w:eastAsia="zh-CN"/>
        </w:rPr>
        <w:t>尾矿坝</w:t>
      </w:r>
      <w:bookmarkEnd w:id="63"/>
      <w:bookmarkEnd w:id="64"/>
      <w:bookmarkEnd w:id="65"/>
    </w:p>
    <w:p w14:paraId="1F521276">
      <w:pPr>
        <w:spacing w:line="360" w:lineRule="auto"/>
        <w:outlineLvl w:val="3"/>
        <w:rPr>
          <w:rFonts w:hint="default" w:ascii="Times New Roman" w:hAnsi="Times New Roman" w:eastAsia="宋体" w:cs="Times New Roman"/>
          <w:b w:val="0"/>
          <w:bCs w:val="0"/>
          <w:spacing w:val="-3"/>
          <w:sz w:val="28"/>
          <w:szCs w:val="28"/>
          <w:lang w:val="en-US" w:eastAsia="zh-CN"/>
        </w:rPr>
      </w:pPr>
      <w:r>
        <w:rPr>
          <w:rFonts w:hint="default" w:ascii="Times New Roman" w:hAnsi="Times New Roman" w:eastAsia="宋体" w:cs="Times New Roman"/>
          <w:b w:val="0"/>
          <w:bCs w:val="0"/>
          <w:spacing w:val="-3"/>
          <w:sz w:val="28"/>
          <w:szCs w:val="28"/>
          <w:lang w:val="en-US" w:eastAsia="zh-CN"/>
        </w:rPr>
        <w:t>2.4.1.1初期坝</w:t>
      </w:r>
    </w:p>
    <w:p w14:paraId="41C16097">
      <w:pPr>
        <w:spacing w:line="360" w:lineRule="auto"/>
        <w:outlineLvl w:val="3"/>
        <w:rPr>
          <w:rFonts w:hint="eastAsia" w:ascii="Times New Roman" w:hAnsi="Times New Roman" w:cs="Times New Roman"/>
          <w:color w:val="000000"/>
          <w:sz w:val="28"/>
          <w:szCs w:val="28"/>
          <w:lang w:val="en-US" w:eastAsia="zh-CN"/>
        </w:rPr>
      </w:pPr>
      <w:bookmarkStart w:id="66" w:name="_Toc330474504"/>
      <w:bookmarkStart w:id="67" w:name="_Toc5655"/>
      <w:bookmarkStart w:id="68" w:name="_Toc7174"/>
      <w:bookmarkStart w:id="69" w:name="_Toc2937"/>
      <w:bookmarkStart w:id="70" w:name="_Toc12807"/>
      <w:bookmarkStart w:id="71" w:name="_Toc4798"/>
      <w:bookmarkStart w:id="72" w:name="_Toc24064"/>
      <w:bookmarkStart w:id="73" w:name="_Toc3067"/>
      <w:r>
        <w:rPr>
          <w:rFonts w:hint="eastAsia" w:ascii="Times New Roman" w:hAnsi="Times New Roman" w:cs="Times New Roman"/>
          <w:color w:val="000000"/>
          <w:sz w:val="28"/>
          <w:szCs w:val="28"/>
          <w:lang w:val="en-US" w:eastAsia="zh-CN"/>
        </w:rPr>
        <w:t>Xxx</w:t>
      </w:r>
    </w:p>
    <w:p w14:paraId="395A8374">
      <w:pPr>
        <w:spacing w:line="360" w:lineRule="auto"/>
        <w:outlineLvl w:val="3"/>
        <w:rPr>
          <w:rFonts w:hint="default" w:ascii="Times New Roman" w:hAnsi="Times New Roman" w:eastAsia="宋体" w:cs="Times New Roman"/>
          <w:b w:val="0"/>
          <w:bCs w:val="0"/>
          <w:color w:val="auto"/>
          <w:spacing w:val="-3"/>
          <w:sz w:val="28"/>
          <w:szCs w:val="28"/>
          <w:lang w:val="en-US" w:eastAsia="zh-CN"/>
        </w:rPr>
      </w:pPr>
      <w:r>
        <w:rPr>
          <w:rFonts w:hint="eastAsia" w:ascii="Times New Roman" w:hAnsi="Times New Roman" w:eastAsia="宋体" w:cs="Times New Roman"/>
          <w:b w:val="0"/>
          <w:bCs w:val="0"/>
          <w:color w:val="auto"/>
          <w:spacing w:val="-3"/>
          <w:sz w:val="28"/>
          <w:szCs w:val="28"/>
          <w:lang w:val="en-US" w:eastAsia="zh-CN"/>
        </w:rPr>
        <w:t>2.4.1.2</w:t>
      </w:r>
      <w:r>
        <w:rPr>
          <w:rFonts w:hint="default" w:ascii="Times New Roman" w:hAnsi="Times New Roman" w:eastAsia="宋体" w:cs="Times New Roman"/>
          <w:b w:val="0"/>
          <w:bCs w:val="0"/>
          <w:color w:val="auto"/>
          <w:spacing w:val="-3"/>
          <w:sz w:val="28"/>
          <w:szCs w:val="28"/>
          <w:lang w:val="en-US" w:eastAsia="zh-CN"/>
        </w:rPr>
        <w:t>堆积坝</w:t>
      </w:r>
      <w:bookmarkEnd w:id="66"/>
      <w:bookmarkEnd w:id="67"/>
      <w:bookmarkEnd w:id="68"/>
      <w:bookmarkEnd w:id="69"/>
      <w:bookmarkEnd w:id="70"/>
    </w:p>
    <w:p w14:paraId="372926C7">
      <w:pPr>
        <w:adjustRightInd w:val="0"/>
        <w:snapToGrid w:val="0"/>
        <w:spacing w:line="360" w:lineRule="auto"/>
        <w:ind w:firstLine="560" w:firstLineChars="200"/>
        <w:rPr>
          <w:rFonts w:hint="default" w:ascii="Times New Roman" w:hAnsi="Times New Roman" w:cs="Times New Roman"/>
          <w:color w:val="auto"/>
          <w:sz w:val="28"/>
          <w:szCs w:val="28"/>
          <w:lang w:val="en-US" w:eastAsia="zh-CN"/>
        </w:rPr>
      </w:pPr>
      <w:r>
        <w:rPr>
          <w:rFonts w:hint="eastAsia" w:ascii="Times New Roman" w:hAnsi="Times New Roman" w:cs="Times New Roman"/>
          <w:color w:val="000000"/>
          <w:sz w:val="28"/>
          <w:szCs w:val="28"/>
          <w:lang w:val="en-US" w:eastAsia="zh-CN"/>
        </w:rPr>
        <w:t>xxx</w:t>
      </w:r>
    </w:p>
    <w:p w14:paraId="4DAF7F05">
      <w:pPr>
        <w:spacing w:line="360" w:lineRule="auto"/>
        <w:outlineLvl w:val="2"/>
        <w:rPr>
          <w:rFonts w:hint="eastAsia" w:ascii="宋体" w:hAnsi="宋体" w:eastAsia="宋体" w:cs="宋体"/>
          <w:b/>
          <w:bCs/>
          <w:color w:val="auto"/>
          <w:spacing w:val="-3"/>
          <w:sz w:val="28"/>
          <w:szCs w:val="28"/>
          <w:lang w:eastAsia="zh-CN"/>
        </w:rPr>
      </w:pPr>
      <w:r>
        <w:rPr>
          <w:rFonts w:ascii="Times New Roman" w:hAnsi="Times New Roman" w:eastAsia="Times New Roman" w:cs="Times New Roman"/>
          <w:b/>
          <w:bCs/>
          <w:color w:val="auto"/>
          <w:spacing w:val="-3"/>
          <w:sz w:val="28"/>
          <w:szCs w:val="28"/>
          <w:lang w:eastAsia="zh-CN"/>
        </w:rPr>
        <w:t xml:space="preserve">2.4.2 </w:t>
      </w:r>
      <w:r>
        <w:rPr>
          <w:rFonts w:ascii="宋体" w:hAnsi="宋体" w:eastAsia="宋体" w:cs="宋体"/>
          <w:b/>
          <w:bCs/>
          <w:color w:val="auto"/>
          <w:spacing w:val="-3"/>
          <w:sz w:val="28"/>
          <w:szCs w:val="28"/>
          <w:lang w:eastAsia="zh-CN"/>
        </w:rPr>
        <w:t>排洪系统</w:t>
      </w:r>
      <w:bookmarkEnd w:id="71"/>
      <w:bookmarkEnd w:id="72"/>
      <w:bookmarkEnd w:id="73"/>
    </w:p>
    <w:p w14:paraId="0381B71F">
      <w:pPr>
        <w:adjustRightInd w:val="0"/>
        <w:snapToGrid w:val="0"/>
        <w:spacing w:line="360" w:lineRule="auto"/>
        <w:outlineLvl w:val="3"/>
        <w:rPr>
          <w:rFonts w:hint="default" w:ascii="Times New Roman" w:hAnsi="Times New Roman" w:cs="Times New Roman"/>
          <w:color w:val="auto"/>
          <w:sz w:val="28"/>
          <w:szCs w:val="28"/>
          <w:lang w:val="en-US" w:eastAsia="zh-CN"/>
        </w:rPr>
      </w:pPr>
      <w:r>
        <w:rPr>
          <w:rFonts w:hint="eastAsia" w:ascii="Times New Roman" w:hAnsi="Times New Roman" w:cs="Times New Roman"/>
          <w:color w:val="auto"/>
          <w:sz w:val="28"/>
          <w:szCs w:val="28"/>
          <w:lang w:val="en-US" w:eastAsia="zh-CN"/>
        </w:rPr>
        <w:t>2.4.2.1库内排洪设施</w:t>
      </w:r>
    </w:p>
    <w:p w14:paraId="4D8EA724">
      <w:pPr>
        <w:adjustRightInd w:val="0"/>
        <w:snapToGrid w:val="0"/>
        <w:spacing w:line="360" w:lineRule="auto"/>
        <w:outlineLvl w:val="3"/>
        <w:rPr>
          <w:rFonts w:hint="eastAsia" w:ascii="Times New Roman" w:hAnsi="Times New Roman" w:cs="Times New Roman"/>
          <w:color w:val="auto"/>
          <w:sz w:val="28"/>
          <w:szCs w:val="28"/>
          <w:lang w:val="en-US" w:eastAsia="zh-CN"/>
        </w:rPr>
      </w:pPr>
      <w:bookmarkStart w:id="74" w:name="_Toc16887"/>
      <w:r>
        <w:rPr>
          <w:rFonts w:hint="eastAsia" w:ascii="Times New Roman" w:hAnsi="Times New Roman" w:cs="Times New Roman"/>
          <w:color w:val="auto"/>
          <w:sz w:val="28"/>
          <w:szCs w:val="28"/>
          <w:lang w:val="en-US" w:eastAsia="zh-CN"/>
        </w:rPr>
        <w:t>Xxxx</w:t>
      </w:r>
    </w:p>
    <w:p w14:paraId="7F35A371">
      <w:pPr>
        <w:adjustRightInd w:val="0"/>
        <w:snapToGrid w:val="0"/>
        <w:spacing w:line="360" w:lineRule="auto"/>
        <w:outlineLvl w:val="3"/>
        <w:rPr>
          <w:rFonts w:hint="default" w:ascii="Times New Roman" w:hAnsi="Times New Roman" w:cs="Times New Roman"/>
          <w:color w:val="auto"/>
          <w:sz w:val="28"/>
          <w:szCs w:val="28"/>
          <w:lang w:val="en-US" w:eastAsia="zh-CN"/>
        </w:rPr>
      </w:pPr>
      <w:r>
        <w:rPr>
          <w:rFonts w:hint="eastAsia" w:ascii="Times New Roman" w:hAnsi="Times New Roman" w:cs="Times New Roman"/>
          <w:color w:val="auto"/>
          <w:sz w:val="28"/>
          <w:szCs w:val="28"/>
          <w:lang w:val="en-US" w:eastAsia="zh-CN"/>
        </w:rPr>
        <w:t>2.4.2.2辅助排洪设施</w:t>
      </w:r>
      <w:bookmarkEnd w:id="74"/>
    </w:p>
    <w:p w14:paraId="2F8FF7D1">
      <w:pPr>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color w:val="0070C0"/>
          <w:sz w:val="28"/>
          <w:szCs w:val="28"/>
          <w:lang w:val="en-US" w:eastAsia="zh-CN"/>
        </w:rPr>
      </w:pPr>
      <w:r>
        <w:rPr>
          <w:rFonts w:hint="eastAsia" w:ascii="Times New Roman" w:hAnsi="Times New Roman" w:eastAsia="宋体" w:cs="Times New Roman"/>
          <w:color w:val="auto"/>
          <w:sz w:val="28"/>
          <w:szCs w:val="28"/>
          <w:lang w:val="en-US" w:eastAsia="zh-CN"/>
        </w:rPr>
        <w:t>xxx</w:t>
      </w:r>
    </w:p>
    <w:p w14:paraId="44977AFD">
      <w:pPr>
        <w:pStyle w:val="4"/>
        <w:pageBreakBefore w:val="0"/>
        <w:widowControl/>
        <w:numPr>
          <w:ilvl w:val="1"/>
          <w:numId w:val="0"/>
        </w:numPr>
        <w:tabs>
          <w:tab w:val="left" w:pos="575"/>
        </w:tabs>
        <w:kinsoku w:val="0"/>
        <w:wordWrap/>
        <w:overflowPunct/>
        <w:topLinePunct w:val="0"/>
        <w:autoSpaceDE w:val="0"/>
        <w:autoSpaceDN w:val="0"/>
        <w:bidi w:val="0"/>
        <w:adjustRightInd w:val="0"/>
        <w:snapToGrid w:val="0"/>
        <w:spacing w:before="0" w:after="0" w:line="360" w:lineRule="auto"/>
        <w:ind w:leftChars="0"/>
        <w:textAlignment w:val="baseline"/>
        <w:outlineLvl w:val="2"/>
        <w:rPr>
          <w:rFonts w:hint="default" w:ascii="Times New Roman" w:hAnsi="Times New Roman" w:cs="Times New Roman"/>
          <w:color w:val="000000"/>
          <w:sz w:val="28"/>
          <w:szCs w:val="28"/>
        </w:rPr>
      </w:pPr>
      <w:bookmarkStart w:id="75" w:name="_Toc20976"/>
      <w:bookmarkStart w:id="76" w:name="_Toc25346"/>
      <w:bookmarkStart w:id="77" w:name="_Toc9530"/>
      <w:bookmarkStart w:id="78" w:name="_Toc20361"/>
      <w:r>
        <w:rPr>
          <w:rFonts w:hint="default" w:ascii="Times New Roman" w:hAnsi="Times New Roman" w:cs="Times New Roman"/>
          <w:color w:val="000000"/>
          <w:sz w:val="28"/>
          <w:szCs w:val="28"/>
          <w:lang w:val="en-US" w:eastAsia="zh-CN"/>
        </w:rPr>
        <w:t>2.4.3</w:t>
      </w:r>
      <w:r>
        <w:rPr>
          <w:rFonts w:hint="default" w:ascii="Times New Roman" w:hAnsi="Times New Roman" w:cs="Times New Roman"/>
          <w:color w:val="000000"/>
          <w:sz w:val="28"/>
          <w:szCs w:val="28"/>
        </w:rPr>
        <w:t>排渗设施</w:t>
      </w:r>
      <w:bookmarkEnd w:id="75"/>
    </w:p>
    <w:p w14:paraId="1F8B9D78">
      <w:pPr>
        <w:spacing w:line="360" w:lineRule="auto"/>
        <w:outlineLvl w:val="2"/>
        <w:rPr>
          <w:rFonts w:hint="eastAsia"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val="en-US" w:eastAsia="zh-CN"/>
        </w:rPr>
        <w:t>Xxx</w:t>
      </w:r>
    </w:p>
    <w:p w14:paraId="2E42D828">
      <w:pPr>
        <w:spacing w:line="360" w:lineRule="auto"/>
        <w:outlineLvl w:val="2"/>
        <w:rPr>
          <w:rFonts w:ascii="宋体" w:hAnsi="宋体" w:eastAsia="宋体" w:cs="宋体"/>
          <w:b/>
          <w:bCs/>
          <w:spacing w:val="-3"/>
          <w:sz w:val="28"/>
          <w:szCs w:val="28"/>
          <w:lang w:eastAsia="zh-CN"/>
        </w:rPr>
      </w:pPr>
      <w:r>
        <w:rPr>
          <w:rFonts w:ascii="Times New Roman" w:hAnsi="Times New Roman" w:eastAsia="Times New Roman" w:cs="Times New Roman"/>
          <w:b/>
          <w:bCs/>
          <w:spacing w:val="-3"/>
          <w:sz w:val="28"/>
          <w:szCs w:val="28"/>
          <w:lang w:eastAsia="zh-CN"/>
        </w:rPr>
        <w:t xml:space="preserve">2.4.4 </w:t>
      </w:r>
      <w:r>
        <w:rPr>
          <w:rFonts w:ascii="宋体" w:hAnsi="宋体" w:eastAsia="宋体" w:cs="宋体"/>
          <w:b/>
          <w:bCs/>
          <w:spacing w:val="-3"/>
          <w:sz w:val="28"/>
          <w:szCs w:val="28"/>
          <w:lang w:eastAsia="zh-CN"/>
        </w:rPr>
        <w:t>安全监测设施</w:t>
      </w:r>
      <w:bookmarkEnd w:id="76"/>
      <w:bookmarkEnd w:id="77"/>
      <w:bookmarkEnd w:id="78"/>
    </w:p>
    <w:p w14:paraId="42637C69">
      <w:pPr>
        <w:spacing w:line="360" w:lineRule="auto"/>
        <w:outlineLvl w:val="2"/>
        <w:rPr>
          <w:rFonts w:hint="default" w:ascii="宋体" w:hAnsi="宋体" w:eastAsia="宋体" w:cs="宋体"/>
          <w:b/>
          <w:bCs/>
          <w:spacing w:val="-3"/>
          <w:sz w:val="28"/>
          <w:szCs w:val="28"/>
          <w:lang w:val="en-US" w:eastAsia="zh-CN"/>
        </w:rPr>
      </w:pPr>
      <w:r>
        <w:rPr>
          <w:rFonts w:hint="eastAsia" w:ascii="宋体" w:hAnsi="宋体" w:eastAsia="宋体" w:cs="宋体"/>
          <w:b/>
          <w:bCs/>
          <w:spacing w:val="-3"/>
          <w:sz w:val="28"/>
          <w:szCs w:val="28"/>
          <w:lang w:val="en-US" w:eastAsia="zh-CN"/>
        </w:rPr>
        <w:t>xxx</w:t>
      </w:r>
    </w:p>
    <w:p w14:paraId="2EEF1670">
      <w:pPr>
        <w:snapToGrid w:val="0"/>
        <w:spacing w:line="360" w:lineRule="auto"/>
        <w:outlineLvl w:val="2"/>
        <w:rPr>
          <w:rFonts w:hint="eastAsia" w:ascii="Times New Roman" w:hAnsi="Times New Roman" w:eastAsia="宋体" w:cs="Times New Roman"/>
          <w:b/>
          <w:bCs/>
          <w:color w:val="000000"/>
          <w:sz w:val="28"/>
          <w:szCs w:val="28"/>
          <w:lang w:val="en-US" w:eastAsia="zh-CN"/>
        </w:rPr>
      </w:pPr>
      <w:bookmarkStart w:id="79" w:name="_Toc178146564"/>
      <w:bookmarkStart w:id="80" w:name="_Toc178762563"/>
      <w:bookmarkStart w:id="81" w:name="_Toc266449793"/>
      <w:bookmarkStart w:id="82" w:name="_Toc266294642"/>
      <w:bookmarkStart w:id="83" w:name="_Toc221966991"/>
      <w:bookmarkStart w:id="84" w:name="_Toc223506591"/>
      <w:bookmarkStart w:id="85" w:name="_Toc224354084"/>
      <w:bookmarkStart w:id="86" w:name="_Toc214096376"/>
      <w:bookmarkStart w:id="87" w:name="_Toc266349270"/>
      <w:bookmarkStart w:id="88" w:name="_Toc188003189"/>
      <w:bookmarkStart w:id="89" w:name="_Toc179963112"/>
      <w:bookmarkStart w:id="90" w:name="_Toc178769201"/>
      <w:bookmarkStart w:id="91" w:name="_Toc177982955"/>
      <w:bookmarkStart w:id="92" w:name="_Toc178755662"/>
      <w:bookmarkStart w:id="93" w:name="_Toc251331705"/>
      <w:bookmarkStart w:id="94" w:name="_Toc180382508"/>
      <w:bookmarkStart w:id="95" w:name="_Toc188003118"/>
      <w:bookmarkStart w:id="96" w:name="_Toc178684521"/>
      <w:bookmarkStart w:id="97" w:name="_Toc188002884"/>
      <w:bookmarkStart w:id="98" w:name="_Toc272415240"/>
      <w:bookmarkStart w:id="99" w:name="_Toc188002744"/>
      <w:bookmarkStart w:id="100" w:name="_Toc177868177"/>
      <w:bookmarkStart w:id="101" w:name="_Toc177866214"/>
      <w:bookmarkStart w:id="102" w:name="_Toc266294568"/>
      <w:bookmarkStart w:id="103" w:name="_Toc13734"/>
      <w:bookmarkStart w:id="104" w:name="_Toc24294"/>
      <w:r>
        <w:rPr>
          <w:rFonts w:hint="eastAsia" w:ascii="Times New Roman" w:hAnsi="Times New Roman" w:eastAsia="宋体" w:cs="Times New Roman"/>
          <w:b/>
          <w:bCs/>
          <w:color w:val="000000"/>
          <w:sz w:val="28"/>
          <w:szCs w:val="28"/>
          <w:lang w:val="en-US" w:eastAsia="zh-CN"/>
        </w:rPr>
        <w:t>2.4.5辅助设施</w:t>
      </w:r>
    </w:p>
    <w:p w14:paraId="2AA6ACA3">
      <w:pPr>
        <w:keepNext w:val="0"/>
        <w:keepLines w:val="0"/>
        <w:pageBreakBefore w:val="0"/>
        <w:widowControl/>
        <w:kinsoku w:val="0"/>
        <w:wordWrap/>
        <w:overflowPunct/>
        <w:topLinePunct w:val="0"/>
        <w:autoSpaceDE w:val="0"/>
        <w:autoSpaceDN w:val="0"/>
        <w:bidi w:val="0"/>
        <w:adjustRightInd w:val="0"/>
        <w:snapToGrid w:val="0"/>
        <w:spacing w:line="360" w:lineRule="auto"/>
        <w:ind w:firstLine="572" w:firstLineChars="200"/>
        <w:textAlignment w:val="baseline"/>
        <w:outlineLvl w:val="9"/>
        <w:rPr>
          <w:rFonts w:hint="eastAsia" w:ascii="Times New Roman" w:hAnsi="Times New Roman" w:eastAsia="宋体" w:cs="Times New Roman"/>
          <w:spacing w:val="3"/>
          <w:sz w:val="28"/>
          <w:szCs w:val="28"/>
          <w:lang w:val="en-US" w:eastAsia="zh-CN"/>
        </w:rPr>
      </w:pPr>
      <w:r>
        <w:rPr>
          <w:rFonts w:hint="eastAsia" w:ascii="Times New Roman" w:hAnsi="Times New Roman" w:eastAsia="宋体" w:cs="Times New Roman"/>
          <w:spacing w:val="3"/>
          <w:sz w:val="28"/>
          <w:szCs w:val="28"/>
          <w:lang w:val="en-US" w:eastAsia="zh-CN"/>
        </w:rPr>
        <w:t>xxx。</w:t>
      </w:r>
    </w:p>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14:paraId="3A073D31">
      <w:pPr>
        <w:spacing w:line="360" w:lineRule="auto"/>
        <w:jc w:val="center"/>
        <w:outlineLvl w:val="0"/>
        <w:rPr>
          <w:rFonts w:hint="eastAsia" w:ascii="黑体" w:hAnsi="黑体" w:eastAsia="黑体" w:cs="黑体"/>
          <w:sz w:val="30"/>
          <w:szCs w:val="30"/>
          <w:lang w:eastAsia="zh-CN"/>
        </w:rPr>
      </w:pPr>
      <w:r>
        <w:rPr>
          <w:rFonts w:ascii="Times New Roman" w:hAnsi="Times New Roman" w:eastAsia="Times New Roman" w:cs="Times New Roman"/>
          <w:b/>
          <w:bCs/>
          <w:spacing w:val="-4"/>
          <w:sz w:val="30"/>
          <w:szCs w:val="30"/>
          <w:lang w:eastAsia="zh-CN"/>
        </w:rPr>
        <w:t xml:space="preserve">2.5 </w:t>
      </w:r>
      <w:r>
        <w:rPr>
          <w:rFonts w:ascii="黑体" w:hAnsi="黑体" w:eastAsia="黑体" w:cs="黑体"/>
          <w:b/>
          <w:bCs/>
          <w:spacing w:val="-4"/>
          <w:sz w:val="30"/>
          <w:szCs w:val="30"/>
          <w:lang w:eastAsia="zh-CN"/>
        </w:rPr>
        <w:t>尾矿库现状</w:t>
      </w:r>
      <w:bookmarkEnd w:id="103"/>
      <w:bookmarkEnd w:id="104"/>
    </w:p>
    <w:p w14:paraId="42C3559F">
      <w:pPr>
        <w:spacing w:line="360" w:lineRule="auto"/>
        <w:outlineLvl w:val="2"/>
        <w:rPr>
          <w:rFonts w:hint="eastAsia" w:ascii="黑体" w:hAnsi="黑体" w:eastAsia="黑体" w:cs="黑体"/>
          <w:sz w:val="28"/>
          <w:szCs w:val="28"/>
          <w:lang w:eastAsia="zh-CN"/>
        </w:rPr>
      </w:pPr>
      <w:bookmarkStart w:id="105" w:name="_Toc8094"/>
      <w:bookmarkStart w:id="106" w:name="_Toc31332"/>
      <w:bookmarkStart w:id="107" w:name="_Toc9726"/>
      <w:r>
        <w:rPr>
          <w:rFonts w:ascii="Times New Roman" w:hAnsi="Times New Roman" w:eastAsia="Times New Roman" w:cs="Times New Roman"/>
          <w:b/>
          <w:bCs/>
          <w:spacing w:val="-3"/>
          <w:sz w:val="28"/>
          <w:szCs w:val="28"/>
          <w:lang w:eastAsia="zh-CN"/>
        </w:rPr>
        <w:t xml:space="preserve">2.5.1 </w:t>
      </w:r>
      <w:r>
        <w:rPr>
          <w:rFonts w:ascii="黑体" w:hAnsi="黑体" w:eastAsia="黑体" w:cs="黑体"/>
          <w:b/>
          <w:bCs/>
          <w:spacing w:val="-3"/>
          <w:sz w:val="28"/>
          <w:szCs w:val="28"/>
          <w:lang w:eastAsia="zh-CN"/>
        </w:rPr>
        <w:t>库址与周边环境</w:t>
      </w:r>
      <w:bookmarkEnd w:id="105"/>
      <w:bookmarkEnd w:id="106"/>
      <w:bookmarkEnd w:id="107"/>
    </w:p>
    <w:p w14:paraId="731014F6">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z w:val="24"/>
          <w:szCs w:val="24"/>
          <w:lang w:eastAsia="zh-CN"/>
        </w:rPr>
      </w:pPr>
      <w:r>
        <w:rPr>
          <w:rFonts w:hint="eastAsia" w:ascii="Times New Roman" w:hAnsi="Times New Roman" w:cs="Times New Roman"/>
          <w:color w:val="000000"/>
          <w:sz w:val="28"/>
          <w:szCs w:val="28"/>
          <w:lang w:val="en-US" w:eastAsia="zh-CN"/>
        </w:rPr>
        <w:t>xxx</w:t>
      </w:r>
      <w:r>
        <w:drawing>
          <wp:anchor distT="0" distB="0" distL="0" distR="0" simplePos="0" relativeHeight="251659264" behindDoc="0" locked="0" layoutInCell="1" allowOverlap="1">
            <wp:simplePos x="0" y="0"/>
            <wp:positionH relativeFrom="column">
              <wp:posOffset>5027930</wp:posOffset>
            </wp:positionH>
            <wp:positionV relativeFrom="paragraph">
              <wp:posOffset>2540</wp:posOffset>
            </wp:positionV>
            <wp:extent cx="371475" cy="457200"/>
            <wp:effectExtent l="0" t="0" r="9525" b="0"/>
            <wp:wrapNone/>
            <wp:docPr id="1047" name="图片 8"/>
            <wp:cNvGraphicFramePr/>
            <a:graphic xmlns:a="http://schemas.openxmlformats.org/drawingml/2006/main">
              <a:graphicData uri="http://schemas.openxmlformats.org/drawingml/2006/picture">
                <pic:pic xmlns:pic="http://schemas.openxmlformats.org/drawingml/2006/picture">
                  <pic:nvPicPr>
                    <pic:cNvPr id="1047" name="图片 8"/>
                    <pic:cNvPicPr/>
                  </pic:nvPicPr>
                  <pic:blipFill>
                    <a:blip r:embed="rId38" cstate="print"/>
                    <a:srcRect/>
                    <a:stretch>
                      <a:fillRect/>
                    </a:stretch>
                  </pic:blipFill>
                  <pic:spPr>
                    <a:xfrm>
                      <a:off x="0" y="0"/>
                      <a:ext cx="371475" cy="457200"/>
                    </a:xfrm>
                    <a:prstGeom prst="rect">
                      <a:avLst/>
                    </a:prstGeom>
                    <a:ln>
                      <a:noFill/>
                    </a:ln>
                  </pic:spPr>
                </pic:pic>
              </a:graphicData>
            </a:graphic>
          </wp:anchor>
        </w:drawing>
      </w:r>
      <w:r>
        <w:rPr>
          <w:rFonts w:ascii="宋体" w:hAnsi="宋体" w:eastAsia="宋体" w:cs="宋体"/>
          <w:spacing w:val="-3"/>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3"/>
          <w:sz w:val="24"/>
          <w:szCs w:val="24"/>
          <w:lang w:eastAsia="zh-CN"/>
        </w:rPr>
        <w:t xml:space="preserve">2.5-1 </w:t>
      </w:r>
      <w:r>
        <w:rPr>
          <w:rFonts w:ascii="宋体" w:hAnsi="宋体" w:eastAsia="宋体" w:cs="宋体"/>
          <w:spacing w:val="-3"/>
          <w:sz w:val="24"/>
          <w:szCs w:val="24"/>
          <w:lang w:eastAsia="zh-CN"/>
        </w:rPr>
        <w:t>尾矿库卫星图</w:t>
      </w:r>
    </w:p>
    <w:p w14:paraId="4B012338">
      <w:pPr>
        <w:spacing w:line="360" w:lineRule="auto"/>
        <w:outlineLvl w:val="2"/>
        <w:rPr>
          <w:rFonts w:hint="eastAsia" w:ascii="宋体" w:hAnsi="宋体" w:eastAsia="宋体" w:cs="宋体"/>
          <w:sz w:val="28"/>
          <w:szCs w:val="28"/>
          <w:lang w:eastAsia="zh-CN"/>
        </w:rPr>
      </w:pPr>
      <w:bookmarkStart w:id="108" w:name="_Toc17499"/>
      <w:bookmarkStart w:id="109" w:name="_Toc13639"/>
      <w:bookmarkStart w:id="110" w:name="_Toc23153"/>
      <w:r>
        <w:rPr>
          <w:rFonts w:ascii="Times New Roman" w:hAnsi="Times New Roman" w:eastAsia="Times New Roman" w:cs="Times New Roman"/>
          <w:b/>
          <w:bCs/>
          <w:spacing w:val="-3"/>
          <w:sz w:val="28"/>
          <w:szCs w:val="28"/>
          <w:lang w:eastAsia="zh-CN"/>
        </w:rPr>
        <w:t xml:space="preserve">2.5.2 </w:t>
      </w:r>
      <w:r>
        <w:rPr>
          <w:rFonts w:ascii="宋体" w:hAnsi="宋体" w:eastAsia="宋体" w:cs="宋体"/>
          <w:b/>
          <w:bCs/>
          <w:spacing w:val="-3"/>
          <w:sz w:val="28"/>
          <w:szCs w:val="28"/>
          <w:lang w:eastAsia="zh-CN"/>
        </w:rPr>
        <w:t>库容、等别及建设标准</w:t>
      </w:r>
      <w:bookmarkEnd w:id="108"/>
      <w:bookmarkEnd w:id="109"/>
      <w:bookmarkEnd w:id="110"/>
    </w:p>
    <w:p w14:paraId="6F7EABF8">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2.5-1 </w:t>
      </w:r>
      <w:r>
        <w:rPr>
          <w:rFonts w:ascii="宋体" w:hAnsi="宋体" w:eastAsia="宋体" w:cs="宋体"/>
          <w:spacing w:val="-2"/>
          <w:sz w:val="24"/>
          <w:szCs w:val="24"/>
          <w:lang w:eastAsia="zh-CN"/>
        </w:rPr>
        <w:t>尾矿库防洪标准</w:t>
      </w:r>
    </w:p>
    <w:tbl>
      <w:tblPr>
        <w:tblStyle w:val="25"/>
        <w:tblW w:w="7947"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2"/>
        <w:gridCol w:w="1900"/>
        <w:gridCol w:w="1021"/>
        <w:gridCol w:w="970"/>
        <w:gridCol w:w="934"/>
        <w:gridCol w:w="1010"/>
      </w:tblGrid>
      <w:tr w14:paraId="10072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8" w:hRule="atLeast"/>
        </w:trPr>
        <w:tc>
          <w:tcPr>
            <w:tcW w:w="2112" w:type="dxa"/>
            <w:tcBorders>
              <w:top w:val="single" w:color="000000" w:sz="2" w:space="0"/>
              <w:left w:val="single" w:color="000000" w:sz="2" w:space="0"/>
            </w:tcBorders>
            <w:vAlign w:val="center"/>
          </w:tcPr>
          <w:p w14:paraId="699841CD">
            <w:pPr>
              <w:jc w:val="center"/>
              <w:rPr>
                <w:rFonts w:ascii="Times New Roman" w:hAnsi="Times New Roman" w:eastAsia="宋体" w:cs="Times New Roman"/>
              </w:rPr>
            </w:pPr>
            <w:r>
              <w:rPr>
                <w:rFonts w:ascii="Times New Roman" w:hAnsi="Times New Roman" w:eastAsia="宋体" w:cs="Times New Roman"/>
                <w:spacing w:val="8"/>
              </w:rPr>
              <w:t>尾矿库各使用期等别</w:t>
            </w:r>
          </w:p>
        </w:tc>
        <w:tc>
          <w:tcPr>
            <w:tcW w:w="1900" w:type="dxa"/>
            <w:tcBorders>
              <w:top w:val="single" w:color="000000" w:sz="2" w:space="0"/>
            </w:tcBorders>
            <w:vAlign w:val="center"/>
          </w:tcPr>
          <w:p w14:paraId="1121474B">
            <w:pPr>
              <w:jc w:val="center"/>
              <w:rPr>
                <w:rFonts w:ascii="Times New Roman" w:hAnsi="Times New Roman" w:eastAsia="宋体" w:cs="Times New Roman"/>
              </w:rPr>
            </w:pPr>
            <w:r>
              <w:rPr>
                <w:rFonts w:ascii="Times New Roman" w:hAnsi="Times New Roman" w:eastAsia="宋体" w:cs="Times New Roman"/>
                <w:position w:val="-4"/>
              </w:rPr>
              <w:t>一</w:t>
            </w:r>
          </w:p>
        </w:tc>
        <w:tc>
          <w:tcPr>
            <w:tcW w:w="1021" w:type="dxa"/>
            <w:tcBorders>
              <w:top w:val="single" w:color="000000" w:sz="2" w:space="0"/>
            </w:tcBorders>
            <w:vAlign w:val="center"/>
          </w:tcPr>
          <w:p w14:paraId="44B8B85A">
            <w:pPr>
              <w:jc w:val="center"/>
              <w:rPr>
                <w:rFonts w:ascii="Times New Roman" w:hAnsi="Times New Roman" w:eastAsia="宋体" w:cs="Times New Roman"/>
              </w:rPr>
            </w:pPr>
            <w:r>
              <w:rPr>
                <w:rFonts w:ascii="Times New Roman" w:hAnsi="Times New Roman" w:eastAsia="宋体" w:cs="Times New Roman"/>
              </w:rPr>
              <w:t>二</w:t>
            </w:r>
          </w:p>
        </w:tc>
        <w:tc>
          <w:tcPr>
            <w:tcW w:w="970" w:type="dxa"/>
            <w:tcBorders>
              <w:top w:val="single" w:color="000000" w:sz="2" w:space="0"/>
            </w:tcBorders>
            <w:vAlign w:val="center"/>
          </w:tcPr>
          <w:p w14:paraId="7D851FB2">
            <w:pPr>
              <w:jc w:val="center"/>
              <w:rPr>
                <w:rFonts w:ascii="Times New Roman" w:hAnsi="Times New Roman" w:eastAsia="宋体" w:cs="Times New Roman"/>
              </w:rPr>
            </w:pPr>
            <w:r>
              <w:rPr>
                <w:rFonts w:ascii="Times New Roman" w:hAnsi="Times New Roman" w:eastAsia="宋体" w:cs="Times New Roman"/>
              </w:rPr>
              <w:t>三</w:t>
            </w:r>
          </w:p>
        </w:tc>
        <w:tc>
          <w:tcPr>
            <w:tcW w:w="934" w:type="dxa"/>
            <w:tcBorders>
              <w:top w:val="single" w:color="000000" w:sz="2" w:space="0"/>
            </w:tcBorders>
            <w:vAlign w:val="center"/>
          </w:tcPr>
          <w:p w14:paraId="771DE90B">
            <w:pPr>
              <w:jc w:val="center"/>
              <w:rPr>
                <w:rFonts w:ascii="Times New Roman" w:hAnsi="Times New Roman" w:eastAsia="宋体" w:cs="Times New Roman"/>
              </w:rPr>
            </w:pPr>
            <w:r>
              <w:rPr>
                <w:rFonts w:ascii="Times New Roman" w:hAnsi="Times New Roman" w:eastAsia="宋体" w:cs="Times New Roman"/>
              </w:rPr>
              <w:t>四</w:t>
            </w:r>
          </w:p>
        </w:tc>
        <w:tc>
          <w:tcPr>
            <w:tcW w:w="1010" w:type="dxa"/>
            <w:tcBorders>
              <w:top w:val="single" w:color="000000" w:sz="2" w:space="0"/>
              <w:right w:val="single" w:color="000000" w:sz="2" w:space="0"/>
            </w:tcBorders>
            <w:vAlign w:val="center"/>
          </w:tcPr>
          <w:p w14:paraId="51825517">
            <w:pPr>
              <w:jc w:val="center"/>
              <w:rPr>
                <w:rFonts w:ascii="Times New Roman" w:hAnsi="Times New Roman" w:eastAsia="宋体" w:cs="Times New Roman"/>
              </w:rPr>
            </w:pPr>
            <w:r>
              <w:rPr>
                <w:rFonts w:ascii="Times New Roman" w:hAnsi="Times New Roman" w:eastAsia="宋体" w:cs="Times New Roman"/>
              </w:rPr>
              <w:t>五</w:t>
            </w:r>
          </w:p>
        </w:tc>
      </w:tr>
      <w:tr w14:paraId="53C3F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2112" w:type="dxa"/>
            <w:tcBorders>
              <w:left w:val="single" w:color="000000" w:sz="2" w:space="0"/>
              <w:bottom w:val="single" w:color="000000" w:sz="2" w:space="0"/>
            </w:tcBorders>
            <w:vAlign w:val="center"/>
          </w:tcPr>
          <w:p w14:paraId="7D04B85A">
            <w:pPr>
              <w:jc w:val="center"/>
              <w:rPr>
                <w:rFonts w:ascii="Times New Roman" w:hAnsi="Times New Roman" w:eastAsia="宋体" w:cs="Times New Roman"/>
              </w:rPr>
            </w:pPr>
            <w:r>
              <w:rPr>
                <w:rFonts w:ascii="Times New Roman" w:hAnsi="Times New Roman" w:eastAsia="宋体" w:cs="Times New Roman"/>
                <w:spacing w:val="7"/>
              </w:rPr>
              <w:t>洪水重现期（年）</w:t>
            </w:r>
          </w:p>
        </w:tc>
        <w:tc>
          <w:tcPr>
            <w:tcW w:w="1900" w:type="dxa"/>
            <w:tcBorders>
              <w:bottom w:val="single" w:color="000000" w:sz="2" w:space="0"/>
            </w:tcBorders>
            <w:vAlign w:val="center"/>
          </w:tcPr>
          <w:p w14:paraId="39215041">
            <w:pPr>
              <w:pStyle w:val="26"/>
              <w:jc w:val="center"/>
              <w:rPr>
                <w:rFonts w:eastAsia="宋体"/>
                <w:sz w:val="21"/>
                <w:szCs w:val="21"/>
              </w:rPr>
            </w:pPr>
            <w:r>
              <w:rPr>
                <w:rFonts w:eastAsia="宋体"/>
                <w:spacing w:val="3"/>
                <w:sz w:val="21"/>
                <w:szCs w:val="21"/>
              </w:rPr>
              <w:t>1000-5000 或</w:t>
            </w:r>
            <w:r>
              <w:rPr>
                <w:rFonts w:eastAsia="宋体"/>
                <w:spacing w:val="-42"/>
                <w:sz w:val="21"/>
                <w:szCs w:val="21"/>
              </w:rPr>
              <w:t xml:space="preserve"> </w:t>
            </w:r>
            <w:r>
              <w:rPr>
                <w:rFonts w:eastAsia="宋体"/>
                <w:sz w:val="21"/>
                <w:szCs w:val="21"/>
              </w:rPr>
              <w:t>PMF</w:t>
            </w:r>
          </w:p>
        </w:tc>
        <w:tc>
          <w:tcPr>
            <w:tcW w:w="1021" w:type="dxa"/>
            <w:tcBorders>
              <w:bottom w:val="single" w:color="000000" w:sz="2" w:space="0"/>
            </w:tcBorders>
            <w:vAlign w:val="center"/>
          </w:tcPr>
          <w:p w14:paraId="4E109552">
            <w:pPr>
              <w:pStyle w:val="26"/>
              <w:jc w:val="center"/>
              <w:rPr>
                <w:rFonts w:eastAsia="宋体"/>
                <w:sz w:val="21"/>
                <w:szCs w:val="21"/>
              </w:rPr>
            </w:pPr>
            <w:r>
              <w:rPr>
                <w:rFonts w:eastAsia="宋体"/>
                <w:spacing w:val="3"/>
                <w:sz w:val="21"/>
                <w:szCs w:val="21"/>
              </w:rPr>
              <w:t>500-1000</w:t>
            </w:r>
          </w:p>
        </w:tc>
        <w:tc>
          <w:tcPr>
            <w:tcW w:w="970" w:type="dxa"/>
            <w:tcBorders>
              <w:bottom w:val="single" w:color="000000" w:sz="2" w:space="0"/>
            </w:tcBorders>
            <w:vAlign w:val="center"/>
          </w:tcPr>
          <w:p w14:paraId="6D3D3E1B">
            <w:pPr>
              <w:pStyle w:val="26"/>
              <w:jc w:val="center"/>
              <w:rPr>
                <w:rFonts w:eastAsia="宋体"/>
                <w:sz w:val="21"/>
                <w:szCs w:val="21"/>
              </w:rPr>
            </w:pPr>
            <w:r>
              <w:rPr>
                <w:rFonts w:eastAsia="宋体"/>
                <w:spacing w:val="4"/>
                <w:sz w:val="21"/>
                <w:szCs w:val="21"/>
              </w:rPr>
              <w:t>200-500</w:t>
            </w:r>
          </w:p>
        </w:tc>
        <w:tc>
          <w:tcPr>
            <w:tcW w:w="934" w:type="dxa"/>
            <w:tcBorders>
              <w:bottom w:val="single" w:color="000000" w:sz="2" w:space="0"/>
            </w:tcBorders>
            <w:vAlign w:val="center"/>
          </w:tcPr>
          <w:p w14:paraId="61849169">
            <w:pPr>
              <w:pStyle w:val="26"/>
              <w:jc w:val="center"/>
              <w:rPr>
                <w:rFonts w:eastAsia="宋体"/>
                <w:sz w:val="21"/>
                <w:szCs w:val="21"/>
              </w:rPr>
            </w:pPr>
            <w:r>
              <w:rPr>
                <w:rFonts w:eastAsia="宋体"/>
                <w:spacing w:val="1"/>
                <w:sz w:val="21"/>
                <w:szCs w:val="21"/>
              </w:rPr>
              <w:t>100-200</w:t>
            </w:r>
          </w:p>
        </w:tc>
        <w:tc>
          <w:tcPr>
            <w:tcW w:w="1010" w:type="dxa"/>
            <w:tcBorders>
              <w:bottom w:val="single" w:color="000000" w:sz="2" w:space="0"/>
              <w:right w:val="single" w:color="000000" w:sz="2" w:space="0"/>
            </w:tcBorders>
            <w:vAlign w:val="center"/>
          </w:tcPr>
          <w:p w14:paraId="35CB4FDF">
            <w:pPr>
              <w:pStyle w:val="26"/>
              <w:jc w:val="center"/>
              <w:rPr>
                <w:rFonts w:eastAsia="宋体"/>
                <w:sz w:val="21"/>
                <w:szCs w:val="21"/>
              </w:rPr>
            </w:pPr>
            <w:r>
              <w:rPr>
                <w:rFonts w:eastAsia="宋体"/>
                <w:spacing w:val="-3"/>
                <w:sz w:val="21"/>
                <w:szCs w:val="21"/>
              </w:rPr>
              <w:t>100</w:t>
            </w:r>
          </w:p>
        </w:tc>
      </w:tr>
    </w:tbl>
    <w:p w14:paraId="203355EE">
      <w:pPr>
        <w:ind w:firstLine="220" w:firstLineChars="100"/>
        <w:rPr>
          <w:rFonts w:hint="eastAsia" w:ascii="宋体" w:hAnsi="宋体" w:eastAsia="宋体" w:cs="宋体"/>
          <w:sz w:val="20"/>
          <w:szCs w:val="20"/>
          <w:lang w:eastAsia="zh-CN"/>
        </w:rPr>
      </w:pPr>
      <w:r>
        <w:rPr>
          <w:rFonts w:ascii="宋体" w:hAnsi="宋体" w:eastAsia="宋体" w:cs="宋体"/>
          <w:spacing w:val="10"/>
          <w:sz w:val="20"/>
          <w:szCs w:val="20"/>
          <w:lang w:eastAsia="zh-CN"/>
        </w:rPr>
        <w:t>注：</w:t>
      </w:r>
      <w:r>
        <w:rPr>
          <w:rFonts w:ascii="Times New Roman" w:hAnsi="Times New Roman" w:eastAsia="Times New Roman" w:cs="Times New Roman"/>
          <w:sz w:val="20"/>
          <w:szCs w:val="20"/>
          <w:lang w:eastAsia="zh-CN"/>
        </w:rPr>
        <w:t>PMF</w:t>
      </w:r>
      <w:r>
        <w:rPr>
          <w:rFonts w:ascii="Times New Roman" w:hAnsi="Times New Roman" w:eastAsia="Times New Roman" w:cs="Times New Roman"/>
          <w:spacing w:val="10"/>
          <w:sz w:val="20"/>
          <w:szCs w:val="20"/>
          <w:lang w:eastAsia="zh-CN"/>
        </w:rPr>
        <w:t xml:space="preserve"> </w:t>
      </w:r>
      <w:r>
        <w:rPr>
          <w:rFonts w:ascii="宋体" w:hAnsi="宋体" w:eastAsia="宋体" w:cs="宋体"/>
          <w:spacing w:val="10"/>
          <w:sz w:val="20"/>
          <w:szCs w:val="20"/>
          <w:lang w:eastAsia="zh-CN"/>
        </w:rPr>
        <w:t>为可能最大洪水</w:t>
      </w:r>
    </w:p>
    <w:p w14:paraId="147D181A">
      <w:pPr>
        <w:jc w:val="center"/>
        <w:rPr>
          <w:rFonts w:hint="eastAsia" w:ascii="宋体" w:hAnsi="宋体" w:eastAsia="宋体" w:cs="宋体"/>
          <w:sz w:val="24"/>
          <w:szCs w:val="24"/>
        </w:rPr>
      </w:pPr>
      <w:r>
        <w:rPr>
          <w:rFonts w:ascii="宋体" w:hAnsi="宋体" w:eastAsia="宋体" w:cs="宋体"/>
          <w:spacing w:val="-2"/>
          <w:sz w:val="24"/>
          <w:szCs w:val="24"/>
        </w:rPr>
        <w:t>表</w:t>
      </w:r>
      <w:r>
        <w:rPr>
          <w:rFonts w:ascii="Times New Roman" w:hAnsi="Times New Roman" w:eastAsia="Times New Roman" w:cs="Times New Roman"/>
          <w:spacing w:val="-2"/>
          <w:sz w:val="24"/>
          <w:szCs w:val="24"/>
        </w:rPr>
        <w:t xml:space="preserve">2.5-2  </w:t>
      </w:r>
      <w:r>
        <w:rPr>
          <w:rFonts w:ascii="宋体" w:hAnsi="宋体" w:eastAsia="宋体" w:cs="宋体"/>
          <w:spacing w:val="-2"/>
          <w:sz w:val="24"/>
          <w:szCs w:val="24"/>
        </w:rPr>
        <w:t>尾矿库等别表</w:t>
      </w:r>
    </w:p>
    <w:tbl>
      <w:tblPr>
        <w:tblStyle w:val="25"/>
        <w:tblW w:w="800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2"/>
        <w:gridCol w:w="3542"/>
        <w:gridCol w:w="3127"/>
      </w:tblGrid>
      <w:tr w14:paraId="41B4D0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1DB58028">
            <w:pPr>
              <w:jc w:val="center"/>
              <w:rPr>
                <w:rFonts w:ascii="Times New Roman" w:hAnsi="Times New Roman" w:eastAsia="宋体" w:cs="Times New Roman"/>
              </w:rPr>
            </w:pPr>
            <w:r>
              <w:rPr>
                <w:rFonts w:ascii="Times New Roman" w:hAnsi="Times New Roman" w:eastAsia="宋体" w:cs="Times New Roman"/>
                <w:spacing w:val="3"/>
              </w:rPr>
              <w:t>等别</w:t>
            </w:r>
          </w:p>
        </w:tc>
        <w:tc>
          <w:tcPr>
            <w:tcW w:w="3542" w:type="dxa"/>
            <w:vAlign w:val="bottom"/>
          </w:tcPr>
          <w:p w14:paraId="616742CA">
            <w:pPr>
              <w:pStyle w:val="26"/>
              <w:jc w:val="center"/>
              <w:rPr>
                <w:rFonts w:eastAsia="宋体"/>
                <w:sz w:val="21"/>
                <w:szCs w:val="21"/>
              </w:rPr>
            </w:pPr>
            <w:r>
              <w:rPr>
                <w:rFonts w:eastAsia="宋体"/>
                <w:spacing w:val="5"/>
                <w:sz w:val="21"/>
                <w:szCs w:val="21"/>
              </w:rPr>
              <w:t>全库容</w:t>
            </w:r>
            <w:r>
              <w:rPr>
                <w:rFonts w:eastAsia="宋体"/>
                <w:spacing w:val="-40"/>
                <w:sz w:val="21"/>
                <w:szCs w:val="21"/>
              </w:rPr>
              <w:t xml:space="preserve"> </w:t>
            </w:r>
            <w:r>
              <w:rPr>
                <w:rFonts w:eastAsia="宋体"/>
                <w:spacing w:val="5"/>
                <w:sz w:val="21"/>
                <w:szCs w:val="21"/>
              </w:rPr>
              <w:t>V×10</w:t>
            </w:r>
            <w:r>
              <w:rPr>
                <w:rFonts w:eastAsia="宋体"/>
                <w:spacing w:val="5"/>
                <w:position w:val="6"/>
                <w:sz w:val="21"/>
                <w:szCs w:val="21"/>
              </w:rPr>
              <w:t>4</w:t>
            </w:r>
            <w:r>
              <w:rPr>
                <w:rFonts w:eastAsia="宋体"/>
                <w:spacing w:val="5"/>
                <w:sz w:val="21"/>
                <w:szCs w:val="21"/>
              </w:rPr>
              <w:t>m</w:t>
            </w:r>
            <w:r>
              <w:rPr>
                <w:rFonts w:eastAsia="宋体"/>
                <w:spacing w:val="5"/>
                <w:position w:val="6"/>
                <w:sz w:val="21"/>
                <w:szCs w:val="21"/>
              </w:rPr>
              <w:t>3</w:t>
            </w:r>
          </w:p>
        </w:tc>
        <w:tc>
          <w:tcPr>
            <w:tcW w:w="3127" w:type="dxa"/>
            <w:vAlign w:val="bottom"/>
          </w:tcPr>
          <w:p w14:paraId="0ED8558C">
            <w:pPr>
              <w:pStyle w:val="26"/>
              <w:jc w:val="center"/>
              <w:rPr>
                <w:rFonts w:eastAsia="宋体"/>
                <w:sz w:val="21"/>
                <w:szCs w:val="21"/>
              </w:rPr>
            </w:pPr>
            <w:r>
              <w:rPr>
                <w:rFonts w:eastAsia="宋体"/>
                <w:spacing w:val="5"/>
                <w:sz w:val="21"/>
                <w:szCs w:val="21"/>
              </w:rPr>
              <w:t>坝高</w:t>
            </w:r>
            <w:r>
              <w:rPr>
                <w:rFonts w:eastAsia="宋体"/>
                <w:spacing w:val="-44"/>
                <w:sz w:val="21"/>
                <w:szCs w:val="21"/>
              </w:rPr>
              <w:t xml:space="preserve"> </w:t>
            </w:r>
            <w:r>
              <w:rPr>
                <w:rFonts w:eastAsia="宋体"/>
                <w:spacing w:val="5"/>
                <w:sz w:val="21"/>
                <w:szCs w:val="21"/>
              </w:rPr>
              <w:t>H（m）</w:t>
            </w:r>
          </w:p>
        </w:tc>
      </w:tr>
      <w:tr w14:paraId="02098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518D21B7">
            <w:pPr>
              <w:jc w:val="center"/>
              <w:rPr>
                <w:rFonts w:ascii="Times New Roman" w:hAnsi="Times New Roman" w:eastAsia="宋体" w:cs="Times New Roman"/>
              </w:rPr>
            </w:pPr>
            <w:r>
              <w:rPr>
                <w:rFonts w:ascii="Times New Roman" w:hAnsi="Times New Roman" w:eastAsia="宋体" w:cs="Times New Roman"/>
                <w:position w:val="-4"/>
              </w:rPr>
              <w:t>一</w:t>
            </w:r>
          </w:p>
        </w:tc>
        <w:tc>
          <w:tcPr>
            <w:tcW w:w="3542" w:type="dxa"/>
            <w:vAlign w:val="bottom"/>
          </w:tcPr>
          <w:p w14:paraId="78FDA61F">
            <w:pPr>
              <w:pStyle w:val="26"/>
              <w:jc w:val="center"/>
              <w:rPr>
                <w:rFonts w:eastAsia="宋体"/>
                <w:sz w:val="21"/>
                <w:szCs w:val="21"/>
              </w:rPr>
            </w:pPr>
            <w:r>
              <w:rPr>
                <w:rFonts w:eastAsia="宋体"/>
                <w:spacing w:val="4"/>
                <w:sz w:val="21"/>
                <w:szCs w:val="21"/>
              </w:rPr>
              <w:t>V≥50000</w:t>
            </w:r>
          </w:p>
        </w:tc>
        <w:tc>
          <w:tcPr>
            <w:tcW w:w="3127" w:type="dxa"/>
            <w:vAlign w:val="bottom"/>
          </w:tcPr>
          <w:p w14:paraId="0A539714">
            <w:pPr>
              <w:pStyle w:val="26"/>
              <w:jc w:val="center"/>
              <w:rPr>
                <w:rFonts w:eastAsia="宋体"/>
                <w:sz w:val="21"/>
                <w:szCs w:val="21"/>
              </w:rPr>
            </w:pPr>
            <w:r>
              <w:rPr>
                <w:rFonts w:eastAsia="宋体"/>
                <w:spacing w:val="4"/>
                <w:sz w:val="21"/>
                <w:szCs w:val="21"/>
              </w:rPr>
              <w:t>H≥200</w:t>
            </w:r>
          </w:p>
        </w:tc>
      </w:tr>
      <w:tr w14:paraId="57899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028D18DD">
            <w:pPr>
              <w:jc w:val="center"/>
              <w:rPr>
                <w:rFonts w:ascii="Times New Roman" w:hAnsi="Times New Roman" w:eastAsia="宋体" w:cs="Times New Roman"/>
              </w:rPr>
            </w:pPr>
            <w:r>
              <w:rPr>
                <w:rFonts w:ascii="Times New Roman" w:hAnsi="Times New Roman" w:eastAsia="宋体" w:cs="Times New Roman"/>
              </w:rPr>
              <w:t>二</w:t>
            </w:r>
          </w:p>
        </w:tc>
        <w:tc>
          <w:tcPr>
            <w:tcW w:w="3542" w:type="dxa"/>
            <w:vAlign w:val="bottom"/>
          </w:tcPr>
          <w:p w14:paraId="6B07C435">
            <w:pPr>
              <w:pStyle w:val="26"/>
              <w:jc w:val="center"/>
              <w:rPr>
                <w:rFonts w:eastAsia="宋体"/>
                <w:sz w:val="21"/>
                <w:szCs w:val="21"/>
              </w:rPr>
            </w:pPr>
            <w:r>
              <w:rPr>
                <w:rFonts w:eastAsia="宋体"/>
                <w:spacing w:val="3"/>
                <w:sz w:val="21"/>
                <w:szCs w:val="21"/>
              </w:rPr>
              <w:t>10000≤V＜50000</w:t>
            </w:r>
          </w:p>
        </w:tc>
        <w:tc>
          <w:tcPr>
            <w:tcW w:w="3127" w:type="dxa"/>
            <w:vAlign w:val="bottom"/>
          </w:tcPr>
          <w:p w14:paraId="27D85C45">
            <w:pPr>
              <w:pStyle w:val="26"/>
              <w:jc w:val="center"/>
              <w:rPr>
                <w:rFonts w:eastAsia="宋体"/>
                <w:sz w:val="21"/>
                <w:szCs w:val="21"/>
              </w:rPr>
            </w:pPr>
            <w:r>
              <w:rPr>
                <w:rFonts w:eastAsia="宋体"/>
                <w:spacing w:val="2"/>
                <w:sz w:val="21"/>
                <w:szCs w:val="21"/>
              </w:rPr>
              <w:t>100≤H＜200</w:t>
            </w:r>
          </w:p>
        </w:tc>
      </w:tr>
      <w:tr w14:paraId="118D0D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213536CE">
            <w:pPr>
              <w:jc w:val="center"/>
              <w:rPr>
                <w:rFonts w:ascii="Times New Roman" w:hAnsi="Times New Roman" w:eastAsia="宋体" w:cs="Times New Roman"/>
              </w:rPr>
            </w:pPr>
            <w:r>
              <w:rPr>
                <w:rFonts w:ascii="Times New Roman" w:hAnsi="Times New Roman" w:eastAsia="宋体" w:cs="Times New Roman"/>
              </w:rPr>
              <w:t>三</w:t>
            </w:r>
          </w:p>
        </w:tc>
        <w:tc>
          <w:tcPr>
            <w:tcW w:w="3542" w:type="dxa"/>
            <w:vAlign w:val="bottom"/>
          </w:tcPr>
          <w:p w14:paraId="630DEEA2">
            <w:pPr>
              <w:pStyle w:val="26"/>
              <w:jc w:val="center"/>
              <w:rPr>
                <w:rFonts w:eastAsia="宋体"/>
                <w:sz w:val="21"/>
                <w:szCs w:val="21"/>
              </w:rPr>
            </w:pPr>
            <w:r>
              <w:rPr>
                <w:rFonts w:eastAsia="宋体"/>
                <w:spacing w:val="3"/>
                <w:sz w:val="21"/>
                <w:szCs w:val="21"/>
              </w:rPr>
              <w:t>1000≤V＜10000</w:t>
            </w:r>
          </w:p>
        </w:tc>
        <w:tc>
          <w:tcPr>
            <w:tcW w:w="3127" w:type="dxa"/>
            <w:vAlign w:val="bottom"/>
          </w:tcPr>
          <w:p w14:paraId="56D346D4">
            <w:pPr>
              <w:pStyle w:val="26"/>
              <w:jc w:val="center"/>
              <w:rPr>
                <w:rFonts w:eastAsia="宋体"/>
                <w:sz w:val="21"/>
                <w:szCs w:val="21"/>
              </w:rPr>
            </w:pPr>
            <w:r>
              <w:rPr>
                <w:rFonts w:eastAsia="宋体"/>
                <w:spacing w:val="4"/>
                <w:sz w:val="21"/>
                <w:szCs w:val="21"/>
              </w:rPr>
              <w:t>60≤H＜100</w:t>
            </w:r>
          </w:p>
        </w:tc>
      </w:tr>
      <w:tr w14:paraId="712B42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42FADA13">
            <w:pPr>
              <w:jc w:val="center"/>
              <w:rPr>
                <w:rFonts w:ascii="Times New Roman" w:hAnsi="Times New Roman" w:eastAsia="宋体" w:cs="Times New Roman"/>
              </w:rPr>
            </w:pPr>
            <w:r>
              <w:rPr>
                <w:rFonts w:ascii="Times New Roman" w:hAnsi="Times New Roman" w:eastAsia="宋体" w:cs="Times New Roman"/>
              </w:rPr>
              <w:t>四</w:t>
            </w:r>
          </w:p>
        </w:tc>
        <w:tc>
          <w:tcPr>
            <w:tcW w:w="3542" w:type="dxa"/>
            <w:vAlign w:val="bottom"/>
          </w:tcPr>
          <w:p w14:paraId="4C652315">
            <w:pPr>
              <w:pStyle w:val="26"/>
              <w:jc w:val="center"/>
              <w:rPr>
                <w:rFonts w:eastAsia="宋体"/>
                <w:sz w:val="21"/>
                <w:szCs w:val="21"/>
              </w:rPr>
            </w:pPr>
            <w:r>
              <w:rPr>
                <w:rFonts w:eastAsia="宋体"/>
                <w:spacing w:val="3"/>
                <w:sz w:val="21"/>
                <w:szCs w:val="21"/>
              </w:rPr>
              <w:t>100≤V＜1000</w:t>
            </w:r>
          </w:p>
        </w:tc>
        <w:tc>
          <w:tcPr>
            <w:tcW w:w="3127" w:type="dxa"/>
            <w:vAlign w:val="bottom"/>
          </w:tcPr>
          <w:p w14:paraId="69FAD388">
            <w:pPr>
              <w:pStyle w:val="26"/>
              <w:jc w:val="center"/>
              <w:rPr>
                <w:rFonts w:eastAsia="宋体"/>
                <w:sz w:val="21"/>
                <w:szCs w:val="21"/>
              </w:rPr>
            </w:pPr>
            <w:r>
              <w:rPr>
                <w:rFonts w:eastAsia="宋体"/>
                <w:spacing w:val="4"/>
                <w:sz w:val="21"/>
                <w:szCs w:val="21"/>
              </w:rPr>
              <w:t>30≤H＜60</w:t>
            </w:r>
          </w:p>
        </w:tc>
      </w:tr>
      <w:tr w14:paraId="0F1B00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56DBA814">
            <w:pPr>
              <w:jc w:val="center"/>
              <w:rPr>
                <w:rFonts w:ascii="Times New Roman" w:hAnsi="Times New Roman" w:eastAsia="宋体" w:cs="Times New Roman"/>
              </w:rPr>
            </w:pPr>
            <w:r>
              <w:rPr>
                <w:rFonts w:ascii="Times New Roman" w:hAnsi="Times New Roman" w:eastAsia="宋体" w:cs="Times New Roman"/>
              </w:rPr>
              <w:t>五</w:t>
            </w:r>
          </w:p>
        </w:tc>
        <w:tc>
          <w:tcPr>
            <w:tcW w:w="3542" w:type="dxa"/>
            <w:vAlign w:val="bottom"/>
          </w:tcPr>
          <w:p w14:paraId="23594D72">
            <w:pPr>
              <w:pStyle w:val="26"/>
              <w:jc w:val="center"/>
              <w:rPr>
                <w:rFonts w:eastAsia="宋体"/>
                <w:sz w:val="21"/>
                <w:szCs w:val="21"/>
              </w:rPr>
            </w:pPr>
            <w:r>
              <w:rPr>
                <w:rFonts w:eastAsia="宋体"/>
                <w:spacing w:val="5"/>
                <w:sz w:val="21"/>
                <w:szCs w:val="21"/>
              </w:rPr>
              <w:t>V＜100</w:t>
            </w:r>
          </w:p>
        </w:tc>
        <w:tc>
          <w:tcPr>
            <w:tcW w:w="3127" w:type="dxa"/>
            <w:vAlign w:val="bottom"/>
          </w:tcPr>
          <w:p w14:paraId="2CC58322">
            <w:pPr>
              <w:pStyle w:val="26"/>
              <w:jc w:val="center"/>
              <w:rPr>
                <w:rFonts w:eastAsia="宋体"/>
                <w:sz w:val="21"/>
                <w:szCs w:val="21"/>
              </w:rPr>
            </w:pPr>
            <w:r>
              <w:rPr>
                <w:rFonts w:eastAsia="宋体"/>
                <w:spacing w:val="6"/>
                <w:sz w:val="21"/>
                <w:szCs w:val="21"/>
              </w:rPr>
              <w:t>H＜30</w:t>
            </w:r>
          </w:p>
        </w:tc>
      </w:tr>
    </w:tbl>
    <w:p w14:paraId="0F86651D">
      <w:pPr>
        <w:spacing w:line="360" w:lineRule="auto"/>
        <w:outlineLvl w:val="2"/>
        <w:rPr>
          <w:rFonts w:hint="eastAsia" w:ascii="宋体" w:hAnsi="宋体" w:eastAsia="宋体" w:cs="宋体"/>
          <w:b/>
          <w:bCs/>
          <w:spacing w:val="-3"/>
          <w:sz w:val="28"/>
          <w:szCs w:val="28"/>
        </w:rPr>
      </w:pPr>
      <w:bookmarkStart w:id="111" w:name="_Toc21708"/>
      <w:bookmarkStart w:id="112" w:name="_Toc27621"/>
      <w:bookmarkStart w:id="113" w:name="_Toc8306"/>
      <w:r>
        <w:rPr>
          <w:rFonts w:ascii="Times New Roman" w:hAnsi="Times New Roman" w:eastAsia="Times New Roman" w:cs="Times New Roman"/>
          <w:b/>
          <w:bCs/>
          <w:spacing w:val="-3"/>
          <w:sz w:val="28"/>
          <w:szCs w:val="28"/>
        </w:rPr>
        <w:t xml:space="preserve">2.5.3 </w:t>
      </w:r>
      <w:r>
        <w:rPr>
          <w:rFonts w:ascii="宋体" w:hAnsi="宋体" w:eastAsia="宋体" w:cs="宋体"/>
          <w:b/>
          <w:bCs/>
          <w:spacing w:val="-3"/>
          <w:sz w:val="28"/>
          <w:szCs w:val="28"/>
        </w:rPr>
        <w:t>尾矿坝</w:t>
      </w:r>
      <w:bookmarkEnd w:id="111"/>
      <w:bookmarkEnd w:id="112"/>
      <w:bookmarkEnd w:id="113"/>
    </w:p>
    <w:p w14:paraId="23F42E7F">
      <w:pPr>
        <w:spacing w:line="360" w:lineRule="auto"/>
        <w:ind w:firstLine="556"/>
        <w:rPr>
          <w:rFonts w:hint="eastAsia" w:ascii="宋体" w:hAnsi="宋体" w:eastAsia="宋体" w:cs="宋体"/>
          <w:spacing w:val="-5"/>
          <w:sz w:val="28"/>
          <w:szCs w:val="28"/>
          <w:lang w:eastAsia="zh-CN"/>
        </w:rPr>
      </w:pPr>
      <w:r>
        <w:rPr>
          <w:rFonts w:ascii="宋体" w:hAnsi="宋体" w:eastAsia="宋体" w:cs="宋体"/>
          <w:spacing w:val="-1"/>
          <w:sz w:val="28"/>
          <w:szCs w:val="28"/>
          <w:lang w:eastAsia="zh-CN"/>
        </w:rPr>
        <w:t>依据企业提供的</w:t>
      </w:r>
      <w:r>
        <w:rPr>
          <w:rFonts w:hint="eastAsia" w:ascii="宋体" w:hAnsi="宋体" w:eastAsia="宋体" w:cs="宋体"/>
          <w:spacing w:val="-1"/>
          <w:sz w:val="28"/>
          <w:szCs w:val="28"/>
          <w:lang w:val="en-US" w:eastAsia="zh-CN"/>
        </w:rPr>
        <w:t>现场</w:t>
      </w:r>
      <w:r>
        <w:rPr>
          <w:rFonts w:ascii="宋体" w:hAnsi="宋体" w:eastAsia="宋体" w:cs="宋体"/>
          <w:spacing w:val="-1"/>
          <w:sz w:val="28"/>
          <w:szCs w:val="28"/>
          <w:lang w:eastAsia="zh-CN"/>
        </w:rPr>
        <w:t>实测图纸及评价人员现场勘察，</w:t>
      </w:r>
      <w:r>
        <w:rPr>
          <w:rFonts w:hint="eastAsia" w:ascii="宋体" w:hAnsi="宋体" w:eastAsia="宋体" w:cs="宋体"/>
          <w:spacing w:val="-1"/>
          <w:sz w:val="28"/>
          <w:szCs w:val="28"/>
          <w:lang w:eastAsia="zh-CN"/>
        </w:rPr>
        <w:t>该</w:t>
      </w:r>
      <w:r>
        <w:rPr>
          <w:rFonts w:ascii="宋体" w:hAnsi="宋体" w:eastAsia="宋体" w:cs="宋体"/>
          <w:spacing w:val="-1"/>
          <w:sz w:val="28"/>
          <w:szCs w:val="28"/>
          <w:lang w:eastAsia="zh-CN"/>
        </w:rPr>
        <w:t>尾矿库具体情况</w:t>
      </w:r>
      <w:r>
        <w:rPr>
          <w:rFonts w:ascii="宋体" w:hAnsi="宋体" w:eastAsia="宋体" w:cs="宋体"/>
          <w:spacing w:val="-5"/>
          <w:sz w:val="28"/>
          <w:szCs w:val="28"/>
          <w:lang w:eastAsia="zh-CN"/>
        </w:rPr>
        <w:t>如下：</w:t>
      </w:r>
    </w:p>
    <w:p w14:paraId="4709DEE2">
      <w:pPr>
        <w:pStyle w:val="20"/>
        <w:spacing w:after="0" w:line="360" w:lineRule="auto"/>
        <w:ind w:left="0" w:leftChars="0" w:firstLine="0" w:firstLineChars="0"/>
        <w:outlineLvl w:val="3"/>
        <w:rPr>
          <w:rFonts w:hint="eastAsia" w:eastAsia="宋体"/>
          <w:lang w:eastAsia="zh-CN"/>
        </w:rPr>
      </w:pPr>
      <w:r>
        <w:rPr>
          <w:spacing w:val="-5"/>
          <w:sz w:val="28"/>
          <w:szCs w:val="28"/>
        </w:rPr>
        <w:t>2.5.3.1</w:t>
      </w:r>
      <w:r>
        <w:rPr>
          <w:rFonts w:hint="eastAsia"/>
          <w:spacing w:val="-5"/>
          <w:sz w:val="28"/>
          <w:szCs w:val="28"/>
          <w:lang w:val="en-US" w:eastAsia="zh-CN"/>
        </w:rPr>
        <w:t>初期坝</w:t>
      </w:r>
    </w:p>
    <w:p w14:paraId="0411DBFA">
      <w:pPr>
        <w:spacing w:line="360" w:lineRule="auto"/>
        <w:outlineLvl w:val="3"/>
        <w:rPr>
          <w:rFonts w:hint="eastAsia" w:ascii="Times New Roman" w:hAnsi="Times New Roman" w:cs="Times New Roman"/>
          <w:color w:val="000000"/>
          <w:sz w:val="28"/>
          <w:szCs w:val="28"/>
          <w:lang w:val="en-US" w:eastAsia="zh-CN"/>
        </w:rPr>
      </w:pPr>
      <w:r>
        <w:rPr>
          <w:rFonts w:hint="eastAsia" w:ascii="Times New Roman" w:hAnsi="Times New Roman" w:cs="Times New Roman"/>
          <w:color w:val="000000"/>
          <w:sz w:val="28"/>
          <w:szCs w:val="28"/>
          <w:lang w:val="en-US" w:eastAsia="zh-CN"/>
        </w:rPr>
        <w:t>Xxx</w:t>
      </w:r>
    </w:p>
    <w:p w14:paraId="36CEDD32">
      <w:pPr>
        <w:spacing w:line="360" w:lineRule="auto"/>
        <w:outlineLvl w:val="3"/>
        <w:rPr>
          <w:rFonts w:hint="default" w:ascii="Times New Roman" w:hAnsi="Times New Roman" w:eastAsia="宋体" w:cs="Times New Roman"/>
          <w:b w:val="0"/>
          <w:bCs w:val="0"/>
          <w:color w:val="auto"/>
          <w:spacing w:val="-3"/>
          <w:sz w:val="28"/>
          <w:szCs w:val="28"/>
          <w:lang w:val="en-US" w:eastAsia="zh-CN"/>
        </w:rPr>
      </w:pPr>
      <w:r>
        <w:rPr>
          <w:rFonts w:hint="eastAsia" w:ascii="Times New Roman" w:hAnsi="Times New Roman" w:eastAsia="宋体" w:cs="Times New Roman"/>
          <w:b w:val="0"/>
          <w:bCs w:val="0"/>
          <w:color w:val="auto"/>
          <w:spacing w:val="-3"/>
          <w:sz w:val="28"/>
          <w:szCs w:val="28"/>
          <w:lang w:val="en-US" w:eastAsia="zh-CN"/>
        </w:rPr>
        <w:t>2.5.3.2</w:t>
      </w:r>
      <w:r>
        <w:rPr>
          <w:rFonts w:hint="default" w:ascii="Times New Roman" w:hAnsi="Times New Roman" w:eastAsia="宋体" w:cs="Times New Roman"/>
          <w:b w:val="0"/>
          <w:bCs w:val="0"/>
          <w:color w:val="auto"/>
          <w:spacing w:val="-3"/>
          <w:sz w:val="28"/>
          <w:szCs w:val="28"/>
          <w:lang w:val="en-US" w:eastAsia="zh-CN"/>
        </w:rPr>
        <w:t>堆积坝</w:t>
      </w:r>
    </w:p>
    <w:p w14:paraId="2A28D36E">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Times New Roman" w:hAnsi="Times New Roman" w:cs="Times New Roman"/>
          <w:color w:val="000000"/>
          <w:sz w:val="28"/>
          <w:szCs w:val="28"/>
          <w:lang w:val="en-US" w:eastAsia="zh-CN"/>
        </w:rPr>
      </w:pPr>
      <w:r>
        <w:rPr>
          <w:rFonts w:hint="eastAsia" w:ascii="Times New Roman" w:hAnsi="Times New Roman" w:cs="Times New Roman"/>
          <w:color w:val="000000"/>
          <w:sz w:val="28"/>
          <w:szCs w:val="28"/>
          <w:lang w:val="en-US" w:eastAsia="zh-CN"/>
        </w:rPr>
        <w:t>Xxx</w:t>
      </w:r>
    </w:p>
    <w:p w14:paraId="376EF531">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both"/>
        <w:textAlignment w:val="auto"/>
        <w:rPr>
          <w:rFonts w:hint="eastAsia" w:ascii="Times New Roman" w:hAnsi="Times New Roman" w:cs="Times New Roman"/>
          <w:color w:val="000000"/>
          <w:sz w:val="28"/>
          <w:szCs w:val="28"/>
          <w:lang w:val="en-US" w:eastAsia="zh-CN"/>
        </w:rPr>
      </w:pPr>
      <w:r>
        <w:rPr>
          <w:rFonts w:hint="eastAsia" w:ascii="Times New Roman" w:hAnsi="Times New Roman" w:cs="Times New Roman"/>
          <w:color w:val="000000"/>
          <w:sz w:val="28"/>
          <w:szCs w:val="28"/>
          <w:lang w:val="en-US" w:eastAsia="zh-CN"/>
        </w:rPr>
        <w:t>根据相关报告及现场踏勘，该尾矿坝符合《加高扩容安全设施设计》要求，现状尾矿坝具备安全生产条件。</w:t>
      </w:r>
    </w:p>
    <w:p w14:paraId="36C13BEF">
      <w:pPr>
        <w:pStyle w:val="20"/>
        <w:spacing w:after="0"/>
        <w:ind w:left="0" w:leftChars="0" w:firstLine="0" w:firstLineChars="0"/>
        <w:rPr>
          <w:rFonts w:hint="eastAsia" w:eastAsia="宋体"/>
          <w:lang w:eastAsia="zh-CN"/>
        </w:rPr>
      </w:pPr>
    </w:p>
    <w:p w14:paraId="2E24FF37">
      <w:pPr>
        <w:jc w:val="center"/>
        <w:rPr>
          <w:rFonts w:hint="default" w:ascii="Times New Roman" w:hAnsi="Times New Roman" w:eastAsia="宋体" w:cs="Times New Roman"/>
          <w:lang w:val="en-US" w:eastAsia="zh-CN"/>
        </w:rPr>
      </w:pPr>
      <w:r>
        <w:rPr>
          <w:rFonts w:ascii="Times New Roman" w:hAnsi="Times New Roman" w:eastAsia="宋体" w:cs="Times New Roman"/>
          <w:lang w:eastAsia="zh-CN"/>
        </w:rPr>
        <w:t xml:space="preserve">图2.5-2 </w:t>
      </w:r>
      <w:r>
        <w:rPr>
          <w:rFonts w:hint="eastAsia" w:ascii="Times New Roman" w:hAnsi="Times New Roman" w:eastAsia="宋体" w:cs="Times New Roman"/>
          <w:lang w:val="en-US" w:eastAsia="zh-CN"/>
        </w:rPr>
        <w:t>堆积坝</w:t>
      </w:r>
      <w:r>
        <w:rPr>
          <w:rFonts w:ascii="Times New Roman" w:hAnsi="Times New Roman" w:eastAsia="宋体" w:cs="Times New Roman"/>
          <w:lang w:eastAsia="zh-CN"/>
        </w:rPr>
        <w:t>坝顶</w:t>
      </w:r>
      <w:r>
        <w:rPr>
          <w:rFonts w:hint="eastAsia" w:ascii="Times New Roman" w:hAnsi="Times New Roman" w:eastAsia="宋体" w:cs="Times New Roman"/>
          <w:lang w:val="en-US" w:eastAsia="zh-CN"/>
        </w:rPr>
        <w:t>平台</w:t>
      </w:r>
    </w:p>
    <w:p w14:paraId="0FC2A466">
      <w:pPr>
        <w:pStyle w:val="20"/>
        <w:spacing w:after="0"/>
        <w:ind w:left="0" w:leftChars="0" w:firstLine="0" w:firstLineChars="0"/>
        <w:jc w:val="center"/>
        <w:rPr>
          <w:rFonts w:hint="eastAsia" w:eastAsia="宋体"/>
          <w:lang w:eastAsia="zh-CN"/>
        </w:rPr>
      </w:pPr>
    </w:p>
    <w:p w14:paraId="6434877E">
      <w:pPr>
        <w:jc w:val="center"/>
        <w:rPr>
          <w:rFonts w:hint="default" w:ascii="Times New Roman" w:hAnsi="Times New Roman" w:eastAsia="宋体" w:cs="Times New Roman"/>
          <w:lang w:val="en-US" w:eastAsia="zh-CN"/>
        </w:rPr>
      </w:pPr>
      <w:r>
        <w:rPr>
          <w:rFonts w:ascii="Times New Roman" w:hAnsi="Times New Roman" w:eastAsia="宋体" w:cs="Times New Roman"/>
          <w:lang w:eastAsia="zh-CN"/>
        </w:rPr>
        <w:t>图2.5-</w:t>
      </w:r>
      <w:r>
        <w:rPr>
          <w:rFonts w:hint="eastAsia" w:ascii="Times New Roman" w:hAnsi="Times New Roman" w:eastAsia="宋体" w:cs="Times New Roman"/>
          <w:lang w:val="en-US" w:eastAsia="zh-CN"/>
        </w:rPr>
        <w:t>3</w:t>
      </w:r>
      <w:r>
        <w:rPr>
          <w:rFonts w:ascii="Times New Roman" w:hAnsi="Times New Roman" w:eastAsia="宋体" w:cs="Times New Roman"/>
          <w:lang w:eastAsia="zh-CN"/>
        </w:rPr>
        <w:t xml:space="preserve"> </w:t>
      </w:r>
      <w:r>
        <w:rPr>
          <w:rFonts w:hint="eastAsia" w:ascii="Times New Roman" w:hAnsi="Times New Roman" w:eastAsia="宋体" w:cs="Times New Roman"/>
          <w:lang w:val="en-US" w:eastAsia="zh-CN"/>
        </w:rPr>
        <w:t>子坝平台</w:t>
      </w:r>
    </w:p>
    <w:p w14:paraId="5DA631F2">
      <w:pPr>
        <w:pStyle w:val="20"/>
        <w:spacing w:after="0"/>
        <w:ind w:left="0" w:leftChars="0" w:firstLine="0" w:firstLineChars="0"/>
        <w:jc w:val="center"/>
        <w:rPr>
          <w:rFonts w:hint="eastAsia" w:eastAsia="宋体"/>
          <w:lang w:eastAsia="zh-CN"/>
        </w:rPr>
      </w:pPr>
    </w:p>
    <w:p w14:paraId="6141661D">
      <w:pPr>
        <w:jc w:val="center"/>
        <w:rPr>
          <w:rFonts w:hint="default" w:ascii="Times New Roman" w:hAnsi="Times New Roman" w:eastAsia="宋体" w:cs="Times New Roman"/>
          <w:lang w:val="en-US" w:eastAsia="zh-CN"/>
        </w:rPr>
      </w:pPr>
      <w:r>
        <w:rPr>
          <w:rFonts w:ascii="Times New Roman" w:hAnsi="Times New Roman" w:eastAsia="宋体" w:cs="Times New Roman"/>
          <w:lang w:eastAsia="zh-CN"/>
        </w:rPr>
        <w:t>图2.5-</w:t>
      </w:r>
      <w:r>
        <w:rPr>
          <w:rFonts w:hint="eastAsia" w:ascii="Times New Roman" w:hAnsi="Times New Roman" w:eastAsia="宋体" w:cs="Times New Roman"/>
          <w:lang w:val="en-US" w:eastAsia="zh-CN"/>
        </w:rPr>
        <w:t>4 护坡</w:t>
      </w:r>
    </w:p>
    <w:p w14:paraId="63B33610">
      <w:pPr>
        <w:pStyle w:val="10"/>
        <w:spacing w:line="240" w:lineRule="auto"/>
        <w:ind w:left="0" w:leftChars="0" w:firstLine="0" w:firstLineChars="0"/>
        <w:rPr>
          <w:rFonts w:hint="eastAsia" w:eastAsia="宋体"/>
          <w:lang w:eastAsia="zh-CN"/>
        </w:rPr>
      </w:pPr>
    </w:p>
    <w:p w14:paraId="509ED11C">
      <w:pPr>
        <w:jc w:val="center"/>
        <w:rPr>
          <w:rFonts w:hint="default" w:ascii="Times New Roman" w:hAnsi="Times New Roman" w:eastAsia="宋体" w:cs="Times New Roman"/>
          <w:lang w:val="en-US" w:eastAsia="zh-CN"/>
        </w:rPr>
      </w:pPr>
      <w:r>
        <w:rPr>
          <w:rFonts w:ascii="Times New Roman" w:hAnsi="Times New Roman" w:eastAsia="宋体" w:cs="Times New Roman"/>
          <w:lang w:eastAsia="zh-CN"/>
        </w:rPr>
        <w:t>图2.5-</w:t>
      </w:r>
      <w:r>
        <w:rPr>
          <w:rFonts w:hint="eastAsia" w:ascii="Times New Roman" w:hAnsi="Times New Roman" w:eastAsia="宋体" w:cs="Times New Roman"/>
          <w:lang w:val="en-US" w:eastAsia="zh-CN"/>
        </w:rPr>
        <w:t>5 横、纵排水沟</w:t>
      </w:r>
    </w:p>
    <w:p w14:paraId="4D256329">
      <w:pPr>
        <w:jc w:val="center"/>
        <w:rPr>
          <w:rFonts w:eastAsia="宋体"/>
          <w:color w:val="auto"/>
          <w:lang w:eastAsia="zh-CN"/>
        </w:rPr>
      </w:pPr>
      <w:bookmarkStart w:id="114" w:name="_Toc25265"/>
      <w:bookmarkStart w:id="115" w:name="_Toc29648"/>
      <w:bookmarkStart w:id="116" w:name="_Toc21541"/>
    </w:p>
    <w:p w14:paraId="55E749B5">
      <w:pPr>
        <w:pStyle w:val="20"/>
        <w:spacing w:after="0"/>
        <w:ind w:left="0" w:leftChars="0" w:firstLine="0" w:firstLineChars="0"/>
        <w:jc w:val="center"/>
        <w:rPr>
          <w:rFonts w:hint="eastAsia"/>
          <w:color w:val="auto"/>
          <w:lang w:val="en-US" w:eastAsia="zh-CN"/>
        </w:rPr>
      </w:pPr>
      <w:r>
        <w:rPr>
          <w:rFonts w:hint="eastAsia"/>
          <w:color w:val="auto"/>
        </w:rPr>
        <w:t>图2.5-</w:t>
      </w:r>
      <w:r>
        <w:rPr>
          <w:rFonts w:hint="eastAsia"/>
          <w:color w:val="auto"/>
          <w:lang w:val="en-US" w:eastAsia="zh-CN"/>
        </w:rPr>
        <w:t>6</w:t>
      </w:r>
      <w:r>
        <w:rPr>
          <w:rFonts w:hint="eastAsia"/>
          <w:color w:val="auto"/>
        </w:rPr>
        <w:t xml:space="preserve"> </w:t>
      </w:r>
      <w:r>
        <w:rPr>
          <w:rFonts w:hint="eastAsia"/>
          <w:color w:val="auto"/>
          <w:lang w:val="en-US" w:eastAsia="zh-CN"/>
        </w:rPr>
        <w:t>现状干滩</w:t>
      </w:r>
    </w:p>
    <w:p w14:paraId="4D599193">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 xml:space="preserve">2.5.4 </w:t>
      </w:r>
      <w:r>
        <w:rPr>
          <w:rFonts w:ascii="宋体" w:hAnsi="宋体" w:eastAsia="宋体" w:cs="宋体"/>
          <w:b/>
          <w:bCs/>
          <w:color w:val="auto"/>
          <w:spacing w:val="-3"/>
          <w:sz w:val="28"/>
          <w:szCs w:val="28"/>
          <w:lang w:eastAsia="zh-CN"/>
        </w:rPr>
        <w:t>排洪系统</w:t>
      </w:r>
      <w:bookmarkEnd w:id="114"/>
      <w:bookmarkEnd w:id="115"/>
      <w:bookmarkEnd w:id="116"/>
    </w:p>
    <w:p w14:paraId="29BD80A0">
      <w:pPr>
        <w:spacing w:line="360" w:lineRule="auto"/>
        <w:outlineLvl w:val="3"/>
        <w:rPr>
          <w:rFonts w:hint="default" w:ascii="Times New Roman" w:hAnsi="Times New Roman" w:eastAsia="宋体" w:cs="Times New Roman"/>
          <w:color w:val="auto"/>
          <w:spacing w:val="3"/>
          <w:sz w:val="28"/>
          <w:szCs w:val="28"/>
          <w:lang w:val="en-US" w:eastAsia="zh-CN"/>
        </w:rPr>
      </w:pPr>
      <w:r>
        <w:rPr>
          <w:rFonts w:hint="eastAsia" w:ascii="Times New Roman" w:hAnsi="Times New Roman" w:eastAsia="宋体" w:cs="Times New Roman"/>
          <w:color w:val="auto"/>
          <w:spacing w:val="3"/>
          <w:sz w:val="28"/>
          <w:szCs w:val="28"/>
          <w:lang w:val="en-US" w:eastAsia="zh-CN"/>
        </w:rPr>
        <w:t>2.5.4.1库内排洪设施</w:t>
      </w:r>
    </w:p>
    <w:p w14:paraId="0E96C6A8">
      <w:pPr>
        <w:adjustRightInd w:val="0"/>
        <w:snapToGrid w:val="0"/>
        <w:spacing w:line="360" w:lineRule="auto"/>
        <w:outlineLvl w:val="3"/>
        <w:rPr>
          <w:rFonts w:hint="eastAsia" w:ascii="Times New Roman" w:hAnsi="Times New Roman" w:eastAsia="宋体" w:cs="Times New Roman"/>
          <w:b w:val="0"/>
          <w:bCs w:val="0"/>
          <w:color w:val="auto"/>
          <w:spacing w:val="3"/>
          <w:sz w:val="28"/>
          <w:szCs w:val="28"/>
          <w:lang w:val="en-US" w:eastAsia="zh-CN"/>
        </w:rPr>
      </w:pPr>
      <w:r>
        <w:rPr>
          <w:rFonts w:hint="eastAsia" w:ascii="Times New Roman" w:hAnsi="Times New Roman" w:eastAsia="宋体" w:cs="Times New Roman"/>
          <w:b w:val="0"/>
          <w:bCs w:val="0"/>
          <w:color w:val="auto"/>
          <w:spacing w:val="3"/>
          <w:sz w:val="28"/>
          <w:szCs w:val="28"/>
          <w:lang w:val="en-US" w:eastAsia="zh-CN"/>
        </w:rPr>
        <w:t>Xxx</w:t>
      </w:r>
    </w:p>
    <w:p w14:paraId="6D5A5DAA">
      <w:pPr>
        <w:adjustRightInd w:val="0"/>
        <w:snapToGrid w:val="0"/>
        <w:spacing w:line="360" w:lineRule="auto"/>
        <w:outlineLvl w:val="3"/>
        <w:rPr>
          <w:rFonts w:hint="default" w:ascii="Times New Roman" w:hAnsi="Times New Roman" w:cs="Times New Roman"/>
          <w:color w:val="auto"/>
          <w:sz w:val="28"/>
          <w:szCs w:val="28"/>
          <w:lang w:val="en-US" w:eastAsia="zh-CN"/>
        </w:rPr>
      </w:pPr>
      <w:r>
        <w:rPr>
          <w:rFonts w:hint="eastAsia" w:ascii="Times New Roman" w:hAnsi="Times New Roman" w:cs="Times New Roman"/>
          <w:color w:val="auto"/>
          <w:sz w:val="28"/>
          <w:szCs w:val="28"/>
          <w:lang w:val="en-US" w:eastAsia="zh-CN"/>
        </w:rPr>
        <w:t>2.5.4.2辅助排洪设施</w:t>
      </w:r>
    </w:p>
    <w:p w14:paraId="467C1FF2">
      <w:pPr>
        <w:spacing w:line="360" w:lineRule="auto"/>
        <w:ind w:firstLine="559"/>
        <w:jc w:val="both"/>
        <w:rPr>
          <w:rFonts w:hint="eastAsia"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val="en-US" w:eastAsia="zh-CN"/>
        </w:rPr>
        <w:t>Xxx</w:t>
      </w:r>
    </w:p>
    <w:p w14:paraId="1B81DF07">
      <w:pPr>
        <w:spacing w:line="360" w:lineRule="auto"/>
        <w:ind w:firstLine="559"/>
        <w:jc w:val="both"/>
        <w:rPr>
          <w:rFonts w:hint="eastAsia" w:ascii="宋体" w:hAnsi="宋体" w:eastAsia="宋体" w:cs="宋体"/>
          <w:color w:val="auto"/>
          <w:spacing w:val="-5"/>
          <w:sz w:val="28"/>
          <w:szCs w:val="28"/>
          <w:lang w:eastAsia="zh-CN"/>
        </w:rPr>
      </w:pPr>
      <w:r>
        <w:rPr>
          <w:rFonts w:ascii="宋体" w:hAnsi="宋体" w:eastAsia="宋体" w:cs="宋体"/>
          <w:color w:val="auto"/>
          <w:spacing w:val="3"/>
          <w:sz w:val="28"/>
          <w:szCs w:val="28"/>
          <w:lang w:eastAsia="zh-CN"/>
        </w:rPr>
        <w:t>根据《</w:t>
      </w:r>
      <w:r>
        <w:rPr>
          <w:rFonts w:hint="eastAsia" w:ascii="Times New Roman" w:hAnsi="Times New Roman" w:eastAsia="宋体" w:cs="Times New Roman"/>
          <w:color w:val="auto"/>
          <w:sz w:val="28"/>
          <w:szCs w:val="28"/>
          <w:lang w:eastAsia="zh-CN"/>
        </w:rPr>
        <w:t>尾矿库排洪构筑物质量检测</w:t>
      </w:r>
      <w:r>
        <w:rPr>
          <w:rFonts w:ascii="宋体" w:hAnsi="宋体" w:eastAsia="宋体" w:cs="宋体"/>
          <w:color w:val="auto"/>
          <w:spacing w:val="3"/>
          <w:sz w:val="28"/>
          <w:szCs w:val="28"/>
          <w:lang w:eastAsia="zh-CN"/>
        </w:rPr>
        <w:t>》</w:t>
      </w:r>
      <w:r>
        <w:rPr>
          <w:rFonts w:hint="eastAsia" w:ascii="宋体" w:hAnsi="宋体" w:eastAsia="宋体" w:cs="宋体"/>
          <w:color w:val="auto"/>
          <w:spacing w:val="3"/>
          <w:sz w:val="28"/>
          <w:szCs w:val="28"/>
          <w:lang w:eastAsia="zh-CN"/>
        </w:rPr>
        <w:t>及</w:t>
      </w:r>
      <w:r>
        <w:rPr>
          <w:rFonts w:ascii="宋体" w:hAnsi="宋体" w:eastAsia="宋体" w:cs="宋体"/>
          <w:color w:val="auto"/>
          <w:spacing w:val="3"/>
          <w:sz w:val="28"/>
          <w:szCs w:val="28"/>
          <w:lang w:eastAsia="zh-CN"/>
        </w:rPr>
        <w:t>现场踏勘，</w:t>
      </w:r>
      <w:r>
        <w:rPr>
          <w:rFonts w:hint="eastAsia" w:ascii="宋体" w:hAnsi="宋体" w:eastAsia="宋体" w:cs="宋体"/>
          <w:color w:val="auto"/>
          <w:spacing w:val="3"/>
          <w:sz w:val="28"/>
          <w:szCs w:val="28"/>
          <w:lang w:eastAsia="zh-CN"/>
        </w:rPr>
        <w:t>现状排洪系统</w:t>
      </w:r>
      <w:r>
        <w:rPr>
          <w:rFonts w:ascii="宋体" w:hAnsi="宋体" w:eastAsia="宋体" w:cs="宋体"/>
          <w:color w:val="auto"/>
          <w:spacing w:val="3"/>
          <w:sz w:val="28"/>
          <w:szCs w:val="28"/>
          <w:lang w:eastAsia="zh-CN"/>
        </w:rPr>
        <w:t>符合</w:t>
      </w: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lang w:val="en-US" w:eastAsia="zh-CN"/>
        </w:rPr>
        <w:t>加高扩容</w:t>
      </w:r>
      <w:r>
        <w:rPr>
          <w:rFonts w:hint="eastAsia" w:ascii="宋体" w:hAnsi="宋体" w:eastAsia="宋体" w:cs="宋体"/>
          <w:color w:val="auto"/>
          <w:spacing w:val="3"/>
          <w:sz w:val="28"/>
          <w:szCs w:val="28"/>
          <w:lang w:eastAsia="zh-CN"/>
        </w:rPr>
        <w:t>安全设施设计》</w:t>
      </w:r>
      <w:r>
        <w:rPr>
          <w:rFonts w:ascii="宋体" w:hAnsi="宋体" w:eastAsia="宋体" w:cs="宋体"/>
          <w:color w:val="auto"/>
          <w:spacing w:val="3"/>
          <w:sz w:val="28"/>
          <w:szCs w:val="28"/>
          <w:lang w:eastAsia="zh-CN"/>
        </w:rPr>
        <w:t>要求，</w:t>
      </w:r>
      <w:r>
        <w:rPr>
          <w:rFonts w:hint="eastAsia" w:ascii="宋体" w:hAnsi="宋体" w:eastAsia="宋体" w:cs="宋体"/>
          <w:color w:val="auto"/>
          <w:spacing w:val="3"/>
          <w:sz w:val="28"/>
          <w:szCs w:val="28"/>
          <w:lang w:val="en-US" w:eastAsia="zh-CN"/>
        </w:rPr>
        <w:t>具备安全生产条件</w:t>
      </w:r>
      <w:r>
        <w:rPr>
          <w:rFonts w:ascii="宋体" w:hAnsi="宋体" w:eastAsia="宋体" w:cs="宋体"/>
          <w:color w:val="auto"/>
          <w:spacing w:val="-5"/>
          <w:sz w:val="28"/>
          <w:szCs w:val="28"/>
          <w:lang w:eastAsia="zh-CN"/>
        </w:rPr>
        <w:t>。</w:t>
      </w:r>
    </w:p>
    <w:p w14:paraId="5F62C9C4">
      <w:pPr>
        <w:pStyle w:val="20"/>
        <w:spacing w:after="0"/>
        <w:ind w:left="0" w:leftChars="0" w:firstLine="0" w:firstLineChars="0"/>
        <w:rPr>
          <w:rFonts w:hint="eastAsia" w:eastAsia="宋体"/>
          <w:lang w:eastAsia="zh-CN"/>
        </w:rPr>
      </w:pPr>
    </w:p>
    <w:p w14:paraId="6BE347C8">
      <w:pPr>
        <w:pStyle w:val="20"/>
        <w:spacing w:after="0"/>
        <w:ind w:left="0" w:leftChars="0" w:firstLine="0" w:firstLineChars="0"/>
        <w:jc w:val="center"/>
        <w:rPr>
          <w:rFonts w:hint="default" w:eastAsia="宋体"/>
          <w:lang w:val="en-US" w:eastAsia="zh-CN"/>
        </w:rPr>
      </w:pPr>
      <w:r>
        <w:rPr>
          <w:rFonts w:hint="eastAsia"/>
        </w:rPr>
        <w:t>图2.5-</w:t>
      </w:r>
      <w:r>
        <w:rPr>
          <w:rFonts w:hint="eastAsia"/>
          <w:lang w:val="en-US" w:eastAsia="zh-CN"/>
        </w:rPr>
        <w:t xml:space="preserve">7 </w:t>
      </w:r>
      <w:r>
        <w:rPr>
          <w:rFonts w:hint="eastAsia"/>
        </w:rPr>
        <w:t xml:space="preserve"> </w:t>
      </w:r>
      <w:r>
        <w:rPr>
          <w:rFonts w:hint="eastAsia"/>
          <w:lang w:val="en-US" w:eastAsia="zh-CN"/>
        </w:rPr>
        <w:t>现状4#井</w:t>
      </w:r>
    </w:p>
    <w:p w14:paraId="5C671FB1">
      <w:pPr>
        <w:pStyle w:val="4"/>
        <w:pageBreakBefore w:val="0"/>
        <w:widowControl/>
        <w:numPr>
          <w:ilvl w:val="1"/>
          <w:numId w:val="0"/>
        </w:numPr>
        <w:tabs>
          <w:tab w:val="left" w:pos="575"/>
        </w:tabs>
        <w:kinsoku w:val="0"/>
        <w:wordWrap/>
        <w:overflowPunct/>
        <w:topLinePunct w:val="0"/>
        <w:autoSpaceDE w:val="0"/>
        <w:autoSpaceDN w:val="0"/>
        <w:bidi w:val="0"/>
        <w:adjustRightInd w:val="0"/>
        <w:snapToGrid w:val="0"/>
        <w:spacing w:before="0" w:after="0" w:line="360" w:lineRule="auto"/>
        <w:ind w:leftChars="0"/>
        <w:textAlignment w:val="baseline"/>
        <w:outlineLvl w:val="2"/>
        <w:rPr>
          <w:rFonts w:hint="default" w:ascii="Times New Roman" w:hAnsi="Times New Roman" w:cs="Times New Roman"/>
          <w:color w:val="000000"/>
          <w:sz w:val="28"/>
          <w:szCs w:val="28"/>
        </w:rPr>
      </w:pPr>
      <w:bookmarkStart w:id="117" w:name="_Toc29004"/>
      <w:bookmarkStart w:id="118" w:name="_Toc14367"/>
      <w:bookmarkStart w:id="119" w:name="_Toc11499"/>
      <w:r>
        <w:rPr>
          <w:rFonts w:hint="default" w:ascii="Times New Roman" w:hAnsi="Times New Roman" w:cs="Times New Roman"/>
          <w:color w:val="000000"/>
          <w:sz w:val="28"/>
          <w:szCs w:val="28"/>
          <w:lang w:val="en-US" w:eastAsia="zh-CN"/>
        </w:rPr>
        <w:t>2.5.</w:t>
      </w:r>
      <w:r>
        <w:rPr>
          <w:rFonts w:hint="eastAsia" w:ascii="Times New Roman" w:hAnsi="Times New Roman" w:cs="Times New Roman"/>
          <w:color w:val="000000"/>
          <w:sz w:val="28"/>
          <w:szCs w:val="28"/>
          <w:lang w:val="en-US" w:eastAsia="zh-CN"/>
        </w:rPr>
        <w:t>5</w:t>
      </w:r>
      <w:r>
        <w:rPr>
          <w:rFonts w:hint="default" w:ascii="Times New Roman" w:hAnsi="Times New Roman" w:cs="Times New Roman"/>
          <w:color w:val="000000"/>
          <w:sz w:val="28"/>
          <w:szCs w:val="28"/>
        </w:rPr>
        <w:t>排渗设施</w:t>
      </w:r>
    </w:p>
    <w:p w14:paraId="457B6950">
      <w:pPr>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为降低坝体的浸润线，在现状堆积</w:t>
      </w:r>
      <w:r>
        <w:rPr>
          <w:rFonts w:hint="eastAsia" w:ascii="Times New Roman" w:hAnsi="Times New Roman" w:eastAsia="宋体" w:cs="Times New Roman"/>
          <w:color w:val="auto"/>
          <w:sz w:val="28"/>
          <w:szCs w:val="28"/>
          <w:lang w:val="en-US" w:eastAsia="zh-CN"/>
        </w:rPr>
        <w:t>坝标高267m处</w:t>
      </w:r>
      <w:r>
        <w:rPr>
          <w:rFonts w:hint="default" w:ascii="Times New Roman" w:hAnsi="Times New Roman" w:eastAsia="宋体" w:cs="Times New Roman"/>
          <w:color w:val="auto"/>
          <w:sz w:val="28"/>
          <w:szCs w:val="28"/>
          <w:lang w:val="en-US" w:eastAsia="zh-CN"/>
        </w:rPr>
        <w:t>设置排渗盲沟。排渗带平行于坝轴线布置，断面为梯形，外包400g/m</w:t>
      </w:r>
      <w:r>
        <w:rPr>
          <w:rFonts w:hint="default" w:ascii="Times New Roman" w:hAnsi="Times New Roman" w:eastAsia="宋体" w:cs="Times New Roman"/>
          <w:color w:val="auto"/>
          <w:sz w:val="28"/>
          <w:szCs w:val="28"/>
          <w:vertAlign w:val="superscript"/>
          <w:lang w:val="en-US" w:eastAsia="zh-CN"/>
        </w:rPr>
        <w:t>2</w:t>
      </w:r>
      <w:r>
        <w:rPr>
          <w:rFonts w:hint="default" w:ascii="Times New Roman" w:hAnsi="Times New Roman" w:eastAsia="宋体" w:cs="Times New Roman"/>
          <w:color w:val="auto"/>
          <w:sz w:val="28"/>
          <w:szCs w:val="28"/>
          <w:lang w:val="en-US" w:eastAsia="zh-CN"/>
        </w:rPr>
        <w:t>土工无纺布，内部设穿孔塑料渗水管，渗水管外接塑料导水管，坡向库外i=0.01，间隔50</w:t>
      </w:r>
      <w:r>
        <w:rPr>
          <w:rFonts w:hint="eastAsia" w:ascii="Times New Roman" w:hAnsi="Times New Roman" w:eastAsia="宋体" w:cs="Times New Roman"/>
          <w:color w:val="auto"/>
          <w:sz w:val="28"/>
          <w:szCs w:val="28"/>
          <w:lang w:val="en-US" w:eastAsia="zh-CN"/>
        </w:rPr>
        <w:t>m</w:t>
      </w:r>
      <w:r>
        <w:rPr>
          <w:rFonts w:hint="default" w:ascii="Times New Roman" w:hAnsi="Times New Roman" w:eastAsia="宋体" w:cs="Times New Roman"/>
          <w:color w:val="auto"/>
          <w:sz w:val="28"/>
          <w:szCs w:val="28"/>
          <w:lang w:val="en-US" w:eastAsia="zh-CN"/>
        </w:rPr>
        <w:t>铺设。导水管出口连接至坡脚排水沟后再排到坝肩截洪沟。</w:t>
      </w:r>
    </w:p>
    <w:p w14:paraId="097F9F56">
      <w:pPr>
        <w:spacing w:line="360" w:lineRule="auto"/>
        <w:ind w:firstLine="568"/>
        <w:rPr>
          <w:rFonts w:hint="default" w:ascii="宋体" w:hAnsi="宋体" w:eastAsia="宋体" w:cs="宋体"/>
          <w:color w:val="auto"/>
          <w:sz w:val="28"/>
          <w:szCs w:val="28"/>
          <w:lang w:val="en-US" w:eastAsia="zh-CN"/>
        </w:rPr>
      </w:pPr>
      <w:r>
        <w:rPr>
          <w:rFonts w:hint="eastAsia" w:ascii="Times New Roman" w:hAnsi="Times New Roman" w:eastAsia="宋体" w:cs="Times New Roman"/>
          <w:color w:val="auto"/>
          <w:sz w:val="28"/>
          <w:szCs w:val="28"/>
          <w:lang w:val="en-US" w:eastAsia="zh-CN"/>
        </w:rPr>
        <w:t>排渗设施</w:t>
      </w:r>
      <w:r>
        <w:rPr>
          <w:rFonts w:hint="eastAsia" w:ascii="宋体" w:hAnsi="宋体" w:eastAsia="宋体" w:cs="宋体"/>
          <w:color w:val="auto"/>
          <w:sz w:val="28"/>
          <w:szCs w:val="28"/>
          <w:lang w:eastAsia="zh-CN"/>
        </w:rPr>
        <w:t>按</w:t>
      </w:r>
      <w:r>
        <w:rPr>
          <w:rFonts w:ascii="宋体" w:hAnsi="宋体" w:eastAsia="宋体" w:cs="宋体"/>
          <w:color w:val="auto"/>
          <w:sz w:val="28"/>
          <w:szCs w:val="28"/>
          <w:lang w:eastAsia="zh-CN"/>
        </w:rPr>
        <w:t>照《</w:t>
      </w:r>
      <w:r>
        <w:rPr>
          <w:rFonts w:hint="eastAsia" w:ascii="宋体" w:hAnsi="宋体" w:eastAsia="宋体" w:cs="宋体"/>
          <w:color w:val="auto"/>
          <w:sz w:val="28"/>
          <w:szCs w:val="28"/>
          <w:lang w:val="en-US" w:eastAsia="zh-CN"/>
        </w:rPr>
        <w:t>加高扩容工程安全</w:t>
      </w:r>
      <w:r>
        <w:rPr>
          <w:rFonts w:ascii="宋体" w:hAnsi="宋体" w:eastAsia="宋体" w:cs="宋体"/>
          <w:color w:val="auto"/>
          <w:sz w:val="28"/>
          <w:szCs w:val="28"/>
          <w:lang w:eastAsia="zh-CN"/>
        </w:rPr>
        <w:t>设施设</w:t>
      </w:r>
      <w:r>
        <w:rPr>
          <w:rFonts w:ascii="宋体" w:hAnsi="宋体" w:eastAsia="宋体" w:cs="宋体"/>
          <w:color w:val="auto"/>
          <w:spacing w:val="-1"/>
          <w:sz w:val="28"/>
          <w:szCs w:val="28"/>
          <w:lang w:eastAsia="zh-CN"/>
        </w:rPr>
        <w:t>计》要求布置</w:t>
      </w:r>
      <w:r>
        <w:rPr>
          <w:rFonts w:hint="eastAsia" w:ascii="宋体" w:hAnsi="宋体" w:eastAsia="宋体" w:cs="宋体"/>
          <w:color w:val="auto"/>
          <w:spacing w:val="-1"/>
          <w:sz w:val="28"/>
          <w:szCs w:val="28"/>
          <w:lang w:eastAsia="zh-CN"/>
        </w:rPr>
        <w:t>，</w:t>
      </w:r>
      <w:r>
        <w:rPr>
          <w:rFonts w:hint="eastAsia" w:ascii="宋体" w:hAnsi="宋体" w:eastAsia="宋体" w:cs="宋体"/>
          <w:color w:val="auto"/>
          <w:spacing w:val="-1"/>
          <w:sz w:val="28"/>
          <w:szCs w:val="28"/>
          <w:lang w:val="en-US" w:eastAsia="zh-CN"/>
        </w:rPr>
        <w:t>具备安全生产条件</w:t>
      </w:r>
      <w:r>
        <w:rPr>
          <w:rFonts w:hint="eastAsia" w:ascii="宋体" w:hAnsi="宋体" w:eastAsia="宋体" w:cs="宋体"/>
          <w:color w:val="auto"/>
          <w:spacing w:val="-1"/>
          <w:sz w:val="28"/>
          <w:szCs w:val="28"/>
          <w:lang w:eastAsia="zh-CN"/>
        </w:rPr>
        <w:t>。</w:t>
      </w:r>
    </w:p>
    <w:p w14:paraId="57AD9B66">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2.5.</w:t>
      </w:r>
      <w:r>
        <w:rPr>
          <w:rFonts w:hint="eastAsia" w:ascii="Times New Roman" w:hAnsi="Times New Roman" w:eastAsia="Times New Roman" w:cs="Times New Roman"/>
          <w:b/>
          <w:bCs/>
          <w:color w:val="auto"/>
          <w:spacing w:val="-3"/>
          <w:sz w:val="28"/>
          <w:szCs w:val="28"/>
          <w:lang w:val="en-US" w:eastAsia="zh-CN"/>
        </w:rPr>
        <w:t>6</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安全监测</w:t>
      </w:r>
      <w:bookmarkEnd w:id="117"/>
      <w:bookmarkEnd w:id="118"/>
      <w:bookmarkEnd w:id="119"/>
    </w:p>
    <w:p w14:paraId="3DA77740">
      <w:pPr>
        <w:spacing w:line="360" w:lineRule="auto"/>
        <w:ind w:firstLine="568"/>
        <w:rPr>
          <w:rFonts w:hint="default" w:ascii="宋体" w:hAnsi="宋体" w:eastAsia="宋体" w:cs="宋体"/>
          <w:snapToGrid w:val="0"/>
          <w:color w:val="auto"/>
          <w:spacing w:val="3"/>
          <w:sz w:val="28"/>
          <w:szCs w:val="28"/>
          <w:lang w:val="en-US" w:eastAsia="zh-CN" w:bidi="ar-SA"/>
        </w:rPr>
      </w:pPr>
      <w:r>
        <w:rPr>
          <w:rFonts w:hint="eastAsia" w:ascii="宋体" w:hAnsi="宋体" w:eastAsia="宋体" w:cs="宋体"/>
          <w:snapToGrid w:val="0"/>
          <w:color w:val="auto"/>
          <w:spacing w:val="3"/>
          <w:sz w:val="28"/>
          <w:szCs w:val="28"/>
          <w:lang w:val="en-US" w:eastAsia="zh-CN" w:bidi="ar-SA"/>
        </w:rPr>
        <w:t>xxx</w:t>
      </w:r>
    </w:p>
    <w:p w14:paraId="07CA1ADB">
      <w:pPr>
        <w:spacing w:line="360" w:lineRule="auto"/>
        <w:ind w:firstLine="568"/>
        <w:rPr>
          <w:rFonts w:hint="default" w:ascii="宋体" w:hAnsi="宋体" w:eastAsia="宋体" w:cs="宋体"/>
          <w:color w:val="auto"/>
          <w:sz w:val="28"/>
          <w:szCs w:val="28"/>
          <w:lang w:val="en-US" w:eastAsia="zh-CN"/>
        </w:rPr>
      </w:pPr>
      <w:r>
        <w:rPr>
          <w:rFonts w:hint="eastAsia" w:ascii="宋体" w:hAnsi="宋体" w:eastAsia="宋体" w:cs="宋体"/>
          <w:snapToGrid w:val="0"/>
          <w:color w:val="auto"/>
          <w:spacing w:val="3"/>
          <w:sz w:val="28"/>
          <w:szCs w:val="28"/>
          <w:lang w:val="en-US" w:eastAsia="zh-CN" w:bidi="ar-SA"/>
        </w:rPr>
        <w:t>该尾矿库在线监测设施</w:t>
      </w:r>
      <w:r>
        <w:rPr>
          <w:rFonts w:hint="eastAsia" w:ascii="宋体" w:hAnsi="宋体" w:eastAsia="宋体" w:cs="宋体"/>
          <w:color w:val="auto"/>
          <w:sz w:val="28"/>
          <w:szCs w:val="28"/>
          <w:lang w:eastAsia="zh-CN"/>
        </w:rPr>
        <w:t>按</w:t>
      </w:r>
      <w:r>
        <w:rPr>
          <w:rFonts w:ascii="宋体" w:hAnsi="宋体" w:eastAsia="宋体" w:cs="宋体"/>
          <w:color w:val="auto"/>
          <w:sz w:val="28"/>
          <w:szCs w:val="28"/>
          <w:lang w:eastAsia="zh-CN"/>
        </w:rPr>
        <w:t>照《</w:t>
      </w:r>
      <w:r>
        <w:rPr>
          <w:rFonts w:hint="eastAsia" w:ascii="宋体" w:hAnsi="宋体" w:eastAsia="宋体" w:cs="宋体"/>
          <w:color w:val="auto"/>
          <w:sz w:val="28"/>
          <w:szCs w:val="28"/>
          <w:lang w:val="en-US" w:eastAsia="zh-CN"/>
        </w:rPr>
        <w:t>加高扩容工程安全</w:t>
      </w:r>
      <w:r>
        <w:rPr>
          <w:rFonts w:ascii="宋体" w:hAnsi="宋体" w:eastAsia="宋体" w:cs="宋体"/>
          <w:color w:val="auto"/>
          <w:sz w:val="28"/>
          <w:szCs w:val="28"/>
          <w:lang w:eastAsia="zh-CN"/>
        </w:rPr>
        <w:t>设施设</w:t>
      </w:r>
      <w:r>
        <w:rPr>
          <w:rFonts w:ascii="宋体" w:hAnsi="宋体" w:eastAsia="宋体" w:cs="宋体"/>
          <w:color w:val="auto"/>
          <w:spacing w:val="-1"/>
          <w:sz w:val="28"/>
          <w:szCs w:val="28"/>
          <w:lang w:eastAsia="zh-CN"/>
        </w:rPr>
        <w:t>计》要求布置</w:t>
      </w:r>
      <w:r>
        <w:rPr>
          <w:rFonts w:hint="eastAsia" w:ascii="宋体" w:hAnsi="宋体" w:eastAsia="宋体" w:cs="宋体"/>
          <w:color w:val="auto"/>
          <w:spacing w:val="-1"/>
          <w:sz w:val="28"/>
          <w:szCs w:val="28"/>
          <w:lang w:eastAsia="zh-CN"/>
        </w:rPr>
        <w:t>，</w:t>
      </w:r>
      <w:r>
        <w:rPr>
          <w:rFonts w:hint="eastAsia" w:ascii="宋体" w:hAnsi="宋体" w:eastAsia="宋体" w:cs="宋体"/>
          <w:snapToGrid w:val="0"/>
          <w:color w:val="auto"/>
          <w:spacing w:val="3"/>
          <w:sz w:val="28"/>
          <w:szCs w:val="28"/>
          <w:lang w:val="en-US" w:eastAsia="zh-CN" w:bidi="ar-SA"/>
        </w:rPr>
        <w:t>在线监测系统完好，</w:t>
      </w:r>
      <w:r>
        <w:rPr>
          <w:rFonts w:hint="eastAsia" w:ascii="宋体" w:hAnsi="宋体" w:eastAsia="宋体" w:cs="宋体"/>
          <w:color w:val="auto"/>
          <w:spacing w:val="-1"/>
          <w:sz w:val="28"/>
          <w:szCs w:val="28"/>
          <w:lang w:val="en-US" w:eastAsia="zh-CN"/>
        </w:rPr>
        <w:t>具备安全生产条件</w:t>
      </w:r>
      <w:r>
        <w:rPr>
          <w:rFonts w:hint="eastAsia" w:ascii="宋体" w:hAnsi="宋体" w:eastAsia="宋体" w:cs="宋体"/>
          <w:color w:val="auto"/>
          <w:spacing w:val="-1"/>
          <w:sz w:val="28"/>
          <w:szCs w:val="28"/>
          <w:lang w:eastAsia="zh-CN"/>
        </w:rPr>
        <w:t>。</w:t>
      </w:r>
    </w:p>
    <w:p w14:paraId="57461D4F">
      <w:pPr>
        <w:pStyle w:val="10"/>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rPr>
          <w:rFonts w:hint="eastAsia" w:ascii="宋体" w:hAnsi="宋体" w:eastAsia="宋体" w:cs="宋体"/>
          <w:spacing w:val="3"/>
          <w:sz w:val="28"/>
          <w:szCs w:val="28"/>
          <w:lang w:eastAsia="zh-CN"/>
        </w:rPr>
      </w:pPr>
    </w:p>
    <w:p w14:paraId="5976ADD8">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imes New Roman" w:hAnsi="Times New Roman" w:eastAsia="Times New Roman" w:cs="Times New Roman"/>
          <w:spacing w:val="-4"/>
          <w:sz w:val="24"/>
          <w:szCs w:val="24"/>
          <w:lang w:val="en-US" w:eastAsia="zh-CN"/>
        </w:rPr>
      </w:pPr>
      <w:r>
        <w:rPr>
          <w:rFonts w:ascii="宋体" w:hAnsi="宋体" w:eastAsia="宋体" w:cs="宋体"/>
          <w:spacing w:val="-4"/>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4"/>
          <w:sz w:val="24"/>
          <w:szCs w:val="24"/>
          <w:lang w:eastAsia="zh-CN"/>
        </w:rPr>
        <w:t>2.5</w:t>
      </w:r>
      <w:r>
        <w:rPr>
          <w:rFonts w:hint="eastAsia" w:ascii="Times New Roman" w:hAnsi="Times New Roman" w:eastAsia="Times New Roman" w:cs="Times New Roman"/>
          <w:spacing w:val="-4"/>
          <w:sz w:val="24"/>
          <w:szCs w:val="24"/>
          <w:lang w:val="en-US" w:eastAsia="zh-CN"/>
        </w:rPr>
        <w:t>-8</w:t>
      </w:r>
      <w:r>
        <w:rPr>
          <w:rFonts w:hint="eastAsia" w:ascii="Times New Roman" w:hAnsi="Times New Roman" w:eastAsia="宋体" w:cs="Times New Roman"/>
          <w:spacing w:val="-4"/>
          <w:sz w:val="24"/>
          <w:szCs w:val="24"/>
          <w:lang w:val="en-US" w:eastAsia="zh-CN"/>
        </w:rPr>
        <w:t xml:space="preserve"> 在线</w:t>
      </w:r>
      <w:r>
        <w:rPr>
          <w:rFonts w:hint="eastAsia" w:ascii="Times New Roman" w:hAnsi="Times New Roman" w:eastAsia="Times New Roman" w:cs="Times New Roman"/>
          <w:spacing w:val="-4"/>
          <w:sz w:val="24"/>
          <w:szCs w:val="24"/>
          <w:lang w:val="en-US" w:eastAsia="zh-CN"/>
        </w:rPr>
        <w:t>位移监测</w:t>
      </w:r>
    </w:p>
    <w:p w14:paraId="37DF43BB">
      <w:pPr>
        <w:pStyle w:val="20"/>
        <w:spacing w:after="0"/>
        <w:ind w:left="0" w:leftChars="0" w:firstLine="0" w:firstLineChars="0"/>
        <w:jc w:val="center"/>
        <w:rPr>
          <w:rFonts w:hint="eastAsia" w:eastAsia="宋体"/>
          <w:lang w:eastAsia="zh-CN"/>
        </w:rPr>
      </w:pPr>
    </w:p>
    <w:p w14:paraId="0B362338">
      <w:pPr>
        <w:jc w:val="center"/>
        <w:rPr>
          <w:rFonts w:hint="eastAsia" w:ascii="Times New Roman" w:hAnsi="Times New Roman" w:eastAsia="Times New Roman" w:cs="Times New Roman"/>
          <w:spacing w:val="-4"/>
          <w:sz w:val="24"/>
          <w:szCs w:val="24"/>
          <w:lang w:val="en-US" w:eastAsia="zh-CN"/>
        </w:rPr>
      </w:pPr>
      <w:r>
        <w:rPr>
          <w:rFonts w:ascii="宋体" w:hAnsi="宋体" w:eastAsia="宋体" w:cs="宋体"/>
          <w:spacing w:val="-4"/>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4"/>
          <w:sz w:val="24"/>
          <w:szCs w:val="24"/>
          <w:lang w:eastAsia="zh-CN"/>
        </w:rPr>
        <w:t>2.5-</w:t>
      </w:r>
      <w:r>
        <w:rPr>
          <w:rFonts w:hint="eastAsia" w:ascii="Times New Roman" w:hAnsi="Times New Roman" w:eastAsia="宋体" w:cs="Times New Roman"/>
          <w:spacing w:val="-4"/>
          <w:sz w:val="24"/>
          <w:szCs w:val="24"/>
          <w:lang w:val="en-US" w:eastAsia="zh-CN"/>
        </w:rPr>
        <w:t>9</w:t>
      </w:r>
      <w:r>
        <w:rPr>
          <w:rFonts w:ascii="Times New Roman" w:hAnsi="Times New Roman" w:eastAsia="Times New Roman" w:cs="Times New Roman"/>
          <w:spacing w:val="-4"/>
          <w:sz w:val="24"/>
          <w:szCs w:val="24"/>
          <w:lang w:eastAsia="zh-CN"/>
        </w:rPr>
        <w:t xml:space="preserve"> </w:t>
      </w:r>
      <w:r>
        <w:rPr>
          <w:rFonts w:hint="eastAsia" w:ascii="Times New Roman" w:hAnsi="Times New Roman" w:eastAsia="Times New Roman" w:cs="Times New Roman"/>
          <w:spacing w:val="-4"/>
          <w:sz w:val="24"/>
          <w:szCs w:val="24"/>
          <w:lang w:val="en-US" w:eastAsia="zh-CN"/>
        </w:rPr>
        <w:t>在线浸润线监测</w:t>
      </w:r>
    </w:p>
    <w:p w14:paraId="0E86F556">
      <w:pPr>
        <w:rPr>
          <w:rFonts w:hint="eastAsia" w:ascii="Times New Roman" w:hAnsi="Times New Roman" w:eastAsia="宋体" w:cs="Times New Roman"/>
          <w:spacing w:val="-6"/>
          <w:sz w:val="24"/>
          <w:szCs w:val="24"/>
          <w:lang w:eastAsia="zh-CN"/>
        </w:rPr>
      </w:pPr>
    </w:p>
    <w:p w14:paraId="0EB88D33">
      <w:pPr>
        <w:pStyle w:val="20"/>
        <w:spacing w:after="0"/>
        <w:ind w:left="0" w:leftChars="0" w:firstLine="0" w:firstLineChars="0"/>
        <w:jc w:val="center"/>
        <w:rPr>
          <w:rFonts w:hint="default" w:eastAsia="宋体"/>
          <w:lang w:val="en-US" w:eastAsia="zh-CN"/>
        </w:rPr>
      </w:pPr>
      <w:r>
        <w:rPr>
          <w:rFonts w:ascii="宋体" w:hAnsi="宋体" w:cs="宋体"/>
          <w:spacing w:val="-4"/>
          <w:sz w:val="24"/>
        </w:rPr>
        <w:t>图</w:t>
      </w:r>
      <w:r>
        <w:rPr>
          <w:spacing w:val="-4"/>
          <w:sz w:val="24"/>
        </w:rPr>
        <w:t>2.5-1</w:t>
      </w:r>
      <w:r>
        <w:rPr>
          <w:rFonts w:hint="eastAsia"/>
          <w:spacing w:val="-4"/>
          <w:sz w:val="24"/>
          <w:lang w:val="en-US" w:eastAsia="zh-CN"/>
        </w:rPr>
        <w:t>0 干滩标尺</w:t>
      </w:r>
    </w:p>
    <w:p w14:paraId="7167255C">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ascii="Times New Roman" w:hAnsi="Times New Roman" w:eastAsia="宋体" w:cs="Times New Roman"/>
          <w:sz w:val="28"/>
          <w:szCs w:val="28"/>
          <w:lang w:eastAsia="zh-CN"/>
        </w:rPr>
      </w:pPr>
      <w:bookmarkStart w:id="120" w:name="_Toc27027"/>
      <w:bookmarkStart w:id="121" w:name="_Toc27031"/>
      <w:bookmarkStart w:id="122" w:name="_Toc6274"/>
      <w:r>
        <w:rPr>
          <w:rFonts w:ascii="Times New Roman" w:hAnsi="Times New Roman" w:eastAsia="Times New Roman" w:cs="Times New Roman"/>
          <w:b/>
          <w:bCs/>
          <w:spacing w:val="-3"/>
          <w:sz w:val="28"/>
          <w:szCs w:val="28"/>
          <w:lang w:eastAsia="zh-CN"/>
        </w:rPr>
        <w:t xml:space="preserve">2.5.6 </w:t>
      </w:r>
      <w:r>
        <w:rPr>
          <w:rFonts w:ascii="Times New Roman" w:hAnsi="Times New Roman" w:eastAsia="宋体" w:cs="Times New Roman"/>
          <w:b/>
          <w:bCs/>
          <w:spacing w:val="-3"/>
          <w:sz w:val="28"/>
          <w:szCs w:val="28"/>
          <w:lang w:eastAsia="zh-CN"/>
        </w:rPr>
        <w:t>辅助设施</w:t>
      </w:r>
      <w:bookmarkEnd w:id="120"/>
      <w:bookmarkEnd w:id="121"/>
      <w:bookmarkEnd w:id="122"/>
    </w:p>
    <w:p w14:paraId="76793194">
      <w:pPr>
        <w:spacing w:line="360" w:lineRule="auto"/>
        <w:ind w:firstLine="568"/>
        <w:rPr>
          <w:rFonts w:hint="eastAsia" w:ascii="Times New Roman" w:hAnsi="Times New Roman" w:cs="Times New Roman"/>
          <w:sz w:val="28"/>
          <w:lang w:val="en-US" w:eastAsia="zh-CN"/>
        </w:rPr>
      </w:pPr>
      <w:r>
        <w:rPr>
          <w:rFonts w:hint="eastAsia" w:ascii="Times New Roman" w:hAnsi="Times New Roman" w:cs="Times New Roman"/>
          <w:sz w:val="28"/>
          <w:lang w:val="en-US" w:eastAsia="zh-CN"/>
        </w:rPr>
        <w:t>Xxx</w:t>
      </w:r>
    </w:p>
    <w:p w14:paraId="7C96E8B9">
      <w:pPr>
        <w:spacing w:line="360" w:lineRule="auto"/>
        <w:ind w:firstLine="568"/>
        <w:rPr>
          <w:rFonts w:hint="default" w:ascii="宋体" w:hAnsi="宋体" w:eastAsia="宋体" w:cs="宋体"/>
          <w:sz w:val="28"/>
          <w:szCs w:val="28"/>
          <w:lang w:val="en-US" w:eastAsia="zh-CN"/>
        </w:rPr>
      </w:pPr>
      <w:r>
        <w:rPr>
          <w:rFonts w:hint="eastAsia" w:ascii="宋体" w:hAnsi="宋体" w:eastAsia="宋体" w:cs="宋体"/>
          <w:sz w:val="28"/>
          <w:szCs w:val="28"/>
          <w:lang w:eastAsia="zh-CN"/>
        </w:rPr>
        <w:t>现状辅助设施按</w:t>
      </w:r>
      <w:r>
        <w:rPr>
          <w:rFonts w:ascii="宋体" w:hAnsi="宋体" w:eastAsia="宋体" w:cs="宋体"/>
          <w:sz w:val="28"/>
          <w:szCs w:val="28"/>
          <w:lang w:eastAsia="zh-CN"/>
        </w:rPr>
        <w:t>照《</w:t>
      </w:r>
      <w:r>
        <w:rPr>
          <w:rFonts w:hint="eastAsia" w:ascii="宋体" w:hAnsi="宋体" w:eastAsia="宋体" w:cs="宋体"/>
          <w:sz w:val="28"/>
          <w:szCs w:val="28"/>
          <w:lang w:val="en-US" w:eastAsia="zh-CN"/>
        </w:rPr>
        <w:t>加高扩容工程安全</w:t>
      </w:r>
      <w:r>
        <w:rPr>
          <w:rFonts w:ascii="宋体" w:hAnsi="宋体" w:eastAsia="宋体" w:cs="宋体"/>
          <w:sz w:val="28"/>
          <w:szCs w:val="28"/>
          <w:lang w:eastAsia="zh-CN"/>
        </w:rPr>
        <w:t>设施设</w:t>
      </w:r>
      <w:r>
        <w:rPr>
          <w:rFonts w:ascii="宋体" w:hAnsi="宋体" w:eastAsia="宋体" w:cs="宋体"/>
          <w:spacing w:val="-1"/>
          <w:sz w:val="28"/>
          <w:szCs w:val="28"/>
          <w:lang w:eastAsia="zh-CN"/>
        </w:rPr>
        <w:t>计》要求布置</w:t>
      </w:r>
      <w:r>
        <w:rPr>
          <w:rFonts w:hint="eastAsia" w:ascii="宋体" w:hAnsi="宋体" w:eastAsia="宋体" w:cs="宋体"/>
          <w:spacing w:val="-1"/>
          <w:sz w:val="28"/>
          <w:szCs w:val="28"/>
          <w:lang w:eastAsia="zh-CN"/>
        </w:rPr>
        <w:t>，</w:t>
      </w:r>
      <w:r>
        <w:rPr>
          <w:rFonts w:hint="eastAsia" w:ascii="宋体" w:hAnsi="宋体" w:eastAsia="宋体" w:cs="宋体"/>
          <w:spacing w:val="-1"/>
          <w:sz w:val="28"/>
          <w:szCs w:val="28"/>
          <w:lang w:val="en-US" w:eastAsia="zh-CN"/>
        </w:rPr>
        <w:t>具备安全生产条件</w:t>
      </w:r>
      <w:r>
        <w:rPr>
          <w:rFonts w:hint="eastAsia" w:ascii="宋体" w:hAnsi="宋体" w:eastAsia="宋体" w:cs="宋体"/>
          <w:spacing w:val="-1"/>
          <w:sz w:val="28"/>
          <w:szCs w:val="28"/>
          <w:lang w:eastAsia="zh-CN"/>
        </w:rPr>
        <w:t>。</w:t>
      </w:r>
    </w:p>
    <w:p w14:paraId="599E9C08">
      <w:pPr>
        <w:pStyle w:val="20"/>
        <w:keepNext w:val="0"/>
        <w:keepLines w:val="0"/>
        <w:pageBreakBefore w:val="0"/>
        <w:kinsoku w:val="0"/>
        <w:wordWrap/>
        <w:overflowPunct/>
        <w:topLinePunct w:val="0"/>
        <w:autoSpaceDE w:val="0"/>
        <w:autoSpaceDN w:val="0"/>
        <w:bidi w:val="0"/>
        <w:adjustRightInd w:val="0"/>
        <w:snapToGrid w:val="0"/>
        <w:spacing w:after="0" w:line="240" w:lineRule="auto"/>
        <w:ind w:left="0" w:leftChars="0" w:firstLine="0" w:firstLineChars="0"/>
        <w:textAlignment w:val="baseline"/>
        <w:rPr>
          <w:rFonts w:hint="eastAsia" w:eastAsia="宋体"/>
          <w:lang w:eastAsia="zh-CN"/>
        </w:rPr>
      </w:pPr>
    </w:p>
    <w:p w14:paraId="1C7A8C5C">
      <w:pPr>
        <w:pStyle w:val="10"/>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pPr>
      <w:r>
        <w:rPr>
          <w:rFonts w:ascii="Times New Roman" w:hAnsi="Times New Roman" w:eastAsia="宋体" w:cs="Times New Roman"/>
          <w:spacing w:val="-5"/>
          <w:sz w:val="24"/>
          <w:szCs w:val="24"/>
          <w:lang w:eastAsia="zh-CN"/>
        </w:rPr>
        <w:t>图2.5-1</w:t>
      </w:r>
      <w:r>
        <w:rPr>
          <w:rFonts w:hint="eastAsia" w:ascii="Times New Roman" w:hAnsi="Times New Roman" w:eastAsia="宋体" w:cs="Times New Roman"/>
          <w:spacing w:val="-5"/>
          <w:sz w:val="24"/>
          <w:szCs w:val="24"/>
          <w:lang w:val="en-US" w:eastAsia="zh-CN"/>
        </w:rPr>
        <w:t>1 道路</w:t>
      </w:r>
    </w:p>
    <w:p w14:paraId="446AFFFC">
      <w:pPr>
        <w:rPr>
          <w:rFonts w:eastAsia="宋体"/>
          <w:lang w:eastAsia="zh-CN"/>
        </w:rPr>
      </w:pPr>
    </w:p>
    <w:p w14:paraId="57EB4D46">
      <w:pPr>
        <w:jc w:val="center"/>
        <w:rPr>
          <w:rFonts w:hint="eastAsia" w:ascii="宋体" w:hAnsi="宋体" w:eastAsia="宋体" w:cs="宋体"/>
          <w:spacing w:val="-5"/>
          <w:sz w:val="24"/>
          <w:szCs w:val="24"/>
          <w:lang w:eastAsia="zh-CN"/>
        </w:rPr>
      </w:pPr>
      <w:r>
        <w:rPr>
          <w:rFonts w:ascii="宋体" w:hAnsi="宋体" w:eastAsia="宋体" w:cs="宋体"/>
          <w:spacing w:val="-5"/>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2.5-1</w:t>
      </w:r>
      <w:r>
        <w:rPr>
          <w:rFonts w:hint="eastAsia" w:ascii="Times New Roman" w:hAnsi="Times New Roman" w:eastAsia="宋体" w:cs="Times New Roman"/>
          <w:spacing w:val="-5"/>
          <w:sz w:val="24"/>
          <w:szCs w:val="24"/>
          <w:lang w:val="en-US" w:eastAsia="zh-CN"/>
        </w:rPr>
        <w:t xml:space="preserve">2  </w:t>
      </w:r>
      <w:r>
        <w:rPr>
          <w:rFonts w:hint="eastAsia" w:ascii="宋体" w:hAnsi="宋体" w:eastAsia="宋体" w:cs="宋体"/>
          <w:spacing w:val="-5"/>
          <w:sz w:val="24"/>
          <w:szCs w:val="24"/>
          <w:lang w:eastAsia="zh-CN"/>
        </w:rPr>
        <w:t>坝顶照明设施</w:t>
      </w:r>
    </w:p>
    <w:p w14:paraId="1C3F56CD">
      <w:pPr>
        <w:jc w:val="center"/>
        <w:rPr>
          <w:rFonts w:ascii="Times New Roman" w:hAnsi="Times New Roman" w:eastAsia="宋体" w:cs="Times New Roman"/>
          <w:spacing w:val="-5"/>
          <w:sz w:val="24"/>
          <w:szCs w:val="24"/>
          <w:lang w:eastAsia="zh-CN"/>
        </w:rPr>
      </w:pPr>
    </w:p>
    <w:p w14:paraId="613D3FC0">
      <w:pPr>
        <w:jc w:val="center"/>
        <w:rPr>
          <w:rFonts w:hint="default" w:ascii="Times New Roman" w:hAnsi="Times New Roman" w:eastAsia="宋体" w:cs="Times New Roman"/>
          <w:spacing w:val="-5"/>
          <w:sz w:val="24"/>
          <w:szCs w:val="24"/>
          <w:lang w:val="en-US" w:eastAsia="zh-CN"/>
        </w:rPr>
      </w:pPr>
      <w:bookmarkStart w:id="123" w:name="_Toc15459"/>
      <w:bookmarkStart w:id="124" w:name="_Toc23848"/>
      <w:bookmarkStart w:id="125" w:name="_Toc30146"/>
      <w:r>
        <w:rPr>
          <w:rFonts w:ascii="Times New Roman" w:hAnsi="Times New Roman" w:eastAsia="宋体" w:cs="Times New Roman"/>
          <w:spacing w:val="-5"/>
          <w:sz w:val="24"/>
          <w:szCs w:val="24"/>
          <w:lang w:eastAsia="zh-CN"/>
        </w:rPr>
        <w:t>图2.5-1</w:t>
      </w:r>
      <w:r>
        <w:rPr>
          <w:rFonts w:hint="eastAsia" w:ascii="Times New Roman" w:hAnsi="Times New Roman" w:eastAsia="宋体" w:cs="Times New Roman"/>
          <w:spacing w:val="-5"/>
          <w:sz w:val="24"/>
          <w:szCs w:val="24"/>
          <w:lang w:val="en-US" w:eastAsia="zh-CN"/>
        </w:rPr>
        <w:t>3 浮船</w:t>
      </w:r>
    </w:p>
    <w:p w14:paraId="44F1B87C">
      <w:pPr>
        <w:spacing w:line="360" w:lineRule="auto"/>
        <w:outlineLvl w:val="2"/>
        <w:rPr>
          <w:rFonts w:hint="eastAsia" w:ascii="宋体" w:hAnsi="宋体" w:eastAsia="宋体" w:cs="宋体"/>
          <w:sz w:val="28"/>
          <w:szCs w:val="28"/>
          <w:lang w:eastAsia="zh-CN"/>
        </w:rPr>
      </w:pPr>
      <w:r>
        <w:rPr>
          <w:rFonts w:ascii="Times New Roman" w:hAnsi="Times New Roman" w:eastAsia="Times New Roman" w:cs="Times New Roman"/>
          <w:b/>
          <w:bCs/>
          <w:spacing w:val="-3"/>
          <w:sz w:val="28"/>
          <w:szCs w:val="28"/>
          <w:lang w:eastAsia="zh-CN"/>
        </w:rPr>
        <w:t xml:space="preserve">2.5.7 </w:t>
      </w:r>
      <w:r>
        <w:rPr>
          <w:rFonts w:ascii="宋体" w:hAnsi="宋体" w:eastAsia="宋体" w:cs="宋体"/>
          <w:b/>
          <w:bCs/>
          <w:spacing w:val="-3"/>
          <w:sz w:val="28"/>
          <w:szCs w:val="28"/>
          <w:lang w:eastAsia="zh-CN"/>
        </w:rPr>
        <w:t>安全标志</w:t>
      </w:r>
      <w:bookmarkEnd w:id="123"/>
      <w:bookmarkEnd w:id="124"/>
      <w:bookmarkEnd w:id="125"/>
    </w:p>
    <w:p w14:paraId="083F47DD">
      <w:pPr>
        <w:spacing w:line="360" w:lineRule="auto"/>
        <w:ind w:firstLine="568"/>
        <w:rPr>
          <w:rFonts w:hint="eastAsia" w:ascii="宋体" w:hAnsi="宋体" w:eastAsia="宋体" w:cs="宋体"/>
          <w:sz w:val="28"/>
          <w:szCs w:val="28"/>
          <w:lang w:eastAsia="zh-CN"/>
        </w:rPr>
      </w:pPr>
      <w:r>
        <w:rPr>
          <w:rFonts w:ascii="宋体" w:hAnsi="宋体" w:eastAsia="宋体" w:cs="宋体"/>
          <w:spacing w:val="3"/>
          <w:sz w:val="28"/>
          <w:szCs w:val="28"/>
          <w:lang w:eastAsia="zh-CN"/>
        </w:rPr>
        <w:t xml:space="preserve">该尾矿库在上坝道路和库区设有警示标示、风险告知牌、信息告 </w:t>
      </w:r>
      <w:r>
        <w:rPr>
          <w:rFonts w:ascii="宋体" w:hAnsi="宋体" w:eastAsia="宋体" w:cs="宋体"/>
          <w:spacing w:val="-1"/>
          <w:sz w:val="28"/>
          <w:szCs w:val="28"/>
          <w:lang w:eastAsia="zh-CN"/>
        </w:rPr>
        <w:t>知牌等设施（见图</w:t>
      </w:r>
      <w:r>
        <w:rPr>
          <w:rFonts w:ascii="Times New Roman" w:hAnsi="Times New Roman" w:eastAsia="Times New Roman" w:cs="Times New Roman"/>
          <w:spacing w:val="-1"/>
          <w:sz w:val="28"/>
          <w:szCs w:val="28"/>
          <w:lang w:eastAsia="zh-CN"/>
        </w:rPr>
        <w:t>2.5-</w:t>
      </w:r>
      <w:r>
        <w:rPr>
          <w:rFonts w:hint="eastAsia" w:ascii="Times New Roman" w:hAnsi="Times New Roman" w:eastAsia="Times New Roman" w:cs="Times New Roman"/>
          <w:spacing w:val="-1"/>
          <w:sz w:val="28"/>
          <w:szCs w:val="28"/>
          <w:lang w:val="en-US" w:eastAsia="zh-CN"/>
        </w:rPr>
        <w:t>14</w:t>
      </w:r>
      <w:r>
        <w:rPr>
          <w:rFonts w:ascii="Times New Roman" w:hAnsi="Times New Roman" w:eastAsia="Times New Roman" w:cs="Times New Roman"/>
          <w:spacing w:val="-31"/>
          <w:sz w:val="28"/>
          <w:szCs w:val="28"/>
          <w:lang w:eastAsia="zh-CN"/>
        </w:rPr>
        <w:t xml:space="preserve"> </w:t>
      </w:r>
      <w:r>
        <w:rPr>
          <w:rFonts w:hint="eastAsia" w:ascii="宋体" w:hAnsi="宋体" w:eastAsia="宋体" w:cs="宋体"/>
          <w:spacing w:val="-1"/>
          <w:sz w:val="28"/>
          <w:szCs w:val="28"/>
          <w:lang w:val="en-US" w:eastAsia="zh-CN"/>
        </w:rPr>
        <w:t>-</w:t>
      </w:r>
      <w:r>
        <w:rPr>
          <w:rFonts w:hint="eastAsia" w:ascii="宋体" w:hAnsi="宋体" w:eastAsia="宋体" w:cs="宋体"/>
          <w:spacing w:val="-1"/>
          <w:sz w:val="28"/>
          <w:szCs w:val="28"/>
          <w:lang w:eastAsia="zh-CN"/>
        </w:rPr>
        <w:t>图</w:t>
      </w:r>
      <w:r>
        <w:rPr>
          <w:rFonts w:ascii="Times New Roman" w:hAnsi="Times New Roman" w:eastAsia="Times New Roman" w:cs="Times New Roman"/>
          <w:spacing w:val="-2"/>
          <w:sz w:val="28"/>
          <w:szCs w:val="28"/>
          <w:lang w:eastAsia="zh-CN"/>
        </w:rPr>
        <w:t>2.5-</w:t>
      </w:r>
      <w:r>
        <w:rPr>
          <w:rFonts w:hint="eastAsia" w:ascii="Times New Roman" w:hAnsi="Times New Roman" w:eastAsia="Times New Roman" w:cs="Times New Roman"/>
          <w:spacing w:val="-2"/>
          <w:sz w:val="28"/>
          <w:szCs w:val="28"/>
          <w:lang w:val="en-US" w:eastAsia="zh-CN"/>
        </w:rPr>
        <w:t>19</w:t>
      </w:r>
      <w:r>
        <w:rPr>
          <w:rFonts w:ascii="宋体" w:hAnsi="宋体" w:eastAsia="宋体" w:cs="宋体"/>
          <w:sz w:val="28"/>
          <w:szCs w:val="28"/>
          <w:lang w:eastAsia="zh-CN"/>
        </w:rPr>
        <w:t>）。</w:t>
      </w:r>
    </w:p>
    <w:p w14:paraId="7EB4A274">
      <w:pPr>
        <w:spacing w:line="360" w:lineRule="auto"/>
        <w:ind w:firstLine="568"/>
        <w:rPr>
          <w:rFonts w:ascii="宋体" w:hAnsi="宋体" w:eastAsia="宋体" w:cs="宋体"/>
          <w:spacing w:val="-1"/>
          <w:sz w:val="28"/>
          <w:szCs w:val="28"/>
          <w:lang w:eastAsia="zh-CN"/>
        </w:rPr>
      </w:pPr>
      <w:r>
        <w:rPr>
          <w:rFonts w:hint="eastAsia" w:ascii="宋体" w:hAnsi="宋体" w:eastAsia="宋体" w:cs="宋体"/>
          <w:sz w:val="28"/>
          <w:szCs w:val="28"/>
          <w:lang w:eastAsia="zh-CN"/>
        </w:rPr>
        <w:t>现状</w:t>
      </w:r>
      <w:r>
        <w:rPr>
          <w:rFonts w:ascii="宋体" w:hAnsi="宋体" w:eastAsia="宋体" w:cs="宋体"/>
          <w:sz w:val="28"/>
          <w:szCs w:val="28"/>
          <w:lang w:eastAsia="zh-CN"/>
        </w:rPr>
        <w:t>安全标志按照</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加高扩容工程</w:t>
      </w:r>
      <w:r>
        <w:rPr>
          <w:rFonts w:ascii="宋体" w:hAnsi="宋体" w:eastAsia="宋体" w:cs="宋体"/>
          <w:sz w:val="28"/>
          <w:szCs w:val="28"/>
          <w:lang w:eastAsia="zh-CN"/>
        </w:rPr>
        <w:t>安全设施设</w:t>
      </w:r>
      <w:r>
        <w:rPr>
          <w:rFonts w:ascii="宋体" w:hAnsi="宋体" w:eastAsia="宋体" w:cs="宋体"/>
          <w:spacing w:val="-1"/>
          <w:sz w:val="28"/>
          <w:szCs w:val="28"/>
          <w:lang w:eastAsia="zh-CN"/>
        </w:rPr>
        <w:t>计》要求布置</w:t>
      </w:r>
      <w:r>
        <w:rPr>
          <w:rFonts w:hint="eastAsia" w:ascii="宋体" w:hAnsi="宋体" w:eastAsia="宋体" w:cs="宋体"/>
          <w:spacing w:val="-1"/>
          <w:sz w:val="28"/>
          <w:szCs w:val="28"/>
          <w:lang w:eastAsia="zh-CN"/>
        </w:rPr>
        <w:t>，满</w:t>
      </w:r>
      <w:r>
        <w:rPr>
          <w:rFonts w:hint="eastAsia" w:ascii="宋体" w:hAnsi="宋体" w:eastAsia="宋体" w:cs="宋体"/>
          <w:spacing w:val="-1"/>
          <w:sz w:val="28"/>
          <w:szCs w:val="28"/>
          <w:lang w:val="en-US" w:eastAsia="zh-CN"/>
        </w:rPr>
        <w:t>具备安全生产条件</w:t>
      </w:r>
      <w:r>
        <w:rPr>
          <w:rFonts w:ascii="宋体" w:hAnsi="宋体" w:eastAsia="宋体" w:cs="宋体"/>
          <w:spacing w:val="-1"/>
          <w:sz w:val="28"/>
          <w:szCs w:val="28"/>
          <w:lang w:eastAsia="zh-CN"/>
        </w:rPr>
        <w:t>。</w:t>
      </w:r>
    </w:p>
    <w:p w14:paraId="3D9332A3">
      <w:pPr>
        <w:rPr>
          <w:rFonts w:eastAsia="宋体"/>
          <w:lang w:eastAsia="zh-CN"/>
        </w:rPr>
      </w:pPr>
    </w:p>
    <w:p w14:paraId="530A6298">
      <w:pPr>
        <w:pStyle w:val="20"/>
        <w:spacing w:after="0"/>
        <w:ind w:left="0" w:leftChars="0" w:firstLine="0" w:firstLineChars="0"/>
        <w:jc w:val="center"/>
        <w:rPr>
          <w:sz w:val="24"/>
        </w:rPr>
      </w:pPr>
      <w:r>
        <w:rPr>
          <w:rFonts w:hint="eastAsia"/>
          <w:sz w:val="24"/>
        </w:rPr>
        <w:t>图2.5-</w:t>
      </w:r>
      <w:r>
        <w:rPr>
          <w:rFonts w:hint="eastAsia"/>
          <w:sz w:val="24"/>
          <w:lang w:val="en-US" w:eastAsia="zh-CN"/>
        </w:rPr>
        <w:t>14</w:t>
      </w:r>
      <w:r>
        <w:rPr>
          <w:rFonts w:hint="eastAsia"/>
          <w:sz w:val="24"/>
        </w:rPr>
        <w:t xml:space="preserve"> 警示牌</w:t>
      </w:r>
    </w:p>
    <w:p w14:paraId="507530B8">
      <w:pPr>
        <w:pStyle w:val="10"/>
        <w:spacing w:line="240" w:lineRule="auto"/>
        <w:ind w:firstLine="0" w:firstLineChars="0"/>
        <w:rPr>
          <w:b/>
          <w:bCs/>
          <w:lang w:eastAsia="zh-CN"/>
        </w:rPr>
      </w:pPr>
    </w:p>
    <w:p w14:paraId="3ADAD1F8">
      <w:pPr>
        <w:pStyle w:val="20"/>
        <w:spacing w:after="0"/>
        <w:ind w:left="0" w:leftChars="0" w:firstLine="0" w:firstLineChars="0"/>
        <w:jc w:val="center"/>
        <w:rPr>
          <w:rFonts w:hint="eastAsia"/>
          <w:sz w:val="24"/>
        </w:rPr>
      </w:pPr>
      <w:r>
        <w:rPr>
          <w:rFonts w:hint="eastAsia"/>
          <w:sz w:val="24"/>
        </w:rPr>
        <w:t>图2.5-</w:t>
      </w:r>
      <w:r>
        <w:rPr>
          <w:rFonts w:hint="eastAsia"/>
          <w:sz w:val="24"/>
          <w:lang w:val="en-US" w:eastAsia="zh-CN"/>
        </w:rPr>
        <w:t xml:space="preserve">15 </w:t>
      </w:r>
      <w:r>
        <w:rPr>
          <w:rFonts w:hint="eastAsia"/>
          <w:sz w:val="24"/>
        </w:rPr>
        <w:t>警示牌</w:t>
      </w:r>
    </w:p>
    <w:p w14:paraId="1862C8A2">
      <w:pPr>
        <w:rPr>
          <w:rFonts w:ascii="宋体" w:hAnsi="宋体" w:eastAsia="宋体" w:cs="宋体"/>
          <w:spacing w:val="-4"/>
          <w:sz w:val="24"/>
          <w:szCs w:val="24"/>
          <w:lang w:eastAsia="zh-CN"/>
        </w:rPr>
      </w:pPr>
    </w:p>
    <w:p w14:paraId="0398ABF8">
      <w:pPr>
        <w:jc w:val="center"/>
        <w:rPr>
          <w:rFonts w:ascii="宋体" w:hAnsi="宋体" w:eastAsia="宋体" w:cs="宋体"/>
          <w:spacing w:val="-4"/>
          <w:sz w:val="24"/>
          <w:szCs w:val="24"/>
          <w:lang w:eastAsia="zh-CN"/>
        </w:rPr>
      </w:pP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2.5-</w:t>
      </w:r>
      <w:r>
        <w:rPr>
          <w:rFonts w:hint="eastAsia" w:ascii="Times New Roman" w:hAnsi="Times New Roman" w:eastAsia="Times New Roman" w:cs="Times New Roman"/>
          <w:spacing w:val="-4"/>
          <w:sz w:val="24"/>
          <w:szCs w:val="24"/>
          <w:lang w:val="en-US" w:eastAsia="zh-CN"/>
        </w:rPr>
        <w:t xml:space="preserve">16 </w:t>
      </w:r>
      <w:r>
        <w:rPr>
          <w:rFonts w:hint="eastAsia" w:ascii="宋体" w:hAnsi="宋体" w:eastAsia="宋体" w:cs="宋体"/>
          <w:spacing w:val="-4"/>
          <w:sz w:val="24"/>
          <w:szCs w:val="24"/>
          <w:lang w:eastAsia="zh-CN"/>
        </w:rPr>
        <w:t>安全生产风险公告栏</w:t>
      </w:r>
    </w:p>
    <w:p w14:paraId="18D4DEEA">
      <w:pPr>
        <w:jc w:val="center"/>
        <w:rPr>
          <w:rFonts w:hint="eastAsia" w:ascii="宋体" w:hAnsi="宋体" w:eastAsia="宋体" w:cs="宋体"/>
          <w:spacing w:val="-4"/>
          <w:sz w:val="24"/>
          <w:szCs w:val="24"/>
          <w:lang w:eastAsia="zh-CN"/>
        </w:rPr>
      </w:pPr>
    </w:p>
    <w:p w14:paraId="5E881255">
      <w:pPr>
        <w:jc w:val="center"/>
        <w:rPr>
          <w:rFonts w:hint="default" w:ascii="宋体" w:hAnsi="宋体" w:eastAsia="宋体" w:cs="宋体"/>
          <w:spacing w:val="-4"/>
          <w:sz w:val="24"/>
          <w:szCs w:val="24"/>
          <w:lang w:val="en-US" w:eastAsia="zh-CN"/>
        </w:rPr>
      </w:pP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2.5-</w:t>
      </w:r>
      <w:r>
        <w:rPr>
          <w:rFonts w:hint="eastAsia" w:ascii="Times New Roman" w:hAnsi="Times New Roman" w:eastAsia="Times New Roman" w:cs="Times New Roman"/>
          <w:spacing w:val="-4"/>
          <w:sz w:val="24"/>
          <w:szCs w:val="24"/>
          <w:lang w:val="en-US" w:eastAsia="zh-CN"/>
        </w:rPr>
        <w:t>17 告知书</w:t>
      </w:r>
    </w:p>
    <w:p w14:paraId="3978762C">
      <w:pPr>
        <w:ind w:firstLine="7"/>
        <w:rPr>
          <w:rFonts w:eastAsia="宋体"/>
          <w:lang w:eastAsia="zh-CN"/>
        </w:rPr>
      </w:pPr>
    </w:p>
    <w:p w14:paraId="5D5A548B">
      <w:pPr>
        <w:jc w:val="center"/>
        <w:rPr>
          <w:rFonts w:hint="default" w:ascii="宋体" w:hAnsi="宋体" w:eastAsia="宋体" w:cs="宋体"/>
          <w:sz w:val="24"/>
          <w:szCs w:val="24"/>
          <w:lang w:val="en-US"/>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val="en-US" w:eastAsia="zh-CN"/>
        </w:rPr>
        <w:t>18</w:t>
      </w:r>
      <w:r>
        <w:rPr>
          <w:rFonts w:ascii="Times New Roman" w:hAnsi="Times New Roman" w:eastAsia="Times New Roman" w:cs="Times New Roman"/>
          <w:spacing w:val="-4"/>
          <w:sz w:val="24"/>
          <w:szCs w:val="24"/>
        </w:rPr>
        <w:t xml:space="preserve"> </w:t>
      </w:r>
      <w:r>
        <w:rPr>
          <w:rFonts w:hint="eastAsia" w:ascii="宋体" w:hAnsi="宋体" w:eastAsia="宋体" w:cs="宋体"/>
          <w:spacing w:val="-4"/>
          <w:sz w:val="24"/>
          <w:szCs w:val="24"/>
          <w:lang w:val="en-US" w:eastAsia="zh-CN"/>
        </w:rPr>
        <w:t>紧急避险程序示意图</w:t>
      </w:r>
    </w:p>
    <w:p w14:paraId="6D6A3B2D">
      <w:pPr>
        <w:pStyle w:val="20"/>
        <w:spacing w:after="0"/>
        <w:ind w:left="0" w:leftChars="0" w:firstLine="0" w:firstLineChars="0"/>
      </w:pPr>
    </w:p>
    <w:p w14:paraId="1F6D0FA8">
      <w:pPr>
        <w:jc w:val="center"/>
        <w:rPr>
          <w:rFonts w:hint="default" w:ascii="宋体" w:hAnsi="宋体" w:eastAsia="宋体" w:cs="宋体"/>
          <w:sz w:val="24"/>
          <w:szCs w:val="24"/>
          <w:lang w:val="en-US"/>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val="en-US" w:eastAsia="zh-CN"/>
        </w:rPr>
        <w:t xml:space="preserve">19 </w:t>
      </w:r>
      <w:r>
        <w:rPr>
          <w:rFonts w:hint="eastAsia" w:ascii="宋体" w:hAnsi="宋体" w:eastAsia="宋体" w:cs="宋体"/>
          <w:spacing w:val="-4"/>
          <w:sz w:val="24"/>
          <w:szCs w:val="24"/>
          <w:lang w:eastAsia="zh-CN"/>
        </w:rPr>
        <w:t>重大隐患判定标准</w:t>
      </w:r>
      <w:r>
        <w:rPr>
          <w:rFonts w:hint="eastAsia" w:ascii="宋体" w:hAnsi="宋体" w:eastAsia="宋体" w:cs="宋体"/>
          <w:spacing w:val="-4"/>
          <w:sz w:val="24"/>
          <w:szCs w:val="24"/>
          <w:lang w:val="en-US" w:eastAsia="zh-CN"/>
        </w:rPr>
        <w:t>牌</w:t>
      </w:r>
    </w:p>
    <w:p w14:paraId="005138DC">
      <w:pPr>
        <w:spacing w:line="360" w:lineRule="auto"/>
        <w:outlineLvl w:val="2"/>
        <w:rPr>
          <w:rFonts w:hint="eastAsia" w:ascii="宋体" w:hAnsi="宋体" w:eastAsia="宋体" w:cs="宋体"/>
          <w:sz w:val="28"/>
          <w:szCs w:val="28"/>
          <w:lang w:eastAsia="zh-CN"/>
        </w:rPr>
      </w:pPr>
      <w:bookmarkStart w:id="126" w:name="_Toc18957"/>
      <w:bookmarkStart w:id="127" w:name="_Toc16763"/>
      <w:bookmarkStart w:id="128" w:name="_Toc10127"/>
      <w:r>
        <w:rPr>
          <w:rFonts w:ascii="Times New Roman" w:hAnsi="Times New Roman" w:eastAsia="Times New Roman" w:cs="Times New Roman"/>
          <w:b/>
          <w:bCs/>
          <w:spacing w:val="-3"/>
          <w:sz w:val="28"/>
          <w:szCs w:val="28"/>
          <w:lang w:eastAsia="zh-CN"/>
        </w:rPr>
        <w:t xml:space="preserve">2.5.8 </w:t>
      </w:r>
      <w:r>
        <w:rPr>
          <w:rFonts w:ascii="宋体" w:hAnsi="宋体" w:eastAsia="宋体" w:cs="宋体"/>
          <w:b/>
          <w:bCs/>
          <w:spacing w:val="-3"/>
          <w:sz w:val="28"/>
          <w:szCs w:val="28"/>
          <w:lang w:eastAsia="zh-CN"/>
        </w:rPr>
        <w:t>个人安全防护</w:t>
      </w:r>
      <w:bookmarkEnd w:id="126"/>
      <w:bookmarkEnd w:id="127"/>
      <w:bookmarkEnd w:id="128"/>
    </w:p>
    <w:p w14:paraId="61018233">
      <w:pPr>
        <w:adjustRightInd w:val="0"/>
        <w:snapToGrid w:val="0"/>
        <w:spacing w:line="360" w:lineRule="auto"/>
        <w:ind w:firstLine="556" w:firstLineChars="192"/>
        <w:rPr>
          <w:rFonts w:hint="default" w:ascii="Times New Roman" w:hAnsi="Times New Roman" w:cs="Times New Roman"/>
          <w:color w:val="000000"/>
          <w:sz w:val="28"/>
          <w:szCs w:val="28"/>
        </w:rPr>
      </w:pPr>
      <w:r>
        <w:rPr>
          <w:rFonts w:ascii="宋体" w:hAnsi="宋体" w:eastAsia="宋体" w:cs="宋体"/>
          <w:spacing w:val="5"/>
          <w:sz w:val="28"/>
          <w:szCs w:val="28"/>
          <w:lang w:eastAsia="zh-CN"/>
        </w:rPr>
        <w:t>企业按照《个体防护装备配备规范</w:t>
      </w:r>
      <w:r>
        <w:rPr>
          <w:rFonts w:ascii="宋体" w:hAnsi="宋体" w:eastAsia="宋体" w:cs="宋体"/>
          <w:spacing w:val="-28"/>
          <w:sz w:val="28"/>
          <w:szCs w:val="28"/>
          <w:lang w:eastAsia="zh-CN"/>
        </w:rPr>
        <w:t xml:space="preserve"> </w:t>
      </w:r>
      <w:r>
        <w:rPr>
          <w:rFonts w:ascii="宋体" w:hAnsi="宋体" w:eastAsia="宋体" w:cs="宋体"/>
          <w:spacing w:val="5"/>
          <w:sz w:val="28"/>
          <w:szCs w:val="28"/>
          <w:lang w:eastAsia="zh-CN"/>
        </w:rPr>
        <w:t>第</w:t>
      </w:r>
      <w:r>
        <w:rPr>
          <w:rFonts w:ascii="宋体" w:hAnsi="宋体" w:eastAsia="宋体" w:cs="宋体"/>
          <w:spacing w:val="-59"/>
          <w:sz w:val="28"/>
          <w:szCs w:val="28"/>
          <w:lang w:eastAsia="zh-CN"/>
        </w:rPr>
        <w:t xml:space="preserve"> </w:t>
      </w:r>
      <w:r>
        <w:rPr>
          <w:rFonts w:ascii="Times New Roman" w:hAnsi="Times New Roman" w:eastAsia="Times New Roman" w:cs="Times New Roman"/>
          <w:spacing w:val="5"/>
          <w:sz w:val="28"/>
          <w:szCs w:val="28"/>
          <w:lang w:eastAsia="zh-CN"/>
        </w:rPr>
        <w:t xml:space="preserve">4 </w:t>
      </w:r>
      <w:r>
        <w:rPr>
          <w:rFonts w:ascii="宋体" w:hAnsi="宋体" w:eastAsia="宋体" w:cs="宋体"/>
          <w:spacing w:val="5"/>
          <w:sz w:val="28"/>
          <w:szCs w:val="28"/>
          <w:lang w:eastAsia="zh-CN"/>
        </w:rPr>
        <w:t>部分：非煤矿山》（</w:t>
      </w:r>
      <w:r>
        <w:rPr>
          <w:rFonts w:ascii="Times New Roman" w:hAnsi="Times New Roman" w:eastAsia="Times New Roman" w:cs="Times New Roman"/>
          <w:sz w:val="28"/>
          <w:szCs w:val="28"/>
          <w:lang w:eastAsia="zh-CN"/>
        </w:rPr>
        <w:t xml:space="preserve">GB </w:t>
      </w:r>
      <w:r>
        <w:rPr>
          <w:rFonts w:ascii="Times New Roman" w:hAnsi="Times New Roman" w:eastAsia="Times New Roman" w:cs="Times New Roman"/>
          <w:spacing w:val="6"/>
          <w:sz w:val="28"/>
          <w:szCs w:val="28"/>
          <w:lang w:eastAsia="zh-CN"/>
        </w:rPr>
        <w:t>39800.4-2020</w:t>
      </w:r>
      <w:r>
        <w:rPr>
          <w:rFonts w:ascii="宋体" w:hAnsi="宋体" w:eastAsia="宋体" w:cs="宋体"/>
          <w:spacing w:val="6"/>
          <w:sz w:val="28"/>
          <w:szCs w:val="28"/>
          <w:lang w:eastAsia="zh-CN"/>
        </w:rPr>
        <w:t>）要求，</w:t>
      </w:r>
      <w:r>
        <w:rPr>
          <w:rFonts w:hint="default" w:ascii="Times New Roman" w:hAnsi="Times New Roman" w:cs="Times New Roman"/>
          <w:color w:val="000000"/>
          <w:sz w:val="28"/>
          <w:szCs w:val="28"/>
        </w:rPr>
        <w:t>尾矿库区设立专门的抢险材料库，材料库内配备尾矿库事故应急救援装备，如雨衣、雨鞋、照明手电、铁锹、安全帽、土工布袋，土工布、膜袋等。</w:t>
      </w:r>
    </w:p>
    <w:p w14:paraId="421ADBBE">
      <w:pPr>
        <w:spacing w:line="360" w:lineRule="auto"/>
        <w:outlineLvl w:val="2"/>
        <w:rPr>
          <w:rFonts w:hint="eastAsia" w:ascii="宋体" w:hAnsi="宋体" w:eastAsia="宋体" w:cs="宋体"/>
          <w:color w:val="auto"/>
          <w:sz w:val="28"/>
          <w:szCs w:val="28"/>
          <w:lang w:eastAsia="zh-CN"/>
        </w:rPr>
      </w:pPr>
      <w:bookmarkStart w:id="129" w:name="_Toc358"/>
      <w:bookmarkStart w:id="130" w:name="_Toc21955"/>
      <w:bookmarkStart w:id="131" w:name="_Toc22486"/>
      <w:r>
        <w:rPr>
          <w:rFonts w:ascii="Times New Roman" w:hAnsi="Times New Roman" w:eastAsia="Times New Roman" w:cs="Times New Roman"/>
          <w:b/>
          <w:bCs/>
          <w:color w:val="auto"/>
          <w:spacing w:val="-3"/>
          <w:sz w:val="28"/>
          <w:szCs w:val="28"/>
          <w:lang w:eastAsia="zh-CN"/>
        </w:rPr>
        <w:t xml:space="preserve">2.5.9 </w:t>
      </w:r>
      <w:r>
        <w:rPr>
          <w:rFonts w:ascii="宋体" w:hAnsi="宋体" w:eastAsia="宋体" w:cs="宋体"/>
          <w:b/>
          <w:bCs/>
          <w:color w:val="auto"/>
          <w:spacing w:val="-3"/>
          <w:sz w:val="28"/>
          <w:szCs w:val="28"/>
          <w:lang w:eastAsia="zh-CN"/>
        </w:rPr>
        <w:t>企业安全生产管理</w:t>
      </w:r>
      <w:bookmarkEnd w:id="129"/>
      <w:bookmarkEnd w:id="130"/>
      <w:bookmarkEnd w:id="131"/>
    </w:p>
    <w:p w14:paraId="09C8ED8A">
      <w:pPr>
        <w:spacing w:line="360" w:lineRule="auto"/>
        <w:outlineLvl w:val="2"/>
        <w:rPr>
          <w:rFonts w:hint="eastAsia" w:ascii="Times New Roman" w:hAnsi="Times New Roman" w:eastAsia="Times New Roman" w:cs="Times New Roman"/>
          <w:b/>
          <w:bCs/>
          <w:spacing w:val="-2"/>
          <w:sz w:val="28"/>
          <w:szCs w:val="28"/>
          <w:lang w:val="en-US" w:eastAsia="zh-CN"/>
        </w:rPr>
      </w:pPr>
      <w:bookmarkStart w:id="132" w:name="_Toc32733"/>
      <w:bookmarkStart w:id="133" w:name="_Toc31838"/>
      <w:bookmarkStart w:id="134" w:name="_Toc3900"/>
      <w:r>
        <w:rPr>
          <w:rFonts w:hint="eastAsia" w:ascii="Times New Roman" w:hAnsi="Times New Roman" w:eastAsia="Times New Roman" w:cs="Times New Roman"/>
          <w:b/>
          <w:bCs/>
          <w:spacing w:val="-2"/>
          <w:sz w:val="28"/>
          <w:szCs w:val="28"/>
          <w:lang w:val="en-US" w:eastAsia="zh-CN"/>
        </w:rPr>
        <w:t>Xxx</w:t>
      </w:r>
    </w:p>
    <w:p w14:paraId="70E4018D">
      <w:pPr>
        <w:spacing w:line="360" w:lineRule="auto"/>
        <w:outlineLvl w:val="2"/>
        <w:rPr>
          <w:rFonts w:hint="eastAsia" w:ascii="宋体" w:hAnsi="宋体" w:eastAsia="宋体" w:cs="宋体"/>
          <w:sz w:val="28"/>
          <w:szCs w:val="28"/>
          <w:lang w:eastAsia="zh-CN"/>
        </w:rPr>
      </w:pPr>
      <w:r>
        <w:rPr>
          <w:rFonts w:ascii="Times New Roman" w:hAnsi="Times New Roman" w:eastAsia="Times New Roman" w:cs="Times New Roman"/>
          <w:b/>
          <w:bCs/>
          <w:spacing w:val="-2"/>
          <w:sz w:val="28"/>
          <w:szCs w:val="28"/>
          <w:lang w:eastAsia="zh-CN"/>
        </w:rPr>
        <w:t xml:space="preserve">2.5.10 </w:t>
      </w:r>
      <w:r>
        <w:rPr>
          <w:rFonts w:ascii="宋体" w:hAnsi="宋体" w:eastAsia="宋体" w:cs="宋体"/>
          <w:b/>
          <w:bCs/>
          <w:spacing w:val="-2"/>
          <w:sz w:val="28"/>
          <w:szCs w:val="28"/>
          <w:lang w:eastAsia="zh-CN"/>
        </w:rPr>
        <w:t>上一周期安全生产许可期间生产基</w:t>
      </w:r>
      <w:r>
        <w:rPr>
          <w:rFonts w:ascii="宋体" w:hAnsi="宋体" w:eastAsia="宋体" w:cs="宋体"/>
          <w:b/>
          <w:bCs/>
          <w:spacing w:val="-3"/>
          <w:sz w:val="28"/>
          <w:szCs w:val="28"/>
          <w:lang w:eastAsia="zh-CN"/>
        </w:rPr>
        <w:t>本情况</w:t>
      </w:r>
      <w:bookmarkEnd w:id="132"/>
      <w:bookmarkEnd w:id="133"/>
      <w:bookmarkEnd w:id="134"/>
    </w:p>
    <w:p w14:paraId="3F0283B8">
      <w:pPr>
        <w:spacing w:line="360" w:lineRule="auto"/>
        <w:rPr>
          <w:rFonts w:hint="default" w:ascii="宋体" w:hAnsi="宋体" w:eastAsia="宋体" w:cs="宋体"/>
          <w:sz w:val="28"/>
          <w:szCs w:val="28"/>
          <w:lang w:val="en-US" w:eastAsia="zh-CN"/>
        </w:rPr>
        <w:sectPr>
          <w:headerReference r:id="rId9" w:type="default"/>
          <w:footerReference r:id="rId10" w:type="default"/>
          <w:pgSz w:w="11906" w:h="16839"/>
          <w:pgMar w:top="1433" w:right="1586" w:bottom="1456" w:left="1701" w:header="1151" w:footer="1125" w:gutter="0"/>
          <w:cols w:space="720" w:num="1"/>
        </w:sectPr>
      </w:pPr>
      <w:r>
        <w:rPr>
          <w:rFonts w:hint="eastAsia" w:ascii="宋体" w:hAnsi="宋体" w:eastAsia="宋体" w:cs="宋体"/>
          <w:sz w:val="28"/>
          <w:szCs w:val="28"/>
          <w:lang w:val="en-US" w:eastAsia="zh-CN"/>
        </w:rPr>
        <w:t>xxx</w:t>
      </w:r>
    </w:p>
    <w:p w14:paraId="5E840F12">
      <w:pPr>
        <w:spacing w:line="360" w:lineRule="auto"/>
        <w:jc w:val="center"/>
        <w:outlineLvl w:val="0"/>
        <w:rPr>
          <w:rFonts w:hint="eastAsia" w:ascii="黑体" w:hAnsi="黑体" w:eastAsia="黑体" w:cs="黑体"/>
          <w:sz w:val="31"/>
          <w:szCs w:val="31"/>
          <w:lang w:eastAsia="zh-CN"/>
        </w:rPr>
      </w:pPr>
      <w:bookmarkStart w:id="135" w:name="bookmark24"/>
      <w:bookmarkEnd w:id="135"/>
      <w:bookmarkStart w:id="136" w:name="_Toc2908"/>
      <w:bookmarkStart w:id="137" w:name="_Toc7017"/>
      <w:r>
        <w:rPr>
          <w:rFonts w:ascii="Times New Roman" w:hAnsi="Times New Roman" w:eastAsia="Times New Roman" w:cs="Times New Roman"/>
          <w:b/>
          <w:bCs/>
          <w:spacing w:val="6"/>
          <w:sz w:val="31"/>
          <w:szCs w:val="31"/>
          <w:lang w:eastAsia="zh-CN"/>
        </w:rPr>
        <w:t xml:space="preserve">3 </w:t>
      </w:r>
      <w:r>
        <w:rPr>
          <w:rFonts w:ascii="黑体" w:hAnsi="黑体" w:eastAsia="黑体" w:cs="黑体"/>
          <w:b/>
          <w:bCs/>
          <w:spacing w:val="6"/>
          <w:sz w:val="31"/>
          <w:szCs w:val="31"/>
          <w:lang w:eastAsia="zh-CN"/>
        </w:rPr>
        <w:t>主要危险、有害因素辨识及分析</w:t>
      </w:r>
      <w:bookmarkEnd w:id="136"/>
      <w:bookmarkEnd w:id="137"/>
    </w:p>
    <w:p w14:paraId="0B430E98">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在</w:t>
      </w:r>
      <w:r>
        <w:rPr>
          <w:rFonts w:ascii="宋体" w:hAnsi="宋体" w:eastAsia="宋体" w:cs="宋体"/>
          <w:spacing w:val="2"/>
          <w:sz w:val="28"/>
          <w:szCs w:val="28"/>
          <w:lang w:eastAsia="zh-CN"/>
        </w:rPr>
        <w:t>矿山生产过程中，尾矿库是可能导致人员伤亡、财产损失的不安全因素，属于危险源之一。尾矿库的危害不只涉及企业内部亦涉</w:t>
      </w:r>
      <w:r>
        <w:rPr>
          <w:rFonts w:ascii="宋体" w:hAnsi="宋体" w:eastAsia="宋体" w:cs="宋体"/>
          <w:spacing w:val="1"/>
          <w:sz w:val="28"/>
          <w:szCs w:val="28"/>
          <w:lang w:eastAsia="zh-CN"/>
        </w:rPr>
        <w:t>及尾矿库周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围环境。一旦溃坝将会对其下游的工业、民用建筑、公路、输</w:t>
      </w:r>
      <w:r>
        <w:rPr>
          <w:rFonts w:ascii="宋体" w:hAnsi="宋体" w:eastAsia="宋体" w:cs="宋体"/>
          <w:spacing w:val="1"/>
          <w:sz w:val="28"/>
          <w:szCs w:val="28"/>
          <w:lang w:eastAsia="zh-CN"/>
        </w:rPr>
        <w:t>电线路、农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田及其它建、构筑物造成巨大危害，甚至导致人员伤亡、财产</w:t>
      </w:r>
      <w:r>
        <w:rPr>
          <w:rFonts w:ascii="宋体" w:hAnsi="宋体" w:eastAsia="宋体" w:cs="宋体"/>
          <w:spacing w:val="1"/>
          <w:sz w:val="28"/>
          <w:szCs w:val="28"/>
          <w:lang w:eastAsia="zh-CN"/>
        </w:rPr>
        <w:t>损失，后果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是非常严重的。国内外尾矿库事故案例类型繁多，有：</w:t>
      </w:r>
      <w:r>
        <w:rPr>
          <w:rFonts w:ascii="宋体" w:hAnsi="宋体" w:eastAsia="宋体" w:cs="宋体"/>
          <w:spacing w:val="1"/>
          <w:sz w:val="28"/>
          <w:szCs w:val="28"/>
          <w:lang w:eastAsia="zh-CN"/>
        </w:rPr>
        <w:t>坝体失稳、洪水漫</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顶、因地震造成坝体液化、渗流造成管涌、坝基过度沉陷等。</w:t>
      </w:r>
      <w:r>
        <w:rPr>
          <w:rFonts w:ascii="宋体" w:hAnsi="宋体" w:eastAsia="宋体" w:cs="宋体"/>
          <w:spacing w:val="1"/>
          <w:sz w:val="28"/>
          <w:szCs w:val="28"/>
          <w:lang w:eastAsia="zh-CN"/>
        </w:rPr>
        <w:t>随着现代科</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学技术的发展，通过对尾矿库已发生事故进行科学的分析</w:t>
      </w:r>
      <w:r>
        <w:rPr>
          <w:rFonts w:ascii="宋体" w:hAnsi="宋体" w:eastAsia="宋体" w:cs="宋体"/>
          <w:spacing w:val="1"/>
          <w:sz w:val="28"/>
          <w:szCs w:val="28"/>
          <w:lang w:eastAsia="zh-CN"/>
        </w:rPr>
        <w:t>和总结，制定安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全标准和对策措施，进行综合比较和评价，来预防事故的发生</w:t>
      </w:r>
      <w:r>
        <w:rPr>
          <w:rFonts w:ascii="宋体" w:hAnsi="宋体" w:eastAsia="宋体" w:cs="宋体"/>
          <w:spacing w:val="1"/>
          <w:sz w:val="28"/>
          <w:szCs w:val="28"/>
          <w:lang w:eastAsia="zh-CN"/>
        </w:rPr>
        <w:t>。为使对危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险、有害因素的辨识与分析全面、清晰和条理化，采取按生产</w:t>
      </w:r>
      <w:r>
        <w:rPr>
          <w:rFonts w:ascii="宋体" w:hAnsi="宋体" w:eastAsia="宋体" w:cs="宋体"/>
          <w:spacing w:val="1"/>
          <w:sz w:val="28"/>
          <w:szCs w:val="28"/>
          <w:lang w:eastAsia="zh-CN"/>
        </w:rPr>
        <w:t>过程危险和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有害因素分类对其致害原因进行总结，并按导致事故的直接原</w:t>
      </w:r>
      <w:r>
        <w:rPr>
          <w:rFonts w:ascii="宋体" w:hAnsi="宋体" w:eastAsia="宋体" w:cs="宋体"/>
          <w:spacing w:val="1"/>
          <w:sz w:val="28"/>
          <w:szCs w:val="28"/>
          <w:lang w:eastAsia="zh-CN"/>
        </w:rPr>
        <w:t>因进行辨识</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和分析。</w:t>
      </w:r>
    </w:p>
    <w:p w14:paraId="269383A9">
      <w:pPr>
        <w:spacing w:line="360" w:lineRule="auto"/>
        <w:jc w:val="center"/>
        <w:outlineLvl w:val="0"/>
        <w:rPr>
          <w:rFonts w:hint="eastAsia" w:ascii="黑体" w:hAnsi="黑体" w:eastAsia="黑体" w:cs="黑体"/>
          <w:sz w:val="30"/>
          <w:szCs w:val="30"/>
          <w:lang w:eastAsia="zh-CN"/>
        </w:rPr>
      </w:pPr>
      <w:bookmarkStart w:id="138" w:name="bookmark26"/>
      <w:bookmarkEnd w:id="138"/>
      <w:bookmarkStart w:id="139" w:name="_Toc32518"/>
      <w:bookmarkStart w:id="140" w:name="_Toc3603"/>
      <w:r>
        <w:rPr>
          <w:rFonts w:ascii="Times New Roman" w:hAnsi="Times New Roman" w:eastAsia="Times New Roman" w:cs="Times New Roman"/>
          <w:b/>
          <w:bCs/>
          <w:spacing w:val="-3"/>
          <w:sz w:val="30"/>
          <w:szCs w:val="30"/>
          <w:lang w:eastAsia="zh-CN"/>
        </w:rPr>
        <w:t xml:space="preserve">3.1 </w:t>
      </w:r>
      <w:r>
        <w:rPr>
          <w:rFonts w:ascii="黑体" w:hAnsi="黑体" w:eastAsia="黑体" w:cs="黑体"/>
          <w:b/>
          <w:bCs/>
          <w:spacing w:val="-3"/>
          <w:sz w:val="30"/>
          <w:szCs w:val="30"/>
          <w:lang w:eastAsia="zh-CN"/>
        </w:rPr>
        <w:t>主要危险因素辨识及分析</w:t>
      </w:r>
      <w:bookmarkEnd w:id="139"/>
      <w:bookmarkEnd w:id="140"/>
    </w:p>
    <w:p w14:paraId="042EA4D8">
      <w:pPr>
        <w:spacing w:line="360" w:lineRule="auto"/>
        <w:outlineLvl w:val="2"/>
        <w:rPr>
          <w:rFonts w:hint="eastAsia" w:ascii="宋体" w:hAnsi="宋体" w:eastAsia="宋体" w:cs="宋体"/>
          <w:sz w:val="28"/>
          <w:szCs w:val="28"/>
          <w:lang w:eastAsia="zh-CN"/>
        </w:rPr>
      </w:pPr>
      <w:bookmarkStart w:id="141" w:name="_Toc32175"/>
      <w:bookmarkStart w:id="142" w:name="_Toc8470"/>
      <w:bookmarkStart w:id="143" w:name="_Toc9637"/>
      <w:r>
        <w:rPr>
          <w:rFonts w:ascii="Times New Roman" w:hAnsi="Times New Roman" w:eastAsia="Times New Roman" w:cs="Times New Roman"/>
          <w:b/>
          <w:bCs/>
          <w:spacing w:val="-3"/>
          <w:sz w:val="28"/>
          <w:szCs w:val="28"/>
          <w:lang w:eastAsia="zh-CN"/>
        </w:rPr>
        <w:t xml:space="preserve">3.1.1 </w:t>
      </w:r>
      <w:r>
        <w:rPr>
          <w:rFonts w:ascii="宋体" w:hAnsi="宋体" w:eastAsia="宋体" w:cs="宋体"/>
          <w:b/>
          <w:bCs/>
          <w:spacing w:val="-3"/>
          <w:sz w:val="28"/>
          <w:szCs w:val="28"/>
          <w:lang w:eastAsia="zh-CN"/>
        </w:rPr>
        <w:t>溃坝</w:t>
      </w:r>
      <w:bookmarkEnd w:id="141"/>
      <w:bookmarkEnd w:id="142"/>
      <w:bookmarkEnd w:id="143"/>
    </w:p>
    <w:p w14:paraId="0C7699A9">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造成尾矿库溃坝的因素有：</w:t>
      </w:r>
    </w:p>
    <w:p w14:paraId="3CF19BC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w:t>
      </w:r>
      <w:r>
        <w:rPr>
          <w:rFonts w:hint="eastAsia" w:ascii="宋体" w:hAnsi="宋体" w:eastAsia="宋体" w:cs="宋体"/>
          <w:spacing w:val="-3"/>
          <w:sz w:val="28"/>
          <w:szCs w:val="28"/>
          <w:lang w:val="en-US" w:eastAsia="zh-CN"/>
        </w:rPr>
        <w:t>堆积体、</w:t>
      </w:r>
      <w:r>
        <w:rPr>
          <w:rFonts w:ascii="宋体" w:hAnsi="宋体" w:eastAsia="宋体" w:cs="宋体"/>
          <w:spacing w:val="-3"/>
          <w:sz w:val="28"/>
          <w:szCs w:val="28"/>
          <w:lang w:eastAsia="zh-CN"/>
        </w:rPr>
        <w:t>坝体边坡过陡</w:t>
      </w:r>
    </w:p>
    <w:p w14:paraId="1BF2ABD1">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过陡的坝体边坡往往增加尾矿坝边坡范围内的最危险滑动面上的</w:t>
      </w:r>
      <w:r>
        <w:rPr>
          <w:rFonts w:ascii="宋体" w:hAnsi="宋体" w:eastAsia="宋体" w:cs="宋体"/>
          <w:spacing w:val="1"/>
          <w:sz w:val="28"/>
          <w:szCs w:val="28"/>
          <w:lang w:eastAsia="zh-CN"/>
        </w:rPr>
        <w:t>滑动</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土体的下滑力，减小阻滑力，使得尾矿坝体的安全系数减小。</w:t>
      </w:r>
    </w:p>
    <w:p w14:paraId="47B62813">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（2）防洪能力不足</w:t>
      </w:r>
    </w:p>
    <w:p w14:paraId="322C2EC1">
      <w:pPr>
        <w:spacing w:line="360" w:lineRule="auto"/>
        <w:ind w:firstLine="574"/>
        <w:rPr>
          <w:rFonts w:hint="eastAsia" w:ascii="宋体" w:hAnsi="宋体" w:eastAsia="宋体" w:cs="宋体"/>
          <w:sz w:val="28"/>
          <w:szCs w:val="28"/>
          <w:lang w:eastAsia="zh-CN"/>
        </w:rPr>
      </w:pPr>
      <w:r>
        <w:rPr>
          <w:rFonts w:ascii="宋体" w:hAnsi="宋体" w:eastAsia="宋体" w:cs="宋体"/>
          <w:spacing w:val="1"/>
          <w:sz w:val="28"/>
          <w:szCs w:val="28"/>
          <w:lang w:eastAsia="zh-CN"/>
        </w:rPr>
        <w:t>防洪能力不足将使库水位急剧升高，库区调洪能力有限加之泄洪能力</w:t>
      </w:r>
      <w:r>
        <w:rPr>
          <w:rFonts w:ascii="宋体" w:hAnsi="宋体" w:eastAsia="宋体" w:cs="宋体"/>
          <w:spacing w:val="6"/>
          <w:sz w:val="28"/>
          <w:szCs w:val="28"/>
          <w:lang w:eastAsia="zh-CN"/>
        </w:rPr>
        <w:t xml:space="preserve">  </w:t>
      </w:r>
      <w:r>
        <w:rPr>
          <w:rFonts w:ascii="宋体" w:hAnsi="宋体" w:eastAsia="宋体" w:cs="宋体"/>
          <w:spacing w:val="2"/>
          <w:sz w:val="28"/>
          <w:szCs w:val="28"/>
          <w:lang w:eastAsia="zh-CN"/>
        </w:rPr>
        <w:t>不足，会直接造成洪水漫坝，使坝体决口。由于库水位</w:t>
      </w:r>
      <w:r>
        <w:rPr>
          <w:rFonts w:ascii="宋体" w:hAnsi="宋体" w:eastAsia="宋体" w:cs="宋体"/>
          <w:spacing w:val="1"/>
          <w:sz w:val="28"/>
          <w:szCs w:val="28"/>
          <w:lang w:eastAsia="zh-CN"/>
        </w:rPr>
        <w:t>增高也将使坝体浸</w:t>
      </w:r>
      <w:r>
        <w:rPr>
          <w:rFonts w:ascii="宋体" w:hAnsi="宋体" w:eastAsia="宋体" w:cs="宋体"/>
          <w:sz w:val="28"/>
          <w:szCs w:val="28"/>
          <w:lang w:eastAsia="zh-CN"/>
        </w:rPr>
        <w:t xml:space="preserve">  润线升高，从坝坡溢出，引发坝体渗流形成管涌、流土，使坝体塌滑破坏。</w:t>
      </w:r>
    </w:p>
    <w:p w14:paraId="640A7163">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（3）不良的尾矿性质及不规范的放矿方法</w:t>
      </w:r>
    </w:p>
    <w:p w14:paraId="7FACC38B">
      <w:pPr>
        <w:spacing w:line="360" w:lineRule="auto"/>
        <w:ind w:firstLine="554"/>
        <w:rPr>
          <w:rFonts w:hint="eastAsia" w:ascii="宋体" w:hAnsi="宋体" w:eastAsia="宋体" w:cs="宋体"/>
          <w:sz w:val="28"/>
          <w:szCs w:val="28"/>
          <w:lang w:eastAsia="zh-CN"/>
        </w:rPr>
      </w:pPr>
      <w:r>
        <w:rPr>
          <w:rFonts w:ascii="宋体" w:hAnsi="宋体" w:eastAsia="宋体" w:cs="宋体"/>
          <w:spacing w:val="-3"/>
          <w:sz w:val="28"/>
          <w:szCs w:val="28"/>
          <w:lang w:eastAsia="zh-CN"/>
        </w:rPr>
        <w:t>尾矿性质：尾矿颗粒粒度、矿物组成对尾矿坝抗剪强度有直接的影响，</w:t>
      </w:r>
      <w:r>
        <w:rPr>
          <w:rFonts w:ascii="宋体" w:hAnsi="宋体" w:eastAsia="宋体" w:cs="宋体"/>
          <w:spacing w:val="18"/>
          <w:sz w:val="28"/>
          <w:szCs w:val="28"/>
          <w:lang w:eastAsia="zh-CN"/>
        </w:rPr>
        <w:t xml:space="preserve"> </w:t>
      </w:r>
      <w:r>
        <w:rPr>
          <w:rFonts w:ascii="宋体" w:hAnsi="宋体" w:eastAsia="宋体" w:cs="宋体"/>
          <w:spacing w:val="5"/>
          <w:sz w:val="28"/>
          <w:szCs w:val="28"/>
          <w:lang w:eastAsia="zh-CN"/>
        </w:rPr>
        <w:t>一般来说粗颗粒原生矿物的内摩擦角</w:t>
      </w:r>
      <w:r>
        <w:rPr>
          <w:rFonts w:ascii="Times New Roman" w:hAnsi="Times New Roman" w:eastAsia="Times New Roman" w:cs="Times New Roman"/>
          <w:spacing w:val="5"/>
          <w:sz w:val="28"/>
          <w:szCs w:val="28"/>
        </w:rPr>
        <w:t>φ</w:t>
      </w:r>
      <w:r>
        <w:rPr>
          <w:rFonts w:ascii="宋体" w:hAnsi="宋体" w:eastAsia="宋体" w:cs="宋体"/>
          <w:spacing w:val="5"/>
          <w:sz w:val="28"/>
          <w:szCs w:val="28"/>
          <w:lang w:eastAsia="zh-CN"/>
        </w:rPr>
        <w:t>的数值比较高，强度高；细颗粒氧</w:t>
      </w:r>
    </w:p>
    <w:p w14:paraId="21D6B0DF">
      <w:pPr>
        <w:spacing w:line="360" w:lineRule="auto"/>
        <w:rPr>
          <w:rFonts w:hint="eastAsia" w:ascii="宋体" w:hAnsi="宋体" w:eastAsia="宋体" w:cs="宋体"/>
          <w:sz w:val="28"/>
          <w:szCs w:val="28"/>
          <w:lang w:eastAsia="zh-CN"/>
        </w:rPr>
        <w:sectPr>
          <w:headerReference r:id="rId11" w:type="default"/>
          <w:footerReference r:id="rId12" w:type="default"/>
          <w:pgSz w:w="11906" w:h="16839"/>
          <w:pgMar w:top="1150" w:right="1046" w:bottom="1315" w:left="1588" w:header="868" w:footer="986" w:gutter="0"/>
          <w:cols w:space="720" w:num="1"/>
        </w:sectPr>
      </w:pPr>
    </w:p>
    <w:p w14:paraId="444C1AC7">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化黏土矿物内摩擦角</w:t>
      </w:r>
      <w:r>
        <w:rPr>
          <w:rFonts w:ascii="Times New Roman" w:hAnsi="Times New Roman" w:eastAsia="Times New Roman" w:cs="Times New Roman"/>
          <w:spacing w:val="-1"/>
          <w:sz w:val="28"/>
          <w:szCs w:val="28"/>
        </w:rPr>
        <w:t>φ</w:t>
      </w:r>
      <w:r>
        <w:rPr>
          <w:rFonts w:ascii="宋体" w:hAnsi="宋体" w:eastAsia="宋体" w:cs="宋体"/>
          <w:spacing w:val="-1"/>
          <w:sz w:val="28"/>
          <w:szCs w:val="28"/>
          <w:lang w:eastAsia="zh-CN"/>
        </w:rPr>
        <w:t>的数值低，强度低。</w:t>
      </w:r>
    </w:p>
    <w:p w14:paraId="36AC0DE0">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（4）不合理的坝体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的几何参数及结构</w:t>
      </w:r>
    </w:p>
    <w:p w14:paraId="019D0C17">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的几何参数及结构对尾矿</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的安全的影响主要体现在边坡</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val="en-US" w:eastAsia="zh-CN"/>
        </w:rPr>
        <w:t>及堆积体</w:t>
      </w:r>
      <w:r>
        <w:rPr>
          <w:rFonts w:ascii="Times New Roman" w:hAnsi="Times New Roman" w:eastAsia="宋体" w:cs="Times New Roman"/>
          <w:spacing w:val="-3"/>
          <w:sz w:val="28"/>
          <w:szCs w:val="28"/>
          <w:lang w:eastAsia="zh-CN"/>
        </w:rPr>
        <w:t>的防、排渗处理上。对于</w:t>
      </w:r>
      <w:r>
        <w:rPr>
          <w:rFonts w:hint="eastAsia" w:ascii="Times New Roman" w:hAnsi="Times New Roman" w:eastAsia="宋体" w:cs="Times New Roman"/>
          <w:spacing w:val="-3"/>
          <w:sz w:val="28"/>
          <w:szCs w:val="28"/>
          <w:lang w:val="en-US" w:eastAsia="zh-CN"/>
        </w:rPr>
        <w:t>其</w:t>
      </w:r>
      <w:r>
        <w:rPr>
          <w:rFonts w:ascii="Times New Roman" w:hAnsi="Times New Roman" w:eastAsia="宋体" w:cs="Times New Roman"/>
          <w:spacing w:val="-3"/>
          <w:sz w:val="28"/>
          <w:szCs w:val="28"/>
          <w:lang w:eastAsia="zh-CN"/>
        </w:rPr>
        <w:t>来说，合理的边坡、良好的防排渗措施是坝体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稳定性的基本保证。</w:t>
      </w:r>
    </w:p>
    <w:p w14:paraId="00E58D4D">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（5）尾矿库排洪设施的破坏</w:t>
      </w:r>
    </w:p>
    <w:p w14:paraId="016A6645">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尾矿库排洪设施的破坏导致尾矿外泄的事故在尾矿工程事故中也是比 较常见的事故类型之一。其原因主要是排水设施强度低，不能满足承载要 求，多是设计或施工中人为造成的。</w:t>
      </w:r>
    </w:p>
    <w:p w14:paraId="69E212E1">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（6）不良工程地质</w:t>
      </w:r>
    </w:p>
    <w:p w14:paraId="20FB40F1">
      <w:pPr>
        <w:spacing w:line="360" w:lineRule="auto"/>
        <w:ind w:firstLine="568" w:firstLineChars="200"/>
        <w:rPr>
          <w:rFonts w:ascii="Times New Roman" w:hAnsi="Times New Roman" w:eastAsia="宋体" w:cs="Times New Roman"/>
          <w:spacing w:val="-3"/>
          <w:sz w:val="28"/>
          <w:szCs w:val="28"/>
          <w:lang w:eastAsia="zh-CN"/>
        </w:rPr>
      </w:pPr>
      <w:r>
        <w:rPr>
          <w:rFonts w:ascii="宋体" w:hAnsi="宋体" w:eastAsia="宋体" w:cs="宋体"/>
          <w:spacing w:val="2"/>
          <w:sz w:val="28"/>
          <w:szCs w:val="28"/>
          <w:lang w:eastAsia="zh-CN"/>
        </w:rPr>
        <w:t>不良的工程地质或工程地质不清，地基处理不到位，可能</w:t>
      </w:r>
      <w:r>
        <w:rPr>
          <w:rFonts w:ascii="宋体" w:hAnsi="宋体" w:eastAsia="宋体" w:cs="宋体"/>
          <w:spacing w:val="1"/>
          <w:sz w:val="28"/>
          <w:szCs w:val="28"/>
          <w:lang w:eastAsia="zh-CN"/>
        </w:rPr>
        <w:t>造成坝体不</w:t>
      </w:r>
      <w:r>
        <w:rPr>
          <w:rFonts w:ascii="宋体" w:hAnsi="宋体" w:eastAsia="宋体" w:cs="宋体"/>
          <w:sz w:val="28"/>
          <w:szCs w:val="28"/>
          <w:lang w:eastAsia="zh-CN"/>
        </w:rPr>
        <w:t xml:space="preserve"> </w:t>
      </w:r>
      <w:r>
        <w:rPr>
          <w:rFonts w:ascii="Times New Roman" w:hAnsi="Times New Roman" w:eastAsia="宋体" w:cs="Times New Roman"/>
          <w:spacing w:val="-3"/>
          <w:sz w:val="28"/>
          <w:szCs w:val="28"/>
          <w:lang w:eastAsia="zh-CN"/>
        </w:rPr>
        <w:t>均匀沉陷，从而造成溃坝事故的发生，造成排水构筑物坍塌。</w:t>
      </w:r>
    </w:p>
    <w:p w14:paraId="61F70E7A">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（7）施工质量不佳</w:t>
      </w:r>
    </w:p>
    <w:p w14:paraId="5DF34F9C">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没有按照设计规范施工，或施工质量达不到规范与设计要求，如坝体 施工中清基不彻底，坝体密实度不均，筑坝材料不符合要求，反滤层铺设 不当，坝体边坡比陡于设计值等。</w:t>
      </w:r>
    </w:p>
    <w:p w14:paraId="5A420616">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（8）安全管理不善</w:t>
      </w:r>
    </w:p>
    <w:p w14:paraId="31F061D8">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尾矿库的日常管理工作主要包括尾矿排放、排水设施检查维护、监测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设施观测及管理等，不当的管理维护工作皆可对尾矿库安全性带</w:t>
      </w:r>
      <w:r>
        <w:rPr>
          <w:rFonts w:ascii="宋体" w:hAnsi="宋体" w:eastAsia="宋体" w:cs="宋体"/>
          <w:spacing w:val="1"/>
          <w:sz w:val="28"/>
          <w:szCs w:val="28"/>
          <w:lang w:eastAsia="zh-CN"/>
        </w:rPr>
        <w:t>来不利影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响。尾矿排放不当，库区无法形成设计所需的防洪库容，</w:t>
      </w:r>
      <w:r>
        <w:rPr>
          <w:rFonts w:ascii="宋体" w:hAnsi="宋体" w:eastAsia="宋体" w:cs="宋体"/>
          <w:spacing w:val="-3"/>
          <w:sz w:val="28"/>
          <w:szCs w:val="28"/>
          <w:lang w:eastAsia="zh-CN"/>
        </w:rPr>
        <w:t>将导致洪水漫顶，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严重时造成溃坝。排水设施维护不当发生淤堵、坍塌等事故，轻</w:t>
      </w:r>
      <w:r>
        <w:rPr>
          <w:rFonts w:ascii="宋体" w:hAnsi="宋体" w:eastAsia="宋体" w:cs="宋体"/>
          <w:spacing w:val="1"/>
          <w:sz w:val="28"/>
          <w:szCs w:val="28"/>
          <w:lang w:eastAsia="zh-CN"/>
        </w:rPr>
        <w:t>者导致漏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砂、严重时造其成泄流能力不足而发生溃坝事故。尾矿库监测设</w:t>
      </w:r>
      <w:r>
        <w:rPr>
          <w:rFonts w:ascii="宋体" w:hAnsi="宋体" w:eastAsia="宋体" w:cs="宋体"/>
          <w:spacing w:val="1"/>
          <w:sz w:val="28"/>
          <w:szCs w:val="28"/>
          <w:lang w:eastAsia="zh-CN"/>
        </w:rPr>
        <w:t>施未按规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定进行观测，坝体等存在事故隐患未能及时修复。</w:t>
      </w:r>
    </w:p>
    <w:p w14:paraId="6DE66BDD">
      <w:pPr>
        <w:spacing w:line="360" w:lineRule="auto"/>
        <w:outlineLvl w:val="2"/>
        <w:rPr>
          <w:rFonts w:hint="eastAsia" w:ascii="宋体" w:hAnsi="宋体" w:eastAsia="宋体" w:cs="宋体"/>
          <w:sz w:val="28"/>
          <w:szCs w:val="28"/>
          <w:lang w:eastAsia="zh-CN"/>
        </w:rPr>
      </w:pPr>
      <w:bookmarkStart w:id="144" w:name="_Toc6978"/>
      <w:bookmarkStart w:id="145" w:name="_Toc25646"/>
      <w:bookmarkStart w:id="146" w:name="_Toc13169"/>
      <w:r>
        <w:rPr>
          <w:rFonts w:ascii="Times New Roman" w:hAnsi="Times New Roman" w:eastAsia="Times New Roman" w:cs="Times New Roman"/>
          <w:b/>
          <w:bCs/>
          <w:spacing w:val="-2"/>
          <w:sz w:val="28"/>
          <w:szCs w:val="28"/>
          <w:lang w:eastAsia="zh-CN"/>
        </w:rPr>
        <w:t xml:space="preserve">3.1.2 </w:t>
      </w:r>
      <w:r>
        <w:rPr>
          <w:rFonts w:ascii="宋体" w:hAnsi="宋体" w:eastAsia="宋体" w:cs="宋体"/>
          <w:b/>
          <w:bCs/>
          <w:spacing w:val="-2"/>
          <w:sz w:val="28"/>
          <w:szCs w:val="28"/>
          <w:lang w:eastAsia="zh-CN"/>
        </w:rPr>
        <w:t>洪水漫顶</w:t>
      </w:r>
      <w:bookmarkEnd w:id="144"/>
      <w:bookmarkEnd w:id="145"/>
      <w:bookmarkEnd w:id="146"/>
    </w:p>
    <w:p w14:paraId="3BC4F9AB">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造成洪水漫顶的因素有：</w:t>
      </w:r>
    </w:p>
    <w:p w14:paraId="0EAADCAE">
      <w:pPr>
        <w:spacing w:line="360" w:lineRule="auto"/>
        <w:rPr>
          <w:rFonts w:hint="eastAsia" w:ascii="宋体" w:hAnsi="宋体" w:eastAsia="宋体" w:cs="宋体"/>
          <w:sz w:val="28"/>
          <w:szCs w:val="28"/>
          <w:lang w:eastAsia="zh-CN"/>
        </w:rPr>
        <w:sectPr>
          <w:headerReference r:id="rId13" w:type="default"/>
          <w:footerReference r:id="rId14" w:type="default"/>
          <w:pgSz w:w="11906" w:h="16839"/>
          <w:pgMar w:top="1150" w:right="1133" w:bottom="1315" w:left="1588" w:header="868" w:footer="986" w:gutter="0"/>
          <w:cols w:space="720" w:num="1"/>
        </w:sectPr>
      </w:pPr>
    </w:p>
    <w:p w14:paraId="4BE0C498">
      <w:pPr>
        <w:spacing w:line="360" w:lineRule="auto"/>
        <w:ind w:firstLine="563"/>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）设计防洪标准过低、洪水计算错误、尾矿库调洪计算有误、排</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水设施布置不当或尺寸不足导致设计泄洪能力不足。</w:t>
      </w:r>
    </w:p>
    <w:p w14:paraId="08E2DCB4">
      <w:pPr>
        <w:spacing w:line="360" w:lineRule="auto"/>
        <w:ind w:firstLine="567"/>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）排水设施因施工质量不佳或后期维护管理不善造成堵塞、损坏，</w:t>
      </w:r>
      <w:r>
        <w:rPr>
          <w:rFonts w:ascii="宋体" w:hAnsi="宋体" w:eastAsia="宋体" w:cs="宋体"/>
          <w:spacing w:val="11"/>
          <w:sz w:val="28"/>
          <w:szCs w:val="28"/>
          <w:lang w:eastAsia="zh-CN"/>
        </w:rPr>
        <w:t xml:space="preserve"> </w:t>
      </w:r>
      <w:r>
        <w:rPr>
          <w:rFonts w:ascii="宋体" w:hAnsi="宋体" w:eastAsia="宋体" w:cs="宋体"/>
          <w:spacing w:val="-1"/>
          <w:sz w:val="28"/>
          <w:szCs w:val="28"/>
          <w:lang w:eastAsia="zh-CN"/>
        </w:rPr>
        <w:t>丧失部分或全部泄洪能力。</w:t>
      </w:r>
    </w:p>
    <w:p w14:paraId="0239A4E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（3）库区水位控制不善，造成汛前库内水位过高。</w:t>
      </w:r>
    </w:p>
    <w:p w14:paraId="7879197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（4）尾矿库放矿不当，未形成设计要求的沉积滩坡度或</w:t>
      </w:r>
      <w:r>
        <w:rPr>
          <w:rFonts w:hint="eastAsia" w:ascii="Times New Roman" w:hAnsi="Times New Roman" w:eastAsia="宋体" w:cs="Times New Roman"/>
          <w:spacing w:val="6"/>
          <w:sz w:val="28"/>
          <w:szCs w:val="28"/>
          <w:lang w:val="en-US" w:eastAsia="zh-CN"/>
        </w:rPr>
        <w:t>干滩长度</w:t>
      </w:r>
      <w:r>
        <w:rPr>
          <w:rFonts w:ascii="Times New Roman" w:hAnsi="Times New Roman" w:eastAsia="宋体" w:cs="Times New Roman"/>
          <w:spacing w:val="6"/>
          <w:sz w:val="28"/>
          <w:szCs w:val="28"/>
          <w:lang w:eastAsia="zh-CN"/>
        </w:rPr>
        <w:t>。</w:t>
      </w:r>
    </w:p>
    <w:p w14:paraId="58D41194">
      <w:pPr>
        <w:spacing w:line="360" w:lineRule="auto"/>
        <w:outlineLvl w:val="2"/>
        <w:rPr>
          <w:rFonts w:hint="eastAsia" w:ascii="宋体" w:hAnsi="宋体" w:eastAsia="宋体" w:cs="宋体"/>
          <w:sz w:val="28"/>
          <w:szCs w:val="28"/>
          <w:lang w:eastAsia="zh-CN"/>
        </w:rPr>
      </w:pPr>
      <w:bookmarkStart w:id="147" w:name="_Toc25125"/>
      <w:bookmarkStart w:id="148" w:name="_Toc25332"/>
      <w:bookmarkStart w:id="149" w:name="_Toc32190"/>
      <w:r>
        <w:rPr>
          <w:rFonts w:ascii="Times New Roman" w:hAnsi="Times New Roman" w:eastAsia="Times New Roman" w:cs="Times New Roman"/>
          <w:b/>
          <w:bCs/>
          <w:spacing w:val="-4"/>
          <w:sz w:val="28"/>
          <w:szCs w:val="28"/>
          <w:lang w:eastAsia="zh-CN"/>
        </w:rPr>
        <w:t>3.1.3</w:t>
      </w:r>
      <w:r>
        <w:rPr>
          <w:rFonts w:ascii="Times New Roman" w:hAnsi="Times New Roman" w:eastAsia="Times New Roman" w:cs="Times New Roman"/>
          <w:b/>
          <w:bCs/>
          <w:spacing w:val="20"/>
          <w:w w:val="101"/>
          <w:sz w:val="28"/>
          <w:szCs w:val="28"/>
          <w:lang w:eastAsia="zh-CN"/>
        </w:rPr>
        <w:t xml:space="preserve"> </w:t>
      </w:r>
      <w:r>
        <w:rPr>
          <w:rFonts w:ascii="宋体" w:hAnsi="宋体" w:eastAsia="宋体" w:cs="宋体"/>
          <w:b/>
          <w:bCs/>
          <w:spacing w:val="-4"/>
          <w:sz w:val="28"/>
          <w:szCs w:val="28"/>
          <w:lang w:eastAsia="zh-CN"/>
        </w:rPr>
        <w:t>结构破坏</w:t>
      </w:r>
      <w:bookmarkEnd w:id="147"/>
      <w:bookmarkEnd w:id="148"/>
      <w:bookmarkEnd w:id="149"/>
    </w:p>
    <w:p w14:paraId="5AB32FA8">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尾矿库排洪设施多为混凝土结构，结构受损、失事比例较高，应是排</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洪设施安全检查和维护的重点之一。按照国家工程结构</w:t>
      </w:r>
      <w:r>
        <w:rPr>
          <w:rFonts w:ascii="宋体" w:hAnsi="宋体" w:eastAsia="宋体" w:cs="宋体"/>
          <w:spacing w:val="1"/>
          <w:sz w:val="28"/>
          <w:szCs w:val="28"/>
          <w:lang w:eastAsia="zh-CN"/>
        </w:rPr>
        <w:t>可靠度设计统一标</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准，必须满足承载能力、正常使用、耐久性和坚固性四项功能要求。</w:t>
      </w:r>
    </w:p>
    <w:p w14:paraId="27383885">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混凝土建筑物病害的主要现象有三种：裂缝、渗漏和剥蚀。</w:t>
      </w:r>
    </w:p>
    <w:p w14:paraId="32DCFCCA">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）裂缝：裂缝对水工混凝土建筑物的危害程度不一，严重的裂缝</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不仅危害建筑物的整体性和稳定性，而且还会产生大量的漏</w:t>
      </w:r>
      <w:r>
        <w:rPr>
          <w:rFonts w:ascii="宋体" w:hAnsi="宋体" w:eastAsia="宋体" w:cs="宋体"/>
          <w:spacing w:val="1"/>
          <w:sz w:val="28"/>
          <w:szCs w:val="28"/>
          <w:lang w:eastAsia="zh-CN"/>
        </w:rPr>
        <w:t>水，使坝体及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其他水工建筑物的安全运行受到严重威胁。另外，裂缝往往</w:t>
      </w:r>
      <w:r>
        <w:rPr>
          <w:rFonts w:ascii="宋体" w:hAnsi="宋体" w:eastAsia="宋体" w:cs="宋体"/>
          <w:spacing w:val="1"/>
          <w:sz w:val="28"/>
          <w:szCs w:val="28"/>
          <w:lang w:eastAsia="zh-CN"/>
        </w:rPr>
        <w:t>会引起其他病</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害的发生与发展，如渗漏溶蚀、环境水侵蚀、冻融破坏及钢</w:t>
      </w:r>
      <w:r>
        <w:rPr>
          <w:rFonts w:ascii="宋体" w:hAnsi="宋体" w:eastAsia="宋体" w:cs="宋体"/>
          <w:spacing w:val="1"/>
          <w:sz w:val="28"/>
          <w:szCs w:val="28"/>
          <w:lang w:eastAsia="zh-CN"/>
        </w:rPr>
        <w:t>筋锈蚀等。这</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些病害与裂缝形成恶性循环，会对水工混凝土建筑物的耐久</w:t>
      </w:r>
      <w:r>
        <w:rPr>
          <w:rFonts w:ascii="宋体" w:hAnsi="宋体" w:eastAsia="宋体" w:cs="宋体"/>
          <w:spacing w:val="1"/>
          <w:sz w:val="28"/>
          <w:szCs w:val="28"/>
          <w:lang w:eastAsia="zh-CN"/>
        </w:rPr>
        <w:t>性产生很大危</w:t>
      </w:r>
      <w:r>
        <w:rPr>
          <w:rFonts w:ascii="宋体" w:hAnsi="宋体" w:eastAsia="宋体" w:cs="宋体"/>
          <w:sz w:val="28"/>
          <w:szCs w:val="28"/>
          <w:lang w:eastAsia="zh-CN"/>
        </w:rPr>
        <w:t xml:space="preserve"> </w:t>
      </w:r>
      <w:r>
        <w:rPr>
          <w:rFonts w:ascii="宋体" w:hAnsi="宋体" w:eastAsia="宋体" w:cs="宋体"/>
          <w:spacing w:val="-6"/>
          <w:sz w:val="28"/>
          <w:szCs w:val="28"/>
          <w:lang w:eastAsia="zh-CN"/>
        </w:rPr>
        <w:t>害。</w:t>
      </w:r>
    </w:p>
    <w:p w14:paraId="62DAAD3E">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）渗漏：水工混凝土建筑物的主要任务是挡水、引水、输水和泄</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水，因此，渗漏也是水工混凝土建筑物常见的主要病害之一</w:t>
      </w:r>
      <w:r>
        <w:rPr>
          <w:rFonts w:ascii="宋体" w:hAnsi="宋体" w:eastAsia="宋体" w:cs="宋体"/>
          <w:spacing w:val="1"/>
          <w:sz w:val="28"/>
          <w:szCs w:val="28"/>
          <w:lang w:eastAsia="zh-CN"/>
        </w:rPr>
        <w:t>。渗漏会使建</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筑物内部产生较大的渗透压力和浮托力，甚至危及建筑物</w:t>
      </w:r>
      <w:r>
        <w:rPr>
          <w:rFonts w:ascii="宋体" w:hAnsi="宋体" w:eastAsia="宋体" w:cs="宋体"/>
          <w:spacing w:val="1"/>
          <w:sz w:val="28"/>
          <w:szCs w:val="28"/>
          <w:lang w:eastAsia="zh-CN"/>
        </w:rPr>
        <w:t>的稳定与安全；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渗漏还会引发溶蚀、侵蚀、冻融、钢筋锈蚀、地基冻胀等病</w:t>
      </w:r>
      <w:r>
        <w:rPr>
          <w:rFonts w:ascii="宋体" w:hAnsi="宋体" w:eastAsia="宋体" w:cs="宋体"/>
          <w:spacing w:val="1"/>
          <w:sz w:val="28"/>
          <w:szCs w:val="28"/>
          <w:lang w:eastAsia="zh-CN"/>
        </w:rPr>
        <w:t>害，加速混凝</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土结构老化，缩短建筑物的使用寿命。</w:t>
      </w:r>
    </w:p>
    <w:p w14:paraId="7A3517E2">
      <w:pPr>
        <w:spacing w:line="360" w:lineRule="auto"/>
        <w:ind w:firstLine="56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）剥蚀：水工混凝土产生剥蚀破坏是由于环境因素（包括水、气、</w:t>
      </w:r>
      <w:r>
        <w:rPr>
          <w:rFonts w:ascii="宋体" w:hAnsi="宋体" w:eastAsia="宋体" w:cs="宋体"/>
          <w:spacing w:val="11"/>
          <w:sz w:val="28"/>
          <w:szCs w:val="28"/>
          <w:lang w:eastAsia="zh-CN"/>
        </w:rPr>
        <w:t xml:space="preserve"> </w:t>
      </w:r>
      <w:r>
        <w:rPr>
          <w:rFonts w:ascii="宋体" w:hAnsi="宋体" w:eastAsia="宋体" w:cs="宋体"/>
          <w:spacing w:val="-2"/>
          <w:sz w:val="28"/>
          <w:szCs w:val="28"/>
          <w:lang w:eastAsia="zh-CN"/>
        </w:rPr>
        <w:t>温度、介质）与混凝土及其内部的水化产物、砂石骨料、掺合料、外加剂、</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钢筋相互之间产生一系列机械的、物理的、化学的复杂作用，从而</w:t>
      </w:r>
      <w:r>
        <w:rPr>
          <w:rFonts w:ascii="宋体" w:hAnsi="宋体" w:eastAsia="宋体" w:cs="宋体"/>
          <w:spacing w:val="1"/>
          <w:sz w:val="28"/>
          <w:szCs w:val="28"/>
          <w:lang w:eastAsia="zh-CN"/>
        </w:rPr>
        <w:t>形成大</w:t>
      </w:r>
    </w:p>
    <w:p w14:paraId="61E23CAD">
      <w:pPr>
        <w:spacing w:line="360" w:lineRule="auto"/>
        <w:rPr>
          <w:rFonts w:hint="eastAsia" w:ascii="宋体" w:hAnsi="宋体" w:eastAsia="宋体" w:cs="宋体"/>
          <w:sz w:val="28"/>
          <w:szCs w:val="28"/>
          <w:lang w:eastAsia="zh-CN"/>
        </w:rPr>
        <w:sectPr>
          <w:headerReference r:id="rId15" w:type="default"/>
          <w:footerReference r:id="rId16" w:type="default"/>
          <w:pgSz w:w="11906" w:h="16839"/>
          <w:pgMar w:top="1150" w:right="1118" w:bottom="1315" w:left="1588" w:header="868" w:footer="986" w:gutter="0"/>
          <w:cols w:space="720" w:num="1"/>
        </w:sectPr>
      </w:pPr>
    </w:p>
    <w:p w14:paraId="3F3E9130">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于混凝土抵抗能力（强度）的破坏应力所致。</w:t>
      </w:r>
    </w:p>
    <w:p w14:paraId="5E54BE32">
      <w:pPr>
        <w:spacing w:line="360" w:lineRule="auto"/>
        <w:ind w:firstLine="555"/>
        <w:rPr>
          <w:rFonts w:hint="eastAsia" w:ascii="宋体" w:hAnsi="宋体" w:eastAsia="宋体" w:cs="宋体"/>
          <w:sz w:val="28"/>
          <w:szCs w:val="28"/>
          <w:lang w:eastAsia="zh-CN"/>
        </w:rPr>
      </w:pPr>
      <w:r>
        <w:rPr>
          <w:rFonts w:ascii="宋体" w:hAnsi="宋体" w:eastAsia="宋体" w:cs="宋体"/>
          <w:sz w:val="28"/>
          <w:szCs w:val="28"/>
          <w:lang w:eastAsia="zh-CN"/>
        </w:rPr>
        <w:t>排洪构筑物断裂造成大量泄漏，垮塌造成堵塞，排洪能力急</w:t>
      </w:r>
      <w:r>
        <w:rPr>
          <w:rFonts w:ascii="宋体" w:hAnsi="宋体" w:eastAsia="宋体" w:cs="宋体"/>
          <w:spacing w:val="-1"/>
          <w:sz w:val="28"/>
          <w:szCs w:val="28"/>
          <w:lang w:eastAsia="zh-CN"/>
        </w:rPr>
        <w:t>剧下降，</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危及坝体安全。造成排洪系统结构破坏的因素有：</w:t>
      </w:r>
    </w:p>
    <w:p w14:paraId="7411633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1）未进行设计或设计强度不足；</w:t>
      </w:r>
    </w:p>
    <w:p w14:paraId="5A1954F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2）未按设计规范施工或施工质量不满足设计规范要求；</w:t>
      </w:r>
    </w:p>
    <w:p w14:paraId="18DE0D02">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3）沿线地质条件不佳，地基处理不当；</w:t>
      </w:r>
    </w:p>
    <w:p w14:paraId="19A5C7D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4）超高堆存尾矿，造成排洪系统荷载增加；</w:t>
      </w:r>
    </w:p>
    <w:p w14:paraId="07EF585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5）出现不均匀或集中荷载。</w:t>
      </w:r>
    </w:p>
    <w:p w14:paraId="041D0363">
      <w:pPr>
        <w:spacing w:line="360" w:lineRule="auto"/>
        <w:outlineLvl w:val="2"/>
        <w:rPr>
          <w:rFonts w:hint="eastAsia" w:ascii="宋体" w:hAnsi="宋体" w:eastAsia="宋体" w:cs="宋体"/>
          <w:sz w:val="28"/>
          <w:szCs w:val="28"/>
          <w:lang w:eastAsia="zh-CN"/>
        </w:rPr>
      </w:pPr>
      <w:bookmarkStart w:id="150" w:name="_Toc4503"/>
      <w:bookmarkStart w:id="151" w:name="_Toc11381"/>
      <w:bookmarkStart w:id="152" w:name="_Toc1638"/>
      <w:r>
        <w:rPr>
          <w:rFonts w:ascii="Times New Roman" w:hAnsi="Times New Roman" w:eastAsia="Times New Roman" w:cs="Times New Roman"/>
          <w:b/>
          <w:bCs/>
          <w:spacing w:val="-3"/>
          <w:sz w:val="28"/>
          <w:szCs w:val="28"/>
          <w:lang w:eastAsia="zh-CN"/>
        </w:rPr>
        <w:t xml:space="preserve">3.1.4 </w:t>
      </w:r>
      <w:r>
        <w:rPr>
          <w:rFonts w:ascii="宋体" w:hAnsi="宋体" w:eastAsia="宋体" w:cs="宋体"/>
          <w:b/>
          <w:bCs/>
          <w:spacing w:val="-3"/>
          <w:sz w:val="28"/>
          <w:szCs w:val="28"/>
          <w:lang w:eastAsia="zh-CN"/>
        </w:rPr>
        <w:t>渗流破坏</w:t>
      </w:r>
      <w:bookmarkEnd w:id="150"/>
      <w:bookmarkEnd w:id="151"/>
      <w:bookmarkEnd w:id="152"/>
    </w:p>
    <w:p w14:paraId="68179127">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渗流破坏是尾矿坝中最常见的病险症状之一，尾矿水受重力作用</w:t>
      </w:r>
      <w:r>
        <w:rPr>
          <w:rFonts w:ascii="宋体" w:hAnsi="宋体" w:eastAsia="宋体" w:cs="宋体"/>
          <w:spacing w:val="1"/>
          <w:sz w:val="28"/>
          <w:szCs w:val="28"/>
          <w:lang w:eastAsia="zh-CN"/>
        </w:rPr>
        <w:t>，由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高水位区向低水位区流动，水在尾矿坝体、坝肩和坝基土中的</w:t>
      </w:r>
      <w:r>
        <w:rPr>
          <w:rFonts w:ascii="宋体" w:hAnsi="宋体" w:eastAsia="宋体" w:cs="宋体"/>
          <w:spacing w:val="1"/>
          <w:sz w:val="28"/>
          <w:szCs w:val="28"/>
          <w:lang w:eastAsia="zh-CN"/>
        </w:rPr>
        <w:t>运动，称作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尾矿坝的渗流。尾矿坝是一种散粒体堆筑的水工构筑物，当上</w:t>
      </w:r>
      <w:r>
        <w:rPr>
          <w:rFonts w:ascii="宋体" w:hAnsi="宋体" w:eastAsia="宋体" w:cs="宋体"/>
          <w:spacing w:val="1"/>
          <w:sz w:val="28"/>
          <w:szCs w:val="28"/>
          <w:lang w:eastAsia="zh-CN"/>
        </w:rPr>
        <w:t>游存在高势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能水位时，坝体内必然形成复杂的渗流场。在渗流作用下，坝</w:t>
      </w:r>
      <w:r>
        <w:rPr>
          <w:rFonts w:ascii="宋体" w:hAnsi="宋体" w:eastAsia="宋体" w:cs="宋体"/>
          <w:spacing w:val="1"/>
          <w:sz w:val="28"/>
          <w:szCs w:val="28"/>
          <w:lang w:eastAsia="zh-CN"/>
        </w:rPr>
        <w:t>体有可能发</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生渗流破坏，严重时将导致溃坝。</w:t>
      </w:r>
    </w:p>
    <w:p w14:paraId="6B287B1A">
      <w:pPr>
        <w:spacing w:line="360" w:lineRule="auto"/>
        <w:ind w:firstLine="562"/>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渗流破坏主要有四种破坏形式，即管涌、流土、接触冲刷和接触冲砂。</w:t>
      </w:r>
      <w:r>
        <w:rPr>
          <w:rFonts w:ascii="宋体" w:hAnsi="宋体" w:eastAsia="宋体" w:cs="宋体"/>
          <w:spacing w:val="8"/>
          <w:sz w:val="28"/>
          <w:szCs w:val="28"/>
          <w:lang w:eastAsia="zh-CN"/>
        </w:rPr>
        <w:t xml:space="preserve"> </w:t>
      </w:r>
      <w:r>
        <w:rPr>
          <w:rFonts w:ascii="宋体" w:hAnsi="宋体" w:eastAsia="宋体" w:cs="宋体"/>
          <w:spacing w:val="-2"/>
          <w:sz w:val="28"/>
          <w:szCs w:val="28"/>
          <w:lang w:eastAsia="zh-CN"/>
        </w:rPr>
        <w:t>但无论何种形式引起的渗流破坏，导致尾矿坝溃决，总是表现为集中渗流，</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发展成管涌、流砂，冲刷周边通道不断坍塌、扩大，管涌无法控制</w:t>
      </w:r>
      <w:r>
        <w:rPr>
          <w:rFonts w:ascii="宋体" w:hAnsi="宋体" w:eastAsia="宋体" w:cs="宋体"/>
          <w:spacing w:val="1"/>
          <w:sz w:val="28"/>
          <w:szCs w:val="28"/>
          <w:lang w:eastAsia="zh-CN"/>
        </w:rPr>
        <w:t>而最终</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溃坝。当尾矿坝渗、漏水“跑浑</w:t>
      </w:r>
      <w:r>
        <w:rPr>
          <w:rFonts w:ascii="宋体" w:hAnsi="宋体" w:eastAsia="宋体" w:cs="宋体"/>
          <w:spacing w:val="-103"/>
          <w:sz w:val="28"/>
          <w:szCs w:val="28"/>
          <w:lang w:eastAsia="zh-CN"/>
        </w:rPr>
        <w:t xml:space="preserve"> </w:t>
      </w:r>
      <w:r>
        <w:rPr>
          <w:rFonts w:ascii="宋体" w:hAnsi="宋体" w:eastAsia="宋体" w:cs="宋体"/>
          <w:spacing w:val="1"/>
          <w:sz w:val="28"/>
          <w:szCs w:val="28"/>
          <w:lang w:eastAsia="zh-CN"/>
        </w:rPr>
        <w:t>”或下游坝面出现管涌</w:t>
      </w:r>
      <w:r>
        <w:rPr>
          <w:rFonts w:ascii="宋体" w:hAnsi="宋体" w:eastAsia="宋体" w:cs="宋体"/>
          <w:sz w:val="28"/>
          <w:szCs w:val="28"/>
          <w:lang w:eastAsia="zh-CN"/>
        </w:rPr>
        <w:t xml:space="preserve">、流土迹象时，应  </w:t>
      </w:r>
      <w:r>
        <w:rPr>
          <w:rFonts w:ascii="宋体" w:hAnsi="宋体" w:eastAsia="宋体" w:cs="宋体"/>
          <w:spacing w:val="-1"/>
          <w:sz w:val="28"/>
          <w:szCs w:val="28"/>
          <w:lang w:eastAsia="zh-CN"/>
        </w:rPr>
        <w:t>及时处理，以避免加剧渗流破坏。</w:t>
      </w:r>
    </w:p>
    <w:p w14:paraId="0B0790E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渗流破坏的主要类型有：</w:t>
      </w:r>
    </w:p>
    <w:p w14:paraId="3C4EBC85">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（1）坝面局部管涌、流土、隆起、坍塌；</w:t>
      </w:r>
    </w:p>
    <w:p w14:paraId="33A3028C">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w:t>
      </w:r>
      <w:r>
        <w:rPr>
          <w:rFonts w:hint="eastAsia" w:ascii="Times New Roman" w:hAnsi="Times New Roman" w:eastAsia="宋体" w:cs="Times New Roman"/>
          <w:spacing w:val="6"/>
          <w:sz w:val="28"/>
          <w:szCs w:val="28"/>
          <w:lang w:val="en-US" w:eastAsia="zh-CN"/>
        </w:rPr>
        <w:t>坝体</w:t>
      </w:r>
      <w:r>
        <w:rPr>
          <w:rFonts w:ascii="Times New Roman" w:hAnsi="Times New Roman" w:eastAsia="宋体" w:cs="Times New Roman"/>
          <w:spacing w:val="6"/>
          <w:sz w:val="28"/>
          <w:szCs w:val="28"/>
          <w:lang w:eastAsia="zh-CN"/>
        </w:rPr>
        <w:t>下游坡面、沉积滩面或库水区出现陷坑；</w:t>
      </w:r>
    </w:p>
    <w:p w14:paraId="0FA5929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（3）坝肩和岸坡接触处出现裂缝；</w:t>
      </w:r>
    </w:p>
    <w:p w14:paraId="5DF5B3F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（4）坝体下游坡面或坝肩渗水量增加或渗透水浑浊；</w:t>
      </w:r>
    </w:p>
    <w:p w14:paraId="360640B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（5）坝顶高不一致；</w:t>
      </w:r>
    </w:p>
    <w:p w14:paraId="28EE27A4">
      <w:pPr>
        <w:spacing w:line="360" w:lineRule="auto"/>
        <w:rPr>
          <w:rFonts w:hint="eastAsia" w:ascii="宋体" w:hAnsi="宋体" w:eastAsia="宋体" w:cs="宋体"/>
          <w:sz w:val="28"/>
          <w:szCs w:val="28"/>
          <w:lang w:eastAsia="zh-CN"/>
        </w:rPr>
        <w:sectPr>
          <w:headerReference r:id="rId17" w:type="default"/>
          <w:footerReference r:id="rId18" w:type="default"/>
          <w:pgSz w:w="11906" w:h="16839"/>
          <w:pgMar w:top="1150" w:right="1118" w:bottom="1315" w:left="1588" w:header="868" w:footer="986" w:gutter="0"/>
          <w:cols w:space="720" w:num="1"/>
        </w:sectPr>
      </w:pPr>
    </w:p>
    <w:p w14:paraId="00C824BE">
      <w:pPr>
        <w:numPr>
          <w:ilvl w:val="0"/>
          <w:numId w:val="3"/>
        </w:num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 xml:space="preserve">坝底、坝基漏砂。 </w:t>
      </w:r>
    </w:p>
    <w:p w14:paraId="53739305">
      <w:pPr>
        <w:numPr>
          <w:ilvl w:val="0"/>
          <w:numId w:val="0"/>
        </w:num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造成渗流破坏的因素有：</w:t>
      </w:r>
    </w:p>
    <w:p w14:paraId="13DC1BD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1</w:t>
      </w:r>
      <w:r>
        <w:rPr>
          <w:rFonts w:ascii="Times New Roman" w:hAnsi="Times New Roman" w:eastAsia="宋体" w:cs="Times New Roman"/>
          <w:spacing w:val="6"/>
          <w:sz w:val="28"/>
          <w:szCs w:val="28"/>
          <w:lang w:eastAsia="zh-CN"/>
        </w:rPr>
        <w:t>）筑坝未按设计要求施工，施工质量没达到设计要求；</w:t>
      </w:r>
    </w:p>
    <w:p w14:paraId="7E256FC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2</w:t>
      </w:r>
      <w:r>
        <w:rPr>
          <w:rFonts w:ascii="Times New Roman" w:hAnsi="Times New Roman" w:eastAsia="宋体" w:cs="Times New Roman"/>
          <w:spacing w:val="6"/>
          <w:sz w:val="28"/>
          <w:szCs w:val="28"/>
          <w:lang w:eastAsia="zh-CN"/>
        </w:rPr>
        <w:t>）排渗、反滤层等重要措施设计不能满足渗流要求；</w:t>
      </w:r>
    </w:p>
    <w:p w14:paraId="7D3D3F16">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3</w:t>
      </w:r>
      <w:r>
        <w:rPr>
          <w:rFonts w:ascii="Times New Roman" w:hAnsi="Times New Roman" w:eastAsia="宋体" w:cs="Times New Roman"/>
          <w:spacing w:val="6"/>
          <w:sz w:val="28"/>
          <w:szCs w:val="28"/>
          <w:lang w:eastAsia="zh-CN"/>
        </w:rPr>
        <w:t>）尾矿排放违规，方式不当；</w:t>
      </w:r>
    </w:p>
    <w:p w14:paraId="31AA387D">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4</w:t>
      </w:r>
      <w:r>
        <w:rPr>
          <w:rFonts w:ascii="Times New Roman" w:hAnsi="Times New Roman" w:eastAsia="宋体" w:cs="Times New Roman"/>
          <w:spacing w:val="6"/>
          <w:sz w:val="28"/>
          <w:szCs w:val="28"/>
          <w:lang w:eastAsia="zh-CN"/>
        </w:rPr>
        <w:t>）坝体沉降、裂缝或塌陷等形成集中渗流；</w:t>
      </w:r>
    </w:p>
    <w:p w14:paraId="6A45D2D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5</w:t>
      </w: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干滩长度</w:t>
      </w:r>
      <w:r>
        <w:rPr>
          <w:rFonts w:ascii="Times New Roman" w:hAnsi="Times New Roman" w:eastAsia="宋体" w:cs="Times New Roman"/>
          <w:spacing w:val="6"/>
          <w:sz w:val="28"/>
          <w:szCs w:val="28"/>
          <w:lang w:eastAsia="zh-CN"/>
        </w:rPr>
        <w:t>达不到要求、库内蓄水水位过高，造成坝面、坝坡渗 流出逸，坝面出现沼泽化；</w:t>
      </w:r>
    </w:p>
    <w:p w14:paraId="13B7AF7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6</w:t>
      </w:r>
      <w:r>
        <w:rPr>
          <w:rFonts w:ascii="Times New Roman" w:hAnsi="Times New Roman" w:eastAsia="宋体" w:cs="Times New Roman"/>
          <w:spacing w:val="6"/>
          <w:sz w:val="28"/>
          <w:szCs w:val="28"/>
          <w:lang w:eastAsia="zh-CN"/>
        </w:rPr>
        <w:t>）管理不善，没有认真的经常性检查与观测，没能及时发现问题，及时采取措施，防止事故发生。</w:t>
      </w:r>
    </w:p>
    <w:p w14:paraId="08D27A9D">
      <w:pPr>
        <w:spacing w:line="360" w:lineRule="auto"/>
        <w:outlineLvl w:val="2"/>
        <w:rPr>
          <w:rFonts w:hint="eastAsia" w:ascii="宋体" w:hAnsi="宋体" w:eastAsia="宋体" w:cs="宋体"/>
          <w:sz w:val="28"/>
          <w:szCs w:val="28"/>
          <w:lang w:eastAsia="zh-CN"/>
        </w:rPr>
      </w:pPr>
      <w:bookmarkStart w:id="153" w:name="_Toc3613"/>
      <w:bookmarkStart w:id="154" w:name="_Toc4113"/>
      <w:bookmarkStart w:id="155" w:name="_Toc587"/>
      <w:r>
        <w:rPr>
          <w:rFonts w:ascii="Times New Roman" w:hAnsi="Times New Roman" w:eastAsia="Times New Roman" w:cs="Times New Roman"/>
          <w:b/>
          <w:bCs/>
          <w:spacing w:val="-2"/>
          <w:sz w:val="28"/>
          <w:szCs w:val="28"/>
          <w:lang w:eastAsia="zh-CN"/>
        </w:rPr>
        <w:t xml:space="preserve">3.1.5 </w:t>
      </w:r>
      <w:r>
        <w:rPr>
          <w:rFonts w:ascii="宋体" w:hAnsi="宋体" w:eastAsia="宋体" w:cs="宋体"/>
          <w:b/>
          <w:bCs/>
          <w:spacing w:val="-2"/>
          <w:sz w:val="28"/>
          <w:szCs w:val="28"/>
          <w:lang w:eastAsia="zh-CN"/>
        </w:rPr>
        <w:t>坝坡失稳</w:t>
      </w:r>
      <w:bookmarkEnd w:id="153"/>
      <w:bookmarkEnd w:id="154"/>
      <w:bookmarkEnd w:id="155"/>
    </w:p>
    <w:p w14:paraId="0DB6967B">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坝坡失稳造成滑坡，是尾矿坝的危险因素之一，较大规模的滑坡，往</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往是垮坝事故的前兆，即使是较小的滑坡也不能掉以轻心。有些</w:t>
      </w:r>
      <w:r>
        <w:rPr>
          <w:rFonts w:ascii="宋体" w:hAnsi="宋体" w:eastAsia="宋体" w:cs="宋体"/>
          <w:spacing w:val="1"/>
          <w:sz w:val="28"/>
          <w:szCs w:val="28"/>
          <w:lang w:eastAsia="zh-CN"/>
        </w:rPr>
        <w:t>滑坡时突</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然发生的，有的先由裂缝开始，如不及时处理，逐步扩大和蔓延</w:t>
      </w:r>
      <w:r>
        <w:rPr>
          <w:rFonts w:ascii="宋体" w:hAnsi="宋体" w:eastAsia="宋体" w:cs="宋体"/>
          <w:spacing w:val="1"/>
          <w:sz w:val="28"/>
          <w:szCs w:val="28"/>
          <w:lang w:eastAsia="zh-CN"/>
        </w:rPr>
        <w:t>，则可能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造成垮坝重大事故。造成滑坡的主要因素有：</w:t>
      </w:r>
    </w:p>
    <w:p w14:paraId="30B79E10">
      <w:pPr>
        <w:spacing w:line="360" w:lineRule="auto"/>
        <w:ind w:firstLine="562"/>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）为片面追求库容，尾矿坝边坡陡于设计值，坝体抗滑安全系数</w:t>
      </w:r>
      <w:r>
        <w:rPr>
          <w:rFonts w:ascii="宋体" w:hAnsi="宋体" w:eastAsia="宋体" w:cs="宋体"/>
          <w:spacing w:val="12"/>
          <w:sz w:val="28"/>
          <w:szCs w:val="28"/>
          <w:lang w:eastAsia="zh-CN"/>
        </w:rPr>
        <w:t xml:space="preserve"> </w:t>
      </w:r>
      <w:r>
        <w:rPr>
          <w:rFonts w:ascii="宋体" w:hAnsi="宋体" w:eastAsia="宋体" w:cs="宋体"/>
          <w:spacing w:val="-5"/>
          <w:sz w:val="28"/>
          <w:szCs w:val="28"/>
          <w:lang w:eastAsia="zh-CN"/>
        </w:rPr>
        <w:t>不足；</w:t>
      </w:r>
    </w:p>
    <w:p w14:paraId="0F379A31">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）勘察时未查明坝基有淤泥层或其他高压缩性软土层，设计时未</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采取适当措施；</w:t>
      </w:r>
    </w:p>
    <w:p w14:paraId="6322FD20">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（3）坝面维护不善，雨水冲刷拉沟，严重时会造成局部坝段滑坡；</w:t>
      </w:r>
    </w:p>
    <w:p w14:paraId="50559EB9">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）为增加蓄水量，提高库内水位，造成尾矿坝安全超高不足，降</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低坝体稳定性；</w:t>
      </w:r>
    </w:p>
    <w:p w14:paraId="7FB700D6">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（5）尾矿坝坝顶安全超高、</w:t>
      </w:r>
      <w:r>
        <w:rPr>
          <w:rFonts w:hint="eastAsia" w:ascii="Times New Roman" w:hAnsi="Times New Roman" w:eastAsia="宋体" w:cs="Times New Roman"/>
          <w:spacing w:val="6"/>
          <w:sz w:val="28"/>
          <w:szCs w:val="28"/>
          <w:lang w:val="en-US" w:eastAsia="zh-CN"/>
        </w:rPr>
        <w:t>干滩长度</w:t>
      </w:r>
      <w:r>
        <w:rPr>
          <w:rFonts w:ascii="Times New Roman" w:hAnsi="Times New Roman" w:eastAsia="宋体" w:cs="Times New Roman"/>
          <w:spacing w:val="6"/>
          <w:sz w:val="28"/>
          <w:szCs w:val="28"/>
          <w:lang w:eastAsia="zh-CN"/>
        </w:rPr>
        <w:t>不满足规范要求；</w:t>
      </w:r>
    </w:p>
    <w:p w14:paraId="2AA80595">
      <w:pPr>
        <w:spacing w:line="360" w:lineRule="auto"/>
        <w:outlineLvl w:val="2"/>
        <w:rPr>
          <w:rFonts w:hint="eastAsia" w:ascii="宋体" w:hAnsi="宋体" w:eastAsia="宋体" w:cs="宋体"/>
          <w:sz w:val="28"/>
          <w:szCs w:val="28"/>
          <w:lang w:eastAsia="zh-CN"/>
        </w:rPr>
      </w:pPr>
      <w:bookmarkStart w:id="156" w:name="_Toc7754"/>
      <w:bookmarkStart w:id="157" w:name="_Toc29287"/>
      <w:bookmarkStart w:id="158" w:name="_Toc14648"/>
      <w:r>
        <w:rPr>
          <w:rFonts w:ascii="Times New Roman" w:hAnsi="Times New Roman" w:eastAsia="Times New Roman" w:cs="Times New Roman"/>
          <w:b/>
          <w:bCs/>
          <w:spacing w:val="-2"/>
          <w:sz w:val="28"/>
          <w:szCs w:val="28"/>
          <w:lang w:eastAsia="zh-CN"/>
        </w:rPr>
        <w:t xml:space="preserve">3.1.6 </w:t>
      </w:r>
      <w:r>
        <w:rPr>
          <w:rFonts w:ascii="宋体" w:hAnsi="宋体" w:eastAsia="宋体" w:cs="宋体"/>
          <w:b/>
          <w:bCs/>
          <w:spacing w:val="-2"/>
          <w:sz w:val="28"/>
          <w:szCs w:val="28"/>
          <w:lang w:eastAsia="zh-CN"/>
        </w:rPr>
        <w:t>严寒冰冻</w:t>
      </w:r>
      <w:bookmarkEnd w:id="156"/>
      <w:bookmarkEnd w:id="157"/>
      <w:bookmarkEnd w:id="158"/>
    </w:p>
    <w:p w14:paraId="0AEAF814">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地区低温导致堆积坝冻结，形成冻土。堆积坝冻土分为表层冻土和深层冻土，表层冻土指的是在当地最大冻土深度以上的冻土，深层冻土是指 在浸润线以下（一般浸润线深度大于当地最大冻土深度）的冻土。</w:t>
      </w:r>
    </w:p>
    <w:p w14:paraId="733BCDA9">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冻土会造成冻结时冻胀、融化时土体融陷，进而给尾矿库安全带来一系列问题。</w:t>
      </w:r>
    </w:p>
    <w:p w14:paraId="584DC7A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（1）坝体稳定性降低</w:t>
      </w:r>
    </w:p>
    <w:p w14:paraId="3AF123DD">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冻土层存在，提升了浸润线，必然会降低坝体稳定性。再者，深层冰</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冻层在坝坡附近时，可导致坝坡长期渗水沼泽化，冻土解冻可能</w:t>
      </w:r>
      <w:r>
        <w:rPr>
          <w:rFonts w:ascii="宋体" w:hAnsi="宋体" w:eastAsia="宋体" w:cs="宋体"/>
          <w:spacing w:val="1"/>
          <w:sz w:val="28"/>
          <w:szCs w:val="28"/>
          <w:lang w:eastAsia="zh-CN"/>
        </w:rPr>
        <w:t>出现流水</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甚至局部滑移。春暖来临时，表层冻土融化快，冰晶析水导致上</w:t>
      </w:r>
      <w:r>
        <w:rPr>
          <w:rFonts w:ascii="宋体" w:hAnsi="宋体" w:eastAsia="宋体" w:cs="宋体"/>
          <w:spacing w:val="1"/>
          <w:sz w:val="28"/>
          <w:szCs w:val="28"/>
          <w:lang w:eastAsia="zh-CN"/>
        </w:rPr>
        <w:t>部来水量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大，而此时深层冻土融化慢且基本不透水，导致冻土上游水位上</w:t>
      </w:r>
      <w:r>
        <w:rPr>
          <w:rFonts w:ascii="宋体" w:hAnsi="宋体" w:eastAsia="宋体" w:cs="宋体"/>
          <w:spacing w:val="1"/>
          <w:sz w:val="28"/>
          <w:szCs w:val="28"/>
          <w:lang w:eastAsia="zh-CN"/>
        </w:rPr>
        <w:t>升快，渗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透坡降增大，容易造成流土等渗流破坏，甚至导致坝体失稳。深</w:t>
      </w:r>
      <w:r>
        <w:rPr>
          <w:rFonts w:ascii="宋体" w:hAnsi="宋体" w:eastAsia="宋体" w:cs="宋体"/>
          <w:spacing w:val="1"/>
          <w:sz w:val="28"/>
          <w:szCs w:val="28"/>
          <w:lang w:eastAsia="zh-CN"/>
        </w:rPr>
        <w:t>层冻土因</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受地热传递而温度升高，同时在长期高压力下，深层冻土会融化</w:t>
      </w:r>
      <w:r>
        <w:rPr>
          <w:rFonts w:ascii="宋体" w:hAnsi="宋体" w:eastAsia="宋体" w:cs="宋体"/>
          <w:spacing w:val="1"/>
          <w:sz w:val="28"/>
          <w:szCs w:val="28"/>
          <w:lang w:eastAsia="zh-CN"/>
        </w:rPr>
        <w:t>，融化的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冰冻层强度急剧降低，可能会导致坝体失稳。</w:t>
      </w:r>
    </w:p>
    <w:p w14:paraId="4FF9B91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（2）降低抗渗强度</w:t>
      </w:r>
    </w:p>
    <w:p w14:paraId="3A3E7F19">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尾砂冻结时，水分冻结成冰，导致体积膨胀，尾砂间空隙胀大。当冻 土融化时，由于尾砂的渗透性差，水不能及时下渗，融化开始时，尾砂悬 浮在水中，在水下渗后，尾砂空隙较大，呈松散状态，抗渗强度降低，甚 至形成流土或管涌。</w:t>
      </w:r>
    </w:p>
    <w:p w14:paraId="0A9EB076">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（3）破坏建构筑物</w:t>
      </w:r>
    </w:p>
    <w:p w14:paraId="04E45232">
      <w:pPr>
        <w:spacing w:line="360" w:lineRule="auto"/>
        <w:ind w:firstLine="561"/>
        <w:rPr>
          <w:rFonts w:hint="eastAsia" w:ascii="宋体" w:hAnsi="宋体" w:eastAsia="宋体" w:cs="宋体"/>
          <w:sz w:val="28"/>
          <w:szCs w:val="28"/>
          <w:lang w:eastAsia="zh-CN"/>
        </w:rPr>
      </w:pPr>
      <w:r>
        <w:rPr>
          <w:rFonts w:ascii="宋体" w:hAnsi="宋体" w:eastAsia="宋体" w:cs="宋体"/>
          <w:spacing w:val="2"/>
          <w:sz w:val="28"/>
          <w:szCs w:val="28"/>
          <w:lang w:eastAsia="zh-CN"/>
        </w:rPr>
        <w:t>土体在冻结时由于土中水冻结成冰与周围迁移来的水冻结产生体</w:t>
      </w:r>
      <w:r>
        <w:rPr>
          <w:rFonts w:ascii="宋体" w:hAnsi="宋体" w:eastAsia="宋体" w:cs="宋体"/>
          <w:spacing w:val="1"/>
          <w:sz w:val="28"/>
          <w:szCs w:val="28"/>
          <w:lang w:eastAsia="zh-CN"/>
        </w:rPr>
        <w:t>积膨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胀，土体冻胀会使排水管隆起、脱节甚至裂缝，排水管两侧冻胀</w:t>
      </w:r>
      <w:r>
        <w:rPr>
          <w:rFonts w:ascii="宋体" w:hAnsi="宋体" w:eastAsia="宋体" w:cs="宋体"/>
          <w:spacing w:val="1"/>
          <w:sz w:val="28"/>
          <w:szCs w:val="28"/>
          <w:lang w:eastAsia="zh-CN"/>
        </w:rPr>
        <w:t>不均匀时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可使管线弯曲、偏斜。土体冻胀不均匀可导致排水设施偏斜甚至</w:t>
      </w:r>
      <w:r>
        <w:rPr>
          <w:rFonts w:ascii="宋体" w:hAnsi="宋体" w:eastAsia="宋体" w:cs="宋体"/>
          <w:spacing w:val="1"/>
          <w:sz w:val="28"/>
          <w:szCs w:val="28"/>
          <w:lang w:eastAsia="zh-CN"/>
        </w:rPr>
        <w:t>倒塌。冻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土在融化时强度降低，会产生大的沉降变形，如果排水设施等构</w:t>
      </w:r>
      <w:r>
        <w:rPr>
          <w:rFonts w:ascii="宋体" w:hAnsi="宋体" w:eastAsia="宋体" w:cs="宋体"/>
          <w:spacing w:val="1"/>
          <w:sz w:val="28"/>
          <w:szCs w:val="28"/>
          <w:lang w:eastAsia="zh-CN"/>
        </w:rPr>
        <w:t>筑物基础</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在冻土层内，构筑物产生沉降变形，产生不均匀沉降会导致构筑</w:t>
      </w:r>
      <w:r>
        <w:rPr>
          <w:rFonts w:ascii="宋体" w:hAnsi="宋体" w:eastAsia="宋体" w:cs="宋体"/>
          <w:spacing w:val="1"/>
          <w:sz w:val="28"/>
          <w:szCs w:val="28"/>
          <w:lang w:eastAsia="zh-CN"/>
        </w:rPr>
        <w:t>物裂缝甚</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至破坏。</w:t>
      </w:r>
    </w:p>
    <w:p w14:paraId="46320BE6">
      <w:pPr>
        <w:spacing w:line="360" w:lineRule="auto"/>
        <w:outlineLvl w:val="2"/>
        <w:rPr>
          <w:rFonts w:hint="eastAsia" w:ascii="宋体" w:hAnsi="宋体" w:eastAsia="宋体" w:cs="宋体"/>
          <w:sz w:val="28"/>
          <w:szCs w:val="28"/>
          <w:lang w:eastAsia="zh-CN"/>
        </w:rPr>
      </w:pPr>
      <w:bookmarkStart w:id="159" w:name="_Toc2212"/>
      <w:bookmarkStart w:id="160" w:name="_Toc17596"/>
      <w:bookmarkStart w:id="161" w:name="_Toc26488"/>
      <w:r>
        <w:rPr>
          <w:rFonts w:ascii="Times New Roman" w:hAnsi="Times New Roman" w:eastAsia="Times New Roman" w:cs="Times New Roman"/>
          <w:b/>
          <w:bCs/>
          <w:spacing w:val="-3"/>
          <w:sz w:val="28"/>
          <w:szCs w:val="28"/>
          <w:lang w:eastAsia="zh-CN"/>
        </w:rPr>
        <w:t xml:space="preserve">3.1.7 </w:t>
      </w:r>
      <w:r>
        <w:rPr>
          <w:rFonts w:ascii="宋体" w:hAnsi="宋体" w:eastAsia="宋体" w:cs="宋体"/>
          <w:b/>
          <w:bCs/>
          <w:spacing w:val="-3"/>
          <w:sz w:val="28"/>
          <w:szCs w:val="28"/>
          <w:lang w:eastAsia="zh-CN"/>
        </w:rPr>
        <w:t>触电与雷击</w:t>
      </w:r>
      <w:bookmarkEnd w:id="159"/>
      <w:bookmarkEnd w:id="160"/>
      <w:bookmarkEnd w:id="161"/>
    </w:p>
    <w:p w14:paraId="08FF5831">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尾矿库区的供电、照明等用电设施由于电线架设不当，绝缘老化、损</w:t>
      </w:r>
    </w:p>
    <w:p w14:paraId="46E6F6EA">
      <w:pPr>
        <w:spacing w:line="360" w:lineRule="auto"/>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坏，接地不良，用电设备短路、过载，人员操作不当以及雷电等原因，可 能造成设备事故或触电、雷击事故。</w:t>
      </w:r>
    </w:p>
    <w:p w14:paraId="50384AA9">
      <w:pPr>
        <w:spacing w:line="360" w:lineRule="auto"/>
        <w:outlineLvl w:val="2"/>
        <w:rPr>
          <w:rFonts w:hint="eastAsia" w:ascii="宋体" w:hAnsi="宋体" w:eastAsia="宋体" w:cs="宋体"/>
          <w:sz w:val="28"/>
          <w:szCs w:val="28"/>
          <w:lang w:eastAsia="zh-CN"/>
        </w:rPr>
      </w:pPr>
      <w:bookmarkStart w:id="162" w:name="_Toc16630"/>
      <w:bookmarkStart w:id="163" w:name="_Toc19087"/>
      <w:bookmarkStart w:id="164" w:name="_Toc4957"/>
      <w:r>
        <w:rPr>
          <w:rFonts w:ascii="Times New Roman" w:hAnsi="Times New Roman" w:eastAsia="Times New Roman" w:cs="Times New Roman"/>
          <w:b/>
          <w:bCs/>
          <w:spacing w:val="-3"/>
          <w:sz w:val="28"/>
          <w:szCs w:val="28"/>
          <w:lang w:eastAsia="zh-CN"/>
        </w:rPr>
        <w:t xml:space="preserve">3.1.8 </w:t>
      </w:r>
      <w:r>
        <w:rPr>
          <w:rFonts w:ascii="宋体" w:hAnsi="宋体" w:eastAsia="宋体" w:cs="宋体"/>
          <w:b/>
          <w:bCs/>
          <w:spacing w:val="-3"/>
          <w:sz w:val="28"/>
          <w:szCs w:val="28"/>
          <w:lang w:eastAsia="zh-CN"/>
        </w:rPr>
        <w:t>高处坠落</w:t>
      </w:r>
      <w:bookmarkEnd w:id="162"/>
      <w:bookmarkEnd w:id="163"/>
      <w:bookmarkEnd w:id="164"/>
    </w:p>
    <w:p w14:paraId="1A951288">
      <w:pPr>
        <w:spacing w:line="360" w:lineRule="auto"/>
        <w:ind w:firstLine="590"/>
        <w:jc w:val="both"/>
        <w:rPr>
          <w:rFonts w:hint="eastAsia" w:ascii="宋体" w:hAnsi="宋体" w:eastAsia="宋体" w:cs="宋体"/>
          <w:sz w:val="28"/>
          <w:szCs w:val="28"/>
          <w:lang w:eastAsia="zh-CN"/>
        </w:rPr>
      </w:pPr>
      <w:r>
        <w:rPr>
          <w:rFonts w:ascii="宋体" w:hAnsi="宋体" w:eastAsia="宋体" w:cs="宋体"/>
          <w:spacing w:val="1"/>
          <w:sz w:val="28"/>
          <w:szCs w:val="28"/>
          <w:lang w:eastAsia="zh-CN"/>
        </w:rPr>
        <w:t>由于尾矿库设施和环境条件的特殊性，在尾矿库生产过程中</w:t>
      </w:r>
      <w:r>
        <w:rPr>
          <w:rFonts w:ascii="宋体" w:hAnsi="宋体" w:eastAsia="宋体" w:cs="宋体"/>
          <w:sz w:val="28"/>
          <w:szCs w:val="28"/>
          <w:lang w:eastAsia="zh-CN"/>
        </w:rPr>
        <w:t xml:space="preserve">，其巡查  </w:t>
      </w:r>
      <w:r>
        <w:rPr>
          <w:rFonts w:ascii="宋体" w:hAnsi="宋体" w:eastAsia="宋体" w:cs="宋体"/>
          <w:spacing w:val="2"/>
          <w:sz w:val="28"/>
          <w:szCs w:val="28"/>
          <w:lang w:eastAsia="zh-CN"/>
        </w:rPr>
        <w:t>人员在坝顶及其坝坡面上从事尾矿库安全巡查，检查人</w:t>
      </w:r>
      <w:r>
        <w:rPr>
          <w:rFonts w:ascii="宋体" w:hAnsi="宋体" w:eastAsia="宋体" w:cs="宋体"/>
          <w:spacing w:val="1"/>
          <w:sz w:val="28"/>
          <w:szCs w:val="28"/>
          <w:lang w:eastAsia="zh-CN"/>
        </w:rPr>
        <w:t>员在坝顶、山坡等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处进行巡查和检测工作时，由于防护设施缺失和</w:t>
      </w:r>
      <w:r>
        <w:rPr>
          <w:rFonts w:ascii="宋体" w:hAnsi="宋体" w:eastAsia="宋体" w:cs="宋体"/>
          <w:spacing w:val="-3"/>
          <w:sz w:val="28"/>
          <w:szCs w:val="28"/>
          <w:lang w:eastAsia="zh-CN"/>
        </w:rPr>
        <w:t>缺陷，或由于人员不小心，</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易于发生高处坠落（滑落）事故发生的可能性，造成人员伤亡。</w:t>
      </w:r>
    </w:p>
    <w:p w14:paraId="63F4BCC7">
      <w:pPr>
        <w:spacing w:line="360" w:lineRule="auto"/>
        <w:jc w:val="center"/>
        <w:outlineLvl w:val="0"/>
        <w:rPr>
          <w:rFonts w:hint="eastAsia" w:ascii="黑体" w:hAnsi="黑体" w:eastAsia="黑体" w:cs="黑体"/>
          <w:sz w:val="30"/>
          <w:szCs w:val="30"/>
          <w:lang w:eastAsia="zh-CN"/>
        </w:rPr>
      </w:pPr>
      <w:bookmarkStart w:id="165" w:name="bookmark28"/>
      <w:bookmarkEnd w:id="165"/>
      <w:bookmarkStart w:id="166" w:name="_Toc7313"/>
      <w:bookmarkStart w:id="167" w:name="_Toc5355"/>
      <w:r>
        <w:rPr>
          <w:rFonts w:ascii="Times New Roman" w:hAnsi="Times New Roman" w:eastAsia="Times New Roman" w:cs="Times New Roman"/>
          <w:b/>
          <w:bCs/>
          <w:spacing w:val="-3"/>
          <w:sz w:val="30"/>
          <w:szCs w:val="30"/>
          <w:lang w:eastAsia="zh-CN"/>
        </w:rPr>
        <w:t xml:space="preserve">3.2 </w:t>
      </w:r>
      <w:r>
        <w:rPr>
          <w:rFonts w:ascii="黑体" w:hAnsi="黑体" w:eastAsia="黑体" w:cs="黑体"/>
          <w:b/>
          <w:bCs/>
          <w:spacing w:val="-3"/>
          <w:sz w:val="30"/>
          <w:szCs w:val="30"/>
          <w:lang w:eastAsia="zh-CN"/>
        </w:rPr>
        <w:t>主要有害因素辨识及分析</w:t>
      </w:r>
      <w:bookmarkEnd w:id="166"/>
      <w:bookmarkEnd w:id="167"/>
    </w:p>
    <w:p w14:paraId="3EFB022C">
      <w:pPr>
        <w:spacing w:line="360" w:lineRule="auto"/>
        <w:outlineLvl w:val="2"/>
        <w:rPr>
          <w:rFonts w:hint="eastAsia" w:ascii="宋体" w:hAnsi="宋体" w:eastAsia="宋体" w:cs="宋体"/>
          <w:sz w:val="28"/>
          <w:szCs w:val="28"/>
          <w:lang w:eastAsia="zh-CN"/>
        </w:rPr>
      </w:pPr>
      <w:bookmarkStart w:id="168" w:name="_Toc12475"/>
      <w:bookmarkStart w:id="169" w:name="_Toc4180"/>
      <w:bookmarkStart w:id="170" w:name="_Toc10735"/>
      <w:r>
        <w:rPr>
          <w:rFonts w:ascii="Times New Roman" w:hAnsi="Times New Roman" w:eastAsia="Times New Roman" w:cs="Times New Roman"/>
          <w:b/>
          <w:bCs/>
          <w:spacing w:val="-3"/>
          <w:sz w:val="28"/>
          <w:szCs w:val="28"/>
          <w:lang w:eastAsia="zh-CN"/>
        </w:rPr>
        <w:t xml:space="preserve">3.2.1 </w:t>
      </w:r>
      <w:r>
        <w:rPr>
          <w:rFonts w:ascii="宋体" w:hAnsi="宋体" w:eastAsia="宋体" w:cs="宋体"/>
          <w:b/>
          <w:bCs/>
          <w:spacing w:val="-3"/>
          <w:sz w:val="28"/>
          <w:szCs w:val="28"/>
          <w:lang w:eastAsia="zh-CN"/>
        </w:rPr>
        <w:t>粉尘</w:t>
      </w:r>
      <w:bookmarkEnd w:id="168"/>
      <w:bookmarkEnd w:id="169"/>
      <w:bookmarkEnd w:id="170"/>
    </w:p>
    <w:p w14:paraId="3E8F30B2">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尾砂的粒度较小，在干旱季节和久晴无雨的情况下，遇上刮风时尾矿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库的尾砂将会被风扬起，产生扬尘，对人体产生危害，或对环境产生污染。</w:t>
      </w:r>
    </w:p>
    <w:p w14:paraId="164BE6EC">
      <w:pPr>
        <w:spacing w:line="360" w:lineRule="auto"/>
        <w:outlineLvl w:val="2"/>
        <w:rPr>
          <w:rFonts w:hint="eastAsia" w:ascii="宋体" w:hAnsi="宋体" w:eastAsia="宋体" w:cs="宋体"/>
          <w:sz w:val="28"/>
          <w:szCs w:val="28"/>
          <w:lang w:eastAsia="zh-CN"/>
        </w:rPr>
      </w:pPr>
      <w:bookmarkStart w:id="171" w:name="_Toc1200"/>
      <w:bookmarkStart w:id="172" w:name="_Toc8600"/>
      <w:bookmarkStart w:id="173" w:name="_Toc28080"/>
      <w:r>
        <w:rPr>
          <w:rFonts w:ascii="Times New Roman" w:hAnsi="Times New Roman" w:eastAsia="Times New Roman" w:cs="Times New Roman"/>
          <w:b/>
          <w:bCs/>
          <w:spacing w:val="-3"/>
          <w:sz w:val="28"/>
          <w:szCs w:val="28"/>
          <w:lang w:eastAsia="zh-CN"/>
        </w:rPr>
        <w:t xml:space="preserve">3.2.2 </w:t>
      </w:r>
      <w:r>
        <w:rPr>
          <w:rFonts w:ascii="宋体" w:hAnsi="宋体" w:eastAsia="宋体" w:cs="宋体"/>
          <w:b/>
          <w:bCs/>
          <w:spacing w:val="-3"/>
          <w:sz w:val="28"/>
          <w:szCs w:val="28"/>
          <w:lang w:eastAsia="zh-CN"/>
        </w:rPr>
        <w:t>高温</w:t>
      </w:r>
      <w:bookmarkEnd w:id="171"/>
      <w:bookmarkEnd w:id="172"/>
      <w:bookmarkEnd w:id="173"/>
    </w:p>
    <w:p w14:paraId="78E69F6F">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在盛夏酷暑季节，尾矿库作业环境温度较高，巡检人员易发生眩晕、</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中暑等症状。长期高温作业可出现高血压、心肌受损和消化功</w:t>
      </w:r>
      <w:r>
        <w:rPr>
          <w:rFonts w:ascii="宋体" w:hAnsi="宋体" w:eastAsia="宋体" w:cs="宋体"/>
          <w:spacing w:val="1"/>
          <w:sz w:val="28"/>
          <w:szCs w:val="28"/>
          <w:lang w:eastAsia="zh-CN"/>
        </w:rPr>
        <w:t>能障碍等病</w:t>
      </w:r>
      <w:r>
        <w:rPr>
          <w:rFonts w:ascii="宋体" w:hAnsi="宋体" w:eastAsia="宋体" w:cs="宋体"/>
          <w:sz w:val="28"/>
          <w:szCs w:val="28"/>
          <w:lang w:eastAsia="zh-CN"/>
        </w:rPr>
        <w:t xml:space="preserve"> </w:t>
      </w:r>
      <w:r>
        <w:rPr>
          <w:rFonts w:ascii="宋体" w:hAnsi="宋体" w:eastAsia="宋体" w:cs="宋体"/>
          <w:spacing w:val="-5"/>
          <w:sz w:val="28"/>
          <w:szCs w:val="28"/>
          <w:lang w:eastAsia="zh-CN"/>
        </w:rPr>
        <w:t>症。</w:t>
      </w:r>
    </w:p>
    <w:p w14:paraId="427F4BE7">
      <w:pPr>
        <w:spacing w:line="360" w:lineRule="auto"/>
        <w:outlineLvl w:val="2"/>
        <w:rPr>
          <w:rFonts w:hint="eastAsia" w:ascii="宋体" w:hAnsi="宋体" w:eastAsia="宋体" w:cs="宋体"/>
          <w:sz w:val="28"/>
          <w:szCs w:val="28"/>
          <w:lang w:eastAsia="zh-CN"/>
        </w:rPr>
      </w:pPr>
      <w:bookmarkStart w:id="174" w:name="_Toc20103"/>
      <w:bookmarkStart w:id="175" w:name="_Toc20709"/>
      <w:bookmarkStart w:id="176" w:name="_Toc15550"/>
      <w:r>
        <w:rPr>
          <w:rFonts w:ascii="Times New Roman" w:hAnsi="Times New Roman" w:eastAsia="Times New Roman" w:cs="Times New Roman"/>
          <w:b/>
          <w:bCs/>
          <w:spacing w:val="-3"/>
          <w:sz w:val="28"/>
          <w:szCs w:val="28"/>
          <w:lang w:eastAsia="zh-CN"/>
        </w:rPr>
        <w:t xml:space="preserve">3.2.3 </w:t>
      </w:r>
      <w:r>
        <w:rPr>
          <w:rFonts w:ascii="宋体" w:hAnsi="宋体" w:eastAsia="宋体" w:cs="宋体"/>
          <w:b/>
          <w:bCs/>
          <w:spacing w:val="-3"/>
          <w:sz w:val="28"/>
          <w:szCs w:val="28"/>
          <w:lang w:eastAsia="zh-CN"/>
        </w:rPr>
        <w:t>低温</w:t>
      </w:r>
      <w:bookmarkEnd w:id="174"/>
      <w:bookmarkEnd w:id="175"/>
      <w:bookmarkEnd w:id="176"/>
    </w:p>
    <w:p w14:paraId="288FAA05">
      <w:pPr>
        <w:spacing w:line="360" w:lineRule="auto"/>
        <w:ind w:firstLine="554"/>
        <w:rPr>
          <w:rFonts w:hint="eastAsia" w:ascii="宋体" w:hAnsi="宋体" w:eastAsia="宋体" w:cs="宋体"/>
          <w:sz w:val="28"/>
          <w:szCs w:val="28"/>
          <w:lang w:eastAsia="zh-CN"/>
        </w:rPr>
      </w:pPr>
      <w:r>
        <w:rPr>
          <w:rFonts w:ascii="宋体" w:hAnsi="宋体" w:eastAsia="宋体" w:cs="宋体"/>
          <w:sz w:val="28"/>
          <w:szCs w:val="28"/>
          <w:lang w:eastAsia="zh-CN"/>
        </w:rPr>
        <w:t>在严冬，尾矿库巡检人员在寒冷的环境中作业，如果劳动防护</w:t>
      </w:r>
      <w:r>
        <w:rPr>
          <w:rFonts w:ascii="宋体" w:hAnsi="宋体" w:eastAsia="宋体" w:cs="宋体"/>
          <w:spacing w:val="-1"/>
          <w:sz w:val="28"/>
          <w:szCs w:val="28"/>
          <w:lang w:eastAsia="zh-CN"/>
        </w:rPr>
        <w:t>不好，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容易冻伤手脚，轻则红肿疼痛，重则可能造成终身残疾。</w:t>
      </w:r>
    </w:p>
    <w:p w14:paraId="2A7A5823">
      <w:pPr>
        <w:spacing w:line="360" w:lineRule="auto"/>
        <w:rPr>
          <w:rFonts w:hint="eastAsia" w:ascii="宋体" w:hAnsi="宋体" w:eastAsia="宋体" w:cs="宋体"/>
          <w:sz w:val="28"/>
          <w:szCs w:val="28"/>
          <w:lang w:eastAsia="zh-CN"/>
        </w:rPr>
        <w:sectPr>
          <w:headerReference r:id="rId19" w:type="default"/>
          <w:footerReference r:id="rId20" w:type="default"/>
          <w:pgSz w:w="11906" w:h="16839"/>
          <w:pgMar w:top="1150" w:right="1118" w:bottom="1315" w:left="1588" w:header="868" w:footer="986" w:gutter="0"/>
          <w:cols w:space="720" w:num="1"/>
        </w:sectPr>
      </w:pPr>
    </w:p>
    <w:p w14:paraId="3293F3C8">
      <w:pPr>
        <w:spacing w:line="360" w:lineRule="auto"/>
        <w:jc w:val="center"/>
        <w:outlineLvl w:val="0"/>
        <w:rPr>
          <w:rFonts w:hint="eastAsia" w:ascii="黑体" w:hAnsi="黑体" w:eastAsia="黑体" w:cs="黑体"/>
          <w:sz w:val="31"/>
          <w:szCs w:val="31"/>
          <w:lang w:eastAsia="zh-CN"/>
        </w:rPr>
      </w:pPr>
      <w:bookmarkStart w:id="177" w:name="_Toc24454"/>
      <w:bookmarkStart w:id="178" w:name="_Toc11311"/>
      <w:r>
        <w:rPr>
          <w:rFonts w:ascii="Times New Roman" w:hAnsi="Times New Roman" w:eastAsia="Times New Roman" w:cs="Times New Roman"/>
          <w:b/>
          <w:bCs/>
          <w:spacing w:val="5"/>
          <w:sz w:val="31"/>
          <w:szCs w:val="31"/>
          <w:lang w:eastAsia="zh-CN"/>
        </w:rPr>
        <w:t xml:space="preserve">4 </w:t>
      </w:r>
      <w:r>
        <w:rPr>
          <w:rFonts w:ascii="黑体" w:hAnsi="黑体" w:eastAsia="黑体" w:cs="黑体"/>
          <w:b/>
          <w:bCs/>
          <w:spacing w:val="5"/>
          <w:sz w:val="31"/>
          <w:szCs w:val="31"/>
          <w:lang w:eastAsia="zh-CN"/>
        </w:rPr>
        <w:t>评价单元划分与评价方法选择</w:t>
      </w:r>
      <w:bookmarkEnd w:id="177"/>
      <w:bookmarkEnd w:id="178"/>
    </w:p>
    <w:p w14:paraId="70FC1AEB">
      <w:pPr>
        <w:spacing w:line="360" w:lineRule="auto"/>
        <w:jc w:val="center"/>
        <w:outlineLvl w:val="1"/>
        <w:rPr>
          <w:rFonts w:hint="eastAsia" w:ascii="黑体" w:hAnsi="黑体" w:eastAsia="黑体" w:cs="黑体"/>
          <w:sz w:val="30"/>
          <w:szCs w:val="30"/>
          <w:lang w:eastAsia="zh-CN"/>
        </w:rPr>
      </w:pPr>
      <w:bookmarkStart w:id="179" w:name="bookmark32"/>
      <w:bookmarkEnd w:id="179"/>
      <w:bookmarkStart w:id="180" w:name="_Toc4573"/>
      <w:bookmarkStart w:id="181" w:name="_Toc14204"/>
      <w:r>
        <w:rPr>
          <w:rFonts w:ascii="Times New Roman" w:hAnsi="Times New Roman" w:eastAsia="Times New Roman" w:cs="Times New Roman"/>
          <w:b/>
          <w:bCs/>
          <w:spacing w:val="-4"/>
          <w:sz w:val="30"/>
          <w:szCs w:val="30"/>
          <w:lang w:eastAsia="zh-CN"/>
        </w:rPr>
        <w:t xml:space="preserve">4.1 </w:t>
      </w:r>
      <w:r>
        <w:rPr>
          <w:rFonts w:ascii="黑体" w:hAnsi="黑体" w:eastAsia="黑体" w:cs="黑体"/>
          <w:b/>
          <w:bCs/>
          <w:spacing w:val="-4"/>
          <w:sz w:val="30"/>
          <w:szCs w:val="30"/>
          <w:lang w:eastAsia="zh-CN"/>
        </w:rPr>
        <w:t>评价单元划分</w:t>
      </w:r>
      <w:bookmarkEnd w:id="180"/>
      <w:bookmarkEnd w:id="181"/>
    </w:p>
    <w:p w14:paraId="12A18C5B">
      <w:pPr>
        <w:spacing w:line="360" w:lineRule="auto"/>
        <w:ind w:firstLine="565"/>
        <w:rPr>
          <w:rFonts w:hint="eastAsia" w:ascii="宋体" w:hAnsi="宋体" w:eastAsia="宋体" w:cs="宋体"/>
          <w:sz w:val="28"/>
          <w:szCs w:val="28"/>
          <w:lang w:eastAsia="zh-CN"/>
        </w:rPr>
      </w:pPr>
      <w:r>
        <w:rPr>
          <w:rFonts w:ascii="宋体" w:hAnsi="宋体" w:eastAsia="宋体" w:cs="宋体"/>
          <w:spacing w:val="2"/>
          <w:sz w:val="28"/>
          <w:szCs w:val="28"/>
          <w:lang w:eastAsia="zh-CN"/>
        </w:rPr>
        <w:t>安全评价是以实现系统安全为目的，应用安全系统工程</w:t>
      </w:r>
      <w:r>
        <w:rPr>
          <w:rFonts w:ascii="宋体" w:hAnsi="宋体" w:eastAsia="宋体" w:cs="宋体"/>
          <w:spacing w:val="1"/>
          <w:sz w:val="28"/>
          <w:szCs w:val="28"/>
          <w:lang w:eastAsia="zh-CN"/>
        </w:rPr>
        <w:t>原理和方法，</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对系统中存在的危险、有害因素进行辨识和分析，判断系统发生</w:t>
      </w:r>
      <w:r>
        <w:rPr>
          <w:rFonts w:ascii="宋体" w:hAnsi="宋体" w:eastAsia="宋体" w:cs="宋体"/>
          <w:spacing w:val="1"/>
          <w:sz w:val="28"/>
          <w:szCs w:val="28"/>
          <w:lang w:eastAsia="zh-CN"/>
        </w:rPr>
        <w:t>事故和职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业危害的可能性及其危害程度，从而为制定防范措施和管理决策</w:t>
      </w:r>
      <w:r>
        <w:rPr>
          <w:rFonts w:ascii="宋体" w:hAnsi="宋体" w:eastAsia="宋体" w:cs="宋体"/>
          <w:spacing w:val="1"/>
          <w:sz w:val="28"/>
          <w:szCs w:val="28"/>
          <w:lang w:eastAsia="zh-CN"/>
        </w:rPr>
        <w:t>提供科学</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依据。根据该尾矿库的特点，本次安全现状评价单元划分如下：</w:t>
      </w:r>
    </w:p>
    <w:p w14:paraId="5A923096">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）周边环境单元；</w:t>
      </w:r>
    </w:p>
    <w:p w14:paraId="355EC6CE">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0FFD9E4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）排洪系统单元；</w:t>
      </w:r>
    </w:p>
    <w:p w14:paraId="0FAE1B02">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254ECFF4">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）辅助设施单元；</w:t>
      </w:r>
    </w:p>
    <w:p w14:paraId="5B8C8E45">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）安全管理单元；</w:t>
      </w:r>
    </w:p>
    <w:p w14:paraId="3A3AC39C">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7B6F09A4">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8</w:t>
      </w:r>
      <w:r>
        <w:rPr>
          <w:rFonts w:ascii="宋体" w:hAnsi="宋体" w:eastAsia="宋体" w:cs="宋体"/>
          <w:spacing w:val="-4"/>
          <w:sz w:val="28"/>
          <w:szCs w:val="28"/>
          <w:lang w:eastAsia="zh-CN"/>
        </w:rPr>
        <w:t>）“延期换证审核”单元。</w:t>
      </w:r>
    </w:p>
    <w:p w14:paraId="6DD1CDD7">
      <w:pPr>
        <w:spacing w:line="360" w:lineRule="auto"/>
        <w:jc w:val="center"/>
        <w:outlineLvl w:val="1"/>
        <w:rPr>
          <w:rFonts w:hint="eastAsia" w:ascii="黑体" w:hAnsi="黑体" w:eastAsia="黑体" w:cs="黑体"/>
          <w:sz w:val="30"/>
          <w:szCs w:val="30"/>
          <w:lang w:eastAsia="zh-CN"/>
        </w:rPr>
      </w:pPr>
      <w:bookmarkStart w:id="182" w:name="bookmark34"/>
      <w:bookmarkEnd w:id="182"/>
      <w:bookmarkStart w:id="183" w:name="_Toc5204"/>
      <w:bookmarkStart w:id="184" w:name="_Toc22461"/>
      <w:r>
        <w:rPr>
          <w:rFonts w:ascii="Times New Roman" w:hAnsi="Times New Roman" w:eastAsia="Times New Roman" w:cs="Times New Roman"/>
          <w:b/>
          <w:bCs/>
          <w:spacing w:val="-4"/>
          <w:sz w:val="30"/>
          <w:szCs w:val="30"/>
          <w:lang w:eastAsia="zh-CN"/>
        </w:rPr>
        <w:t xml:space="preserve">4.2 </w:t>
      </w:r>
      <w:r>
        <w:rPr>
          <w:rFonts w:ascii="黑体" w:hAnsi="黑体" w:eastAsia="黑体" w:cs="黑体"/>
          <w:b/>
          <w:bCs/>
          <w:spacing w:val="-4"/>
          <w:sz w:val="30"/>
          <w:szCs w:val="30"/>
          <w:lang w:eastAsia="zh-CN"/>
        </w:rPr>
        <w:t>评价方法选择</w:t>
      </w:r>
      <w:bookmarkEnd w:id="183"/>
      <w:bookmarkEnd w:id="184"/>
    </w:p>
    <w:p w14:paraId="24D29549">
      <w:pPr>
        <w:spacing w:line="360" w:lineRule="auto"/>
        <w:ind w:firstLine="57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凤城市添合矿业有限公司</w:t>
      </w:r>
      <w:r>
        <w:rPr>
          <w:rFonts w:ascii="宋体" w:hAnsi="宋体" w:eastAsia="宋体" w:cs="宋体"/>
          <w:spacing w:val="2"/>
          <w:sz w:val="28"/>
          <w:szCs w:val="28"/>
          <w:lang w:eastAsia="zh-CN"/>
        </w:rPr>
        <w:t>尾矿库存在的危</w:t>
      </w:r>
      <w:r>
        <w:rPr>
          <w:rFonts w:ascii="宋体" w:hAnsi="宋体" w:eastAsia="宋体" w:cs="宋体"/>
          <w:spacing w:val="1"/>
          <w:sz w:val="28"/>
          <w:szCs w:val="28"/>
          <w:lang w:eastAsia="zh-CN"/>
        </w:rPr>
        <w:t>险、有害因素既具有尾</w:t>
      </w:r>
      <w:r>
        <w:rPr>
          <w:rFonts w:ascii="宋体" w:hAnsi="宋体" w:eastAsia="宋体" w:cs="宋体"/>
          <w:spacing w:val="-2"/>
          <w:sz w:val="28"/>
          <w:szCs w:val="28"/>
          <w:lang w:eastAsia="zh-CN"/>
        </w:rPr>
        <w:t>矿库的共性，也有其固有的特殊性。针对实际情况和危险</w:t>
      </w:r>
      <w:r>
        <w:rPr>
          <w:rFonts w:ascii="宋体" w:hAnsi="宋体" w:eastAsia="宋体" w:cs="宋体"/>
          <w:spacing w:val="-3"/>
          <w:sz w:val="28"/>
          <w:szCs w:val="28"/>
          <w:lang w:eastAsia="zh-CN"/>
        </w:rPr>
        <w:t>、有害因素性质，</w:t>
      </w:r>
      <w:r>
        <w:rPr>
          <w:rFonts w:ascii="宋体" w:hAnsi="宋体" w:eastAsia="宋体" w:cs="宋体"/>
          <w:spacing w:val="-1"/>
          <w:sz w:val="28"/>
          <w:szCs w:val="28"/>
          <w:lang w:eastAsia="zh-CN"/>
        </w:rPr>
        <w:t>本次安全评价选用定性法和定量分析法。</w:t>
      </w:r>
    </w:p>
    <w:p w14:paraId="3DB5E5D0">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（1）定性分析法</w:t>
      </w:r>
    </w:p>
    <w:p w14:paraId="063E43AB">
      <w:pPr>
        <w:spacing w:line="360" w:lineRule="auto"/>
        <w:ind w:firstLine="564"/>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安全检查表法是定性的安全评价方法，可用于评价项目</w:t>
      </w:r>
      <w:r>
        <w:rPr>
          <w:rFonts w:ascii="宋体" w:hAnsi="宋体" w:eastAsia="宋体" w:cs="宋体"/>
          <w:spacing w:val="1"/>
          <w:sz w:val="28"/>
          <w:szCs w:val="28"/>
          <w:lang w:eastAsia="zh-CN"/>
        </w:rPr>
        <w:t>的任何时期。</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通过对检查对象进行详细调查研究和全面分析，所制定出来的</w:t>
      </w:r>
      <w:r>
        <w:rPr>
          <w:rFonts w:ascii="宋体" w:hAnsi="宋体" w:eastAsia="宋体" w:cs="宋体"/>
          <w:spacing w:val="1"/>
          <w:sz w:val="28"/>
          <w:szCs w:val="28"/>
          <w:lang w:eastAsia="zh-CN"/>
        </w:rPr>
        <w:t>安全检查表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比较系统、完善，能包括控制事故发生的各种因素，可避免检</w:t>
      </w:r>
      <w:r>
        <w:rPr>
          <w:rFonts w:ascii="宋体" w:hAnsi="宋体" w:eastAsia="宋体" w:cs="宋体"/>
          <w:spacing w:val="1"/>
          <w:sz w:val="28"/>
          <w:szCs w:val="28"/>
          <w:lang w:eastAsia="zh-CN"/>
        </w:rPr>
        <w:t>查过程中的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走过场和盲目性，从而提高安全检查工作的效果和质量。</w:t>
      </w:r>
    </w:p>
    <w:p w14:paraId="1DB6A834">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安全检查表法有如下优点：</w:t>
      </w:r>
    </w:p>
    <w:p w14:paraId="035F8565">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1）安全检查表示是根据法律、法规、安全技术规程和标准制定的，</w:t>
      </w:r>
    </w:p>
    <w:p w14:paraId="028D3781">
      <w:pPr>
        <w:spacing w:line="360" w:lineRule="auto"/>
        <w:rPr>
          <w:rFonts w:hint="eastAsia" w:ascii="宋体" w:hAnsi="宋体" w:eastAsia="宋体" w:cs="宋体"/>
          <w:sz w:val="28"/>
          <w:szCs w:val="28"/>
          <w:lang w:eastAsia="zh-CN"/>
        </w:rPr>
        <w:sectPr>
          <w:headerReference r:id="rId21" w:type="default"/>
          <w:footerReference r:id="rId22" w:type="default"/>
          <w:pgSz w:w="11906" w:h="16839"/>
          <w:pgMar w:top="1150" w:right="1133" w:bottom="1315" w:left="1588" w:header="868" w:footer="986" w:gutter="0"/>
          <w:cols w:space="720" w:num="1"/>
        </w:sectPr>
      </w:pPr>
    </w:p>
    <w:p w14:paraId="7E971219">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因此检查目的明确，内容具体，易于实现安全要求；</w:t>
      </w:r>
    </w:p>
    <w:p w14:paraId="049E38CE">
      <w:pPr>
        <w:spacing w:line="360" w:lineRule="auto"/>
        <w:ind w:firstLine="553"/>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2</w:t>
      </w:r>
      <w:r>
        <w:rPr>
          <w:rFonts w:ascii="宋体" w:hAnsi="宋体" w:eastAsia="宋体" w:cs="宋体"/>
          <w:spacing w:val="7"/>
          <w:sz w:val="28"/>
          <w:szCs w:val="28"/>
          <w:lang w:eastAsia="zh-CN"/>
        </w:rPr>
        <w:t>）安全检查表对所拟定的检查项目进行逐项检查的过程</w:t>
      </w:r>
      <w:r>
        <w:rPr>
          <w:rFonts w:ascii="宋体" w:hAnsi="宋体" w:eastAsia="宋体" w:cs="宋体"/>
          <w:spacing w:val="6"/>
          <w:sz w:val="28"/>
          <w:szCs w:val="28"/>
          <w:lang w:eastAsia="zh-CN"/>
        </w:rPr>
        <w:t>，也是对系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统危险因素辨识、评价和制定出措施的过程，既能准确地查</w:t>
      </w:r>
      <w:r>
        <w:rPr>
          <w:rFonts w:ascii="宋体" w:hAnsi="宋体" w:eastAsia="宋体" w:cs="宋体"/>
          <w:spacing w:val="1"/>
          <w:sz w:val="28"/>
          <w:szCs w:val="28"/>
          <w:lang w:eastAsia="zh-CN"/>
        </w:rPr>
        <w:t>出隐患，又能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得出确切的结论，从而保证了有关法规的全面落实；</w:t>
      </w:r>
    </w:p>
    <w:p w14:paraId="44F5FAA5">
      <w:pPr>
        <w:spacing w:line="360" w:lineRule="auto"/>
        <w:ind w:firstLine="559"/>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3</w:t>
      </w:r>
      <w:r>
        <w:rPr>
          <w:rFonts w:ascii="宋体" w:hAnsi="宋体" w:eastAsia="宋体" w:cs="宋体"/>
          <w:spacing w:val="7"/>
          <w:sz w:val="28"/>
          <w:szCs w:val="28"/>
          <w:lang w:eastAsia="zh-CN"/>
        </w:rPr>
        <w:t>）安全检查表是与有关责任人紧密相联系</w:t>
      </w:r>
      <w:r>
        <w:rPr>
          <w:rFonts w:ascii="宋体" w:hAnsi="宋体" w:eastAsia="宋体" w:cs="宋体"/>
          <w:spacing w:val="6"/>
          <w:sz w:val="28"/>
          <w:szCs w:val="28"/>
          <w:lang w:eastAsia="zh-CN"/>
        </w:rPr>
        <w:t>的，所以易于推行安全生</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产责任制，检查后能够做到事故清、责任明、整改措施落实快；</w:t>
      </w:r>
    </w:p>
    <w:p w14:paraId="2B9D748B">
      <w:pPr>
        <w:spacing w:line="360" w:lineRule="auto"/>
        <w:ind w:firstLine="552"/>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4</w:t>
      </w:r>
      <w:r>
        <w:rPr>
          <w:rFonts w:ascii="宋体" w:hAnsi="宋体" w:eastAsia="宋体" w:cs="宋体"/>
          <w:spacing w:val="7"/>
          <w:sz w:val="28"/>
          <w:szCs w:val="28"/>
          <w:lang w:eastAsia="zh-CN"/>
        </w:rPr>
        <w:t>）安全检查表使用起来简单易行，易于安全管理人员和广</w:t>
      </w:r>
      <w:r>
        <w:rPr>
          <w:rFonts w:ascii="宋体" w:hAnsi="宋体" w:eastAsia="宋体" w:cs="宋体"/>
          <w:spacing w:val="6"/>
          <w:sz w:val="28"/>
          <w:szCs w:val="28"/>
          <w:lang w:eastAsia="zh-CN"/>
        </w:rPr>
        <w:t>大职工掌</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握和接受，可经常自我检查。</w:t>
      </w:r>
    </w:p>
    <w:p w14:paraId="528CC1DA">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（2）定量分析法</w:t>
      </w:r>
    </w:p>
    <w:p w14:paraId="7CF59B5D">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按照国家和行业技术规范标准的相关规定，利用经验公式或理</w:t>
      </w:r>
      <w:r>
        <w:rPr>
          <w:rFonts w:ascii="宋体" w:hAnsi="宋体" w:eastAsia="宋体" w:cs="宋体"/>
          <w:spacing w:val="1"/>
          <w:sz w:val="28"/>
          <w:szCs w:val="28"/>
          <w:lang w:eastAsia="zh-CN"/>
        </w:rPr>
        <w:t>论计算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公式，根据设施的相关技术参数进行校验计算，得</w:t>
      </w:r>
      <w:r>
        <w:rPr>
          <w:rFonts w:ascii="宋体" w:hAnsi="宋体" w:eastAsia="宋体" w:cs="宋体"/>
          <w:spacing w:val="1"/>
          <w:sz w:val="28"/>
          <w:szCs w:val="28"/>
          <w:lang w:eastAsia="zh-CN"/>
        </w:rPr>
        <w:t>出项目安全设施是否满</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足安全生产的要求，进一步提出安全对策措施。</w:t>
      </w:r>
    </w:p>
    <w:p w14:paraId="75563073">
      <w:pPr>
        <w:spacing w:line="360" w:lineRule="auto"/>
        <w:jc w:val="center"/>
        <w:outlineLvl w:val="1"/>
        <w:rPr>
          <w:rFonts w:hint="eastAsia" w:ascii="黑体" w:hAnsi="黑体" w:eastAsia="黑体" w:cs="黑体"/>
          <w:sz w:val="30"/>
          <w:szCs w:val="30"/>
          <w:lang w:eastAsia="zh-CN"/>
        </w:rPr>
      </w:pPr>
      <w:bookmarkStart w:id="185" w:name="bookmark36"/>
      <w:bookmarkEnd w:id="185"/>
      <w:bookmarkStart w:id="186" w:name="_Toc9243"/>
      <w:bookmarkStart w:id="187" w:name="_Toc9084"/>
      <w:r>
        <w:rPr>
          <w:rFonts w:ascii="Times New Roman" w:hAnsi="Times New Roman" w:eastAsia="Times New Roman" w:cs="Times New Roman"/>
          <w:b/>
          <w:bCs/>
          <w:spacing w:val="-3"/>
          <w:sz w:val="30"/>
          <w:szCs w:val="30"/>
          <w:lang w:eastAsia="zh-CN"/>
        </w:rPr>
        <w:t xml:space="preserve">4.3 </w:t>
      </w:r>
      <w:r>
        <w:rPr>
          <w:rFonts w:ascii="黑体" w:hAnsi="黑体" w:eastAsia="黑体" w:cs="黑体"/>
          <w:b/>
          <w:bCs/>
          <w:spacing w:val="-3"/>
          <w:sz w:val="30"/>
          <w:szCs w:val="30"/>
          <w:lang w:eastAsia="zh-CN"/>
        </w:rPr>
        <w:t>各评价单元采用的评价方法</w:t>
      </w:r>
      <w:bookmarkEnd w:id="186"/>
      <w:bookmarkEnd w:id="187"/>
    </w:p>
    <w:p w14:paraId="068D9AC0">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本《安全现状评价报告》根据该尾矿库特点，尾矿库生产系</w:t>
      </w:r>
      <w:r>
        <w:rPr>
          <w:rFonts w:ascii="宋体" w:hAnsi="宋体" w:eastAsia="宋体" w:cs="宋体"/>
          <w:spacing w:val="1"/>
          <w:sz w:val="28"/>
          <w:szCs w:val="28"/>
          <w:lang w:eastAsia="zh-CN"/>
        </w:rPr>
        <w:t>统划分为</w:t>
      </w:r>
      <w:r>
        <w:rPr>
          <w:rFonts w:ascii="Times New Roman" w:hAnsi="Times New Roman" w:eastAsia="Times New Roman" w:cs="Times New Roman"/>
          <w:spacing w:val="-1"/>
          <w:sz w:val="28"/>
          <w:szCs w:val="28"/>
          <w:lang w:eastAsia="zh-CN"/>
        </w:rPr>
        <w:t xml:space="preserve">8 </w:t>
      </w:r>
      <w:r>
        <w:rPr>
          <w:rFonts w:ascii="宋体" w:hAnsi="宋体" w:eastAsia="宋体" w:cs="宋体"/>
          <w:spacing w:val="-1"/>
          <w:sz w:val="28"/>
          <w:szCs w:val="28"/>
          <w:lang w:eastAsia="zh-CN"/>
        </w:rPr>
        <w:t>个评价单元，采用了多种评价方法，具体情况如</w:t>
      </w:r>
      <w:r>
        <w:rPr>
          <w:rFonts w:ascii="宋体" w:hAnsi="宋体" w:eastAsia="宋体" w:cs="宋体"/>
          <w:spacing w:val="-2"/>
          <w:sz w:val="28"/>
          <w:szCs w:val="28"/>
          <w:lang w:eastAsia="zh-CN"/>
        </w:rPr>
        <w:t>下表所示：</w:t>
      </w:r>
    </w:p>
    <w:p w14:paraId="01766BAE">
      <w:pPr>
        <w:jc w:val="center"/>
        <w:rPr>
          <w:rFonts w:hint="eastAsia" w:ascii="宋体" w:hAnsi="宋体" w:eastAsia="宋体" w:cs="宋体"/>
          <w:sz w:val="24"/>
          <w:szCs w:val="24"/>
          <w:lang w:eastAsia="zh-CN"/>
        </w:rPr>
      </w:pPr>
      <w:r>
        <w:rPr>
          <w:rFonts w:ascii="宋体" w:hAnsi="宋体" w:eastAsia="宋体" w:cs="宋体"/>
          <w:spacing w:val="-1"/>
          <w:sz w:val="24"/>
          <w:szCs w:val="24"/>
          <w:lang w:eastAsia="zh-CN"/>
        </w:rPr>
        <w:t>表</w:t>
      </w:r>
      <w:r>
        <w:rPr>
          <w:rFonts w:ascii="宋体" w:hAnsi="宋体" w:eastAsia="宋体" w:cs="宋体"/>
          <w:spacing w:val="-56"/>
          <w:sz w:val="24"/>
          <w:szCs w:val="24"/>
          <w:lang w:eastAsia="zh-CN"/>
        </w:rPr>
        <w:t xml:space="preserve"> </w:t>
      </w:r>
      <w:r>
        <w:rPr>
          <w:rFonts w:ascii="Times New Roman" w:hAnsi="Times New Roman" w:eastAsia="Times New Roman" w:cs="Times New Roman"/>
          <w:spacing w:val="-1"/>
          <w:sz w:val="24"/>
          <w:szCs w:val="24"/>
          <w:lang w:eastAsia="zh-CN"/>
        </w:rPr>
        <w:t xml:space="preserve">4.3-1 </w:t>
      </w:r>
      <w:r>
        <w:rPr>
          <w:rFonts w:ascii="宋体" w:hAnsi="宋体" w:eastAsia="宋体" w:cs="宋体"/>
          <w:spacing w:val="-1"/>
          <w:sz w:val="24"/>
          <w:szCs w:val="24"/>
          <w:lang w:eastAsia="zh-CN"/>
        </w:rPr>
        <w:t>各评价单元采用的评价方法一</w:t>
      </w:r>
      <w:r>
        <w:rPr>
          <w:rFonts w:ascii="宋体" w:hAnsi="宋体" w:eastAsia="宋体" w:cs="宋体"/>
          <w:spacing w:val="-2"/>
          <w:sz w:val="24"/>
          <w:szCs w:val="24"/>
          <w:lang w:eastAsia="zh-CN"/>
        </w:rPr>
        <w:t>览表</w:t>
      </w:r>
    </w:p>
    <w:tbl>
      <w:tblPr>
        <w:tblStyle w:val="25"/>
        <w:tblW w:w="83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2"/>
        <w:gridCol w:w="3843"/>
        <w:gridCol w:w="1845"/>
        <w:gridCol w:w="1946"/>
      </w:tblGrid>
      <w:tr w14:paraId="64A2A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4525" w:type="dxa"/>
            <w:gridSpan w:val="2"/>
            <w:tcBorders>
              <w:tl2br w:val="single" w:color="000000" w:sz="6" w:space="0"/>
            </w:tcBorders>
            <w:vAlign w:val="bottom"/>
          </w:tcPr>
          <w:p w14:paraId="370DA0F8">
            <w:pPr>
              <w:ind w:firstLine="2996" w:firstLineChars="1400"/>
              <w:jc w:val="center"/>
              <w:rPr>
                <w:rFonts w:hint="eastAsia" w:ascii="宋体" w:hAnsi="宋体" w:eastAsia="宋体" w:cs="宋体"/>
                <w:sz w:val="20"/>
                <w:szCs w:val="20"/>
                <w:lang w:eastAsia="zh-CN"/>
              </w:rPr>
            </w:pPr>
            <w:r>
              <w:rPr>
                <w:rFonts w:ascii="宋体" w:hAnsi="宋体" w:eastAsia="宋体" w:cs="宋体"/>
                <w:spacing w:val="7"/>
                <w:sz w:val="20"/>
                <w:szCs w:val="20"/>
                <w:lang w:eastAsia="zh-CN"/>
              </w:rPr>
              <w:t>评价方法</w:t>
            </w:r>
          </w:p>
          <w:p w14:paraId="20E50AC3">
            <w:pPr>
              <w:ind w:firstLine="648" w:firstLineChars="300"/>
              <w:jc w:val="both"/>
              <w:rPr>
                <w:rFonts w:hint="eastAsia" w:ascii="宋体" w:hAnsi="宋体" w:eastAsia="宋体" w:cs="宋体"/>
                <w:sz w:val="20"/>
                <w:szCs w:val="20"/>
                <w:lang w:eastAsia="zh-CN"/>
              </w:rPr>
            </w:pPr>
            <w:r>
              <w:rPr>
                <w:rFonts w:ascii="宋体" w:hAnsi="宋体" w:eastAsia="宋体" w:cs="宋体"/>
                <w:spacing w:val="8"/>
                <w:sz w:val="20"/>
                <w:szCs w:val="20"/>
                <w:lang w:eastAsia="zh-CN"/>
              </w:rPr>
              <w:t>评价单元名称</w:t>
            </w:r>
          </w:p>
        </w:tc>
        <w:tc>
          <w:tcPr>
            <w:tcW w:w="1845" w:type="dxa"/>
            <w:vAlign w:val="center"/>
          </w:tcPr>
          <w:p w14:paraId="0DDA906B">
            <w:pPr>
              <w:jc w:val="center"/>
              <w:rPr>
                <w:rFonts w:hint="eastAsia" w:ascii="宋体" w:hAnsi="宋体" w:eastAsia="宋体" w:cs="宋体"/>
                <w:sz w:val="20"/>
                <w:szCs w:val="20"/>
              </w:rPr>
            </w:pPr>
            <w:r>
              <w:rPr>
                <w:rFonts w:ascii="宋体" w:hAnsi="宋体" w:eastAsia="宋体" w:cs="宋体"/>
                <w:spacing w:val="7"/>
                <w:sz w:val="20"/>
                <w:szCs w:val="20"/>
              </w:rPr>
              <w:t>安全检查表法</w:t>
            </w:r>
          </w:p>
        </w:tc>
        <w:tc>
          <w:tcPr>
            <w:tcW w:w="1946" w:type="dxa"/>
            <w:vAlign w:val="center"/>
          </w:tcPr>
          <w:p w14:paraId="14E3077B">
            <w:pPr>
              <w:jc w:val="center"/>
              <w:rPr>
                <w:rFonts w:hint="eastAsia" w:ascii="宋体" w:hAnsi="宋体" w:eastAsia="宋体" w:cs="宋体"/>
                <w:sz w:val="20"/>
                <w:szCs w:val="20"/>
              </w:rPr>
            </w:pPr>
            <w:r>
              <w:rPr>
                <w:rFonts w:ascii="宋体" w:hAnsi="宋体" w:eastAsia="宋体" w:cs="宋体"/>
                <w:spacing w:val="7"/>
                <w:sz w:val="20"/>
                <w:szCs w:val="20"/>
              </w:rPr>
              <w:t>定量分析法</w:t>
            </w:r>
          </w:p>
        </w:tc>
      </w:tr>
      <w:tr w14:paraId="45FFC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4FBD10DC">
            <w:pPr>
              <w:pStyle w:val="26"/>
              <w:jc w:val="center"/>
            </w:pPr>
            <w:r>
              <w:t>1</w:t>
            </w:r>
          </w:p>
        </w:tc>
        <w:tc>
          <w:tcPr>
            <w:tcW w:w="3843" w:type="dxa"/>
            <w:vAlign w:val="center"/>
          </w:tcPr>
          <w:p w14:paraId="233CA429">
            <w:pPr>
              <w:jc w:val="center"/>
              <w:rPr>
                <w:rFonts w:hint="eastAsia" w:ascii="宋体" w:hAnsi="宋体" w:eastAsia="宋体" w:cs="宋体"/>
                <w:sz w:val="20"/>
                <w:szCs w:val="20"/>
              </w:rPr>
            </w:pPr>
            <w:r>
              <w:rPr>
                <w:rFonts w:ascii="宋体" w:hAnsi="宋体" w:eastAsia="宋体" w:cs="宋体"/>
                <w:spacing w:val="8"/>
                <w:sz w:val="20"/>
                <w:szCs w:val="20"/>
              </w:rPr>
              <w:t>周边环境单元</w:t>
            </w:r>
          </w:p>
        </w:tc>
        <w:tc>
          <w:tcPr>
            <w:tcW w:w="1845" w:type="dxa"/>
            <w:vAlign w:val="center"/>
          </w:tcPr>
          <w:p w14:paraId="6872835F">
            <w:pPr>
              <w:pStyle w:val="26"/>
              <w:jc w:val="center"/>
            </w:pPr>
            <w:r>
              <w:t>√</w:t>
            </w:r>
          </w:p>
        </w:tc>
        <w:tc>
          <w:tcPr>
            <w:tcW w:w="1946" w:type="dxa"/>
            <w:vAlign w:val="center"/>
          </w:tcPr>
          <w:p w14:paraId="0C26C27C">
            <w:pPr>
              <w:jc w:val="center"/>
            </w:pPr>
          </w:p>
        </w:tc>
      </w:tr>
      <w:tr w14:paraId="019D9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FE4BFB4">
            <w:pPr>
              <w:pStyle w:val="26"/>
              <w:jc w:val="center"/>
            </w:pPr>
            <w:r>
              <w:t>2</w:t>
            </w:r>
          </w:p>
        </w:tc>
        <w:tc>
          <w:tcPr>
            <w:tcW w:w="3843" w:type="dxa"/>
            <w:vAlign w:val="center"/>
          </w:tcPr>
          <w:p w14:paraId="059B478B">
            <w:pPr>
              <w:jc w:val="center"/>
              <w:rPr>
                <w:rFonts w:hint="eastAsia" w:ascii="宋体" w:hAnsi="宋体" w:eastAsia="宋体" w:cs="宋体"/>
                <w:sz w:val="20"/>
                <w:szCs w:val="20"/>
              </w:rPr>
            </w:pPr>
            <w:r>
              <w:rPr>
                <w:rFonts w:ascii="宋体" w:hAnsi="宋体" w:eastAsia="宋体" w:cs="宋体"/>
                <w:spacing w:val="8"/>
                <w:sz w:val="20"/>
                <w:szCs w:val="20"/>
              </w:rPr>
              <w:t>尾矿坝单元</w:t>
            </w:r>
          </w:p>
        </w:tc>
        <w:tc>
          <w:tcPr>
            <w:tcW w:w="1845" w:type="dxa"/>
            <w:vAlign w:val="center"/>
          </w:tcPr>
          <w:p w14:paraId="31144962">
            <w:pPr>
              <w:pStyle w:val="26"/>
              <w:jc w:val="center"/>
            </w:pPr>
            <w:r>
              <w:t>√</w:t>
            </w:r>
          </w:p>
        </w:tc>
        <w:tc>
          <w:tcPr>
            <w:tcW w:w="1946" w:type="dxa"/>
            <w:vAlign w:val="center"/>
          </w:tcPr>
          <w:p w14:paraId="724FFCAE">
            <w:pPr>
              <w:pStyle w:val="26"/>
              <w:jc w:val="center"/>
            </w:pPr>
            <w:r>
              <w:t>√</w:t>
            </w:r>
          </w:p>
        </w:tc>
      </w:tr>
      <w:tr w14:paraId="21BA2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15784896">
            <w:pPr>
              <w:pStyle w:val="26"/>
              <w:jc w:val="center"/>
            </w:pPr>
            <w:r>
              <w:t>3</w:t>
            </w:r>
          </w:p>
        </w:tc>
        <w:tc>
          <w:tcPr>
            <w:tcW w:w="3843" w:type="dxa"/>
            <w:vAlign w:val="center"/>
          </w:tcPr>
          <w:p w14:paraId="42856BA0">
            <w:pPr>
              <w:jc w:val="center"/>
              <w:rPr>
                <w:rFonts w:hint="eastAsia" w:ascii="宋体" w:hAnsi="宋体" w:eastAsia="宋体" w:cs="宋体"/>
                <w:sz w:val="20"/>
                <w:szCs w:val="20"/>
              </w:rPr>
            </w:pPr>
            <w:r>
              <w:rPr>
                <w:rFonts w:ascii="宋体" w:hAnsi="宋体" w:eastAsia="宋体" w:cs="宋体"/>
                <w:spacing w:val="8"/>
                <w:sz w:val="20"/>
                <w:szCs w:val="20"/>
              </w:rPr>
              <w:t>排洪系统单元</w:t>
            </w:r>
          </w:p>
        </w:tc>
        <w:tc>
          <w:tcPr>
            <w:tcW w:w="1845" w:type="dxa"/>
            <w:vAlign w:val="center"/>
          </w:tcPr>
          <w:p w14:paraId="137EA2E5">
            <w:pPr>
              <w:pStyle w:val="26"/>
              <w:jc w:val="center"/>
            </w:pPr>
            <w:r>
              <w:t>√</w:t>
            </w:r>
          </w:p>
        </w:tc>
        <w:tc>
          <w:tcPr>
            <w:tcW w:w="1946" w:type="dxa"/>
            <w:vAlign w:val="center"/>
          </w:tcPr>
          <w:p w14:paraId="7C3BEB2D">
            <w:pPr>
              <w:pStyle w:val="26"/>
              <w:jc w:val="center"/>
            </w:pPr>
            <w:r>
              <w:t>√</w:t>
            </w:r>
          </w:p>
        </w:tc>
      </w:tr>
      <w:tr w14:paraId="3697E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CBEB3F3">
            <w:pPr>
              <w:pStyle w:val="26"/>
              <w:jc w:val="center"/>
            </w:pPr>
            <w:r>
              <w:rPr>
                <w:spacing w:val="1"/>
              </w:rPr>
              <w:t>4</w:t>
            </w:r>
          </w:p>
        </w:tc>
        <w:tc>
          <w:tcPr>
            <w:tcW w:w="3843" w:type="dxa"/>
            <w:vAlign w:val="center"/>
          </w:tcPr>
          <w:p w14:paraId="3B0A5EAC">
            <w:pPr>
              <w:jc w:val="center"/>
              <w:rPr>
                <w:rFonts w:hint="eastAsia" w:ascii="宋体" w:hAnsi="宋体" w:eastAsia="宋体" w:cs="宋体"/>
                <w:sz w:val="20"/>
                <w:szCs w:val="20"/>
              </w:rPr>
            </w:pPr>
            <w:r>
              <w:rPr>
                <w:rFonts w:ascii="宋体" w:hAnsi="宋体" w:eastAsia="宋体" w:cs="宋体"/>
                <w:spacing w:val="8"/>
                <w:sz w:val="20"/>
                <w:szCs w:val="20"/>
              </w:rPr>
              <w:t>安全监测设施单元</w:t>
            </w:r>
          </w:p>
        </w:tc>
        <w:tc>
          <w:tcPr>
            <w:tcW w:w="1845" w:type="dxa"/>
            <w:vAlign w:val="center"/>
          </w:tcPr>
          <w:p w14:paraId="17DECDD2">
            <w:pPr>
              <w:pStyle w:val="26"/>
              <w:jc w:val="center"/>
            </w:pPr>
            <w:r>
              <w:t>√</w:t>
            </w:r>
          </w:p>
        </w:tc>
        <w:tc>
          <w:tcPr>
            <w:tcW w:w="1946" w:type="dxa"/>
            <w:vAlign w:val="center"/>
          </w:tcPr>
          <w:p w14:paraId="598AA2E4">
            <w:pPr>
              <w:jc w:val="center"/>
            </w:pPr>
          </w:p>
        </w:tc>
      </w:tr>
      <w:tr w14:paraId="43500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CB0477F">
            <w:pPr>
              <w:pStyle w:val="26"/>
              <w:jc w:val="center"/>
            </w:pPr>
            <w:r>
              <w:t>5</w:t>
            </w:r>
          </w:p>
        </w:tc>
        <w:tc>
          <w:tcPr>
            <w:tcW w:w="3843" w:type="dxa"/>
            <w:vAlign w:val="center"/>
          </w:tcPr>
          <w:p w14:paraId="11B3BE5D">
            <w:pPr>
              <w:jc w:val="center"/>
              <w:rPr>
                <w:rFonts w:hint="eastAsia" w:ascii="宋体" w:hAnsi="宋体" w:eastAsia="宋体" w:cs="宋体"/>
                <w:sz w:val="20"/>
                <w:szCs w:val="20"/>
              </w:rPr>
            </w:pPr>
            <w:r>
              <w:rPr>
                <w:rFonts w:ascii="宋体" w:hAnsi="宋体" w:eastAsia="宋体" w:cs="宋体"/>
                <w:spacing w:val="7"/>
                <w:sz w:val="20"/>
                <w:szCs w:val="20"/>
              </w:rPr>
              <w:t>辅助设施单元</w:t>
            </w:r>
          </w:p>
        </w:tc>
        <w:tc>
          <w:tcPr>
            <w:tcW w:w="1845" w:type="dxa"/>
            <w:vAlign w:val="center"/>
          </w:tcPr>
          <w:p w14:paraId="379AA690">
            <w:pPr>
              <w:pStyle w:val="26"/>
              <w:jc w:val="center"/>
            </w:pPr>
            <w:r>
              <w:t>√</w:t>
            </w:r>
          </w:p>
        </w:tc>
        <w:tc>
          <w:tcPr>
            <w:tcW w:w="1946" w:type="dxa"/>
            <w:vAlign w:val="center"/>
          </w:tcPr>
          <w:p w14:paraId="42F4C5AB">
            <w:pPr>
              <w:jc w:val="center"/>
            </w:pPr>
          </w:p>
        </w:tc>
      </w:tr>
      <w:tr w14:paraId="606DD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6FEC9A9B">
            <w:pPr>
              <w:pStyle w:val="26"/>
              <w:jc w:val="center"/>
            </w:pPr>
            <w:r>
              <w:t>6</w:t>
            </w:r>
          </w:p>
        </w:tc>
        <w:tc>
          <w:tcPr>
            <w:tcW w:w="3843" w:type="dxa"/>
            <w:vAlign w:val="center"/>
          </w:tcPr>
          <w:p w14:paraId="62F42A1D">
            <w:pPr>
              <w:jc w:val="center"/>
              <w:rPr>
                <w:rFonts w:hint="eastAsia" w:ascii="宋体" w:hAnsi="宋体" w:eastAsia="宋体" w:cs="宋体"/>
                <w:sz w:val="20"/>
                <w:szCs w:val="20"/>
              </w:rPr>
            </w:pPr>
            <w:r>
              <w:rPr>
                <w:rFonts w:ascii="宋体" w:hAnsi="宋体" w:eastAsia="宋体" w:cs="宋体"/>
                <w:spacing w:val="7"/>
                <w:sz w:val="20"/>
                <w:szCs w:val="20"/>
              </w:rPr>
              <w:t>安全管理单元</w:t>
            </w:r>
          </w:p>
        </w:tc>
        <w:tc>
          <w:tcPr>
            <w:tcW w:w="1845" w:type="dxa"/>
            <w:vAlign w:val="center"/>
          </w:tcPr>
          <w:p w14:paraId="4C00737A">
            <w:pPr>
              <w:pStyle w:val="26"/>
              <w:jc w:val="center"/>
            </w:pPr>
            <w:r>
              <w:t>√</w:t>
            </w:r>
          </w:p>
        </w:tc>
        <w:tc>
          <w:tcPr>
            <w:tcW w:w="1946" w:type="dxa"/>
            <w:vAlign w:val="center"/>
          </w:tcPr>
          <w:p w14:paraId="485ADA19">
            <w:pPr>
              <w:jc w:val="center"/>
            </w:pPr>
          </w:p>
        </w:tc>
      </w:tr>
      <w:tr w14:paraId="336DA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682" w:type="dxa"/>
            <w:vAlign w:val="center"/>
          </w:tcPr>
          <w:p w14:paraId="70A6BF0A">
            <w:pPr>
              <w:pStyle w:val="26"/>
              <w:jc w:val="center"/>
            </w:pPr>
            <w:r>
              <w:t>7</w:t>
            </w:r>
          </w:p>
        </w:tc>
        <w:tc>
          <w:tcPr>
            <w:tcW w:w="3843" w:type="dxa"/>
            <w:vAlign w:val="center"/>
          </w:tcPr>
          <w:p w14:paraId="47FBD8A5">
            <w:pPr>
              <w:jc w:val="center"/>
              <w:rPr>
                <w:rFonts w:hint="eastAsia" w:ascii="宋体" w:hAnsi="宋体" w:eastAsia="宋体" w:cs="宋体"/>
                <w:sz w:val="20"/>
                <w:szCs w:val="20"/>
              </w:rPr>
            </w:pPr>
            <w:r>
              <w:rPr>
                <w:rFonts w:ascii="宋体" w:hAnsi="宋体" w:eastAsia="宋体" w:cs="宋体"/>
                <w:spacing w:val="8"/>
                <w:sz w:val="20"/>
                <w:szCs w:val="20"/>
              </w:rPr>
              <w:t>重大隐患判定单元</w:t>
            </w:r>
          </w:p>
        </w:tc>
        <w:tc>
          <w:tcPr>
            <w:tcW w:w="1845" w:type="dxa"/>
            <w:vAlign w:val="center"/>
          </w:tcPr>
          <w:p w14:paraId="23B30F14">
            <w:pPr>
              <w:pStyle w:val="26"/>
              <w:jc w:val="center"/>
            </w:pPr>
            <w:r>
              <w:t>√</w:t>
            </w:r>
          </w:p>
        </w:tc>
        <w:tc>
          <w:tcPr>
            <w:tcW w:w="1946" w:type="dxa"/>
            <w:vAlign w:val="center"/>
          </w:tcPr>
          <w:p w14:paraId="275643A4">
            <w:pPr>
              <w:jc w:val="center"/>
            </w:pPr>
          </w:p>
        </w:tc>
      </w:tr>
      <w:tr w14:paraId="5AF495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682" w:type="dxa"/>
            <w:vAlign w:val="center"/>
          </w:tcPr>
          <w:p w14:paraId="10D67F6E">
            <w:pPr>
              <w:pStyle w:val="26"/>
              <w:jc w:val="center"/>
            </w:pPr>
            <w:r>
              <w:t>8</w:t>
            </w:r>
          </w:p>
        </w:tc>
        <w:tc>
          <w:tcPr>
            <w:tcW w:w="3843" w:type="dxa"/>
            <w:vAlign w:val="center"/>
          </w:tcPr>
          <w:p w14:paraId="0FE36938">
            <w:pPr>
              <w:jc w:val="center"/>
              <w:outlineLvl w:val="0"/>
              <w:rPr>
                <w:rFonts w:hint="eastAsia" w:ascii="宋体" w:hAnsi="宋体" w:eastAsia="宋体" w:cs="宋体"/>
                <w:sz w:val="20"/>
                <w:szCs w:val="20"/>
                <w:lang w:eastAsia="zh-CN"/>
              </w:rPr>
            </w:pPr>
            <w:bookmarkStart w:id="188" w:name="_Toc3048"/>
            <w:bookmarkStart w:id="189" w:name="_Toc29388"/>
            <w:bookmarkStart w:id="190" w:name="_Toc23084"/>
            <w:r>
              <w:rPr>
                <w:rFonts w:ascii="宋体" w:hAnsi="宋体" w:eastAsia="宋体" w:cs="宋体"/>
                <w:spacing w:val="6"/>
                <w:sz w:val="20"/>
                <w:szCs w:val="20"/>
                <w:lang w:eastAsia="zh-CN"/>
              </w:rPr>
              <w:t>“延期换证审核</w:t>
            </w:r>
            <w:r>
              <w:rPr>
                <w:rFonts w:ascii="宋体" w:hAnsi="宋体" w:eastAsia="宋体" w:cs="宋体"/>
                <w:spacing w:val="-62"/>
                <w:sz w:val="20"/>
                <w:szCs w:val="20"/>
                <w:lang w:eastAsia="zh-CN"/>
              </w:rPr>
              <w:t xml:space="preserve"> </w:t>
            </w:r>
            <w:r>
              <w:rPr>
                <w:rFonts w:ascii="宋体" w:hAnsi="宋体" w:eastAsia="宋体" w:cs="宋体"/>
                <w:spacing w:val="6"/>
                <w:sz w:val="20"/>
                <w:szCs w:val="20"/>
                <w:lang w:eastAsia="zh-CN"/>
              </w:rPr>
              <w:t>”单元</w:t>
            </w:r>
            <w:bookmarkEnd w:id="188"/>
            <w:bookmarkEnd w:id="189"/>
            <w:bookmarkEnd w:id="190"/>
          </w:p>
        </w:tc>
        <w:tc>
          <w:tcPr>
            <w:tcW w:w="1845" w:type="dxa"/>
            <w:vAlign w:val="center"/>
          </w:tcPr>
          <w:p w14:paraId="22483D0C">
            <w:pPr>
              <w:pStyle w:val="26"/>
              <w:jc w:val="center"/>
            </w:pPr>
            <w:r>
              <w:t>√</w:t>
            </w:r>
          </w:p>
        </w:tc>
        <w:tc>
          <w:tcPr>
            <w:tcW w:w="1946" w:type="dxa"/>
            <w:vAlign w:val="center"/>
          </w:tcPr>
          <w:p w14:paraId="485AB593">
            <w:pPr>
              <w:jc w:val="center"/>
            </w:pPr>
          </w:p>
        </w:tc>
      </w:tr>
    </w:tbl>
    <w:p w14:paraId="74156C4F">
      <w:pPr>
        <w:pStyle w:val="9"/>
        <w:spacing w:line="360" w:lineRule="auto"/>
      </w:pPr>
    </w:p>
    <w:p w14:paraId="74E8FA3F">
      <w:pPr>
        <w:spacing w:line="360" w:lineRule="auto"/>
        <w:sectPr>
          <w:headerReference r:id="rId23" w:type="default"/>
          <w:footerReference r:id="rId24" w:type="default"/>
          <w:pgSz w:w="11906" w:h="16839"/>
          <w:pgMar w:top="1150" w:right="1018" w:bottom="1315" w:left="1472" w:header="868" w:footer="986" w:gutter="0"/>
          <w:cols w:space="720" w:num="1"/>
        </w:sectPr>
      </w:pPr>
    </w:p>
    <w:p w14:paraId="28D5444A">
      <w:pPr>
        <w:spacing w:line="360" w:lineRule="auto"/>
        <w:jc w:val="center"/>
        <w:outlineLvl w:val="0"/>
        <w:rPr>
          <w:rFonts w:hint="eastAsia" w:ascii="黑体" w:hAnsi="黑体" w:eastAsia="黑体" w:cs="黑体"/>
          <w:sz w:val="31"/>
          <w:szCs w:val="31"/>
        </w:rPr>
      </w:pPr>
      <w:bookmarkStart w:id="191" w:name="bookmark38"/>
      <w:bookmarkEnd w:id="191"/>
      <w:bookmarkStart w:id="192" w:name="_Toc18168"/>
      <w:bookmarkStart w:id="193" w:name="_Toc15386"/>
      <w:r>
        <w:rPr>
          <w:rFonts w:ascii="Times New Roman" w:hAnsi="Times New Roman" w:eastAsia="Times New Roman" w:cs="Times New Roman"/>
          <w:b/>
          <w:bCs/>
          <w:spacing w:val="3"/>
          <w:sz w:val="31"/>
          <w:szCs w:val="31"/>
        </w:rPr>
        <w:t xml:space="preserve">5 </w:t>
      </w:r>
      <w:r>
        <w:rPr>
          <w:rFonts w:ascii="黑体" w:hAnsi="黑体" w:eastAsia="黑体" w:cs="黑体"/>
          <w:b/>
          <w:bCs/>
          <w:spacing w:val="3"/>
          <w:sz w:val="31"/>
          <w:szCs w:val="31"/>
        </w:rPr>
        <w:t>定性定量评价</w:t>
      </w:r>
      <w:bookmarkEnd w:id="192"/>
      <w:bookmarkEnd w:id="193"/>
    </w:p>
    <w:p w14:paraId="18A99909">
      <w:pPr>
        <w:spacing w:line="360" w:lineRule="auto"/>
        <w:jc w:val="center"/>
        <w:outlineLvl w:val="1"/>
        <w:rPr>
          <w:rFonts w:hint="eastAsia" w:ascii="黑体" w:hAnsi="黑体" w:eastAsia="黑体" w:cs="黑体"/>
          <w:sz w:val="30"/>
          <w:szCs w:val="30"/>
        </w:rPr>
      </w:pPr>
      <w:bookmarkStart w:id="194" w:name="bookmark40"/>
      <w:bookmarkEnd w:id="194"/>
      <w:bookmarkStart w:id="195" w:name="_Toc18895"/>
      <w:bookmarkStart w:id="196" w:name="_Toc22026"/>
      <w:r>
        <w:rPr>
          <w:rFonts w:ascii="Times New Roman" w:hAnsi="Times New Roman" w:eastAsia="Times New Roman" w:cs="Times New Roman"/>
          <w:b/>
          <w:bCs/>
          <w:spacing w:val="-4"/>
          <w:sz w:val="30"/>
          <w:szCs w:val="30"/>
        </w:rPr>
        <w:t xml:space="preserve">5.1 </w:t>
      </w:r>
      <w:r>
        <w:rPr>
          <w:rFonts w:ascii="黑体" w:hAnsi="黑体" w:eastAsia="黑体" w:cs="黑体"/>
          <w:b/>
          <w:bCs/>
          <w:spacing w:val="-4"/>
          <w:sz w:val="30"/>
          <w:szCs w:val="30"/>
        </w:rPr>
        <w:t>周边环境单元</w:t>
      </w:r>
      <w:bookmarkEnd w:id="195"/>
      <w:bookmarkEnd w:id="196"/>
    </w:p>
    <w:p w14:paraId="3D60B30E">
      <w:pPr>
        <w:spacing w:line="360" w:lineRule="auto"/>
        <w:outlineLvl w:val="2"/>
        <w:rPr>
          <w:rFonts w:hint="eastAsia" w:ascii="宋体" w:hAnsi="宋体" w:eastAsia="宋体" w:cs="宋体"/>
          <w:sz w:val="28"/>
          <w:szCs w:val="28"/>
        </w:rPr>
      </w:pPr>
      <w:bookmarkStart w:id="197" w:name="_Toc30144"/>
      <w:bookmarkStart w:id="198" w:name="_Toc20597"/>
      <w:bookmarkStart w:id="199" w:name="_Toc24865"/>
      <w:r>
        <w:rPr>
          <w:rFonts w:ascii="Times New Roman" w:hAnsi="Times New Roman" w:eastAsia="Times New Roman" w:cs="Times New Roman"/>
          <w:b/>
          <w:bCs/>
          <w:spacing w:val="-3"/>
          <w:sz w:val="28"/>
          <w:szCs w:val="28"/>
        </w:rPr>
        <w:t xml:space="preserve">5.1.1 </w:t>
      </w:r>
      <w:r>
        <w:rPr>
          <w:rFonts w:ascii="宋体" w:hAnsi="宋体" w:eastAsia="宋体" w:cs="宋体"/>
          <w:b/>
          <w:bCs/>
          <w:spacing w:val="-3"/>
          <w:sz w:val="28"/>
          <w:szCs w:val="28"/>
        </w:rPr>
        <w:t>安全检查表法评价</w:t>
      </w:r>
      <w:bookmarkEnd w:id="197"/>
      <w:bookmarkEnd w:id="198"/>
      <w:bookmarkEnd w:id="199"/>
    </w:p>
    <w:p w14:paraId="41C1F02F">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法律法规、技术标准规定，借鉴同类尾矿库的经验，运用安全检查表的评价方法对该尾矿库周边环</w:t>
      </w:r>
      <w:r>
        <w:rPr>
          <w:rFonts w:ascii="宋体" w:hAnsi="宋体" w:eastAsia="宋体" w:cs="宋体"/>
          <w:spacing w:val="6"/>
          <w:sz w:val="28"/>
          <w:szCs w:val="28"/>
          <w:lang w:eastAsia="zh-CN"/>
        </w:rPr>
        <w:t>境单元进行符合性评价，详</w:t>
      </w:r>
      <w:r>
        <w:rPr>
          <w:rFonts w:ascii="宋体" w:hAnsi="宋体" w:eastAsia="宋体" w:cs="宋体"/>
          <w:spacing w:val="-3"/>
          <w:sz w:val="28"/>
          <w:szCs w:val="28"/>
          <w:lang w:eastAsia="zh-CN"/>
        </w:rPr>
        <w:t>见表</w:t>
      </w:r>
      <w:r>
        <w:rPr>
          <w:rFonts w:ascii="Times New Roman" w:hAnsi="Times New Roman" w:eastAsia="Times New Roman" w:cs="Times New Roman"/>
          <w:spacing w:val="-3"/>
          <w:sz w:val="28"/>
          <w:szCs w:val="28"/>
          <w:lang w:eastAsia="zh-CN"/>
        </w:rPr>
        <w:t>5.1-1</w:t>
      </w:r>
      <w:r>
        <w:rPr>
          <w:rFonts w:ascii="宋体" w:hAnsi="宋体" w:eastAsia="宋体" w:cs="宋体"/>
          <w:spacing w:val="-3"/>
          <w:sz w:val="28"/>
          <w:szCs w:val="28"/>
          <w:lang w:eastAsia="zh-CN"/>
        </w:rPr>
        <w:t>。</w:t>
      </w:r>
    </w:p>
    <w:p w14:paraId="48281B95">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5.1-1 </w:t>
      </w:r>
      <w:r>
        <w:rPr>
          <w:rFonts w:ascii="宋体" w:hAnsi="宋体" w:eastAsia="宋体" w:cs="宋体"/>
          <w:spacing w:val="-2"/>
          <w:sz w:val="24"/>
          <w:szCs w:val="24"/>
          <w:lang w:eastAsia="zh-CN"/>
        </w:rPr>
        <w:t>周边环境单元安全检查表</w:t>
      </w:r>
    </w:p>
    <w:p w14:paraId="256A5684">
      <w:pPr>
        <w:spacing w:line="360" w:lineRule="auto"/>
        <w:outlineLvl w:val="2"/>
        <w:rPr>
          <w:rFonts w:hint="eastAsia" w:ascii="宋体" w:hAnsi="宋体" w:eastAsia="宋体" w:cs="宋体"/>
          <w:sz w:val="28"/>
          <w:szCs w:val="28"/>
          <w:lang w:eastAsia="zh-CN"/>
        </w:rPr>
      </w:pPr>
      <w:bookmarkStart w:id="200" w:name="_Toc8946"/>
      <w:bookmarkStart w:id="201" w:name="_Toc25230"/>
      <w:bookmarkStart w:id="202" w:name="_Toc11493"/>
      <w:r>
        <w:rPr>
          <w:rFonts w:ascii="Times New Roman" w:hAnsi="Times New Roman" w:eastAsia="Times New Roman" w:cs="Times New Roman"/>
          <w:b/>
          <w:bCs/>
          <w:spacing w:val="-3"/>
          <w:sz w:val="28"/>
          <w:szCs w:val="28"/>
          <w:lang w:eastAsia="zh-CN"/>
        </w:rPr>
        <w:t xml:space="preserve">5.1.2 </w:t>
      </w:r>
      <w:r>
        <w:rPr>
          <w:rFonts w:ascii="宋体" w:hAnsi="宋体" w:eastAsia="宋体" w:cs="宋体"/>
          <w:b/>
          <w:bCs/>
          <w:spacing w:val="-3"/>
          <w:sz w:val="28"/>
          <w:szCs w:val="28"/>
          <w:lang w:eastAsia="zh-CN"/>
        </w:rPr>
        <w:t>尾矿库与周边环境相互影响评价</w:t>
      </w:r>
      <w:bookmarkEnd w:id="200"/>
      <w:bookmarkEnd w:id="201"/>
      <w:bookmarkEnd w:id="202"/>
    </w:p>
    <w:p w14:paraId="3DD7E2C1">
      <w:pPr>
        <w:spacing w:line="360" w:lineRule="auto"/>
        <w:ind w:firstLine="560"/>
        <w:rPr>
          <w:rFonts w:hint="eastAsia" w:ascii="宋体" w:hAnsi="宋体" w:eastAsia="宋体" w:cs="宋体"/>
          <w:spacing w:val="3"/>
          <w:sz w:val="28"/>
          <w:szCs w:val="28"/>
          <w:lang w:val="en-US" w:eastAsia="zh-CN"/>
        </w:rPr>
      </w:pPr>
      <w:r>
        <w:rPr>
          <w:rFonts w:hint="eastAsia" w:ascii="宋体" w:hAnsi="宋体" w:eastAsia="宋体" w:cs="宋体"/>
          <w:spacing w:val="3"/>
          <w:sz w:val="28"/>
          <w:szCs w:val="28"/>
          <w:lang w:val="en-US" w:eastAsia="zh-CN"/>
        </w:rPr>
        <w:t>Xxx</w:t>
      </w:r>
    </w:p>
    <w:p w14:paraId="14493CF1">
      <w:pPr>
        <w:spacing w:line="360" w:lineRule="auto"/>
        <w:ind w:firstLine="560"/>
        <w:rPr>
          <w:rFonts w:hint="eastAsia" w:hAnsi="宋体"/>
          <w:sz w:val="28"/>
          <w:szCs w:val="28"/>
        </w:rPr>
      </w:pPr>
      <w:r>
        <w:rPr>
          <w:rFonts w:hint="eastAsia" w:ascii="宋体" w:hAnsi="宋体" w:eastAsia="宋体" w:cs="宋体"/>
          <w:spacing w:val="-1"/>
          <w:sz w:val="28"/>
          <w:szCs w:val="28"/>
          <w:lang w:val="en-US" w:eastAsia="zh-CN"/>
        </w:rPr>
        <w:t>该尾矿库库周</w:t>
      </w:r>
      <w:r>
        <w:rPr>
          <w:rFonts w:ascii="宋体" w:hAnsi="宋体" w:eastAsia="宋体" w:cs="宋体"/>
          <w:spacing w:val="-1"/>
          <w:sz w:val="28"/>
          <w:szCs w:val="28"/>
          <w:lang w:eastAsia="zh-CN"/>
        </w:rPr>
        <w:t>边环境良好，</w:t>
      </w:r>
      <w:r>
        <w:rPr>
          <w:rFonts w:hint="eastAsia" w:ascii="宋体" w:hAnsi="宋体" w:eastAsia="宋体" w:cs="宋体"/>
          <w:spacing w:val="-1"/>
          <w:sz w:val="28"/>
          <w:szCs w:val="28"/>
          <w:lang w:eastAsia="zh-CN"/>
        </w:rPr>
        <w:t>尾矿库与周边环境</w:t>
      </w:r>
      <w:r>
        <w:rPr>
          <w:rFonts w:ascii="宋体" w:hAnsi="宋体" w:eastAsia="宋体" w:cs="宋体"/>
          <w:spacing w:val="-1"/>
          <w:sz w:val="28"/>
          <w:szCs w:val="28"/>
          <w:lang w:eastAsia="zh-CN"/>
        </w:rPr>
        <w:t>相互影响</w:t>
      </w:r>
      <w:r>
        <w:rPr>
          <w:rFonts w:hint="eastAsia" w:ascii="宋体" w:hAnsi="宋体" w:eastAsia="宋体" w:cs="宋体"/>
          <w:spacing w:val="-1"/>
          <w:sz w:val="28"/>
          <w:szCs w:val="28"/>
          <w:lang w:eastAsia="zh-CN"/>
        </w:rPr>
        <w:t>较</w:t>
      </w:r>
      <w:r>
        <w:rPr>
          <w:rFonts w:ascii="宋体" w:hAnsi="宋体" w:eastAsia="宋体" w:cs="宋体"/>
          <w:spacing w:val="-1"/>
          <w:sz w:val="28"/>
          <w:szCs w:val="28"/>
          <w:lang w:eastAsia="zh-CN"/>
        </w:rPr>
        <w:t>小。</w:t>
      </w:r>
    </w:p>
    <w:p w14:paraId="595786E2">
      <w:pPr>
        <w:spacing w:line="360" w:lineRule="auto"/>
        <w:ind w:firstLine="1"/>
        <w:outlineLvl w:val="2"/>
        <w:rPr>
          <w:rFonts w:hint="eastAsia" w:ascii="宋体" w:hAnsi="宋体" w:eastAsia="宋体" w:cs="宋体"/>
          <w:sz w:val="28"/>
          <w:szCs w:val="28"/>
          <w:lang w:eastAsia="zh-CN"/>
        </w:rPr>
      </w:pPr>
      <w:bookmarkStart w:id="203" w:name="_Toc14268"/>
      <w:r>
        <w:rPr>
          <w:rFonts w:ascii="Times New Roman" w:hAnsi="Times New Roman" w:eastAsia="Times New Roman" w:cs="Times New Roman"/>
          <w:b/>
          <w:bCs/>
          <w:spacing w:val="-3"/>
          <w:sz w:val="28"/>
          <w:szCs w:val="28"/>
          <w:lang w:eastAsia="zh-CN"/>
        </w:rPr>
        <w:t xml:space="preserve">5.1.3 </w:t>
      </w:r>
      <w:r>
        <w:rPr>
          <w:rFonts w:ascii="宋体" w:hAnsi="宋体" w:eastAsia="宋体" w:cs="宋体"/>
          <w:b/>
          <w:bCs/>
          <w:spacing w:val="-3"/>
          <w:sz w:val="28"/>
          <w:szCs w:val="28"/>
          <w:lang w:eastAsia="zh-CN"/>
        </w:rPr>
        <w:t>评价单元小结</w:t>
      </w:r>
      <w:bookmarkEnd w:id="203"/>
    </w:p>
    <w:p w14:paraId="0DDE73BB">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评价组通过查阅相关报告及现场踏勘对</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尾矿库周边环境单元进行定性评价：尾矿库库区内未发现大面积滑坡、塌方及泥石流迹象，库</w:t>
      </w:r>
      <w:r>
        <w:rPr>
          <w:rFonts w:ascii="宋体" w:hAnsi="宋体" w:eastAsia="宋体" w:cs="宋体"/>
          <w:spacing w:val="1"/>
          <w:sz w:val="28"/>
          <w:szCs w:val="28"/>
          <w:lang w:eastAsia="zh-CN"/>
        </w:rPr>
        <w:t>区边坡整</w:t>
      </w:r>
      <w:r>
        <w:rPr>
          <w:rFonts w:ascii="宋体" w:hAnsi="宋体" w:eastAsia="宋体" w:cs="宋体"/>
          <w:spacing w:val="2"/>
          <w:sz w:val="28"/>
          <w:szCs w:val="28"/>
          <w:lang w:eastAsia="zh-CN"/>
        </w:rPr>
        <w:t>体稳定性较好；库区范围内无违章爆破、采石、放牧、取土等危</w:t>
      </w:r>
      <w:r>
        <w:rPr>
          <w:rFonts w:ascii="宋体" w:hAnsi="宋体" w:eastAsia="宋体" w:cs="宋体"/>
          <w:spacing w:val="1"/>
          <w:sz w:val="28"/>
          <w:szCs w:val="28"/>
          <w:lang w:eastAsia="zh-CN"/>
        </w:rPr>
        <w:t>及尾矿库</w:t>
      </w:r>
      <w:r>
        <w:rPr>
          <w:rFonts w:ascii="宋体" w:hAnsi="宋体" w:eastAsia="宋体" w:cs="宋体"/>
          <w:spacing w:val="2"/>
          <w:sz w:val="28"/>
          <w:szCs w:val="28"/>
          <w:lang w:eastAsia="zh-CN"/>
        </w:rPr>
        <w:t>安全的行为；尾矿库与周边环境的相互影响在可控范围内</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w:t>
      </w:r>
      <w:r>
        <w:rPr>
          <w:rFonts w:ascii="宋体" w:hAnsi="宋体" w:eastAsia="宋体" w:cs="宋体"/>
          <w:spacing w:val="1"/>
          <w:sz w:val="28"/>
          <w:szCs w:val="28"/>
          <w:lang w:eastAsia="zh-CN"/>
        </w:rPr>
        <w:t>库周边环</w:t>
      </w:r>
      <w:r>
        <w:rPr>
          <w:rFonts w:ascii="宋体" w:hAnsi="宋体" w:eastAsia="宋体" w:cs="宋体"/>
          <w:spacing w:val="2"/>
          <w:sz w:val="28"/>
          <w:szCs w:val="28"/>
          <w:lang w:eastAsia="zh-CN"/>
        </w:rPr>
        <w:t>境符合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，具备安</w:t>
      </w:r>
      <w:r>
        <w:rPr>
          <w:rFonts w:ascii="宋体" w:hAnsi="宋体" w:eastAsia="宋体" w:cs="宋体"/>
          <w:spacing w:val="-2"/>
          <w:sz w:val="28"/>
          <w:szCs w:val="28"/>
          <w:lang w:eastAsia="zh-CN"/>
        </w:rPr>
        <w:t>全生产条件。</w:t>
      </w:r>
    </w:p>
    <w:p w14:paraId="2A0A886E">
      <w:pPr>
        <w:spacing w:line="360" w:lineRule="auto"/>
        <w:jc w:val="center"/>
        <w:outlineLvl w:val="1"/>
        <w:rPr>
          <w:rFonts w:hint="eastAsia" w:ascii="宋体" w:hAnsi="宋体" w:eastAsia="宋体" w:cs="宋体"/>
          <w:sz w:val="30"/>
          <w:szCs w:val="30"/>
          <w:lang w:eastAsia="zh-CN"/>
        </w:rPr>
      </w:pPr>
      <w:bookmarkStart w:id="204" w:name="bookmark42"/>
      <w:bookmarkEnd w:id="204"/>
      <w:bookmarkStart w:id="205" w:name="_Toc172"/>
      <w:bookmarkStart w:id="206" w:name="_Toc21997"/>
      <w:r>
        <w:rPr>
          <w:rFonts w:ascii="Times New Roman" w:hAnsi="Times New Roman" w:eastAsia="Times New Roman" w:cs="Times New Roman"/>
          <w:b/>
          <w:bCs/>
          <w:spacing w:val="-4"/>
          <w:sz w:val="30"/>
          <w:szCs w:val="30"/>
          <w:lang w:eastAsia="zh-CN"/>
        </w:rPr>
        <w:t xml:space="preserve">5.2 </w:t>
      </w:r>
      <w:r>
        <w:rPr>
          <w:rFonts w:ascii="宋体" w:hAnsi="宋体" w:eastAsia="宋体" w:cs="宋体"/>
          <w:b/>
          <w:bCs/>
          <w:spacing w:val="-4"/>
          <w:sz w:val="30"/>
          <w:szCs w:val="30"/>
          <w:lang w:eastAsia="zh-CN"/>
        </w:rPr>
        <w:t>尾矿坝单元</w:t>
      </w:r>
      <w:bookmarkEnd w:id="205"/>
      <w:bookmarkEnd w:id="206"/>
    </w:p>
    <w:p w14:paraId="71209FFA">
      <w:pPr>
        <w:spacing w:line="360" w:lineRule="auto"/>
        <w:outlineLvl w:val="2"/>
        <w:rPr>
          <w:rFonts w:hint="eastAsia" w:ascii="宋体" w:hAnsi="宋体" w:eastAsia="宋体" w:cs="宋体"/>
          <w:sz w:val="28"/>
          <w:szCs w:val="28"/>
          <w:lang w:eastAsia="zh-CN"/>
        </w:rPr>
      </w:pPr>
      <w:bookmarkStart w:id="207" w:name="_Toc10875"/>
      <w:bookmarkStart w:id="208" w:name="_Toc9617"/>
      <w:bookmarkStart w:id="209" w:name="_Toc4254"/>
      <w:r>
        <w:rPr>
          <w:rFonts w:ascii="Times New Roman" w:hAnsi="Times New Roman" w:eastAsia="Times New Roman" w:cs="Times New Roman"/>
          <w:b/>
          <w:bCs/>
          <w:spacing w:val="-3"/>
          <w:sz w:val="28"/>
          <w:szCs w:val="28"/>
          <w:lang w:eastAsia="zh-CN"/>
        </w:rPr>
        <w:t xml:space="preserve">5.2.1 </w:t>
      </w:r>
      <w:r>
        <w:rPr>
          <w:rFonts w:ascii="宋体" w:hAnsi="宋体" w:eastAsia="宋体" w:cs="宋体"/>
          <w:b/>
          <w:bCs/>
          <w:spacing w:val="-3"/>
          <w:sz w:val="28"/>
          <w:szCs w:val="28"/>
          <w:lang w:eastAsia="zh-CN"/>
        </w:rPr>
        <w:t>安全检查表法评价</w:t>
      </w:r>
      <w:bookmarkEnd w:id="207"/>
      <w:bookmarkEnd w:id="208"/>
      <w:bookmarkEnd w:id="209"/>
    </w:p>
    <w:p w14:paraId="0BA6269F">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法律法规、技术标准规定，借鉴同类尾矿库经验，</w:t>
      </w:r>
      <w:r>
        <w:rPr>
          <w:rFonts w:ascii="宋体" w:hAnsi="宋体" w:eastAsia="宋体" w:cs="宋体"/>
          <w:spacing w:val="6"/>
          <w:sz w:val="28"/>
          <w:szCs w:val="28"/>
          <w:lang w:eastAsia="zh-CN"/>
        </w:rPr>
        <w:t>运用安全检查表的评价方法对该尾矿库坝体单元进行符合性评价，详见表</w:t>
      </w:r>
      <w:r>
        <w:rPr>
          <w:rFonts w:ascii="Times New Roman" w:hAnsi="Times New Roman" w:eastAsia="Times New Roman" w:cs="Times New Roman"/>
          <w:spacing w:val="-2"/>
          <w:sz w:val="28"/>
          <w:szCs w:val="28"/>
          <w:lang w:eastAsia="zh-CN"/>
        </w:rPr>
        <w:t>5.2-1</w:t>
      </w:r>
      <w:r>
        <w:rPr>
          <w:rFonts w:ascii="宋体" w:hAnsi="宋体" w:eastAsia="宋体" w:cs="宋体"/>
          <w:spacing w:val="-2"/>
          <w:sz w:val="28"/>
          <w:szCs w:val="28"/>
          <w:lang w:eastAsia="zh-CN"/>
        </w:rPr>
        <w:t>。</w:t>
      </w:r>
    </w:p>
    <w:p w14:paraId="00244B5A">
      <w:pPr>
        <w:keepNext w:val="0"/>
        <w:keepLines w:val="0"/>
        <w:pageBreakBefore w:val="0"/>
        <w:wordWrap/>
        <w:overflowPunct/>
        <w:topLinePunct w:val="0"/>
        <w:bidi w:val="0"/>
        <w:spacing w:line="240" w:lineRule="auto"/>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2"/>
          <w:sz w:val="24"/>
          <w:szCs w:val="24"/>
          <w:lang w:eastAsia="zh-CN"/>
        </w:rPr>
        <w:t xml:space="preserve"> </w:t>
      </w:r>
      <w:r>
        <w:rPr>
          <w:rFonts w:ascii="Times New Roman" w:hAnsi="Times New Roman" w:eastAsia="Times New Roman" w:cs="Times New Roman"/>
          <w:spacing w:val="-2"/>
          <w:sz w:val="24"/>
          <w:szCs w:val="24"/>
          <w:lang w:eastAsia="zh-CN"/>
        </w:rPr>
        <w:t xml:space="preserve">5.2-1 </w:t>
      </w:r>
      <w:r>
        <w:rPr>
          <w:rFonts w:ascii="宋体" w:hAnsi="宋体" w:eastAsia="宋体" w:cs="宋体"/>
          <w:spacing w:val="-2"/>
          <w:sz w:val="24"/>
          <w:szCs w:val="24"/>
          <w:lang w:eastAsia="zh-CN"/>
        </w:rPr>
        <w:t>尾矿库坝体单元安全检查表</w:t>
      </w:r>
    </w:p>
    <w:p w14:paraId="2E51287D">
      <w:pPr>
        <w:spacing w:line="360" w:lineRule="auto"/>
        <w:outlineLvl w:val="2"/>
        <w:rPr>
          <w:rFonts w:hint="eastAsia" w:ascii="宋体" w:hAnsi="宋体" w:eastAsia="宋体" w:cs="宋体"/>
          <w:sz w:val="28"/>
          <w:szCs w:val="28"/>
        </w:rPr>
      </w:pPr>
      <w:bookmarkStart w:id="210" w:name="_Toc24553"/>
      <w:bookmarkStart w:id="211" w:name="_Toc13245"/>
      <w:bookmarkStart w:id="212" w:name="_Toc17898"/>
      <w:r>
        <w:rPr>
          <w:rFonts w:ascii="Times New Roman" w:hAnsi="Times New Roman" w:eastAsia="Times New Roman" w:cs="Times New Roman"/>
          <w:b/>
          <w:bCs/>
          <w:spacing w:val="-3"/>
          <w:sz w:val="28"/>
          <w:szCs w:val="28"/>
        </w:rPr>
        <w:t xml:space="preserve">5.2.2 </w:t>
      </w:r>
      <w:r>
        <w:rPr>
          <w:rFonts w:ascii="宋体" w:hAnsi="宋体" w:eastAsia="宋体" w:cs="宋体"/>
          <w:b/>
          <w:bCs/>
          <w:spacing w:val="-3"/>
          <w:sz w:val="28"/>
          <w:szCs w:val="28"/>
        </w:rPr>
        <w:t>尾矿坝现状稳定性分析</w:t>
      </w:r>
      <w:bookmarkEnd w:id="210"/>
      <w:bookmarkEnd w:id="211"/>
      <w:bookmarkEnd w:id="212"/>
    </w:p>
    <w:p w14:paraId="7A8B026C">
      <w:pPr>
        <w:spacing w:line="360" w:lineRule="auto"/>
        <w:outlineLvl w:val="3"/>
        <w:rPr>
          <w:rFonts w:hint="eastAsia" w:ascii="宋体" w:hAnsi="宋体" w:eastAsia="宋体" w:cs="宋体"/>
          <w:sz w:val="28"/>
          <w:szCs w:val="28"/>
          <w:lang w:eastAsia="zh-CN"/>
        </w:rPr>
      </w:pPr>
      <w:r>
        <w:fldChar w:fldCharType="begin"/>
      </w:r>
      <w:r>
        <w:instrText xml:space="preserve"> HYPERLINK "5.2.2.1" </w:instrText>
      </w:r>
      <w:r>
        <w:fldChar w:fldCharType="separate"/>
      </w:r>
      <w:r>
        <w:rPr>
          <w:rFonts w:ascii="Times New Roman" w:hAnsi="Times New Roman" w:eastAsia="Times New Roman" w:cs="Times New Roman"/>
          <w:spacing w:val="-2"/>
          <w:sz w:val="28"/>
          <w:szCs w:val="28"/>
          <w:lang w:eastAsia="zh-CN"/>
        </w:rPr>
        <w:t>5.2.2.1</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宋体" w:hAnsi="宋体" w:eastAsia="宋体" w:cs="宋体"/>
          <w:spacing w:val="-2"/>
          <w:sz w:val="28"/>
          <w:szCs w:val="28"/>
          <w:lang w:eastAsia="zh-CN"/>
        </w:rPr>
        <w:t>坝体整体抗滑稳定性分析方法原理</w:t>
      </w:r>
    </w:p>
    <w:p w14:paraId="5D82C808">
      <w:pPr>
        <w:keepNext w:val="0"/>
        <w:keepLines w:val="0"/>
        <w:pageBreakBefore w:val="0"/>
        <w:widowControl/>
        <w:kinsoku w:val="0"/>
        <w:wordWrap/>
        <w:overflowPunct/>
        <w:topLinePunct w:val="0"/>
        <w:autoSpaceDE w:val="0"/>
        <w:autoSpaceDN w:val="0"/>
        <w:bidi w:val="0"/>
        <w:adjustRightInd w:val="0"/>
        <w:snapToGrid w:val="0"/>
        <w:spacing w:line="360" w:lineRule="auto"/>
        <w:ind w:firstLine="560"/>
        <w:textAlignment w:val="baseline"/>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尾矿的性态极为复杂，分析条件很少是常规的，然而，由于尾矿坝技术起步较晚，至今并未形成自身的独立分析体系，因此，到目前为止，仍沿用基于极限平衡理论的传统条分法对其进行抗滑稳定性分析。极限平衡法的基本思想是假定一个可能的简单形状的破坏面，求出沿这个面调动起来的应力状态和可能获得的强度，把此强度与应力相比较，即与沿该面引起破坏所必需的应力相比较，求出极限平衡状态下的安全系数。安全系数F</w:t>
      </w:r>
      <w:r>
        <w:rPr>
          <w:rFonts w:hint="default" w:ascii="Times New Roman" w:hAnsi="Times New Roman" w:eastAsia="宋体" w:cs="Times New Roman"/>
          <w:color w:val="000000"/>
          <w:sz w:val="28"/>
          <w:szCs w:val="28"/>
          <w:vertAlign w:val="subscript"/>
        </w:rPr>
        <w:t>s</w:t>
      </w:r>
      <w:r>
        <w:rPr>
          <w:rFonts w:hint="default" w:ascii="Times New Roman" w:hAnsi="Times New Roman" w:eastAsia="宋体" w:cs="Times New Roman"/>
          <w:color w:val="000000"/>
          <w:sz w:val="28"/>
          <w:szCs w:val="28"/>
        </w:rPr>
        <w:t>定义为使破坏面之上滑体处于静平衡状态，可获得的抗剪强度应当除以（缩小）的系数（倍数）。目前，对于尾矿坝抗滑稳定性评价方法中，以瑞典圆弧法和Bishop法最为常用，下面对它们分别介绍如下：</w:t>
      </w:r>
    </w:p>
    <w:p w14:paraId="084EE7D5">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b w:val="0"/>
          <w:bCs/>
          <w:sz w:val="28"/>
          <w:szCs w:val="28"/>
        </w:rPr>
      </w:pPr>
      <w:r>
        <w:rPr>
          <w:rFonts w:hint="default" w:ascii="Times New Roman" w:hAnsi="Times New Roman" w:eastAsia="宋体" w:cs="Times New Roman"/>
          <w:b w:val="0"/>
          <w:bCs/>
          <w:sz w:val="28"/>
          <w:szCs w:val="28"/>
        </w:rPr>
        <w:t>（1）瑞典圆弧法</w:t>
      </w:r>
    </w:p>
    <w:p w14:paraId="037257A0">
      <w:pPr>
        <w:keepNext w:val="0"/>
        <w:keepLines w:val="0"/>
        <w:pageBreakBefore w:val="0"/>
        <w:widowControl/>
        <w:kinsoku w:val="0"/>
        <w:wordWrap/>
        <w:overflowPunct/>
        <w:topLinePunct w:val="0"/>
        <w:autoSpaceDE w:val="0"/>
        <w:autoSpaceDN w:val="0"/>
        <w:bidi w:val="0"/>
        <w:adjustRightInd w:val="0"/>
        <w:snapToGrid w:val="0"/>
        <w:spacing w:line="360" w:lineRule="auto"/>
        <w:ind w:firstLine="560"/>
        <w:textAlignment w:val="baseline"/>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该法假设条块之间的作用力对圆弧形滑动面上的法向应力分布没有影响，则作用于各垂直条块上的力如图5.2-1所示，其抗滑力与下滑力之比即为安全系数Fs：</w:t>
      </w:r>
    </w:p>
    <w:p w14:paraId="5082CF42">
      <w:pPr>
        <w:spacing w:line="360" w:lineRule="auto"/>
        <w:ind w:firstLine="560" w:firstLineChars="200"/>
        <w:rPr>
          <w:rFonts w:hint="default" w:ascii="Times New Roman" w:hAnsi="Times New Roman" w:eastAsia="宋体" w:cs="Times New Roman"/>
          <w:color w:val="000000"/>
          <w:sz w:val="28"/>
          <w:szCs w:val="28"/>
        </w:rPr>
      </w:pPr>
    </w:p>
    <w:p w14:paraId="00CE3C4E">
      <w:pPr>
        <w:spacing w:line="360" w:lineRule="auto"/>
        <w:ind w:firstLine="560" w:firstLineChars="200"/>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54"/>
          <w:sz w:val="28"/>
          <w:szCs w:val="28"/>
        </w:rPr>
        <w:drawing>
          <wp:inline distT="0" distB="0" distL="0" distR="0">
            <wp:extent cx="3411220" cy="596265"/>
            <wp:effectExtent l="0" t="0" r="17780" b="13970"/>
            <wp:docPr id="1072" name="图片 85"/>
            <wp:cNvGraphicFramePr/>
            <a:graphic xmlns:a="http://schemas.openxmlformats.org/drawingml/2006/main">
              <a:graphicData uri="http://schemas.openxmlformats.org/drawingml/2006/picture">
                <pic:pic xmlns:pic="http://schemas.openxmlformats.org/drawingml/2006/picture">
                  <pic:nvPicPr>
                    <pic:cNvPr id="1072" name="图片 85"/>
                    <pic:cNvPicPr/>
                  </pic:nvPicPr>
                  <pic:blipFill>
                    <a:blip r:embed="rId39" cstate="print"/>
                    <a:srcRect/>
                    <a:stretch>
                      <a:fillRect/>
                    </a:stretch>
                  </pic:blipFill>
                  <pic:spPr>
                    <a:xfrm>
                      <a:off x="0" y="0"/>
                      <a:ext cx="3411220" cy="596265"/>
                    </a:xfrm>
                    <a:prstGeom prst="rect">
                      <a:avLst/>
                    </a:prstGeom>
                    <a:ln>
                      <a:noFill/>
                    </a:ln>
                  </pic:spPr>
                </pic:pic>
              </a:graphicData>
            </a:graphic>
          </wp:inline>
        </w:drawing>
      </w:r>
    </w:p>
    <w:p w14:paraId="4AE1EF20">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式中：</w:t>
      </w:r>
      <w:r>
        <w:rPr>
          <w:rFonts w:hint="default" w:ascii="Times New Roman" w:hAnsi="Times New Roman" w:eastAsia="宋体" w:cs="Times New Roman"/>
          <w:i/>
          <w:color w:val="000000"/>
          <w:sz w:val="28"/>
          <w:szCs w:val="28"/>
        </w:rPr>
        <w:t>i</w:t>
      </w:r>
      <w:r>
        <w:rPr>
          <w:rFonts w:hint="default" w:ascii="Times New Roman" w:hAnsi="Times New Roman" w:eastAsia="宋体" w:cs="Times New Roman"/>
          <w:color w:val="000000"/>
          <w:sz w:val="28"/>
          <w:szCs w:val="28"/>
        </w:rPr>
        <w:t>为第</w:t>
      </w:r>
      <w:r>
        <w:rPr>
          <w:rFonts w:hint="default" w:ascii="Times New Roman" w:hAnsi="Times New Roman" w:eastAsia="宋体" w:cs="Times New Roman"/>
          <w:i/>
          <w:color w:val="000000"/>
          <w:sz w:val="28"/>
          <w:szCs w:val="28"/>
        </w:rPr>
        <w:t>i</w:t>
      </w:r>
      <w:r>
        <w:rPr>
          <w:rFonts w:hint="default" w:ascii="Times New Roman" w:hAnsi="Times New Roman" w:eastAsia="宋体" w:cs="Times New Roman"/>
          <w:color w:val="000000"/>
          <w:sz w:val="28"/>
          <w:szCs w:val="28"/>
        </w:rPr>
        <w:t>条块；</w:t>
      </w:r>
      <w:r>
        <w:rPr>
          <w:rFonts w:hint="default" w:ascii="Times New Roman" w:hAnsi="Times New Roman" w:eastAsia="宋体" w:cs="Times New Roman"/>
          <w:i/>
          <w:color w:val="000000"/>
          <w:sz w:val="28"/>
          <w:szCs w:val="28"/>
        </w:rPr>
        <w:t>r</w:t>
      </w:r>
      <w:r>
        <w:rPr>
          <w:rFonts w:hint="default" w:ascii="Times New Roman" w:hAnsi="Times New Roman" w:eastAsia="宋体" w:cs="Times New Roman"/>
          <w:color w:val="000000"/>
          <w:sz w:val="28"/>
          <w:szCs w:val="28"/>
        </w:rPr>
        <w:t>为圆弧半径；</w:t>
      </w:r>
      <w:r>
        <w:rPr>
          <w:rFonts w:hint="default" w:ascii="Times New Roman" w:hAnsi="Times New Roman" w:eastAsia="宋体" w:cs="Times New Roman"/>
          <w:i/>
          <w:color w:val="000000"/>
          <w:sz w:val="28"/>
          <w:szCs w:val="28"/>
        </w:rPr>
        <w:t>α</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为条块地面中点切线与水平线夹角；</w:t>
      </w:r>
      <w:r>
        <w:rPr>
          <w:rFonts w:hint="default" w:ascii="Times New Roman" w:hAnsi="Times New Roman" w:eastAsia="宋体" w:cs="Times New Roman"/>
          <w:i/>
          <w:color w:val="000000"/>
          <w:sz w:val="28"/>
          <w:szCs w:val="28"/>
        </w:rPr>
        <w:t>U</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是条块地面中点处孔隙水压力；</w:t>
      </w:r>
      <w:r>
        <w:rPr>
          <w:rFonts w:hint="default" w:ascii="Times New Roman" w:hAnsi="Times New Roman" w:eastAsia="宋体" w:cs="Times New Roman"/>
          <w:i/>
          <w:color w:val="000000"/>
          <w:sz w:val="28"/>
          <w:szCs w:val="28"/>
        </w:rPr>
        <w:t>W</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为条块重量；</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为作用在条块重心处的水平向地震惯性力，</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color w:val="000000"/>
          <w:sz w:val="28"/>
          <w:szCs w:val="28"/>
          <w:vertAlign w:val="superscript"/>
        </w:rPr>
        <w:t>/</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为作用在条块重心处的垂向地震惯性力（向下为正），</w:t>
      </w:r>
      <w:r>
        <w:rPr>
          <w:rFonts w:hint="default" w:ascii="Times New Roman" w:hAnsi="Times New Roman" w:eastAsia="宋体" w:cs="Times New Roman"/>
          <w:i/>
          <w:color w:val="000000"/>
          <w:sz w:val="28"/>
          <w:szCs w:val="28"/>
        </w:rPr>
        <w:t>M</w:t>
      </w:r>
      <w:r>
        <w:rPr>
          <w:rFonts w:hint="default" w:ascii="Times New Roman" w:hAnsi="Times New Roman" w:eastAsia="宋体" w:cs="Times New Roman"/>
          <w:color w:val="000000"/>
          <w:sz w:val="28"/>
          <w:szCs w:val="28"/>
          <w:vertAlign w:val="subscript"/>
        </w:rPr>
        <w:t>c</w:t>
      </w:r>
      <w:r>
        <w:rPr>
          <w:rFonts w:hint="default" w:ascii="Times New Roman" w:hAnsi="Times New Roman" w:eastAsia="宋体" w:cs="Times New Roman"/>
          <w:color w:val="000000"/>
          <w:sz w:val="28"/>
          <w:szCs w:val="28"/>
        </w:rPr>
        <w:t>为</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对圆心的力矩之和；</w:t>
      </w:r>
      <w:r>
        <w:rPr>
          <w:rFonts w:hint="default" w:ascii="Times New Roman" w:hAnsi="Times New Roman" w:eastAsia="宋体" w:cs="Times New Roman"/>
          <w:i/>
          <w:color w:val="000000"/>
          <w:sz w:val="28"/>
          <w:szCs w:val="28"/>
        </w:rPr>
        <w:t>L</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为条块底部长度；</w:t>
      </w:r>
      <w:r>
        <w:rPr>
          <w:rFonts w:hint="default" w:ascii="Times New Roman" w:hAnsi="Times New Roman" w:eastAsia="宋体" w:cs="Times New Roman"/>
          <w:i/>
          <w:color w:val="000000"/>
          <w:sz w:val="28"/>
          <w:szCs w:val="28"/>
        </w:rPr>
        <w:t>c</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和</w:t>
      </w:r>
      <w:r>
        <w:rPr>
          <w:rFonts w:hint="default" w:ascii="Times New Roman" w:hAnsi="Times New Roman" w:eastAsia="宋体" w:cs="Times New Roman"/>
          <w:i/>
          <w:color w:val="000000"/>
          <w:sz w:val="28"/>
          <w:szCs w:val="28"/>
        </w:rPr>
        <w:t>φ</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是条块地面中点处的内聚力和内摩擦角。在不考虑地震影响时，公式中的</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color w:val="000000"/>
          <w:sz w:val="28"/>
          <w:szCs w:val="28"/>
          <w:vertAlign w:val="superscript"/>
        </w:rPr>
        <w:t>/</w:t>
      </w:r>
      <w:r>
        <w:rPr>
          <w:rFonts w:hint="default" w:ascii="Times New Roman" w:hAnsi="Times New Roman" w:eastAsia="宋体" w:cs="Times New Roman"/>
          <w:color w:val="000000"/>
          <w:sz w:val="28"/>
          <w:szCs w:val="28"/>
          <w:vertAlign w:val="subscript"/>
        </w:rPr>
        <w:t>i</w:t>
      </w:r>
      <w:r>
        <w:rPr>
          <w:rFonts w:hint="default" w:ascii="Times New Roman" w:hAnsi="Times New Roman" w:eastAsia="宋体" w:cs="Times New Roman"/>
          <w:color w:val="000000"/>
          <w:sz w:val="28"/>
          <w:szCs w:val="28"/>
        </w:rPr>
        <w:t>和</w:t>
      </w:r>
      <w:r>
        <w:rPr>
          <w:rFonts w:hint="default" w:ascii="Times New Roman" w:hAnsi="Times New Roman" w:eastAsia="宋体" w:cs="Times New Roman"/>
          <w:i/>
          <w:color w:val="000000"/>
          <w:sz w:val="28"/>
          <w:szCs w:val="28"/>
        </w:rPr>
        <w:t>M</w:t>
      </w:r>
      <w:r>
        <w:rPr>
          <w:rFonts w:hint="default" w:ascii="Times New Roman" w:hAnsi="Times New Roman" w:eastAsia="宋体" w:cs="Times New Roman"/>
          <w:color w:val="000000"/>
          <w:sz w:val="28"/>
          <w:szCs w:val="28"/>
          <w:vertAlign w:val="subscript"/>
        </w:rPr>
        <w:t>c</w:t>
      </w:r>
      <w:r>
        <w:rPr>
          <w:rFonts w:hint="default" w:ascii="Times New Roman" w:hAnsi="Times New Roman" w:eastAsia="宋体" w:cs="Times New Roman"/>
          <w:color w:val="000000"/>
          <w:sz w:val="28"/>
          <w:szCs w:val="28"/>
        </w:rPr>
        <w:t>均取为零。</w:t>
      </w:r>
    </w:p>
    <w:p w14:paraId="4590414E">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b w:val="0"/>
          <w:bCs/>
          <w:sz w:val="28"/>
          <w:szCs w:val="28"/>
        </w:rPr>
      </w:pPr>
      <w:r>
        <w:rPr>
          <w:rFonts w:hint="default" w:ascii="Times New Roman" w:hAnsi="Times New Roman" w:eastAsia="宋体" w:cs="Times New Roman"/>
          <w:b w:val="0"/>
          <w:bCs/>
          <w:sz w:val="28"/>
          <w:szCs w:val="28"/>
        </w:rPr>
        <w:t>（2） 毕肖普法</w:t>
      </w:r>
    </w:p>
    <w:p w14:paraId="1440CAA8">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毕肖普法是一种改进的条分法，该法假定条块间有水平力的存在，但条块间不存在剪应力。根据这一假定，滑动面上的抗滑阻力</w:t>
      </w:r>
      <w:r>
        <w:rPr>
          <w:rFonts w:hint="default" w:ascii="Times New Roman" w:hAnsi="Times New Roman" w:eastAsia="宋体" w:cs="Times New Roman"/>
          <w:i/>
          <w:color w:val="000000"/>
          <w:sz w:val="28"/>
          <w:szCs w:val="28"/>
        </w:rPr>
        <w:t>T</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w:t>
      </w:r>
    </w:p>
    <w:p w14:paraId="56DF1820">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24"/>
          <w:sz w:val="28"/>
          <w:szCs w:val="28"/>
        </w:rPr>
        <w:drawing>
          <wp:inline distT="0" distB="0" distL="0" distR="0">
            <wp:extent cx="1187450" cy="501650"/>
            <wp:effectExtent l="0" t="0" r="0" b="13334"/>
            <wp:docPr id="1073" name="图片 86"/>
            <wp:cNvGraphicFramePr/>
            <a:graphic xmlns:a="http://schemas.openxmlformats.org/drawingml/2006/main">
              <a:graphicData uri="http://schemas.openxmlformats.org/drawingml/2006/picture">
                <pic:pic xmlns:pic="http://schemas.openxmlformats.org/drawingml/2006/picture">
                  <pic:nvPicPr>
                    <pic:cNvPr id="1073" name="图片 86"/>
                    <pic:cNvPicPr/>
                  </pic:nvPicPr>
                  <pic:blipFill>
                    <a:blip r:embed="rId40" cstate="print"/>
                    <a:srcRect/>
                    <a:stretch>
                      <a:fillRect/>
                    </a:stretch>
                  </pic:blipFill>
                  <pic:spPr>
                    <a:xfrm>
                      <a:off x="0" y="0"/>
                      <a:ext cx="1187450" cy="501650"/>
                    </a:xfrm>
                    <a:prstGeom prst="rect">
                      <a:avLst/>
                    </a:prstGeom>
                    <a:ln>
                      <a:noFill/>
                    </a:ln>
                  </pic:spPr>
                </pic:pic>
              </a:graphicData>
            </a:graphic>
          </wp:inline>
        </w:drawing>
      </w:r>
    </w:p>
    <w:p w14:paraId="72282EEB">
      <w:pPr>
        <w:spacing w:line="360" w:lineRule="auto"/>
        <w:ind w:firstLine="560" w:firstLineChars="200"/>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根据图</w:t>
      </w:r>
      <w:r>
        <w:rPr>
          <w:rFonts w:hint="eastAsia" w:ascii="Times New Roman" w:hAnsi="Times New Roman" w:eastAsia="宋体" w:cs="Times New Roman"/>
          <w:color w:val="000000"/>
          <w:sz w:val="28"/>
          <w:szCs w:val="28"/>
          <w:lang w:val="en-US" w:eastAsia="zh-CN"/>
        </w:rPr>
        <w:t>5</w:t>
      </w:r>
      <w:r>
        <w:rPr>
          <w:rFonts w:hint="default" w:ascii="Times New Roman" w:hAnsi="Times New Roman" w:eastAsia="宋体" w:cs="Times New Roman"/>
          <w:color w:val="000000"/>
          <w:sz w:val="28"/>
          <w:szCs w:val="28"/>
        </w:rPr>
        <w:t>.</w:t>
      </w:r>
      <w:r>
        <w:rPr>
          <w:rFonts w:hint="eastAsia" w:ascii="Times New Roman" w:hAnsi="Times New Roman" w:eastAsia="宋体" w:cs="Times New Roman"/>
          <w:color w:val="000000"/>
          <w:sz w:val="28"/>
          <w:szCs w:val="28"/>
          <w:lang w:val="en-US" w:eastAsia="zh-CN"/>
        </w:rPr>
        <w:t>2</w:t>
      </w:r>
      <w:r>
        <w:rPr>
          <w:rFonts w:hint="default" w:ascii="Times New Roman" w:hAnsi="Times New Roman" w:eastAsia="宋体" w:cs="Times New Roman"/>
          <w:color w:val="000000"/>
          <w:sz w:val="28"/>
          <w:szCs w:val="28"/>
        </w:rPr>
        <w:t>-2所示，在滑动面上沿着X轴建立平衡式，这时滑动面上的下滑力</w:t>
      </w:r>
      <w:r>
        <w:rPr>
          <w:rFonts w:hint="default" w:ascii="Times New Roman" w:hAnsi="Times New Roman" w:eastAsia="宋体" w:cs="Times New Roman"/>
          <w:i/>
          <w:color w:val="000000"/>
          <w:sz w:val="28"/>
          <w:szCs w:val="28"/>
        </w:rPr>
        <w:t>S</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w:t>
      </w:r>
    </w:p>
    <w:p w14:paraId="770B8DC1">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12"/>
          <w:sz w:val="28"/>
          <w:szCs w:val="28"/>
        </w:rPr>
        <w:drawing>
          <wp:inline distT="0" distB="0" distL="0" distR="0">
            <wp:extent cx="2989580" cy="287020"/>
            <wp:effectExtent l="0" t="0" r="1270" b="17780"/>
            <wp:docPr id="1074" name="图片 87"/>
            <wp:cNvGraphicFramePr/>
            <a:graphic xmlns:a="http://schemas.openxmlformats.org/drawingml/2006/main">
              <a:graphicData uri="http://schemas.openxmlformats.org/drawingml/2006/picture">
                <pic:pic xmlns:pic="http://schemas.openxmlformats.org/drawingml/2006/picture">
                  <pic:nvPicPr>
                    <pic:cNvPr id="1074" name="图片 87"/>
                    <pic:cNvPicPr/>
                  </pic:nvPicPr>
                  <pic:blipFill>
                    <a:blip r:embed="rId41" cstate="print"/>
                    <a:srcRect/>
                    <a:stretch>
                      <a:fillRect/>
                    </a:stretch>
                  </pic:blipFill>
                  <pic:spPr>
                    <a:xfrm>
                      <a:off x="0" y="0"/>
                      <a:ext cx="2989580" cy="287020"/>
                    </a:xfrm>
                    <a:prstGeom prst="rect">
                      <a:avLst/>
                    </a:prstGeom>
                    <a:ln>
                      <a:noFill/>
                    </a:ln>
                  </pic:spPr>
                </pic:pic>
              </a:graphicData>
            </a:graphic>
          </wp:inline>
        </w:drawing>
      </w:r>
    </w:p>
    <w:p w14:paraId="7282C695">
      <w:pPr>
        <w:spacing w:line="360" w:lineRule="auto"/>
        <w:ind w:firstLine="560" w:firstLineChars="200"/>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当边坡达到极限平衡状态时，滑动面上的抗滑阻力与下滑力相等，可根据上列两式相等的条件，求得条块两侧的土压力增量</w:t>
      </w:r>
      <w:r>
        <w:rPr>
          <w:rFonts w:hint="default" w:ascii="Times New Roman" w:hAnsi="Times New Roman" w:eastAsia="宋体" w:cs="Times New Roman"/>
          <w:color w:val="000000"/>
          <w:position w:val="-12"/>
          <w:sz w:val="28"/>
          <w:szCs w:val="28"/>
        </w:rPr>
        <w:drawing>
          <wp:inline distT="0" distB="0" distL="0" distR="0">
            <wp:extent cx="278130" cy="228600"/>
            <wp:effectExtent l="0" t="0" r="7620" b="0"/>
            <wp:docPr id="1075" name="图片 88"/>
            <wp:cNvGraphicFramePr/>
            <a:graphic xmlns:a="http://schemas.openxmlformats.org/drawingml/2006/main">
              <a:graphicData uri="http://schemas.openxmlformats.org/drawingml/2006/picture">
                <pic:pic xmlns:pic="http://schemas.openxmlformats.org/drawingml/2006/picture">
                  <pic:nvPicPr>
                    <pic:cNvPr id="1075" name="图片 88"/>
                    <pic:cNvPicPr/>
                  </pic:nvPicPr>
                  <pic:blipFill>
                    <a:blip r:embed="rId42" cstate="print"/>
                    <a:srcRect/>
                    <a:stretch>
                      <a:fillRect/>
                    </a:stretch>
                  </pic:blipFill>
                  <pic:spPr>
                    <a:xfrm>
                      <a:off x="0" y="0"/>
                      <a:ext cx="278130" cy="228600"/>
                    </a:xfrm>
                    <a:prstGeom prst="rect">
                      <a:avLst/>
                    </a:prstGeom>
                    <a:ln>
                      <a:noFill/>
                    </a:ln>
                  </pic:spPr>
                </pic:pic>
              </a:graphicData>
            </a:graphic>
          </wp:inline>
        </w:drawing>
      </w:r>
      <w:r>
        <w:rPr>
          <w:rFonts w:hint="default" w:ascii="Times New Roman" w:hAnsi="Times New Roman" w:eastAsia="宋体" w:cs="Times New Roman"/>
          <w:color w:val="000000"/>
          <w:sz w:val="28"/>
          <w:szCs w:val="28"/>
        </w:rPr>
        <w:t>：</w:t>
      </w:r>
    </w:p>
    <w:p w14:paraId="547F515D">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30"/>
          <w:sz w:val="28"/>
          <w:szCs w:val="28"/>
        </w:rPr>
        <w:drawing>
          <wp:inline distT="0" distB="0" distL="0" distR="0">
            <wp:extent cx="2684780" cy="506730"/>
            <wp:effectExtent l="0" t="0" r="0" b="6985"/>
            <wp:docPr id="1076" name="图片 89"/>
            <wp:cNvGraphicFramePr/>
            <a:graphic xmlns:a="http://schemas.openxmlformats.org/drawingml/2006/main">
              <a:graphicData uri="http://schemas.openxmlformats.org/drawingml/2006/picture">
                <pic:pic xmlns:pic="http://schemas.openxmlformats.org/drawingml/2006/picture">
                  <pic:nvPicPr>
                    <pic:cNvPr id="1076" name="图片 89"/>
                    <pic:cNvPicPr/>
                  </pic:nvPicPr>
                  <pic:blipFill>
                    <a:blip r:embed="rId43" cstate="print"/>
                    <a:srcRect/>
                    <a:stretch>
                      <a:fillRect/>
                    </a:stretch>
                  </pic:blipFill>
                  <pic:spPr>
                    <a:xfrm>
                      <a:off x="0" y="0"/>
                      <a:ext cx="2684780" cy="506730"/>
                    </a:xfrm>
                    <a:prstGeom prst="rect">
                      <a:avLst/>
                    </a:prstGeom>
                    <a:ln>
                      <a:noFill/>
                    </a:ln>
                  </pic:spPr>
                </pic:pic>
              </a:graphicData>
            </a:graphic>
          </wp:inline>
        </w:drawing>
      </w:r>
    </w:p>
    <w:p w14:paraId="144E02F9">
      <w:pPr>
        <w:spacing w:line="360" w:lineRule="auto"/>
        <w:ind w:firstLine="560" w:firstLineChars="200"/>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根据图5.2-2所示，按竖直方向上的平衡条件，可以求得滑动面上的法向力</w:t>
      </w:r>
      <w:r>
        <w:rPr>
          <w:rFonts w:hint="default" w:ascii="Times New Roman" w:hAnsi="Times New Roman" w:eastAsia="宋体" w:cs="Times New Roman"/>
          <w:i/>
          <w:color w:val="000000"/>
          <w:sz w:val="28"/>
          <w:szCs w:val="28"/>
        </w:rPr>
        <w:t>N</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w:t>
      </w:r>
    </w:p>
    <w:p w14:paraId="2D89625F">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58"/>
          <w:sz w:val="28"/>
          <w:szCs w:val="28"/>
        </w:rPr>
        <w:drawing>
          <wp:inline distT="0" distB="0" distL="0" distR="0">
            <wp:extent cx="2272665" cy="887730"/>
            <wp:effectExtent l="0" t="0" r="13334" b="6985"/>
            <wp:docPr id="1077" name="图片 90"/>
            <wp:cNvGraphicFramePr/>
            <a:graphic xmlns:a="http://schemas.openxmlformats.org/drawingml/2006/main">
              <a:graphicData uri="http://schemas.openxmlformats.org/drawingml/2006/picture">
                <pic:pic xmlns:pic="http://schemas.openxmlformats.org/drawingml/2006/picture">
                  <pic:nvPicPr>
                    <pic:cNvPr id="1077" name="图片 90"/>
                    <pic:cNvPicPr/>
                  </pic:nvPicPr>
                  <pic:blipFill>
                    <a:blip r:embed="rId44" cstate="print"/>
                    <a:srcRect/>
                    <a:stretch>
                      <a:fillRect/>
                    </a:stretch>
                  </pic:blipFill>
                  <pic:spPr>
                    <a:xfrm>
                      <a:off x="0" y="0"/>
                      <a:ext cx="2272665" cy="887730"/>
                    </a:xfrm>
                    <a:prstGeom prst="rect">
                      <a:avLst/>
                    </a:prstGeom>
                    <a:ln>
                      <a:noFill/>
                    </a:ln>
                  </pic:spPr>
                </pic:pic>
              </a:graphicData>
            </a:graphic>
          </wp:inline>
        </w:drawing>
      </w:r>
    </w:p>
    <w:p w14:paraId="2A317BED">
      <w:pPr>
        <w:spacing w:line="360" w:lineRule="auto"/>
        <w:ind w:firstLine="560" w:firstLineChars="200"/>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再根据水平方向的平衡条件，可求得整个边坡的安全系数为：</w:t>
      </w:r>
    </w:p>
    <w:p w14:paraId="71ED8CC0">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position w:val="-32"/>
          <w:sz w:val="28"/>
          <w:szCs w:val="28"/>
        </w:rPr>
        <w:drawing>
          <wp:inline distT="0" distB="0" distL="0" distR="0">
            <wp:extent cx="3124200" cy="734695"/>
            <wp:effectExtent l="0" t="0" r="0" b="7620"/>
            <wp:docPr id="1078" name="图片 91"/>
            <wp:cNvGraphicFramePr/>
            <a:graphic xmlns:a="http://schemas.openxmlformats.org/drawingml/2006/main">
              <a:graphicData uri="http://schemas.openxmlformats.org/drawingml/2006/picture">
                <pic:pic xmlns:pic="http://schemas.openxmlformats.org/drawingml/2006/picture">
                  <pic:nvPicPr>
                    <pic:cNvPr id="1078" name="图片 91"/>
                    <pic:cNvPicPr/>
                  </pic:nvPicPr>
                  <pic:blipFill>
                    <a:blip r:embed="rId45" cstate="print"/>
                    <a:srcRect/>
                    <a:stretch>
                      <a:fillRect/>
                    </a:stretch>
                  </pic:blipFill>
                  <pic:spPr>
                    <a:xfrm>
                      <a:off x="0" y="0"/>
                      <a:ext cx="3124200" cy="734695"/>
                    </a:xfrm>
                    <a:prstGeom prst="rect">
                      <a:avLst/>
                    </a:prstGeom>
                    <a:ln>
                      <a:noFill/>
                    </a:ln>
                  </pic:spPr>
                </pic:pic>
              </a:graphicData>
            </a:graphic>
          </wp:inline>
        </w:drawing>
      </w:r>
    </w:p>
    <w:p w14:paraId="60D399F9">
      <w:pPr>
        <w:spacing w:line="360" w:lineRule="auto"/>
        <w:ind w:firstLine="560" w:firstLineChars="200"/>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式中：</w:t>
      </w:r>
      <w:r>
        <w:rPr>
          <w:rFonts w:hint="default" w:ascii="Times New Roman" w:hAnsi="Times New Roman" w:eastAsia="宋体" w:cs="Times New Roman"/>
          <w:i/>
          <w:color w:val="000000"/>
          <w:sz w:val="28"/>
          <w:szCs w:val="28"/>
        </w:rPr>
        <w:t>i</w:t>
      </w:r>
      <w:r>
        <w:rPr>
          <w:rFonts w:hint="default" w:ascii="Times New Roman" w:hAnsi="Times New Roman" w:eastAsia="宋体" w:cs="Times New Roman"/>
          <w:color w:val="000000"/>
          <w:sz w:val="28"/>
          <w:szCs w:val="28"/>
        </w:rPr>
        <w:t>为第</w:t>
      </w:r>
      <w:r>
        <w:rPr>
          <w:rFonts w:hint="default" w:ascii="Times New Roman" w:hAnsi="Times New Roman" w:eastAsia="宋体" w:cs="Times New Roman"/>
          <w:i/>
          <w:color w:val="000000"/>
          <w:sz w:val="28"/>
          <w:szCs w:val="28"/>
        </w:rPr>
        <w:t>i</w:t>
      </w:r>
      <w:r>
        <w:rPr>
          <w:rFonts w:hint="default" w:ascii="Times New Roman" w:hAnsi="Times New Roman" w:eastAsia="宋体" w:cs="Times New Roman"/>
          <w:color w:val="000000"/>
          <w:sz w:val="28"/>
          <w:szCs w:val="28"/>
        </w:rPr>
        <w:t>条块；</w:t>
      </w:r>
      <w:r>
        <w:rPr>
          <w:rFonts w:hint="default" w:ascii="Times New Roman" w:hAnsi="Times New Roman" w:eastAsia="宋体" w:cs="Times New Roman"/>
          <w:i/>
          <w:color w:val="000000"/>
          <w:sz w:val="28"/>
          <w:szCs w:val="28"/>
        </w:rPr>
        <w:t>α</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为条块地面中点切线与水平线夹角；</w:t>
      </w:r>
      <w:r>
        <w:rPr>
          <w:rFonts w:hint="default" w:ascii="Times New Roman" w:hAnsi="Times New Roman" w:eastAsia="宋体" w:cs="Times New Roman"/>
          <w:i/>
          <w:color w:val="000000"/>
          <w:sz w:val="28"/>
          <w:szCs w:val="28"/>
        </w:rPr>
        <w:t>U</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是条块地面中点处孔隙水压力；</w:t>
      </w:r>
      <w:r>
        <w:rPr>
          <w:rFonts w:hint="default" w:ascii="Times New Roman" w:hAnsi="Times New Roman" w:eastAsia="宋体" w:cs="Times New Roman"/>
          <w:i/>
          <w:color w:val="000000"/>
          <w:sz w:val="28"/>
          <w:szCs w:val="28"/>
        </w:rPr>
        <w:t>W</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为条块重量；</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为作用在条块重心处的水平向地震惯性力；</w:t>
      </w:r>
      <w:r>
        <w:rPr>
          <w:rFonts w:hint="default" w:ascii="Times New Roman" w:hAnsi="Times New Roman" w:eastAsia="宋体" w:cs="Times New Roman"/>
          <w:i/>
          <w:color w:val="000000"/>
          <w:sz w:val="28"/>
          <w:szCs w:val="28"/>
        </w:rPr>
        <w:t>l</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为条块底部长度；</w:t>
      </w:r>
      <w:r>
        <w:rPr>
          <w:rFonts w:hint="default" w:ascii="Times New Roman" w:hAnsi="Times New Roman" w:eastAsia="宋体" w:cs="Times New Roman"/>
          <w:i/>
          <w:color w:val="000000"/>
          <w:sz w:val="28"/>
          <w:szCs w:val="28"/>
        </w:rPr>
        <w:t>c</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和</w:t>
      </w:r>
      <w:r>
        <w:rPr>
          <w:rFonts w:hint="default" w:ascii="Times New Roman" w:hAnsi="Times New Roman" w:eastAsia="宋体" w:cs="Times New Roman"/>
          <w:i/>
          <w:color w:val="000000"/>
          <w:sz w:val="28"/>
          <w:szCs w:val="28"/>
        </w:rPr>
        <w:t>f</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是条块地面中点处的内聚力和内摩擦系数。在不考虑地震影响时，公式中的</w:t>
      </w:r>
      <w:r>
        <w:rPr>
          <w:rFonts w:hint="default" w:ascii="Times New Roman" w:hAnsi="Times New Roman" w:eastAsia="宋体" w:cs="Times New Roman"/>
          <w:i/>
          <w:color w:val="000000"/>
          <w:sz w:val="28"/>
          <w:szCs w:val="28"/>
        </w:rPr>
        <w:t>Q</w:t>
      </w:r>
      <w:r>
        <w:rPr>
          <w:rFonts w:hint="default" w:ascii="Times New Roman" w:hAnsi="Times New Roman" w:eastAsia="宋体" w:cs="Times New Roman"/>
          <w:i/>
          <w:color w:val="000000"/>
          <w:sz w:val="28"/>
          <w:szCs w:val="28"/>
          <w:vertAlign w:val="subscript"/>
        </w:rPr>
        <w:t>i</w:t>
      </w:r>
      <w:r>
        <w:rPr>
          <w:rFonts w:hint="default" w:ascii="Times New Roman" w:hAnsi="Times New Roman" w:eastAsia="宋体" w:cs="Times New Roman"/>
          <w:color w:val="000000"/>
          <w:sz w:val="28"/>
          <w:szCs w:val="28"/>
        </w:rPr>
        <w:t>取为零。</w:t>
      </w:r>
    </w:p>
    <w:tbl>
      <w:tblPr>
        <w:tblStyle w:val="21"/>
        <w:tblW w:w="0" w:type="auto"/>
        <w:jc w:val="center"/>
        <w:tblLayout w:type="autofit"/>
        <w:tblCellMar>
          <w:top w:w="0" w:type="dxa"/>
          <w:left w:w="108" w:type="dxa"/>
          <w:bottom w:w="0" w:type="dxa"/>
          <w:right w:w="108" w:type="dxa"/>
        </w:tblCellMar>
      </w:tblPr>
      <w:tblGrid>
        <w:gridCol w:w="4306"/>
        <w:gridCol w:w="4222"/>
      </w:tblGrid>
      <w:tr w14:paraId="63E3E0F7">
        <w:tblPrEx>
          <w:tblCellMar>
            <w:top w:w="0" w:type="dxa"/>
            <w:left w:w="108" w:type="dxa"/>
            <w:bottom w:w="0" w:type="dxa"/>
            <w:right w:w="108" w:type="dxa"/>
          </w:tblCellMar>
        </w:tblPrEx>
        <w:trPr>
          <w:trHeight w:val="23" w:hRule="atLeast"/>
          <w:jc w:val="center"/>
        </w:trPr>
        <w:tc>
          <w:tcPr>
            <w:tcW w:w="4306" w:type="dxa"/>
            <w:vAlign w:val="center"/>
          </w:tcPr>
          <w:p w14:paraId="164BD9D2">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drawing>
                <wp:inline distT="0" distB="0" distL="0" distR="0">
                  <wp:extent cx="2074545" cy="1781175"/>
                  <wp:effectExtent l="0" t="0" r="1905" b="9525"/>
                  <wp:docPr id="1079" name="图片 92"/>
                  <wp:cNvGraphicFramePr/>
                  <a:graphic xmlns:a="http://schemas.openxmlformats.org/drawingml/2006/main">
                    <a:graphicData uri="http://schemas.openxmlformats.org/drawingml/2006/picture">
                      <pic:pic xmlns:pic="http://schemas.openxmlformats.org/drawingml/2006/picture">
                        <pic:nvPicPr>
                          <pic:cNvPr id="1079" name="图片 92"/>
                          <pic:cNvPicPr/>
                        </pic:nvPicPr>
                        <pic:blipFill>
                          <a:blip r:embed="rId46" cstate="print"/>
                          <a:srcRect l="11043" t="4736" r="4489" b="13304"/>
                          <a:stretch>
                            <a:fillRect/>
                          </a:stretch>
                        </pic:blipFill>
                        <pic:spPr>
                          <a:xfrm>
                            <a:off x="0" y="0"/>
                            <a:ext cx="2074545" cy="1781175"/>
                          </a:xfrm>
                          <a:prstGeom prst="rect">
                            <a:avLst/>
                          </a:prstGeom>
                          <a:ln>
                            <a:noFill/>
                          </a:ln>
                        </pic:spPr>
                      </pic:pic>
                    </a:graphicData>
                  </a:graphic>
                </wp:inline>
              </w:drawing>
            </w:r>
          </w:p>
        </w:tc>
        <w:tc>
          <w:tcPr>
            <w:tcW w:w="4222" w:type="dxa"/>
            <w:vAlign w:val="center"/>
          </w:tcPr>
          <w:p w14:paraId="6C95BE84">
            <w:pPr>
              <w:spacing w:line="360" w:lineRule="auto"/>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drawing>
                <wp:inline distT="0" distB="0" distL="0" distR="0">
                  <wp:extent cx="2156460" cy="1903730"/>
                  <wp:effectExtent l="0" t="0" r="15240" b="1270"/>
                  <wp:docPr id="1080" name="图片 93" descr="Bishop-1"/>
                  <wp:cNvGraphicFramePr/>
                  <a:graphic xmlns:a="http://schemas.openxmlformats.org/drawingml/2006/main">
                    <a:graphicData uri="http://schemas.openxmlformats.org/drawingml/2006/picture">
                      <pic:pic xmlns:pic="http://schemas.openxmlformats.org/drawingml/2006/picture">
                        <pic:nvPicPr>
                          <pic:cNvPr id="1080" name="图片 93" descr="Bishop-1"/>
                          <pic:cNvPicPr/>
                        </pic:nvPicPr>
                        <pic:blipFill>
                          <a:blip r:embed="rId47" cstate="print"/>
                          <a:srcRect/>
                          <a:stretch>
                            <a:fillRect/>
                          </a:stretch>
                        </pic:blipFill>
                        <pic:spPr>
                          <a:xfrm>
                            <a:off x="0" y="0"/>
                            <a:ext cx="2156460" cy="1903730"/>
                          </a:xfrm>
                          <a:prstGeom prst="rect">
                            <a:avLst/>
                          </a:prstGeom>
                          <a:ln>
                            <a:noFill/>
                          </a:ln>
                        </pic:spPr>
                      </pic:pic>
                    </a:graphicData>
                  </a:graphic>
                </wp:inline>
              </w:drawing>
            </w:r>
          </w:p>
        </w:tc>
      </w:tr>
      <w:tr w14:paraId="55635399">
        <w:tblPrEx>
          <w:tblCellMar>
            <w:top w:w="0" w:type="dxa"/>
            <w:left w:w="108" w:type="dxa"/>
            <w:bottom w:w="0" w:type="dxa"/>
            <w:right w:w="108" w:type="dxa"/>
          </w:tblCellMar>
        </w:tblPrEx>
        <w:trPr>
          <w:trHeight w:val="23" w:hRule="atLeast"/>
          <w:jc w:val="center"/>
        </w:trPr>
        <w:tc>
          <w:tcPr>
            <w:tcW w:w="4306" w:type="dxa"/>
          </w:tcPr>
          <w:p w14:paraId="19080F71">
            <w:pPr>
              <w:jc w:val="center"/>
              <w:rPr>
                <w:rFonts w:hint="default" w:ascii="Times New Roman" w:hAnsi="Times New Roman" w:eastAsia="宋体" w:cs="Times New Roman"/>
                <w:b w:val="0"/>
                <w:bCs/>
                <w:color w:val="000000"/>
                <w:kern w:val="28"/>
                <w:sz w:val="24"/>
                <w:szCs w:val="24"/>
              </w:rPr>
            </w:pPr>
            <w:r>
              <w:rPr>
                <w:rFonts w:hint="default" w:ascii="Times New Roman" w:hAnsi="Times New Roman" w:eastAsia="宋体" w:cs="Times New Roman"/>
                <w:b w:val="0"/>
                <w:bCs/>
                <w:color w:val="000000"/>
                <w:kern w:val="28"/>
                <w:sz w:val="24"/>
                <w:szCs w:val="24"/>
              </w:rPr>
              <w:t>图</w:t>
            </w:r>
            <w:r>
              <w:rPr>
                <w:rFonts w:hint="eastAsia" w:ascii="Times New Roman" w:hAnsi="Times New Roman" w:eastAsia="宋体" w:cs="Times New Roman"/>
                <w:b w:val="0"/>
                <w:bCs/>
                <w:color w:val="000000"/>
                <w:kern w:val="28"/>
                <w:sz w:val="24"/>
                <w:szCs w:val="24"/>
                <w:lang w:val="en-US" w:eastAsia="zh-CN"/>
              </w:rPr>
              <w:t>5</w:t>
            </w:r>
            <w:r>
              <w:rPr>
                <w:rFonts w:hint="default" w:ascii="Times New Roman" w:hAnsi="Times New Roman" w:eastAsia="宋体" w:cs="Times New Roman"/>
                <w:b w:val="0"/>
                <w:bCs/>
                <w:color w:val="000000"/>
                <w:kern w:val="28"/>
                <w:sz w:val="24"/>
                <w:szCs w:val="24"/>
              </w:rPr>
              <w:t>.2-1 瑞典圆弧法中垂直条块受力情况示意图</w:t>
            </w:r>
          </w:p>
        </w:tc>
        <w:tc>
          <w:tcPr>
            <w:tcW w:w="4222" w:type="dxa"/>
          </w:tcPr>
          <w:p w14:paraId="74ACD426">
            <w:pPr>
              <w:jc w:val="center"/>
              <w:rPr>
                <w:rFonts w:hint="default" w:ascii="Times New Roman" w:hAnsi="Times New Roman" w:eastAsia="宋体" w:cs="Times New Roman"/>
                <w:b w:val="0"/>
                <w:bCs/>
                <w:color w:val="000000"/>
                <w:kern w:val="28"/>
                <w:sz w:val="24"/>
                <w:szCs w:val="24"/>
              </w:rPr>
            </w:pPr>
            <w:r>
              <w:rPr>
                <w:rFonts w:hint="default" w:ascii="Times New Roman" w:hAnsi="Times New Roman" w:eastAsia="宋体" w:cs="Times New Roman"/>
                <w:b w:val="0"/>
                <w:bCs/>
                <w:color w:val="000000"/>
                <w:kern w:val="28"/>
                <w:sz w:val="24"/>
                <w:szCs w:val="24"/>
              </w:rPr>
              <w:t>图</w:t>
            </w:r>
            <w:r>
              <w:rPr>
                <w:rFonts w:hint="eastAsia" w:ascii="Times New Roman" w:hAnsi="Times New Roman" w:eastAsia="宋体" w:cs="Times New Roman"/>
                <w:b w:val="0"/>
                <w:bCs/>
                <w:color w:val="000000"/>
                <w:kern w:val="28"/>
                <w:sz w:val="24"/>
                <w:szCs w:val="24"/>
                <w:lang w:val="en-US" w:eastAsia="zh-CN"/>
              </w:rPr>
              <w:t>5</w:t>
            </w:r>
            <w:r>
              <w:rPr>
                <w:rFonts w:hint="default" w:ascii="Times New Roman" w:hAnsi="Times New Roman" w:eastAsia="宋体" w:cs="Times New Roman"/>
                <w:b w:val="0"/>
                <w:bCs/>
                <w:color w:val="000000"/>
                <w:kern w:val="28"/>
                <w:sz w:val="24"/>
                <w:szCs w:val="24"/>
              </w:rPr>
              <w:t>.2-2 毕肖普中垂直条块</w:t>
            </w:r>
          </w:p>
          <w:p w14:paraId="35F5B3B1">
            <w:pPr>
              <w:jc w:val="center"/>
              <w:rPr>
                <w:rFonts w:hint="default" w:ascii="Times New Roman" w:hAnsi="Times New Roman" w:eastAsia="宋体" w:cs="Times New Roman"/>
                <w:b w:val="0"/>
                <w:bCs/>
                <w:color w:val="000000"/>
                <w:kern w:val="28"/>
                <w:sz w:val="24"/>
                <w:szCs w:val="24"/>
              </w:rPr>
            </w:pPr>
            <w:r>
              <w:rPr>
                <w:rFonts w:hint="default" w:ascii="Times New Roman" w:hAnsi="Times New Roman" w:eastAsia="宋体" w:cs="Times New Roman"/>
                <w:b w:val="0"/>
                <w:bCs/>
                <w:color w:val="000000"/>
                <w:kern w:val="28"/>
                <w:sz w:val="24"/>
                <w:szCs w:val="24"/>
              </w:rPr>
              <w:t>受力情况示意图</w:t>
            </w:r>
          </w:p>
        </w:tc>
      </w:tr>
    </w:tbl>
    <w:p w14:paraId="7D084693">
      <w:pPr>
        <w:spacing w:before="120" w:beforeLines="50" w:line="360" w:lineRule="auto"/>
        <w:ind w:firstLine="560" w:firstLineChars="200"/>
        <w:rPr>
          <w:rFonts w:hint="default" w:ascii="Times New Roman" w:hAnsi="Times New Roman" w:eastAsia="宋体" w:cs="Times New Roman"/>
          <w:color w:val="000000"/>
          <w:sz w:val="28"/>
          <w:szCs w:val="28"/>
          <w:highlight w:val="yellow"/>
        </w:rPr>
      </w:pPr>
      <w:r>
        <w:rPr>
          <w:rFonts w:hint="default" w:ascii="Times New Roman" w:hAnsi="Times New Roman" w:eastAsia="宋体" w:cs="Times New Roman"/>
          <w:color w:val="000000"/>
          <w:sz w:val="28"/>
          <w:szCs w:val="28"/>
        </w:rPr>
        <w:t>在公式中，左右两边都含有未知量</w:t>
      </w:r>
      <w:r>
        <w:rPr>
          <w:rFonts w:hint="default" w:ascii="Times New Roman" w:hAnsi="Times New Roman" w:eastAsia="宋体" w:cs="Times New Roman"/>
          <w:i/>
          <w:color w:val="000000"/>
          <w:sz w:val="28"/>
          <w:szCs w:val="28"/>
        </w:rPr>
        <w:t>k</w:t>
      </w:r>
      <w:r>
        <w:rPr>
          <w:rFonts w:hint="default" w:ascii="Times New Roman" w:hAnsi="Times New Roman" w:eastAsia="宋体" w:cs="Times New Roman"/>
          <w:color w:val="000000"/>
          <w:sz w:val="28"/>
          <w:szCs w:val="28"/>
        </w:rPr>
        <w:t>，计算时一般采用迭代法进行计算。</w:t>
      </w:r>
    </w:p>
    <w:p w14:paraId="398CCE0D">
      <w:pPr>
        <w:spacing w:line="360" w:lineRule="auto"/>
        <w:outlineLvl w:val="3"/>
        <w:rPr>
          <w:rFonts w:hint="eastAsia" w:ascii="宋体" w:hAnsi="宋体" w:eastAsia="宋体" w:cs="宋体"/>
          <w:sz w:val="28"/>
          <w:szCs w:val="28"/>
          <w:lang w:eastAsia="zh-CN"/>
        </w:rPr>
      </w:pPr>
      <w:r>
        <w:fldChar w:fldCharType="begin"/>
      </w:r>
      <w:r>
        <w:instrText xml:space="preserve"> HYPERLINK "5.2.2.2" </w:instrText>
      </w:r>
      <w:r>
        <w:fldChar w:fldCharType="separate"/>
      </w:r>
      <w:r>
        <w:rPr>
          <w:rFonts w:ascii="Times New Roman" w:hAnsi="Times New Roman" w:eastAsia="Times New Roman" w:cs="Times New Roman"/>
          <w:spacing w:val="-2"/>
          <w:sz w:val="28"/>
          <w:szCs w:val="28"/>
          <w:lang w:eastAsia="zh-CN"/>
        </w:rPr>
        <w:t>5.2.2.2</w:t>
      </w:r>
      <w:r>
        <w:rPr>
          <w:rFonts w:ascii="Times New Roman" w:hAnsi="Times New Roman" w:eastAsia="Times New Roman" w:cs="Times New Roman"/>
          <w:spacing w:val="-2"/>
          <w:sz w:val="28"/>
          <w:szCs w:val="28"/>
          <w:lang w:eastAsia="zh-CN"/>
        </w:rPr>
        <w:fldChar w:fldCharType="end"/>
      </w:r>
      <w:r>
        <w:rPr>
          <w:rFonts w:ascii="宋体" w:hAnsi="宋体" w:eastAsia="宋体" w:cs="宋体"/>
          <w:spacing w:val="-2"/>
          <w:sz w:val="28"/>
          <w:szCs w:val="28"/>
          <w:lang w:eastAsia="zh-CN"/>
        </w:rPr>
        <w:t>荷载组合及安全系数</w:t>
      </w:r>
    </w:p>
    <w:p w14:paraId="69C9AABA">
      <w:pPr>
        <w:spacing w:line="360" w:lineRule="auto"/>
        <w:ind w:firstLine="561"/>
        <w:jc w:val="both"/>
        <w:rPr>
          <w:lang w:eastAsia="zh-CN"/>
        </w:rPr>
      </w:pPr>
      <w:r>
        <w:rPr>
          <w:rFonts w:ascii="宋体" w:hAnsi="宋体" w:eastAsia="宋体" w:cs="宋体"/>
          <w:spacing w:val="1"/>
          <w:sz w:val="28"/>
          <w:szCs w:val="28"/>
          <w:lang w:eastAsia="zh-CN"/>
        </w:rPr>
        <w:t>本次计算依据《尾矿库安全规程》</w:t>
      </w:r>
      <w:r>
        <w:rPr>
          <w:rFonts w:ascii="Times New Roman" w:hAnsi="Times New Roman" w:eastAsia="Times New Roman" w:cs="Times New Roman"/>
          <w:spacing w:val="1"/>
          <w:sz w:val="28"/>
          <w:szCs w:val="28"/>
          <w:lang w:eastAsia="zh-CN"/>
        </w:rPr>
        <w:t>(</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1"/>
          <w:sz w:val="28"/>
          <w:szCs w:val="28"/>
          <w:lang w:eastAsia="zh-CN"/>
        </w:rPr>
        <w:t xml:space="preserve"> 394</w:t>
      </w:r>
      <w:r>
        <w:rPr>
          <w:rFonts w:ascii="Times New Roman" w:hAnsi="Times New Roman" w:eastAsia="Times New Roman" w:cs="Times New Roman"/>
          <w:sz w:val="28"/>
          <w:szCs w:val="28"/>
          <w:lang w:eastAsia="zh-CN"/>
        </w:rPr>
        <w:t>96-2020)</w:t>
      </w:r>
      <w:r>
        <w:rPr>
          <w:rFonts w:hint="eastAsia" w:ascii="Times New Roman" w:hAnsi="Times New Roman" w:eastAsia="Times New Roman" w:cs="Times New Roman"/>
          <w:sz w:val="28"/>
          <w:szCs w:val="28"/>
          <w:lang w:eastAsia="zh-CN"/>
        </w:rPr>
        <w:t>，</w:t>
      </w:r>
      <w:r>
        <w:rPr>
          <w:rFonts w:ascii="宋体" w:hAnsi="宋体" w:eastAsia="宋体" w:cs="宋体"/>
          <w:spacing w:val="10"/>
          <w:sz w:val="28"/>
          <w:szCs w:val="28"/>
          <w:lang w:eastAsia="zh-CN"/>
        </w:rPr>
        <w:t>坝体</w:t>
      </w:r>
      <w:r>
        <w:rPr>
          <w:rFonts w:ascii="宋体" w:hAnsi="宋体" w:eastAsia="宋体" w:cs="宋体"/>
          <w:spacing w:val="-1"/>
          <w:sz w:val="28"/>
          <w:szCs w:val="28"/>
          <w:lang w:eastAsia="zh-CN"/>
        </w:rPr>
        <w:t>在各种运行情况下的荷载组合及最小安全系数为：</w:t>
      </w:r>
    </w:p>
    <w:p w14:paraId="78A791E2">
      <w:pPr>
        <w:spacing w:line="360" w:lineRule="auto"/>
        <w:ind w:firstLine="580" w:firstLineChars="200"/>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1</w:t>
      </w:r>
      <w:r>
        <w:rPr>
          <w:rFonts w:ascii="宋体" w:hAnsi="宋体" w:eastAsia="宋体" w:cs="宋体"/>
          <w:spacing w:val="5"/>
          <w:sz w:val="28"/>
          <w:szCs w:val="28"/>
          <w:lang w:eastAsia="zh-CN"/>
        </w:rPr>
        <w:t>）正常运行</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正常水位</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坝体自重，当尾矿库为</w:t>
      </w:r>
      <w:r>
        <w:rPr>
          <w:rFonts w:hint="eastAsia" w:ascii="宋体" w:hAnsi="宋体" w:eastAsia="宋体" w:cs="宋体"/>
          <w:spacing w:val="5"/>
          <w:sz w:val="28"/>
          <w:szCs w:val="28"/>
          <w:lang w:val="en-US" w:eastAsia="zh-CN"/>
        </w:rPr>
        <w:t>x</w:t>
      </w:r>
      <w:r>
        <w:rPr>
          <w:rFonts w:ascii="宋体" w:hAnsi="宋体" w:eastAsia="宋体" w:cs="宋体"/>
          <w:spacing w:val="5"/>
          <w:sz w:val="28"/>
          <w:szCs w:val="28"/>
          <w:lang w:eastAsia="zh-CN"/>
        </w:rPr>
        <w:t>等库时，瑞典圆</w:t>
      </w:r>
      <w:r>
        <w:rPr>
          <w:rFonts w:ascii="宋体" w:hAnsi="宋体" w:eastAsia="宋体" w:cs="宋体"/>
          <w:spacing w:val="-4"/>
          <w:sz w:val="28"/>
          <w:szCs w:val="28"/>
          <w:lang w:eastAsia="zh-CN"/>
        </w:rPr>
        <w:t>弧法最小安全系数为</w:t>
      </w:r>
      <w:r>
        <w:rPr>
          <w:rFonts w:ascii="宋体" w:hAnsi="宋体" w:eastAsia="宋体" w:cs="宋体"/>
          <w:spacing w:val="-31"/>
          <w:sz w:val="28"/>
          <w:szCs w:val="28"/>
          <w:lang w:eastAsia="zh-CN"/>
        </w:rPr>
        <w:t xml:space="preserve"> </w:t>
      </w:r>
      <w:r>
        <w:rPr>
          <w:rFonts w:ascii="Times New Roman" w:hAnsi="Times New Roman" w:eastAsia="Times New Roman" w:cs="Times New Roman"/>
          <w:spacing w:val="-4"/>
          <w:sz w:val="28"/>
          <w:szCs w:val="28"/>
          <w:lang w:eastAsia="zh-CN"/>
        </w:rPr>
        <w:t>1.15</w:t>
      </w:r>
      <w:r>
        <w:rPr>
          <w:rFonts w:ascii="Times New Roman" w:hAnsi="Times New Roman" w:eastAsia="Times New Roman" w:cs="Times New Roman"/>
          <w:spacing w:val="-38"/>
          <w:sz w:val="28"/>
          <w:szCs w:val="28"/>
          <w:lang w:eastAsia="zh-CN"/>
        </w:rPr>
        <w:t xml:space="preserve"> </w:t>
      </w:r>
      <w:r>
        <w:rPr>
          <w:rFonts w:ascii="宋体" w:hAnsi="宋体" w:eastAsia="宋体" w:cs="宋体"/>
          <w:spacing w:val="-4"/>
          <w:sz w:val="28"/>
          <w:szCs w:val="28"/>
          <w:lang w:eastAsia="zh-CN"/>
        </w:rPr>
        <w:t>；</w:t>
      </w:r>
    </w:p>
    <w:p w14:paraId="4F949605">
      <w:pPr>
        <w:spacing w:line="360" w:lineRule="auto"/>
        <w:ind w:firstLine="544"/>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2</w:t>
      </w:r>
      <w:r>
        <w:rPr>
          <w:rFonts w:ascii="宋体" w:hAnsi="宋体" w:eastAsia="宋体" w:cs="宋体"/>
          <w:spacing w:val="5"/>
          <w:sz w:val="28"/>
          <w:szCs w:val="28"/>
          <w:lang w:eastAsia="zh-CN"/>
        </w:rPr>
        <w:t>）洪水运行</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最高洪水位</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坝体自重，当尾矿库为</w:t>
      </w:r>
      <w:r>
        <w:rPr>
          <w:rFonts w:hint="eastAsia" w:ascii="宋体" w:hAnsi="宋体" w:eastAsia="宋体" w:cs="宋体"/>
          <w:spacing w:val="5"/>
          <w:sz w:val="28"/>
          <w:szCs w:val="28"/>
          <w:lang w:val="en-US" w:eastAsia="zh-CN"/>
        </w:rPr>
        <w:t>x</w:t>
      </w:r>
      <w:r>
        <w:rPr>
          <w:rFonts w:ascii="宋体" w:hAnsi="宋体" w:eastAsia="宋体" w:cs="宋体"/>
          <w:spacing w:val="5"/>
          <w:sz w:val="28"/>
          <w:szCs w:val="28"/>
          <w:lang w:eastAsia="zh-CN"/>
        </w:rPr>
        <w:t>等库时，</w:t>
      </w:r>
      <w:r>
        <w:rPr>
          <w:rFonts w:ascii="宋体" w:hAnsi="宋体" w:eastAsia="宋体" w:cs="宋体"/>
          <w:spacing w:val="4"/>
          <w:sz w:val="28"/>
          <w:szCs w:val="28"/>
          <w:lang w:eastAsia="zh-CN"/>
        </w:rPr>
        <w:t>瑞典</w:t>
      </w:r>
      <w:r>
        <w:rPr>
          <w:rFonts w:ascii="宋体" w:hAnsi="宋体" w:eastAsia="宋体" w:cs="宋体"/>
          <w:spacing w:val="-4"/>
          <w:sz w:val="28"/>
          <w:szCs w:val="28"/>
          <w:lang w:eastAsia="zh-CN"/>
        </w:rPr>
        <w:t>圆弧法最小安全系数为</w:t>
      </w:r>
      <w:r>
        <w:rPr>
          <w:rFonts w:ascii="Times New Roman" w:hAnsi="Times New Roman" w:eastAsia="Times New Roman" w:cs="Times New Roman"/>
          <w:spacing w:val="-4"/>
          <w:sz w:val="28"/>
          <w:szCs w:val="28"/>
          <w:lang w:eastAsia="zh-CN"/>
        </w:rPr>
        <w:t>1.05</w:t>
      </w:r>
      <w:r>
        <w:rPr>
          <w:rFonts w:ascii="Times New Roman" w:hAnsi="Times New Roman" w:eastAsia="Times New Roman" w:cs="Times New Roman"/>
          <w:spacing w:val="-35"/>
          <w:sz w:val="28"/>
          <w:szCs w:val="28"/>
          <w:lang w:eastAsia="zh-CN"/>
        </w:rPr>
        <w:t xml:space="preserve"> </w:t>
      </w:r>
      <w:r>
        <w:rPr>
          <w:rFonts w:ascii="宋体" w:hAnsi="宋体" w:eastAsia="宋体" w:cs="宋体"/>
          <w:spacing w:val="-5"/>
          <w:sz w:val="28"/>
          <w:szCs w:val="28"/>
          <w:lang w:eastAsia="zh-CN"/>
        </w:rPr>
        <w:t>；</w:t>
      </w:r>
    </w:p>
    <w:p w14:paraId="124C0EAB">
      <w:pPr>
        <w:spacing w:line="360" w:lineRule="auto"/>
        <w:ind w:firstLine="561"/>
        <w:rPr>
          <w:rFonts w:ascii="宋体" w:hAnsi="宋体" w:eastAsia="宋体" w:cs="宋体"/>
          <w:spacing w:val="-4"/>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）特殊运行</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正常水位</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坝体自重</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地震，当尾矿库为</w:t>
      </w:r>
      <w:r>
        <w:rPr>
          <w:rFonts w:hint="eastAsia" w:ascii="宋体" w:hAnsi="宋体" w:eastAsia="宋体" w:cs="宋体"/>
          <w:sz w:val="28"/>
          <w:szCs w:val="28"/>
          <w:lang w:val="en-US" w:eastAsia="zh-CN"/>
        </w:rPr>
        <w:t>x</w:t>
      </w:r>
      <w:r>
        <w:rPr>
          <w:rFonts w:ascii="宋体" w:hAnsi="宋体" w:eastAsia="宋体" w:cs="宋体"/>
          <w:sz w:val="28"/>
          <w:szCs w:val="28"/>
          <w:lang w:eastAsia="zh-CN"/>
        </w:rPr>
        <w:t>等库时</w:t>
      </w:r>
      <w:r>
        <w:rPr>
          <w:rFonts w:ascii="宋体" w:hAnsi="宋体" w:eastAsia="宋体" w:cs="宋体"/>
          <w:spacing w:val="-1"/>
          <w:sz w:val="28"/>
          <w:szCs w:val="28"/>
          <w:lang w:eastAsia="zh-CN"/>
        </w:rPr>
        <w:t>，瑞</w:t>
      </w:r>
      <w:r>
        <w:rPr>
          <w:rFonts w:ascii="宋体" w:hAnsi="宋体" w:eastAsia="宋体" w:cs="宋体"/>
          <w:spacing w:val="-4"/>
          <w:sz w:val="28"/>
          <w:szCs w:val="28"/>
          <w:lang w:eastAsia="zh-CN"/>
        </w:rPr>
        <w:t>典圆弧法最小安全系数为</w:t>
      </w:r>
      <w:r>
        <w:rPr>
          <w:rFonts w:ascii="Times New Roman" w:hAnsi="Times New Roman" w:eastAsia="Times New Roman" w:cs="Times New Roman"/>
          <w:spacing w:val="-4"/>
          <w:sz w:val="28"/>
          <w:szCs w:val="28"/>
          <w:lang w:eastAsia="zh-CN"/>
        </w:rPr>
        <w:t>1.05</w:t>
      </w:r>
      <w:r>
        <w:rPr>
          <w:rFonts w:ascii="Times New Roman" w:hAnsi="Times New Roman" w:eastAsia="Times New Roman" w:cs="Times New Roman"/>
          <w:spacing w:val="-37"/>
          <w:sz w:val="28"/>
          <w:szCs w:val="28"/>
          <w:lang w:eastAsia="zh-CN"/>
        </w:rPr>
        <w:t xml:space="preserve"> </w:t>
      </w:r>
      <w:r>
        <w:rPr>
          <w:rFonts w:ascii="宋体" w:hAnsi="宋体" w:eastAsia="宋体" w:cs="宋体"/>
          <w:spacing w:val="-4"/>
          <w:sz w:val="28"/>
          <w:szCs w:val="28"/>
          <w:lang w:eastAsia="zh-CN"/>
        </w:rPr>
        <w:t>。</w:t>
      </w:r>
    </w:p>
    <w:p w14:paraId="6CAAB09E">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3"/>
        <w:rPr>
          <w:rFonts w:hint="eastAsia" w:ascii="宋体" w:hAnsi="宋体" w:eastAsia="宋体" w:cs="宋体"/>
          <w:b/>
          <w:bCs/>
          <w:sz w:val="28"/>
          <w:szCs w:val="28"/>
        </w:rPr>
      </w:pPr>
      <w:r>
        <w:fldChar w:fldCharType="begin"/>
      </w:r>
      <w:r>
        <w:instrText xml:space="preserve"> HYPERLINK "5.2.3.1" </w:instrText>
      </w:r>
      <w:r>
        <w:fldChar w:fldCharType="separate"/>
      </w:r>
      <w:r>
        <w:rPr>
          <w:rFonts w:ascii="Times New Roman" w:hAnsi="Times New Roman" w:eastAsia="Times New Roman" w:cs="Times New Roman"/>
          <w:spacing w:val="-2"/>
          <w:sz w:val="28"/>
          <w:szCs w:val="28"/>
          <w:lang w:eastAsia="zh-CN"/>
        </w:rPr>
        <w:t>5.2.</w:t>
      </w:r>
      <w:r>
        <w:rPr>
          <w:rFonts w:hint="eastAsia" w:ascii="Times New Roman" w:hAnsi="Times New Roman" w:eastAsia="Times New Roman" w:cs="Times New Roman"/>
          <w:spacing w:val="-2"/>
          <w:sz w:val="28"/>
          <w:szCs w:val="28"/>
          <w:lang w:val="en-US" w:eastAsia="zh-CN"/>
        </w:rPr>
        <w:t>2</w:t>
      </w:r>
      <w:r>
        <w:rPr>
          <w:rFonts w:ascii="Times New Roman" w:hAnsi="Times New Roman" w:eastAsia="Times New Roman" w:cs="Times New Roman"/>
          <w:spacing w:val="-2"/>
          <w:sz w:val="28"/>
          <w:szCs w:val="28"/>
          <w:lang w:eastAsia="zh-CN"/>
        </w:rPr>
        <w:t>.</w:t>
      </w:r>
      <w:r>
        <w:rPr>
          <w:rFonts w:hint="eastAsia" w:ascii="Times New Roman" w:hAnsi="Times New Roman" w:eastAsia="Times New Roman" w:cs="Times New Roman"/>
          <w:spacing w:val="-2"/>
          <w:sz w:val="28"/>
          <w:szCs w:val="28"/>
          <w:lang w:val="en-US" w:eastAsia="zh-CN"/>
        </w:rPr>
        <w:t>3</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计算结果汇总</w:t>
      </w:r>
    </w:p>
    <w:p w14:paraId="7EC461BB">
      <w:pPr>
        <w:pStyle w:val="31"/>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rPr>
        <w:t>表</w:t>
      </w:r>
      <w:r>
        <w:rPr>
          <w:rFonts w:hint="eastAsia" w:ascii="Times New Roman" w:hAnsi="Times New Roman" w:eastAsia="宋体" w:cs="Times New Roman"/>
          <w:b w:val="0"/>
          <w:bCs/>
          <w:sz w:val="24"/>
          <w:szCs w:val="24"/>
          <w:lang w:val="en-US" w:eastAsia="zh-CN"/>
        </w:rPr>
        <w:t>5.2-4</w:t>
      </w:r>
      <w:r>
        <w:rPr>
          <w:rFonts w:hint="eastAsia" w:ascii="Times New Roman" w:hAnsi="Times New Roman" w:eastAsia="宋体" w:cs="Times New Roman"/>
          <w:b w:val="0"/>
          <w:bCs/>
          <w:sz w:val="24"/>
          <w:szCs w:val="24"/>
        </w:rPr>
        <w:t xml:space="preserve"> </w:t>
      </w:r>
      <w:r>
        <w:rPr>
          <w:rFonts w:hint="default" w:ascii="Times New Roman" w:hAnsi="Times New Roman" w:eastAsia="宋体" w:cs="Times New Roman"/>
          <w:b w:val="0"/>
          <w:bCs/>
          <w:sz w:val="24"/>
          <w:szCs w:val="24"/>
        </w:rPr>
        <w:t>坝</w:t>
      </w:r>
      <w:r>
        <w:rPr>
          <w:rFonts w:hint="eastAsia" w:ascii="Times New Roman" w:hAnsi="Times New Roman" w:eastAsia="宋体" w:cs="Times New Roman"/>
          <w:b w:val="0"/>
          <w:bCs/>
          <w:sz w:val="24"/>
          <w:szCs w:val="24"/>
        </w:rPr>
        <w:t>体</w:t>
      </w:r>
      <w:r>
        <w:rPr>
          <w:rFonts w:hint="default" w:ascii="Times New Roman" w:hAnsi="Times New Roman" w:eastAsia="宋体" w:cs="Times New Roman"/>
          <w:b w:val="0"/>
          <w:bCs/>
          <w:sz w:val="24"/>
          <w:szCs w:val="24"/>
        </w:rPr>
        <w:t>抗滑最小安全系数计算结果表</w:t>
      </w:r>
    </w:p>
    <w:p w14:paraId="3339BFEC">
      <w:pPr>
        <w:suppressAutoHyphens/>
        <w:spacing w:line="560" w:lineRule="exact"/>
        <w:ind w:firstLine="560" w:firstLineChars="200"/>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计算结果表明：尾矿坝的正常运行、洪水运行和特殊运行时各个运行工况抗滑稳定最小安全系数均能满足《尾矿库安全规程》（GB</w:t>
      </w:r>
      <w:r>
        <w:rPr>
          <w:rFonts w:hint="eastAsia" w:ascii="Times New Roman" w:hAnsi="Times New Roman" w:eastAsia="宋体" w:cs="Times New Roman"/>
          <w:sz w:val="28"/>
          <w:szCs w:val="28"/>
          <w:lang w:val="en-US" w:eastAsia="zh-CN"/>
        </w:rPr>
        <w:t xml:space="preserve"> </w:t>
      </w:r>
      <w:r>
        <w:rPr>
          <w:rFonts w:hint="default" w:ascii="Times New Roman" w:hAnsi="Times New Roman" w:eastAsia="宋体" w:cs="Times New Roman"/>
          <w:sz w:val="28"/>
          <w:szCs w:val="28"/>
        </w:rPr>
        <w:t>39496-2020）的要求。</w:t>
      </w:r>
    </w:p>
    <w:p w14:paraId="798C447F">
      <w:pPr>
        <w:spacing w:line="360" w:lineRule="auto"/>
        <w:outlineLvl w:val="2"/>
        <w:rPr>
          <w:rFonts w:hint="eastAsia" w:ascii="宋体" w:hAnsi="宋体" w:eastAsia="宋体" w:cs="宋体"/>
          <w:sz w:val="28"/>
          <w:szCs w:val="28"/>
          <w:lang w:eastAsia="zh-CN"/>
        </w:rPr>
      </w:pPr>
      <w:bookmarkStart w:id="213" w:name="_Toc24231"/>
      <w:bookmarkStart w:id="214" w:name="_Toc8689"/>
      <w:bookmarkStart w:id="215" w:name="_Toc22606"/>
      <w:r>
        <w:rPr>
          <w:rFonts w:ascii="Times New Roman" w:hAnsi="Times New Roman" w:eastAsia="Times New Roman" w:cs="Times New Roman"/>
          <w:b/>
          <w:bCs/>
          <w:spacing w:val="-3"/>
          <w:sz w:val="28"/>
          <w:szCs w:val="28"/>
          <w:lang w:eastAsia="zh-CN"/>
        </w:rPr>
        <w:t xml:space="preserve">5.2.4 </w:t>
      </w:r>
      <w:r>
        <w:rPr>
          <w:rFonts w:ascii="宋体" w:hAnsi="宋体" w:eastAsia="宋体" w:cs="宋体"/>
          <w:b/>
          <w:bCs/>
          <w:spacing w:val="-3"/>
          <w:sz w:val="28"/>
          <w:szCs w:val="28"/>
          <w:lang w:eastAsia="zh-CN"/>
        </w:rPr>
        <w:t>评价单元小结</w:t>
      </w:r>
      <w:bookmarkEnd w:id="213"/>
      <w:bookmarkEnd w:id="214"/>
      <w:bookmarkEnd w:id="215"/>
    </w:p>
    <w:p w14:paraId="152CBF1D">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评价组通过查阅相关报告及现场踏勘，利用定性、定量评价法对</w:t>
      </w:r>
      <w:r>
        <w:rPr>
          <w:rFonts w:ascii="宋体" w:hAnsi="宋体" w:eastAsia="宋体" w:cs="宋体"/>
          <w:spacing w:val="1"/>
          <w:sz w:val="28"/>
          <w:szCs w:val="28"/>
          <w:lang w:eastAsia="zh-CN"/>
        </w:rPr>
        <w:t>尾矿</w:t>
      </w:r>
      <w:r>
        <w:rPr>
          <w:rFonts w:ascii="宋体" w:hAnsi="宋体" w:eastAsia="宋体" w:cs="宋体"/>
          <w:spacing w:val="2"/>
          <w:sz w:val="28"/>
          <w:szCs w:val="28"/>
          <w:lang w:eastAsia="zh-CN"/>
        </w:rPr>
        <w:t>坝单元进行评价：该尾矿库坝体结构完好，轮廓尺寸符合</w:t>
      </w:r>
      <w:r>
        <w:rPr>
          <w:rFonts w:ascii="宋体" w:hAnsi="宋体" w:eastAsia="宋体" w:cs="宋体"/>
          <w:spacing w:val="1"/>
          <w:sz w:val="28"/>
          <w:szCs w:val="28"/>
          <w:lang w:eastAsia="zh-CN"/>
        </w:rPr>
        <w:t>设计要求，无渗</w:t>
      </w:r>
      <w:r>
        <w:rPr>
          <w:rFonts w:ascii="宋体" w:hAnsi="宋体" w:eastAsia="宋体" w:cs="宋体"/>
          <w:spacing w:val="2"/>
          <w:sz w:val="28"/>
          <w:szCs w:val="28"/>
          <w:lang w:eastAsia="zh-CN"/>
        </w:rPr>
        <w:t>漏、管涌、沼泽化、裂缝和滑坡现象，坡面护坡良好。尾矿坝在现状渗流稳定性良好，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w:t>
      </w:r>
      <w:r>
        <w:rPr>
          <w:rFonts w:hint="eastAsia" w:ascii="宋体" w:hAnsi="宋体" w:eastAsia="宋体" w:cs="宋体"/>
          <w:spacing w:val="2"/>
          <w:sz w:val="28"/>
          <w:szCs w:val="28"/>
          <w:lang w:val="en-US" w:eastAsia="zh-CN"/>
        </w:rPr>
        <w:t>坝体</w:t>
      </w:r>
      <w:r>
        <w:rPr>
          <w:rFonts w:ascii="宋体" w:hAnsi="宋体" w:eastAsia="宋体" w:cs="宋体"/>
          <w:spacing w:val="2"/>
          <w:sz w:val="28"/>
          <w:szCs w:val="28"/>
          <w:lang w:eastAsia="zh-CN"/>
        </w:rPr>
        <w:t>抗滑稳定性</w:t>
      </w:r>
      <w:r>
        <w:rPr>
          <w:rFonts w:ascii="宋体" w:hAnsi="宋体" w:eastAsia="宋体" w:cs="宋体"/>
          <w:spacing w:val="1"/>
          <w:sz w:val="28"/>
          <w:szCs w:val="28"/>
          <w:lang w:eastAsia="zh-CN"/>
        </w:rPr>
        <w:t>满足设计</w:t>
      </w:r>
      <w:r>
        <w:rPr>
          <w:rFonts w:ascii="宋体" w:hAnsi="宋体" w:eastAsia="宋体" w:cs="宋体"/>
          <w:spacing w:val="2"/>
          <w:sz w:val="28"/>
          <w:szCs w:val="28"/>
          <w:lang w:eastAsia="zh-CN"/>
        </w:rPr>
        <w:t>及规范要求。尾矿坝符合有关安全生产法律法规、规章、规范性</w:t>
      </w:r>
      <w:r>
        <w:rPr>
          <w:rFonts w:ascii="宋体" w:hAnsi="宋体" w:eastAsia="宋体" w:cs="宋体"/>
          <w:spacing w:val="1"/>
          <w:sz w:val="28"/>
          <w:szCs w:val="28"/>
          <w:lang w:eastAsia="zh-CN"/>
        </w:rPr>
        <w:t>文件和标</w:t>
      </w:r>
      <w:r>
        <w:rPr>
          <w:rFonts w:ascii="宋体" w:hAnsi="宋体" w:eastAsia="宋体" w:cs="宋体"/>
          <w:spacing w:val="-1"/>
          <w:sz w:val="28"/>
          <w:szCs w:val="28"/>
          <w:lang w:eastAsia="zh-CN"/>
        </w:rPr>
        <w:t>准的规定，具备安全生产条件。</w:t>
      </w:r>
    </w:p>
    <w:p w14:paraId="70AC827D">
      <w:pPr>
        <w:spacing w:line="360" w:lineRule="auto"/>
        <w:jc w:val="center"/>
        <w:outlineLvl w:val="1"/>
        <w:rPr>
          <w:rFonts w:hint="eastAsia" w:ascii="黑体" w:hAnsi="黑体" w:eastAsia="黑体" w:cs="黑体"/>
          <w:sz w:val="30"/>
          <w:szCs w:val="30"/>
          <w:lang w:eastAsia="zh-CN"/>
        </w:rPr>
      </w:pPr>
      <w:bookmarkStart w:id="216" w:name="_Toc18891"/>
      <w:bookmarkStart w:id="217" w:name="_Toc14523"/>
      <w:r>
        <w:rPr>
          <w:rFonts w:ascii="Times New Roman" w:hAnsi="Times New Roman" w:eastAsia="Times New Roman" w:cs="Times New Roman"/>
          <w:b/>
          <w:bCs/>
          <w:spacing w:val="-4"/>
          <w:sz w:val="30"/>
          <w:szCs w:val="30"/>
          <w:lang w:eastAsia="zh-CN"/>
        </w:rPr>
        <w:t xml:space="preserve">5.3 </w:t>
      </w:r>
      <w:r>
        <w:rPr>
          <w:rFonts w:ascii="黑体" w:hAnsi="黑体" w:eastAsia="黑体" w:cs="黑体"/>
          <w:b/>
          <w:bCs/>
          <w:spacing w:val="-4"/>
          <w:sz w:val="30"/>
          <w:szCs w:val="30"/>
          <w:lang w:eastAsia="zh-CN"/>
        </w:rPr>
        <w:t>防排洪系统单元</w:t>
      </w:r>
      <w:bookmarkEnd w:id="216"/>
      <w:bookmarkEnd w:id="217"/>
    </w:p>
    <w:p w14:paraId="2516F624">
      <w:pPr>
        <w:spacing w:line="360" w:lineRule="auto"/>
        <w:outlineLvl w:val="2"/>
        <w:rPr>
          <w:rFonts w:hint="eastAsia" w:ascii="宋体" w:hAnsi="宋体" w:eastAsia="宋体" w:cs="宋体"/>
          <w:sz w:val="28"/>
          <w:szCs w:val="28"/>
          <w:lang w:eastAsia="zh-CN"/>
        </w:rPr>
      </w:pPr>
      <w:bookmarkStart w:id="218" w:name="_Toc28252"/>
      <w:bookmarkStart w:id="219" w:name="_Toc7108"/>
      <w:bookmarkStart w:id="220" w:name="_Toc28658"/>
      <w:r>
        <w:rPr>
          <w:rFonts w:ascii="Times New Roman" w:hAnsi="Times New Roman" w:eastAsia="Times New Roman" w:cs="Times New Roman"/>
          <w:b/>
          <w:bCs/>
          <w:spacing w:val="-3"/>
          <w:sz w:val="28"/>
          <w:szCs w:val="28"/>
          <w:lang w:eastAsia="zh-CN"/>
        </w:rPr>
        <w:t xml:space="preserve">5.3.1 </w:t>
      </w:r>
      <w:r>
        <w:rPr>
          <w:rFonts w:ascii="宋体" w:hAnsi="宋体" w:eastAsia="宋体" w:cs="宋体"/>
          <w:b/>
          <w:bCs/>
          <w:spacing w:val="-3"/>
          <w:sz w:val="28"/>
          <w:szCs w:val="28"/>
          <w:lang w:eastAsia="zh-CN"/>
        </w:rPr>
        <w:t>安全检查表法评价</w:t>
      </w:r>
      <w:bookmarkEnd w:id="218"/>
      <w:bookmarkEnd w:id="219"/>
      <w:bookmarkEnd w:id="220"/>
    </w:p>
    <w:p w14:paraId="7CED78F3">
      <w:pPr>
        <w:spacing w:line="360" w:lineRule="auto"/>
        <w:ind w:firstLine="559"/>
        <w:jc w:val="both"/>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根据相关法律法规、技术标准的要求，借鉴同类尾矿库经验，运用安全检查表的评价方法对该尾矿库排洪系统单元进行符合性评价，详见表5.3-1。</w:t>
      </w:r>
    </w:p>
    <w:p w14:paraId="3F8CB504">
      <w:pPr>
        <w:keepNext w:val="0"/>
        <w:keepLines w:val="0"/>
        <w:pageBreakBefore w:val="0"/>
        <w:widowControl/>
        <w:kinsoku w:val="0"/>
        <w:wordWrap/>
        <w:overflowPunct/>
        <w:topLinePunct w:val="0"/>
        <w:autoSpaceDE w:val="0"/>
        <w:autoSpaceDN w:val="0"/>
        <w:bidi w:val="0"/>
        <w:adjustRightInd w:val="0"/>
        <w:snapToGrid w:val="0"/>
        <w:jc w:val="center"/>
        <w:textAlignment w:val="baseline"/>
        <w:rPr>
          <w:rFonts w:hint="eastAsia" w:ascii="宋体" w:hAnsi="宋体" w:eastAsia="宋体" w:cs="宋体"/>
          <w:sz w:val="24"/>
          <w:szCs w:val="24"/>
          <w:lang w:eastAsia="zh-CN"/>
        </w:rPr>
      </w:pPr>
      <w:bookmarkStart w:id="221" w:name="bookmark44"/>
      <w:bookmarkEnd w:id="221"/>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5.3-1 </w:t>
      </w:r>
      <w:r>
        <w:rPr>
          <w:rFonts w:ascii="宋体" w:hAnsi="宋体" w:eastAsia="宋体" w:cs="宋体"/>
          <w:spacing w:val="-2"/>
          <w:sz w:val="24"/>
          <w:szCs w:val="24"/>
          <w:lang w:eastAsia="zh-CN"/>
        </w:rPr>
        <w:t>排洪系统单元安全检查表</w:t>
      </w:r>
    </w:p>
    <w:p w14:paraId="05FD3E3B">
      <w:pPr>
        <w:spacing w:line="360" w:lineRule="auto"/>
        <w:outlineLvl w:val="2"/>
        <w:rPr>
          <w:rFonts w:hint="eastAsia" w:ascii="宋体" w:hAnsi="宋体" w:eastAsia="宋体" w:cs="宋体"/>
          <w:sz w:val="28"/>
          <w:szCs w:val="28"/>
        </w:rPr>
      </w:pPr>
      <w:bookmarkStart w:id="222" w:name="_Toc15287"/>
      <w:bookmarkStart w:id="223" w:name="_Toc16231"/>
      <w:bookmarkStart w:id="224" w:name="_Toc26685"/>
      <w:r>
        <w:rPr>
          <w:rFonts w:ascii="Times New Roman" w:hAnsi="Times New Roman" w:eastAsia="Times New Roman" w:cs="Times New Roman"/>
          <w:b/>
          <w:bCs/>
          <w:spacing w:val="-3"/>
          <w:sz w:val="28"/>
          <w:szCs w:val="28"/>
        </w:rPr>
        <w:t xml:space="preserve">5.3.2 </w:t>
      </w:r>
      <w:r>
        <w:rPr>
          <w:rFonts w:ascii="宋体" w:hAnsi="宋体" w:eastAsia="宋体" w:cs="宋体"/>
          <w:b/>
          <w:bCs/>
          <w:spacing w:val="-3"/>
          <w:sz w:val="28"/>
          <w:szCs w:val="28"/>
        </w:rPr>
        <w:t>排洪能力校核计算</w:t>
      </w:r>
      <w:bookmarkEnd w:id="222"/>
      <w:bookmarkEnd w:id="223"/>
      <w:bookmarkEnd w:id="224"/>
    </w:p>
    <w:p w14:paraId="5F491D92">
      <w:pPr>
        <w:keepNext w:val="0"/>
        <w:keepLines w:val="0"/>
        <w:pageBreakBefore w:val="0"/>
        <w:widowControl/>
        <w:kinsoku w:val="0"/>
        <w:wordWrap/>
        <w:overflowPunct w:val="0"/>
        <w:topLinePunct/>
        <w:autoSpaceDE w:val="0"/>
        <w:autoSpaceDN/>
        <w:bidi w:val="0"/>
        <w:adjustRightInd w:val="0"/>
        <w:snapToGrid w:val="0"/>
        <w:spacing w:line="360" w:lineRule="auto"/>
        <w:ind w:firstLine="568" w:firstLineChars="200"/>
        <w:textAlignment w:val="baseline"/>
        <w:rPr>
          <w:rFonts w:hint="default" w:ascii="Times New Roman" w:hAnsi="Times New Roman" w:eastAsia="宋体" w:cs="Times New Roman"/>
          <w:sz w:val="28"/>
          <w:szCs w:val="28"/>
          <w:lang w:eastAsia="zh-CN"/>
        </w:rPr>
      </w:pPr>
      <w:r>
        <w:rPr>
          <w:rFonts w:hint="default" w:ascii="Times New Roman" w:hAnsi="Times New Roman" w:eastAsia="宋体" w:cs="Times New Roman"/>
          <w:spacing w:val="2"/>
          <w:sz w:val="28"/>
          <w:szCs w:val="28"/>
          <w:lang w:val="en-US" w:eastAsia="zh-CN"/>
        </w:rPr>
        <w:t>该</w:t>
      </w:r>
      <w:r>
        <w:rPr>
          <w:rFonts w:hint="default" w:ascii="Times New Roman" w:hAnsi="Times New Roman" w:eastAsia="宋体" w:cs="Times New Roman"/>
          <w:spacing w:val="2"/>
          <w:sz w:val="28"/>
          <w:szCs w:val="28"/>
          <w:lang w:eastAsia="zh-CN"/>
        </w:rPr>
        <w:t>尾矿库排洪能力校核计算参考《凤城市添合矿业有限公司尾矿库调洪演算</w:t>
      </w:r>
      <w:r>
        <w:rPr>
          <w:rFonts w:hint="default" w:ascii="Times New Roman" w:hAnsi="Times New Roman" w:eastAsia="宋体" w:cs="Times New Roman"/>
          <w:spacing w:val="2"/>
          <w:sz w:val="28"/>
          <w:szCs w:val="28"/>
          <w:lang w:val="en-US" w:eastAsia="zh-CN"/>
        </w:rPr>
        <w:t>（2025年度）》</w:t>
      </w:r>
      <w:r>
        <w:rPr>
          <w:rFonts w:hint="default" w:ascii="Times New Roman" w:hAnsi="Times New Roman" w:eastAsia="宋体" w:cs="Times New Roman"/>
          <w:spacing w:val="2"/>
          <w:sz w:val="28"/>
          <w:szCs w:val="28"/>
          <w:lang w:val="zh-CN" w:eastAsia="zh-CN"/>
        </w:rPr>
        <w:t>（</w:t>
      </w:r>
      <w:r>
        <w:rPr>
          <w:rFonts w:hint="default" w:ascii="Times New Roman" w:hAnsi="Times New Roman" w:eastAsia="宋体" w:cs="Times New Roman"/>
          <w:spacing w:val="2"/>
          <w:sz w:val="28"/>
          <w:szCs w:val="28"/>
          <w:lang w:eastAsia="zh-CN"/>
        </w:rPr>
        <w:t>辽宁知骏工程技术有限公司，2025年</w:t>
      </w:r>
      <w:r>
        <w:rPr>
          <w:rFonts w:hint="default" w:ascii="Times New Roman" w:hAnsi="Times New Roman" w:eastAsia="宋体" w:cs="Times New Roman"/>
          <w:spacing w:val="2"/>
          <w:sz w:val="28"/>
          <w:szCs w:val="28"/>
          <w:lang w:val="en-US" w:eastAsia="zh-CN"/>
        </w:rPr>
        <w:t>3</w:t>
      </w:r>
      <w:r>
        <w:rPr>
          <w:rFonts w:hint="default" w:ascii="Times New Roman" w:hAnsi="Times New Roman" w:eastAsia="宋体" w:cs="Times New Roman"/>
          <w:spacing w:val="2"/>
          <w:sz w:val="28"/>
          <w:szCs w:val="28"/>
          <w:lang w:eastAsia="zh-CN"/>
        </w:rPr>
        <w:t>月）。</w:t>
      </w:r>
    </w:p>
    <w:p w14:paraId="13005677">
      <w:pPr>
        <w:spacing w:line="360" w:lineRule="auto"/>
        <w:outlineLvl w:val="3"/>
        <w:rPr>
          <w:rFonts w:hint="eastAsia" w:ascii="宋体" w:hAnsi="宋体" w:eastAsia="宋体" w:cs="宋体"/>
          <w:sz w:val="28"/>
          <w:szCs w:val="28"/>
          <w:lang w:eastAsia="zh-CN"/>
        </w:rPr>
      </w:pPr>
      <w:r>
        <w:fldChar w:fldCharType="begin"/>
      </w:r>
      <w:r>
        <w:instrText xml:space="preserve"> HYPERLINK "5.3.2.1" </w:instrText>
      </w:r>
      <w:r>
        <w:fldChar w:fldCharType="separate"/>
      </w:r>
      <w:r>
        <w:rPr>
          <w:rFonts w:ascii="Times New Roman" w:hAnsi="Times New Roman" w:eastAsia="Times New Roman" w:cs="Times New Roman"/>
          <w:spacing w:val="-2"/>
          <w:sz w:val="28"/>
          <w:szCs w:val="28"/>
          <w:lang w:eastAsia="zh-CN"/>
        </w:rPr>
        <w:t>5.3.2.1</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宋体" w:hAnsi="宋体" w:eastAsia="宋体" w:cs="宋体"/>
          <w:spacing w:val="-2"/>
          <w:sz w:val="28"/>
          <w:szCs w:val="28"/>
          <w:lang w:eastAsia="zh-CN"/>
        </w:rPr>
        <w:t>尾矿库防洪标准确定</w:t>
      </w:r>
    </w:p>
    <w:p w14:paraId="73CDF758">
      <w:pPr>
        <w:spacing w:line="360" w:lineRule="auto"/>
        <w:outlineLvl w:val="2"/>
        <w:rPr>
          <w:rFonts w:hint="eastAsia" w:ascii="宋体" w:hAnsi="宋体" w:eastAsia="宋体" w:cs="宋体"/>
          <w:b/>
          <w:bCs/>
          <w:sz w:val="28"/>
          <w:szCs w:val="28"/>
          <w:lang w:eastAsia="zh-CN"/>
        </w:rPr>
      </w:pPr>
      <w:bookmarkStart w:id="225" w:name="_Toc15123"/>
      <w:bookmarkStart w:id="226" w:name="_Toc13251"/>
      <w:bookmarkStart w:id="227" w:name="_Toc30676"/>
      <w:r>
        <w:rPr>
          <w:rFonts w:ascii="Times New Roman" w:hAnsi="Times New Roman" w:eastAsia="Times New Roman" w:cs="Times New Roman"/>
          <w:b/>
          <w:bCs/>
          <w:spacing w:val="-3"/>
          <w:sz w:val="28"/>
          <w:szCs w:val="28"/>
          <w:lang w:eastAsia="zh-CN"/>
        </w:rPr>
        <w:t>5.3.</w:t>
      </w:r>
      <w:r>
        <w:rPr>
          <w:rFonts w:hint="eastAsia" w:ascii="Times New Roman" w:hAnsi="Times New Roman" w:eastAsia="宋体" w:cs="Times New Roman"/>
          <w:b/>
          <w:bCs/>
          <w:spacing w:val="-3"/>
          <w:sz w:val="28"/>
          <w:szCs w:val="28"/>
          <w:lang w:eastAsia="zh-CN"/>
        </w:rPr>
        <w:t>4</w:t>
      </w:r>
      <w:r>
        <w:rPr>
          <w:rFonts w:ascii="Times New Roman" w:hAnsi="Times New Roman" w:eastAsia="Times New Roman" w:cs="Times New Roman"/>
          <w:b/>
          <w:bCs/>
          <w:spacing w:val="-3"/>
          <w:sz w:val="28"/>
          <w:szCs w:val="28"/>
          <w:lang w:eastAsia="zh-CN"/>
        </w:rPr>
        <w:t xml:space="preserve"> </w:t>
      </w:r>
      <w:r>
        <w:rPr>
          <w:rFonts w:ascii="宋体" w:hAnsi="宋体" w:eastAsia="宋体" w:cs="宋体"/>
          <w:b/>
          <w:bCs/>
          <w:spacing w:val="-3"/>
          <w:sz w:val="28"/>
          <w:szCs w:val="28"/>
          <w:lang w:eastAsia="zh-CN"/>
        </w:rPr>
        <w:t>评价单元小结</w:t>
      </w:r>
      <w:bookmarkEnd w:id="225"/>
      <w:bookmarkEnd w:id="226"/>
      <w:bookmarkEnd w:id="227"/>
    </w:p>
    <w:p w14:paraId="3F96E93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评价组通过查阅相关报告及现场踏勘分析，对排洪系统单元进行定性、</w:t>
      </w:r>
      <w:r>
        <w:rPr>
          <w:rFonts w:ascii="宋体" w:hAnsi="宋体" w:eastAsia="宋体" w:cs="宋体"/>
          <w:spacing w:val="6"/>
          <w:sz w:val="28"/>
          <w:szCs w:val="28"/>
          <w:lang w:eastAsia="zh-CN"/>
        </w:rPr>
        <w:t>定量评价：该尾矿库排洪系统结构完好，断面尺寸符合设计要求，排洪构筑物运行正常，无淤堵、破损、剥蚀等现象。尾矿库现状的防洪能力均符</w:t>
      </w:r>
      <w:r>
        <w:rPr>
          <w:rFonts w:ascii="宋体" w:hAnsi="宋体" w:eastAsia="宋体" w:cs="宋体"/>
          <w:spacing w:val="7"/>
          <w:sz w:val="28"/>
          <w:szCs w:val="28"/>
          <w:lang w:eastAsia="zh-CN"/>
        </w:rPr>
        <w:t>合设计及规范要求。排洪系统符合有关安全</w:t>
      </w:r>
      <w:r>
        <w:rPr>
          <w:rFonts w:ascii="宋体" w:hAnsi="宋体" w:eastAsia="宋体" w:cs="宋体"/>
          <w:spacing w:val="6"/>
          <w:sz w:val="28"/>
          <w:szCs w:val="28"/>
          <w:lang w:eastAsia="zh-CN"/>
        </w:rPr>
        <w:t>生产法律法规、规章、规范性</w:t>
      </w:r>
      <w:r>
        <w:rPr>
          <w:rFonts w:ascii="宋体" w:hAnsi="宋体" w:eastAsia="宋体" w:cs="宋体"/>
          <w:spacing w:val="-1"/>
          <w:sz w:val="28"/>
          <w:szCs w:val="28"/>
          <w:lang w:eastAsia="zh-CN"/>
        </w:rPr>
        <w:t>文件和标准的规定，具备安全生产条件。</w:t>
      </w:r>
    </w:p>
    <w:p w14:paraId="1B7E0C19">
      <w:pPr>
        <w:spacing w:line="360" w:lineRule="auto"/>
        <w:jc w:val="center"/>
        <w:outlineLvl w:val="1"/>
        <w:rPr>
          <w:rFonts w:hint="eastAsia" w:ascii="黑体" w:hAnsi="黑体" w:eastAsia="黑体" w:cs="黑体"/>
          <w:sz w:val="30"/>
          <w:szCs w:val="30"/>
          <w:lang w:eastAsia="zh-CN"/>
        </w:rPr>
      </w:pPr>
      <w:bookmarkStart w:id="228" w:name="bookmark46"/>
      <w:bookmarkEnd w:id="228"/>
      <w:bookmarkStart w:id="229" w:name="_Toc9450"/>
      <w:bookmarkStart w:id="230" w:name="_Toc23590"/>
      <w:r>
        <w:rPr>
          <w:rFonts w:ascii="Times New Roman" w:hAnsi="Times New Roman" w:eastAsia="Times New Roman" w:cs="Times New Roman"/>
          <w:b/>
          <w:bCs/>
          <w:spacing w:val="-4"/>
          <w:sz w:val="30"/>
          <w:szCs w:val="30"/>
          <w:lang w:eastAsia="zh-CN"/>
        </w:rPr>
        <w:t xml:space="preserve">5.4 </w:t>
      </w:r>
      <w:r>
        <w:rPr>
          <w:rFonts w:ascii="黑体" w:hAnsi="黑体" w:eastAsia="黑体" w:cs="黑体"/>
          <w:b/>
          <w:bCs/>
          <w:spacing w:val="-4"/>
          <w:sz w:val="30"/>
          <w:szCs w:val="30"/>
          <w:lang w:eastAsia="zh-CN"/>
        </w:rPr>
        <w:t>安全监测设施单元</w:t>
      </w:r>
      <w:bookmarkEnd w:id="229"/>
      <w:bookmarkEnd w:id="230"/>
    </w:p>
    <w:p w14:paraId="4DA2CD22">
      <w:pPr>
        <w:spacing w:line="360" w:lineRule="auto"/>
        <w:outlineLvl w:val="2"/>
        <w:rPr>
          <w:rFonts w:hint="eastAsia" w:ascii="宋体" w:hAnsi="宋体" w:eastAsia="宋体" w:cs="宋体"/>
          <w:sz w:val="28"/>
          <w:szCs w:val="28"/>
          <w:lang w:eastAsia="zh-CN"/>
        </w:rPr>
      </w:pPr>
      <w:bookmarkStart w:id="231" w:name="_Toc28367"/>
      <w:bookmarkStart w:id="232" w:name="_Toc26452"/>
      <w:bookmarkStart w:id="233" w:name="_Toc29553"/>
      <w:r>
        <w:rPr>
          <w:rFonts w:ascii="Times New Roman" w:hAnsi="Times New Roman" w:eastAsia="Times New Roman" w:cs="Times New Roman"/>
          <w:b/>
          <w:bCs/>
          <w:spacing w:val="-3"/>
          <w:sz w:val="28"/>
          <w:szCs w:val="28"/>
          <w:lang w:eastAsia="zh-CN"/>
        </w:rPr>
        <w:t xml:space="preserve">5.4.1 </w:t>
      </w:r>
      <w:r>
        <w:rPr>
          <w:rFonts w:ascii="宋体" w:hAnsi="宋体" w:eastAsia="宋体" w:cs="宋体"/>
          <w:b/>
          <w:bCs/>
          <w:spacing w:val="-3"/>
          <w:sz w:val="28"/>
          <w:szCs w:val="28"/>
          <w:lang w:eastAsia="zh-CN"/>
        </w:rPr>
        <w:t>安全检查表法评价</w:t>
      </w:r>
      <w:bookmarkEnd w:id="231"/>
      <w:bookmarkEnd w:id="232"/>
      <w:bookmarkEnd w:id="233"/>
    </w:p>
    <w:p w14:paraId="79A47813">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法律法规、技术标准及</w:t>
      </w:r>
      <w:r>
        <w:rPr>
          <w:rFonts w:hint="eastAsia" w:ascii="宋体" w:hAnsi="宋体" w:eastAsia="宋体" w:cs="宋体"/>
          <w:spacing w:val="7"/>
          <w:sz w:val="28"/>
          <w:szCs w:val="28"/>
          <w:lang w:val="en-US" w:eastAsia="zh-CN"/>
        </w:rPr>
        <w:t>设计报告</w:t>
      </w:r>
      <w:r>
        <w:rPr>
          <w:rFonts w:ascii="宋体" w:hAnsi="宋体" w:eastAsia="宋体" w:cs="宋体"/>
          <w:spacing w:val="7"/>
          <w:sz w:val="28"/>
          <w:szCs w:val="28"/>
          <w:lang w:eastAsia="zh-CN"/>
        </w:rPr>
        <w:t>的相关规定，运用</w:t>
      </w:r>
      <w:r>
        <w:rPr>
          <w:rFonts w:ascii="宋体" w:hAnsi="宋体" w:eastAsia="宋体" w:cs="宋体"/>
          <w:spacing w:val="6"/>
          <w:sz w:val="28"/>
          <w:szCs w:val="28"/>
          <w:lang w:eastAsia="zh-CN"/>
        </w:rPr>
        <w:t>安全检查表的评价方法</w:t>
      </w:r>
      <w:r>
        <w:rPr>
          <w:rFonts w:ascii="宋体" w:hAnsi="宋体" w:eastAsia="宋体" w:cs="宋体"/>
          <w:spacing w:val="-1"/>
          <w:sz w:val="28"/>
          <w:szCs w:val="28"/>
          <w:lang w:eastAsia="zh-CN"/>
        </w:rPr>
        <w:t>对该尾矿库安全监测设施单元进行评价，详见表</w:t>
      </w:r>
      <w:r>
        <w:rPr>
          <w:rFonts w:ascii="Times New Roman" w:hAnsi="Times New Roman" w:eastAsia="Times New Roman" w:cs="Times New Roman"/>
          <w:spacing w:val="-1"/>
          <w:sz w:val="28"/>
          <w:szCs w:val="28"/>
          <w:lang w:eastAsia="zh-CN"/>
        </w:rPr>
        <w:t>5.4-1</w:t>
      </w:r>
      <w:r>
        <w:rPr>
          <w:rFonts w:ascii="宋体" w:hAnsi="宋体" w:eastAsia="宋体" w:cs="宋体"/>
          <w:spacing w:val="-1"/>
          <w:sz w:val="28"/>
          <w:szCs w:val="28"/>
          <w:lang w:eastAsia="zh-CN"/>
        </w:rPr>
        <w:t>。</w:t>
      </w:r>
    </w:p>
    <w:p w14:paraId="359F723B">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5.4-1 </w:t>
      </w:r>
      <w:r>
        <w:rPr>
          <w:rFonts w:ascii="宋体" w:hAnsi="宋体" w:eastAsia="宋体" w:cs="宋体"/>
          <w:spacing w:val="-2"/>
          <w:sz w:val="24"/>
          <w:szCs w:val="24"/>
          <w:lang w:eastAsia="zh-CN"/>
        </w:rPr>
        <w:t>安全监测设施单元安全检查表</w:t>
      </w:r>
    </w:p>
    <w:p w14:paraId="13748546">
      <w:pPr>
        <w:spacing w:line="360" w:lineRule="auto"/>
        <w:outlineLvl w:val="2"/>
        <w:rPr>
          <w:rFonts w:hint="eastAsia" w:ascii="宋体" w:hAnsi="宋体" w:eastAsia="宋体" w:cs="宋体"/>
          <w:sz w:val="28"/>
          <w:szCs w:val="28"/>
        </w:rPr>
      </w:pPr>
      <w:bookmarkStart w:id="234" w:name="_Toc31135"/>
      <w:bookmarkStart w:id="235" w:name="_Toc20808"/>
      <w:bookmarkStart w:id="236" w:name="_Toc32021"/>
      <w:r>
        <w:rPr>
          <w:rFonts w:ascii="Times New Roman" w:hAnsi="Times New Roman" w:eastAsia="Times New Roman" w:cs="Times New Roman"/>
          <w:b/>
          <w:bCs/>
          <w:spacing w:val="-3"/>
          <w:sz w:val="28"/>
          <w:szCs w:val="28"/>
        </w:rPr>
        <w:t xml:space="preserve">5.4.2 </w:t>
      </w:r>
      <w:r>
        <w:rPr>
          <w:rFonts w:ascii="宋体" w:hAnsi="宋体" w:eastAsia="宋体" w:cs="宋体"/>
          <w:b/>
          <w:bCs/>
          <w:spacing w:val="-3"/>
          <w:sz w:val="28"/>
          <w:szCs w:val="28"/>
        </w:rPr>
        <w:t>评价单元小结</w:t>
      </w:r>
      <w:bookmarkEnd w:id="234"/>
      <w:bookmarkEnd w:id="235"/>
      <w:bookmarkEnd w:id="236"/>
    </w:p>
    <w:p w14:paraId="7829832D">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评价组通过现场查阅监测记录及相关设计报告对安全监测设施单</w:t>
      </w:r>
      <w:r>
        <w:rPr>
          <w:rFonts w:ascii="宋体" w:hAnsi="宋体" w:eastAsia="宋体" w:cs="宋体"/>
          <w:spacing w:val="1"/>
          <w:sz w:val="28"/>
          <w:szCs w:val="28"/>
          <w:lang w:eastAsia="zh-CN"/>
        </w:rPr>
        <w:t>元进</w:t>
      </w:r>
      <w:r>
        <w:rPr>
          <w:rFonts w:ascii="宋体" w:hAnsi="宋体" w:eastAsia="宋体" w:cs="宋体"/>
          <w:spacing w:val="2"/>
          <w:sz w:val="28"/>
          <w:szCs w:val="28"/>
          <w:lang w:eastAsia="zh-CN"/>
        </w:rPr>
        <w:t>行定性评价：该尾矿库安全监测系统运行正常，监测设施无损</w:t>
      </w:r>
      <w:r>
        <w:rPr>
          <w:rFonts w:ascii="宋体" w:hAnsi="宋体" w:eastAsia="宋体" w:cs="宋体"/>
          <w:spacing w:val="1"/>
          <w:sz w:val="28"/>
          <w:szCs w:val="28"/>
          <w:lang w:eastAsia="zh-CN"/>
        </w:rPr>
        <w:t>坏，监测点</w:t>
      </w:r>
      <w:r>
        <w:rPr>
          <w:rFonts w:ascii="宋体" w:hAnsi="宋体" w:eastAsia="宋体" w:cs="宋体"/>
          <w:spacing w:val="2"/>
          <w:sz w:val="28"/>
          <w:szCs w:val="28"/>
          <w:lang w:eastAsia="zh-CN"/>
        </w:rPr>
        <w:t>布置、监测内容符合</w:t>
      </w:r>
      <w:r>
        <w:rPr>
          <w:rFonts w:hint="eastAsia" w:ascii="宋体" w:hAnsi="宋体" w:eastAsia="宋体" w:cs="宋体"/>
          <w:spacing w:val="2"/>
          <w:sz w:val="28"/>
          <w:szCs w:val="28"/>
          <w:lang w:val="en-US" w:eastAsia="zh-CN"/>
        </w:rPr>
        <w:t>在线监测系统</w:t>
      </w:r>
      <w:r>
        <w:rPr>
          <w:rFonts w:ascii="宋体" w:hAnsi="宋体" w:eastAsia="宋体" w:cs="宋体"/>
          <w:spacing w:val="2"/>
          <w:sz w:val="28"/>
          <w:szCs w:val="28"/>
          <w:lang w:eastAsia="zh-CN"/>
        </w:rPr>
        <w:t>设计及规范要求。坝体无突变现象，逐渐</w:t>
      </w:r>
      <w:r>
        <w:rPr>
          <w:rFonts w:ascii="宋体" w:hAnsi="宋体" w:eastAsia="宋体" w:cs="宋体"/>
          <w:spacing w:val="1"/>
          <w:sz w:val="28"/>
          <w:szCs w:val="28"/>
          <w:lang w:eastAsia="zh-CN"/>
        </w:rPr>
        <w:t>趋于稳定。</w:t>
      </w:r>
      <w:r>
        <w:rPr>
          <w:rFonts w:ascii="宋体" w:hAnsi="宋体" w:eastAsia="宋体" w:cs="宋体"/>
          <w:spacing w:val="2"/>
          <w:sz w:val="28"/>
          <w:szCs w:val="28"/>
          <w:lang w:eastAsia="zh-CN"/>
        </w:rPr>
        <w:t>安全监测设施符合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w:t>
      </w:r>
      <w:r>
        <w:rPr>
          <w:rFonts w:ascii="宋体" w:hAnsi="宋体" w:eastAsia="宋体" w:cs="宋体"/>
          <w:spacing w:val="1"/>
          <w:sz w:val="28"/>
          <w:szCs w:val="28"/>
          <w:lang w:eastAsia="zh-CN"/>
        </w:rPr>
        <w:t>件、标准及设计</w:t>
      </w:r>
      <w:r>
        <w:rPr>
          <w:rFonts w:ascii="宋体" w:hAnsi="宋体" w:eastAsia="宋体" w:cs="宋体"/>
          <w:spacing w:val="-1"/>
          <w:sz w:val="28"/>
          <w:szCs w:val="28"/>
          <w:lang w:eastAsia="zh-CN"/>
        </w:rPr>
        <w:t>的规定，具备安全生产条件。</w:t>
      </w:r>
    </w:p>
    <w:p w14:paraId="6B9A50C1">
      <w:pPr>
        <w:spacing w:line="360" w:lineRule="auto"/>
        <w:jc w:val="center"/>
        <w:outlineLvl w:val="1"/>
        <w:rPr>
          <w:rFonts w:hint="eastAsia" w:ascii="黑体" w:hAnsi="黑体" w:eastAsia="黑体" w:cs="黑体"/>
          <w:sz w:val="30"/>
          <w:szCs w:val="30"/>
          <w:lang w:eastAsia="zh-CN"/>
        </w:rPr>
      </w:pPr>
      <w:bookmarkStart w:id="237" w:name="bookmark48"/>
      <w:bookmarkEnd w:id="237"/>
      <w:bookmarkStart w:id="238" w:name="_Toc12014"/>
      <w:bookmarkStart w:id="239" w:name="_Toc11489"/>
      <w:r>
        <w:rPr>
          <w:rFonts w:ascii="Times New Roman" w:hAnsi="Times New Roman" w:eastAsia="Times New Roman" w:cs="Times New Roman"/>
          <w:b/>
          <w:bCs/>
          <w:spacing w:val="-4"/>
          <w:sz w:val="30"/>
          <w:szCs w:val="30"/>
          <w:lang w:eastAsia="zh-CN"/>
        </w:rPr>
        <w:t xml:space="preserve">5.5 </w:t>
      </w:r>
      <w:r>
        <w:rPr>
          <w:rFonts w:ascii="黑体" w:hAnsi="黑体" w:eastAsia="黑体" w:cs="黑体"/>
          <w:b/>
          <w:bCs/>
          <w:spacing w:val="-4"/>
          <w:sz w:val="30"/>
          <w:szCs w:val="30"/>
          <w:lang w:eastAsia="zh-CN"/>
        </w:rPr>
        <w:t>辅助设施单元</w:t>
      </w:r>
      <w:bookmarkEnd w:id="238"/>
      <w:bookmarkEnd w:id="239"/>
    </w:p>
    <w:p w14:paraId="1A18DC40">
      <w:pPr>
        <w:spacing w:line="360" w:lineRule="auto"/>
        <w:outlineLvl w:val="2"/>
        <w:rPr>
          <w:rFonts w:hint="eastAsia" w:ascii="宋体" w:hAnsi="宋体" w:eastAsia="宋体" w:cs="宋体"/>
          <w:sz w:val="28"/>
          <w:szCs w:val="28"/>
          <w:lang w:eastAsia="zh-CN"/>
        </w:rPr>
      </w:pPr>
      <w:bookmarkStart w:id="240" w:name="_Toc30789"/>
      <w:bookmarkStart w:id="241" w:name="_Toc25028"/>
      <w:bookmarkStart w:id="242" w:name="_Toc23016"/>
      <w:r>
        <w:rPr>
          <w:rFonts w:ascii="Times New Roman" w:hAnsi="Times New Roman" w:eastAsia="Times New Roman" w:cs="Times New Roman"/>
          <w:b/>
          <w:bCs/>
          <w:spacing w:val="-3"/>
          <w:sz w:val="28"/>
          <w:szCs w:val="28"/>
          <w:lang w:eastAsia="zh-CN"/>
        </w:rPr>
        <w:t xml:space="preserve">5.5.1 </w:t>
      </w:r>
      <w:r>
        <w:rPr>
          <w:rFonts w:ascii="宋体" w:hAnsi="宋体" w:eastAsia="宋体" w:cs="宋体"/>
          <w:b/>
          <w:bCs/>
          <w:spacing w:val="-3"/>
          <w:sz w:val="28"/>
          <w:szCs w:val="28"/>
          <w:lang w:eastAsia="zh-CN"/>
        </w:rPr>
        <w:t>安全检查表法评价</w:t>
      </w:r>
      <w:bookmarkEnd w:id="240"/>
      <w:bookmarkEnd w:id="241"/>
      <w:bookmarkEnd w:id="242"/>
    </w:p>
    <w:p w14:paraId="46C63886">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，借鉴同类尾矿库经验，</w:t>
      </w:r>
      <w:r>
        <w:rPr>
          <w:rFonts w:ascii="宋体" w:hAnsi="宋体" w:eastAsia="宋体" w:cs="宋体"/>
          <w:spacing w:val="16"/>
          <w:sz w:val="28"/>
          <w:szCs w:val="28"/>
          <w:lang w:eastAsia="zh-CN"/>
        </w:rPr>
        <w:t>运用安全检查表的评价方法对该尾矿库辅助设施单元进行</w:t>
      </w:r>
      <w:r>
        <w:rPr>
          <w:rFonts w:ascii="宋体" w:hAnsi="宋体" w:eastAsia="宋体" w:cs="宋体"/>
          <w:spacing w:val="15"/>
          <w:sz w:val="28"/>
          <w:szCs w:val="28"/>
          <w:lang w:eastAsia="zh-CN"/>
        </w:rPr>
        <w:t>评价，详见表</w:t>
      </w:r>
      <w:r>
        <w:rPr>
          <w:rFonts w:ascii="Times New Roman" w:hAnsi="Times New Roman" w:eastAsia="Times New Roman" w:cs="Times New Roman"/>
          <w:spacing w:val="-3"/>
          <w:sz w:val="28"/>
          <w:szCs w:val="28"/>
          <w:lang w:eastAsia="zh-CN"/>
        </w:rPr>
        <w:t>5.5-1</w:t>
      </w:r>
      <w:r>
        <w:rPr>
          <w:rFonts w:ascii="宋体" w:hAnsi="宋体" w:eastAsia="宋体" w:cs="宋体"/>
          <w:spacing w:val="-3"/>
          <w:sz w:val="28"/>
          <w:szCs w:val="28"/>
          <w:lang w:eastAsia="zh-CN"/>
        </w:rPr>
        <w:t>。</w:t>
      </w:r>
    </w:p>
    <w:p w14:paraId="3D734C24">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5.5-1 </w:t>
      </w:r>
      <w:r>
        <w:rPr>
          <w:rFonts w:ascii="宋体" w:hAnsi="宋体" w:eastAsia="宋体" w:cs="宋体"/>
          <w:spacing w:val="-2"/>
          <w:sz w:val="24"/>
          <w:szCs w:val="24"/>
          <w:lang w:eastAsia="zh-CN"/>
        </w:rPr>
        <w:t>辅助设施单元安全检查表</w:t>
      </w:r>
    </w:p>
    <w:p w14:paraId="34BCBD4F">
      <w:pPr>
        <w:spacing w:line="360" w:lineRule="auto"/>
        <w:outlineLvl w:val="2"/>
        <w:rPr>
          <w:rFonts w:hint="eastAsia" w:ascii="宋体" w:hAnsi="宋体" w:eastAsia="宋体" w:cs="宋体"/>
          <w:sz w:val="28"/>
          <w:szCs w:val="28"/>
        </w:rPr>
      </w:pPr>
      <w:bookmarkStart w:id="243" w:name="_Toc22781"/>
      <w:bookmarkStart w:id="244" w:name="_Toc11985"/>
      <w:bookmarkStart w:id="245" w:name="_Toc4628"/>
      <w:r>
        <w:rPr>
          <w:rFonts w:ascii="Times New Roman" w:hAnsi="Times New Roman" w:eastAsia="Times New Roman" w:cs="Times New Roman"/>
          <w:b/>
          <w:bCs/>
          <w:spacing w:val="-3"/>
          <w:sz w:val="28"/>
          <w:szCs w:val="28"/>
        </w:rPr>
        <w:t xml:space="preserve">5.5.2 </w:t>
      </w:r>
      <w:r>
        <w:rPr>
          <w:rFonts w:ascii="宋体" w:hAnsi="宋体" w:eastAsia="宋体" w:cs="宋体"/>
          <w:b/>
          <w:bCs/>
          <w:spacing w:val="-3"/>
          <w:sz w:val="28"/>
          <w:szCs w:val="28"/>
        </w:rPr>
        <w:t>评价单元小结</w:t>
      </w:r>
      <w:bookmarkEnd w:id="243"/>
      <w:bookmarkEnd w:id="244"/>
      <w:bookmarkEnd w:id="245"/>
    </w:p>
    <w:p w14:paraId="47B74934">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尾矿库建设上坝道路、照明、通讯、值班室等辅助设施，各辅助设施安全有效，符合规范及设计要求，</w:t>
      </w:r>
      <w:r>
        <w:rPr>
          <w:rFonts w:ascii="宋体" w:hAnsi="宋体" w:eastAsia="宋体" w:cs="宋体"/>
          <w:spacing w:val="1"/>
          <w:sz w:val="28"/>
          <w:szCs w:val="28"/>
          <w:lang w:eastAsia="zh-CN"/>
        </w:rPr>
        <w:t>具备安全生</w:t>
      </w:r>
      <w:r>
        <w:rPr>
          <w:rFonts w:ascii="宋体" w:hAnsi="宋体" w:eastAsia="宋体" w:cs="宋体"/>
          <w:spacing w:val="-3"/>
          <w:sz w:val="28"/>
          <w:szCs w:val="28"/>
          <w:lang w:eastAsia="zh-CN"/>
        </w:rPr>
        <w:t>产条件。</w:t>
      </w:r>
    </w:p>
    <w:p w14:paraId="5D8030FF">
      <w:pPr>
        <w:spacing w:line="360" w:lineRule="auto"/>
        <w:jc w:val="center"/>
        <w:outlineLvl w:val="1"/>
        <w:rPr>
          <w:rFonts w:hint="eastAsia" w:ascii="黑体" w:hAnsi="黑体" w:eastAsia="黑体" w:cs="黑体"/>
          <w:sz w:val="30"/>
          <w:szCs w:val="30"/>
          <w:lang w:eastAsia="zh-CN"/>
        </w:rPr>
      </w:pPr>
      <w:bookmarkStart w:id="246" w:name="bookmark50"/>
      <w:bookmarkEnd w:id="246"/>
      <w:bookmarkStart w:id="247" w:name="_Toc2505"/>
      <w:bookmarkStart w:id="248" w:name="_Toc225"/>
      <w:r>
        <w:rPr>
          <w:rFonts w:ascii="Times New Roman" w:hAnsi="Times New Roman" w:eastAsia="Times New Roman" w:cs="Times New Roman"/>
          <w:b/>
          <w:bCs/>
          <w:spacing w:val="-4"/>
          <w:sz w:val="30"/>
          <w:szCs w:val="30"/>
          <w:lang w:eastAsia="zh-CN"/>
        </w:rPr>
        <w:t xml:space="preserve">5.6 </w:t>
      </w:r>
      <w:r>
        <w:rPr>
          <w:rFonts w:ascii="黑体" w:hAnsi="黑体" w:eastAsia="黑体" w:cs="黑体"/>
          <w:b/>
          <w:bCs/>
          <w:spacing w:val="-4"/>
          <w:sz w:val="30"/>
          <w:szCs w:val="30"/>
          <w:lang w:eastAsia="zh-CN"/>
        </w:rPr>
        <w:t>安全管理单元</w:t>
      </w:r>
      <w:bookmarkEnd w:id="247"/>
      <w:bookmarkEnd w:id="248"/>
    </w:p>
    <w:p w14:paraId="19E49010">
      <w:pPr>
        <w:spacing w:line="360" w:lineRule="auto"/>
        <w:outlineLvl w:val="2"/>
        <w:rPr>
          <w:rFonts w:hint="eastAsia" w:ascii="宋体" w:hAnsi="宋体" w:eastAsia="宋体" w:cs="宋体"/>
          <w:sz w:val="28"/>
          <w:szCs w:val="28"/>
          <w:lang w:eastAsia="zh-CN"/>
        </w:rPr>
      </w:pPr>
      <w:bookmarkStart w:id="249" w:name="_Toc26289"/>
      <w:bookmarkStart w:id="250" w:name="_Toc25278"/>
      <w:bookmarkStart w:id="251" w:name="_Toc17625"/>
      <w:r>
        <w:rPr>
          <w:rFonts w:ascii="Times New Roman" w:hAnsi="Times New Roman" w:eastAsia="Times New Roman" w:cs="Times New Roman"/>
          <w:b/>
          <w:bCs/>
          <w:spacing w:val="-3"/>
          <w:sz w:val="28"/>
          <w:szCs w:val="28"/>
          <w:lang w:eastAsia="zh-CN"/>
        </w:rPr>
        <w:t xml:space="preserve">5.6.1 </w:t>
      </w:r>
      <w:r>
        <w:rPr>
          <w:rFonts w:ascii="宋体" w:hAnsi="宋体" w:eastAsia="宋体" w:cs="宋体"/>
          <w:b/>
          <w:bCs/>
          <w:spacing w:val="-3"/>
          <w:sz w:val="28"/>
          <w:szCs w:val="28"/>
          <w:lang w:eastAsia="zh-CN"/>
        </w:rPr>
        <w:t>安全检查表法评价</w:t>
      </w:r>
      <w:bookmarkEnd w:id="249"/>
      <w:bookmarkEnd w:id="250"/>
      <w:bookmarkEnd w:id="251"/>
    </w:p>
    <w:p w14:paraId="70777F17">
      <w:pPr>
        <w:spacing w:line="360" w:lineRule="auto"/>
        <w:ind w:firstLine="588" w:firstLineChars="200"/>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法律法规、技术标准规定，借鉴同类尾矿库经验，运用安全检查表的评价方法对该尾矿库安全管</w:t>
      </w:r>
      <w:r>
        <w:rPr>
          <w:rFonts w:ascii="宋体" w:hAnsi="宋体" w:eastAsia="宋体" w:cs="宋体"/>
          <w:spacing w:val="6"/>
          <w:sz w:val="28"/>
          <w:szCs w:val="28"/>
          <w:lang w:eastAsia="zh-CN"/>
        </w:rPr>
        <w:t>理单元进行符合性评价，详</w:t>
      </w:r>
      <w:r>
        <w:rPr>
          <w:rFonts w:ascii="宋体" w:hAnsi="宋体" w:eastAsia="宋体" w:cs="宋体"/>
          <w:spacing w:val="-3"/>
          <w:sz w:val="28"/>
          <w:szCs w:val="28"/>
          <w:lang w:eastAsia="zh-CN"/>
        </w:rPr>
        <w:t>见表</w:t>
      </w:r>
      <w:r>
        <w:rPr>
          <w:rFonts w:ascii="Times New Roman" w:hAnsi="Times New Roman" w:eastAsia="Times New Roman" w:cs="Times New Roman"/>
          <w:spacing w:val="-3"/>
          <w:sz w:val="28"/>
          <w:szCs w:val="28"/>
          <w:lang w:eastAsia="zh-CN"/>
        </w:rPr>
        <w:t>5.6-1</w:t>
      </w:r>
      <w:r>
        <w:rPr>
          <w:rFonts w:ascii="宋体" w:hAnsi="宋体" w:eastAsia="宋体" w:cs="宋体"/>
          <w:spacing w:val="-3"/>
          <w:sz w:val="28"/>
          <w:szCs w:val="28"/>
          <w:lang w:eastAsia="zh-CN"/>
        </w:rPr>
        <w:t>。</w:t>
      </w:r>
    </w:p>
    <w:p w14:paraId="335387EC">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5.6-1 </w:t>
      </w:r>
      <w:r>
        <w:rPr>
          <w:rFonts w:ascii="宋体" w:hAnsi="宋体" w:eastAsia="宋体" w:cs="宋体"/>
          <w:spacing w:val="-2"/>
          <w:sz w:val="24"/>
          <w:szCs w:val="24"/>
          <w:lang w:eastAsia="zh-CN"/>
        </w:rPr>
        <w:t>安全管理单元安全检查表</w:t>
      </w:r>
    </w:p>
    <w:p w14:paraId="23771E9C">
      <w:pPr>
        <w:spacing w:line="360" w:lineRule="auto"/>
        <w:outlineLvl w:val="2"/>
        <w:rPr>
          <w:rFonts w:hint="eastAsia" w:ascii="宋体" w:hAnsi="宋体" w:eastAsia="宋体" w:cs="宋体"/>
          <w:sz w:val="28"/>
          <w:szCs w:val="28"/>
        </w:rPr>
      </w:pPr>
      <w:bookmarkStart w:id="252" w:name="_Toc30070"/>
      <w:bookmarkStart w:id="253" w:name="_Toc19018"/>
      <w:bookmarkStart w:id="254" w:name="_Toc10601"/>
      <w:r>
        <w:rPr>
          <w:rFonts w:ascii="Times New Roman" w:hAnsi="Times New Roman" w:eastAsia="Times New Roman" w:cs="Times New Roman"/>
          <w:b/>
          <w:bCs/>
          <w:spacing w:val="-3"/>
          <w:sz w:val="28"/>
          <w:szCs w:val="28"/>
        </w:rPr>
        <w:t xml:space="preserve">5.6.2 </w:t>
      </w:r>
      <w:r>
        <w:rPr>
          <w:rFonts w:ascii="宋体" w:hAnsi="宋体" w:eastAsia="宋体" w:cs="宋体"/>
          <w:b/>
          <w:bCs/>
          <w:spacing w:val="-3"/>
          <w:sz w:val="28"/>
          <w:szCs w:val="28"/>
        </w:rPr>
        <w:t>评价单元小结</w:t>
      </w:r>
      <w:bookmarkEnd w:id="252"/>
      <w:bookmarkEnd w:id="253"/>
      <w:bookmarkEnd w:id="254"/>
    </w:p>
    <w:p w14:paraId="2BDDFB20">
      <w:pPr>
        <w:spacing w:line="360" w:lineRule="auto"/>
        <w:ind w:firstLine="56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凤城市添合矿业有限公司建立</w:t>
      </w:r>
      <w:r>
        <w:rPr>
          <w:rFonts w:hint="eastAsia" w:ascii="宋体" w:hAnsi="宋体" w:eastAsia="宋体" w:cs="宋体"/>
          <w:spacing w:val="-2"/>
          <w:sz w:val="28"/>
          <w:szCs w:val="28"/>
          <w:lang w:val="en-US" w:eastAsia="zh-CN"/>
        </w:rPr>
        <w:t>安全生产管理机构</w:t>
      </w:r>
      <w:r>
        <w:rPr>
          <w:rFonts w:hint="eastAsia" w:ascii="宋体" w:hAnsi="宋体" w:eastAsia="宋体" w:cs="宋体"/>
          <w:spacing w:val="-2"/>
          <w:sz w:val="28"/>
          <w:szCs w:val="28"/>
          <w:lang w:eastAsia="zh-CN"/>
        </w:rPr>
        <w:t>，</w:t>
      </w:r>
      <w:r>
        <w:rPr>
          <w:rFonts w:ascii="宋体" w:hAnsi="宋体" w:eastAsia="宋体" w:cs="宋体"/>
          <w:spacing w:val="-2"/>
          <w:sz w:val="28"/>
          <w:szCs w:val="28"/>
          <w:lang w:eastAsia="zh-CN"/>
        </w:rPr>
        <w:t>配备了尾矿库专职安全</w:t>
      </w:r>
      <w:r>
        <w:rPr>
          <w:rFonts w:hint="eastAsia" w:ascii="宋体" w:hAnsi="宋体" w:eastAsia="宋体" w:cs="宋体"/>
          <w:spacing w:val="-2"/>
          <w:sz w:val="28"/>
          <w:szCs w:val="28"/>
          <w:lang w:val="en-US" w:eastAsia="zh-CN"/>
        </w:rPr>
        <w:t>生产</w:t>
      </w:r>
      <w:r>
        <w:rPr>
          <w:rFonts w:ascii="宋体" w:hAnsi="宋体" w:eastAsia="宋体" w:cs="宋体"/>
          <w:spacing w:val="-2"/>
          <w:sz w:val="28"/>
          <w:szCs w:val="28"/>
          <w:lang w:eastAsia="zh-CN"/>
        </w:rPr>
        <w:t>管理人员；建立、</w:t>
      </w:r>
      <w:r>
        <w:rPr>
          <w:rFonts w:ascii="宋体" w:hAnsi="宋体" w:eastAsia="宋体" w:cs="宋体"/>
          <w:spacing w:val="7"/>
          <w:sz w:val="28"/>
          <w:szCs w:val="28"/>
          <w:lang w:eastAsia="zh-CN"/>
        </w:rPr>
        <w:t>健全全员安全生产责任制、安全生产</w:t>
      </w:r>
      <w:r>
        <w:rPr>
          <w:rFonts w:hint="eastAsia" w:ascii="宋体" w:hAnsi="宋体" w:eastAsia="宋体" w:cs="宋体"/>
          <w:spacing w:val="7"/>
          <w:sz w:val="28"/>
          <w:szCs w:val="28"/>
          <w:lang w:eastAsia="zh-CN"/>
        </w:rPr>
        <w:t>规章</w:t>
      </w:r>
      <w:r>
        <w:rPr>
          <w:rFonts w:ascii="宋体" w:hAnsi="宋体" w:eastAsia="宋体" w:cs="宋体"/>
          <w:spacing w:val="7"/>
          <w:sz w:val="28"/>
          <w:szCs w:val="28"/>
          <w:lang w:eastAsia="zh-CN"/>
        </w:rPr>
        <w:t>制度和</w:t>
      </w:r>
      <w:r>
        <w:rPr>
          <w:rFonts w:ascii="宋体" w:hAnsi="宋体" w:eastAsia="宋体" w:cs="宋体"/>
          <w:spacing w:val="6"/>
          <w:sz w:val="28"/>
          <w:szCs w:val="28"/>
          <w:lang w:eastAsia="zh-CN"/>
        </w:rPr>
        <w:t>岗位安全操作规程；编制</w:t>
      </w:r>
      <w:r>
        <w:rPr>
          <w:rFonts w:ascii="宋体" w:hAnsi="宋体" w:eastAsia="宋体" w:cs="宋体"/>
          <w:spacing w:val="7"/>
          <w:sz w:val="28"/>
          <w:szCs w:val="28"/>
          <w:lang w:eastAsia="zh-CN"/>
        </w:rPr>
        <w:t>了生产安全事故应急预案并在应急管理部门备</w:t>
      </w:r>
      <w:r>
        <w:rPr>
          <w:rFonts w:ascii="宋体" w:hAnsi="宋体" w:eastAsia="宋体" w:cs="宋体"/>
          <w:spacing w:val="6"/>
          <w:sz w:val="28"/>
          <w:szCs w:val="28"/>
          <w:lang w:eastAsia="zh-CN"/>
        </w:rPr>
        <w:t>案，定期组织应急演练；职</w:t>
      </w:r>
      <w:r>
        <w:rPr>
          <w:rFonts w:ascii="宋体" w:hAnsi="宋体" w:eastAsia="宋体" w:cs="宋体"/>
          <w:spacing w:val="7"/>
          <w:sz w:val="28"/>
          <w:szCs w:val="28"/>
          <w:lang w:eastAsia="zh-CN"/>
        </w:rPr>
        <w:t>工上岗前经过安全教育培训，尾矿库特种作业人</w:t>
      </w:r>
      <w:r>
        <w:rPr>
          <w:rFonts w:ascii="宋体" w:hAnsi="宋体" w:eastAsia="宋体" w:cs="宋体"/>
          <w:spacing w:val="6"/>
          <w:sz w:val="28"/>
          <w:szCs w:val="28"/>
          <w:lang w:eastAsia="zh-CN"/>
        </w:rPr>
        <w:t>员均持证上岗，安全管理</w:t>
      </w:r>
      <w:r>
        <w:rPr>
          <w:rFonts w:ascii="宋体" w:hAnsi="宋体" w:eastAsia="宋体" w:cs="宋体"/>
          <w:spacing w:val="7"/>
          <w:sz w:val="28"/>
          <w:szCs w:val="28"/>
          <w:lang w:eastAsia="zh-CN"/>
        </w:rPr>
        <w:t>人员</w:t>
      </w:r>
      <w:r>
        <w:rPr>
          <w:rFonts w:hint="eastAsia" w:ascii="宋体" w:hAnsi="宋体" w:eastAsia="宋体" w:cs="宋体"/>
          <w:spacing w:val="7"/>
          <w:sz w:val="28"/>
          <w:szCs w:val="28"/>
          <w:lang w:eastAsia="zh-CN"/>
        </w:rPr>
        <w:t>、</w:t>
      </w:r>
      <w:r>
        <w:rPr>
          <w:rFonts w:ascii="宋体" w:hAnsi="宋体" w:eastAsia="宋体" w:cs="宋体"/>
          <w:spacing w:val="7"/>
          <w:sz w:val="28"/>
          <w:szCs w:val="28"/>
          <w:lang w:eastAsia="zh-CN"/>
        </w:rPr>
        <w:t>技术人员</w:t>
      </w:r>
      <w:r>
        <w:rPr>
          <w:rFonts w:hint="eastAsia" w:ascii="宋体" w:hAnsi="宋体" w:eastAsia="宋体" w:cs="宋体"/>
          <w:spacing w:val="7"/>
          <w:sz w:val="28"/>
          <w:szCs w:val="28"/>
          <w:lang w:eastAsia="zh-CN"/>
        </w:rPr>
        <w:t>及注安人员</w:t>
      </w:r>
      <w:r>
        <w:rPr>
          <w:rFonts w:hint="eastAsia" w:ascii="宋体" w:hAnsi="宋体" w:eastAsia="宋体" w:cs="宋体"/>
          <w:spacing w:val="7"/>
          <w:sz w:val="28"/>
          <w:szCs w:val="28"/>
          <w:lang w:val="en-US" w:eastAsia="zh-CN"/>
        </w:rPr>
        <w:t>均</w:t>
      </w:r>
      <w:r>
        <w:rPr>
          <w:rFonts w:ascii="宋体" w:hAnsi="宋体" w:eastAsia="宋体" w:cs="宋体"/>
          <w:spacing w:val="7"/>
          <w:sz w:val="28"/>
          <w:szCs w:val="28"/>
          <w:lang w:eastAsia="zh-CN"/>
        </w:rPr>
        <w:t>持证上岗且具有丰富的实践经验</w:t>
      </w:r>
      <w:r>
        <w:rPr>
          <w:rFonts w:ascii="宋体" w:hAnsi="宋体" w:eastAsia="宋体" w:cs="宋体"/>
          <w:spacing w:val="6"/>
          <w:sz w:val="28"/>
          <w:szCs w:val="28"/>
          <w:lang w:eastAsia="zh-CN"/>
        </w:rPr>
        <w:t>；企业为从业人员缴纳了</w:t>
      </w:r>
      <w:r>
        <w:rPr>
          <w:rFonts w:hint="eastAsia" w:ascii="宋体" w:hAnsi="宋体" w:eastAsia="宋体" w:cs="宋体"/>
          <w:spacing w:val="6"/>
          <w:sz w:val="28"/>
          <w:szCs w:val="28"/>
          <w:lang w:val="en-US" w:eastAsia="zh-CN"/>
        </w:rPr>
        <w:t>工伤保险及</w:t>
      </w:r>
      <w:r>
        <w:rPr>
          <w:rFonts w:ascii="宋体" w:hAnsi="宋体" w:eastAsia="宋体" w:cs="宋体"/>
          <w:spacing w:val="6"/>
          <w:sz w:val="28"/>
          <w:szCs w:val="28"/>
          <w:lang w:eastAsia="zh-CN"/>
        </w:rPr>
        <w:t>安全生产责任险。安全生产管理体系比较健全，符合规范要求，具备安全</w:t>
      </w:r>
      <w:r>
        <w:rPr>
          <w:rFonts w:ascii="宋体" w:hAnsi="宋体" w:eastAsia="宋体" w:cs="宋体"/>
          <w:spacing w:val="-2"/>
          <w:sz w:val="28"/>
          <w:szCs w:val="28"/>
          <w:lang w:eastAsia="zh-CN"/>
        </w:rPr>
        <w:t>生产条件。</w:t>
      </w:r>
    </w:p>
    <w:p w14:paraId="7DF7B3CB">
      <w:pPr>
        <w:spacing w:line="360" w:lineRule="auto"/>
        <w:jc w:val="center"/>
        <w:outlineLvl w:val="1"/>
        <w:rPr>
          <w:rFonts w:hint="eastAsia" w:ascii="黑体" w:hAnsi="黑体" w:eastAsia="黑体" w:cs="黑体"/>
          <w:sz w:val="30"/>
          <w:szCs w:val="30"/>
          <w:lang w:eastAsia="zh-CN"/>
        </w:rPr>
      </w:pPr>
      <w:bookmarkStart w:id="255" w:name="bookmark52"/>
      <w:bookmarkEnd w:id="255"/>
      <w:bookmarkStart w:id="256" w:name="_Toc7503"/>
      <w:bookmarkStart w:id="257" w:name="_Toc4851"/>
      <w:r>
        <w:rPr>
          <w:rFonts w:ascii="Times New Roman" w:hAnsi="Times New Roman" w:eastAsia="Times New Roman" w:cs="Times New Roman"/>
          <w:b/>
          <w:bCs/>
          <w:spacing w:val="-4"/>
          <w:sz w:val="30"/>
          <w:szCs w:val="30"/>
          <w:lang w:eastAsia="zh-CN"/>
        </w:rPr>
        <w:t xml:space="preserve">5.7 </w:t>
      </w:r>
      <w:r>
        <w:rPr>
          <w:rFonts w:ascii="黑体" w:hAnsi="黑体" w:eastAsia="黑体" w:cs="黑体"/>
          <w:b/>
          <w:bCs/>
          <w:spacing w:val="-4"/>
          <w:sz w:val="30"/>
          <w:szCs w:val="30"/>
          <w:lang w:eastAsia="zh-CN"/>
        </w:rPr>
        <w:t>重大事故隐患判定单元</w:t>
      </w:r>
      <w:bookmarkEnd w:id="256"/>
      <w:bookmarkEnd w:id="257"/>
    </w:p>
    <w:p w14:paraId="22B9634A">
      <w:pPr>
        <w:spacing w:line="360" w:lineRule="auto"/>
        <w:outlineLvl w:val="2"/>
        <w:rPr>
          <w:rFonts w:hint="eastAsia" w:ascii="宋体" w:hAnsi="宋体" w:eastAsia="宋体" w:cs="宋体"/>
          <w:sz w:val="28"/>
          <w:szCs w:val="28"/>
          <w:lang w:eastAsia="zh-CN"/>
        </w:rPr>
      </w:pPr>
      <w:bookmarkStart w:id="258" w:name="_Toc13311"/>
      <w:bookmarkStart w:id="259" w:name="_Toc28222"/>
      <w:bookmarkStart w:id="260" w:name="_Toc1075"/>
      <w:r>
        <w:rPr>
          <w:rFonts w:ascii="Times New Roman" w:hAnsi="Times New Roman" w:eastAsia="Times New Roman" w:cs="Times New Roman"/>
          <w:b/>
          <w:bCs/>
          <w:spacing w:val="-3"/>
          <w:sz w:val="28"/>
          <w:szCs w:val="28"/>
          <w:lang w:eastAsia="zh-CN"/>
        </w:rPr>
        <w:t xml:space="preserve">5.7.1 </w:t>
      </w:r>
      <w:r>
        <w:rPr>
          <w:rFonts w:ascii="宋体" w:hAnsi="宋体" w:eastAsia="宋体" w:cs="宋体"/>
          <w:b/>
          <w:bCs/>
          <w:spacing w:val="-3"/>
          <w:sz w:val="28"/>
          <w:szCs w:val="28"/>
          <w:lang w:eastAsia="zh-CN"/>
        </w:rPr>
        <w:t>安全检查表法评价</w:t>
      </w:r>
      <w:bookmarkEnd w:id="258"/>
      <w:bookmarkEnd w:id="259"/>
      <w:bookmarkEnd w:id="260"/>
    </w:p>
    <w:p w14:paraId="3D22E121">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根据《国家矿山安全监察局关于印发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w:t>
      </w:r>
      <w:r>
        <w:rPr>
          <w:rFonts w:ascii="宋体" w:hAnsi="宋体" w:eastAsia="宋体" w:cs="宋体"/>
          <w:spacing w:val="1"/>
          <w:sz w:val="28"/>
          <w:szCs w:val="28"/>
          <w:lang w:eastAsia="zh-CN"/>
        </w:rPr>
        <w:t>重大事故隐患判</w:t>
      </w:r>
      <w:r>
        <w:rPr>
          <w:rFonts w:ascii="宋体" w:hAnsi="宋体" w:eastAsia="宋体" w:cs="宋体"/>
          <w:spacing w:val="4"/>
          <w:sz w:val="28"/>
          <w:szCs w:val="28"/>
          <w:lang w:eastAsia="zh-CN"/>
        </w:rPr>
        <w:t>定标准</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7"/>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[2022]88</w:t>
      </w:r>
      <w:r>
        <w:rPr>
          <w:rFonts w:ascii="宋体" w:hAnsi="宋体" w:eastAsia="宋体" w:cs="宋体"/>
          <w:spacing w:val="4"/>
          <w:sz w:val="28"/>
          <w:szCs w:val="28"/>
          <w:lang w:eastAsia="zh-CN"/>
        </w:rPr>
        <w:t>号）、《国家矿山安全监察局关于印发</w:t>
      </w:r>
      <w:r>
        <w:rPr>
          <w:rFonts w:ascii="Times New Roman" w:hAnsi="Times New Roman" w:eastAsia="Times New Roman" w:cs="Times New Roman"/>
          <w:spacing w:val="4"/>
          <w:sz w:val="28"/>
          <w:szCs w:val="28"/>
          <w:lang w:eastAsia="zh-CN"/>
        </w:rPr>
        <w:t>&lt;</w:t>
      </w:r>
      <w:r>
        <w:rPr>
          <w:rFonts w:ascii="Times New Roman" w:hAnsi="Times New Roman" w:eastAsia="Times New Roman" w:cs="Times New Roman"/>
          <w:sz w:val="28"/>
          <w:szCs w:val="28"/>
          <w:lang w:eastAsia="zh-CN"/>
        </w:rPr>
        <w:t xml:space="preserve"> </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1"/>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[20</w:t>
      </w:r>
      <w:r>
        <w:rPr>
          <w:rFonts w:ascii="Times New Roman" w:hAnsi="Times New Roman" w:eastAsia="Times New Roman" w:cs="Times New Roman"/>
          <w:spacing w:val="2"/>
          <w:sz w:val="28"/>
          <w:szCs w:val="28"/>
          <w:lang w:eastAsia="zh-CN"/>
        </w:rPr>
        <w:t>24]41</w:t>
      </w:r>
      <w:r>
        <w:rPr>
          <w:rFonts w:ascii="宋体" w:hAnsi="宋体" w:eastAsia="宋体" w:cs="宋体"/>
          <w:spacing w:val="6"/>
          <w:sz w:val="28"/>
          <w:szCs w:val="28"/>
          <w:lang w:eastAsia="zh-CN"/>
        </w:rPr>
        <w:t>号）的规定，运用安全检查表的评价方法对该尾矿库重大事故隐患判定单</w:t>
      </w:r>
      <w:r>
        <w:rPr>
          <w:rFonts w:ascii="宋体" w:hAnsi="宋体" w:eastAsia="宋体" w:cs="宋体"/>
          <w:spacing w:val="-2"/>
          <w:sz w:val="28"/>
          <w:szCs w:val="28"/>
          <w:lang w:eastAsia="zh-CN"/>
        </w:rPr>
        <w:t>元进行评价，详见表</w:t>
      </w:r>
      <w:r>
        <w:rPr>
          <w:rFonts w:ascii="宋体" w:hAnsi="宋体" w:eastAsia="宋体" w:cs="宋体"/>
          <w:spacing w:val="-54"/>
          <w:sz w:val="28"/>
          <w:szCs w:val="28"/>
          <w:lang w:eastAsia="zh-CN"/>
        </w:rPr>
        <w:t xml:space="preserve"> </w:t>
      </w:r>
      <w:r>
        <w:rPr>
          <w:rFonts w:ascii="Times New Roman" w:hAnsi="Times New Roman" w:eastAsia="Times New Roman" w:cs="Times New Roman"/>
          <w:spacing w:val="-2"/>
          <w:sz w:val="28"/>
          <w:szCs w:val="28"/>
          <w:lang w:eastAsia="zh-CN"/>
        </w:rPr>
        <w:t>5.7-1</w:t>
      </w:r>
      <w:r>
        <w:rPr>
          <w:rFonts w:ascii="宋体" w:hAnsi="宋体" w:eastAsia="宋体" w:cs="宋体"/>
          <w:spacing w:val="-2"/>
          <w:sz w:val="28"/>
          <w:szCs w:val="28"/>
          <w:lang w:eastAsia="zh-CN"/>
        </w:rPr>
        <w:t>。</w:t>
      </w:r>
    </w:p>
    <w:p w14:paraId="7E238142">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5.7-1 </w:t>
      </w:r>
      <w:r>
        <w:rPr>
          <w:rFonts w:ascii="宋体" w:hAnsi="宋体" w:eastAsia="宋体" w:cs="宋体"/>
          <w:spacing w:val="-2"/>
          <w:sz w:val="24"/>
          <w:szCs w:val="24"/>
          <w:lang w:eastAsia="zh-CN"/>
        </w:rPr>
        <w:t>重大事故隐患判定单元安全检查表</w:t>
      </w:r>
    </w:p>
    <w:p w14:paraId="1B53060F">
      <w:pPr>
        <w:spacing w:line="360" w:lineRule="auto"/>
        <w:outlineLvl w:val="2"/>
        <w:rPr>
          <w:rFonts w:hint="eastAsia" w:ascii="宋体" w:hAnsi="宋体" w:eastAsia="宋体" w:cs="宋体"/>
          <w:sz w:val="28"/>
          <w:szCs w:val="28"/>
        </w:rPr>
      </w:pPr>
      <w:bookmarkStart w:id="261" w:name="_Toc25892"/>
      <w:bookmarkStart w:id="262" w:name="_Toc24312"/>
      <w:bookmarkStart w:id="263" w:name="_Toc25356"/>
      <w:r>
        <w:rPr>
          <w:rFonts w:ascii="Times New Roman" w:hAnsi="Times New Roman" w:eastAsia="Times New Roman" w:cs="Times New Roman"/>
          <w:b/>
          <w:bCs/>
          <w:spacing w:val="-3"/>
          <w:sz w:val="28"/>
          <w:szCs w:val="28"/>
        </w:rPr>
        <w:t xml:space="preserve">5.7.2 </w:t>
      </w:r>
      <w:r>
        <w:rPr>
          <w:rFonts w:ascii="宋体" w:hAnsi="宋体" w:eastAsia="宋体" w:cs="宋体"/>
          <w:b/>
          <w:bCs/>
          <w:spacing w:val="-3"/>
          <w:sz w:val="28"/>
          <w:szCs w:val="28"/>
        </w:rPr>
        <w:t>评价单元小结</w:t>
      </w:r>
      <w:bookmarkEnd w:id="261"/>
      <w:bookmarkEnd w:id="262"/>
      <w:bookmarkEnd w:id="263"/>
    </w:p>
    <w:p w14:paraId="5B1C2532">
      <w:pPr>
        <w:spacing w:line="360" w:lineRule="auto"/>
        <w:ind w:firstLine="569"/>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凤城市添合矿业有限公司</w:t>
      </w:r>
      <w:r>
        <w:rPr>
          <w:rFonts w:ascii="宋体" w:hAnsi="宋体" w:eastAsia="宋体" w:cs="宋体"/>
          <w:spacing w:val="7"/>
          <w:sz w:val="28"/>
          <w:szCs w:val="28"/>
          <w:lang w:eastAsia="zh-CN"/>
        </w:rPr>
        <w:t>严格按照设计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val="en-US" w:eastAsia="zh-CN"/>
        </w:rPr>
        <w:t>尾矿坝</w:t>
      </w:r>
      <w:r>
        <w:rPr>
          <w:rFonts w:hint="eastAsia" w:ascii="宋体" w:hAnsi="宋体" w:eastAsia="宋体" w:cs="宋体"/>
          <w:spacing w:val="6"/>
          <w:sz w:val="28"/>
          <w:szCs w:val="28"/>
          <w:lang w:eastAsia="zh-CN"/>
        </w:rPr>
        <w:t>、</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等设施；坝体没有出现严重的管涌、流土、坍塌、滑动等重大安全事故隐患的迹象；企业配备了</w:t>
      </w:r>
      <w:r>
        <w:rPr>
          <w:rFonts w:ascii="宋体" w:hAnsi="宋体" w:eastAsia="宋体" w:cs="宋体"/>
          <w:spacing w:val="6"/>
          <w:sz w:val="28"/>
          <w:szCs w:val="28"/>
          <w:lang w:eastAsia="zh-CN"/>
        </w:rPr>
        <w:t>尾矿库专职安全管理人员和</w:t>
      </w:r>
      <w:r>
        <w:rPr>
          <w:rFonts w:ascii="宋体" w:hAnsi="宋体" w:eastAsia="宋体" w:cs="宋体"/>
          <w:spacing w:val="2"/>
          <w:sz w:val="28"/>
          <w:szCs w:val="28"/>
          <w:lang w:eastAsia="zh-CN"/>
        </w:rPr>
        <w:t>专业技术人员；尾矿库符</w:t>
      </w:r>
      <w:r>
        <w:rPr>
          <w:rFonts w:ascii="Times New Roman" w:hAnsi="Times New Roman" w:eastAsia="宋体" w:cs="Times New Roman"/>
          <w:spacing w:val="2"/>
          <w:sz w:val="28"/>
          <w:szCs w:val="28"/>
          <w:lang w:eastAsia="zh-CN"/>
        </w:rPr>
        <w:t>合《国家矿山安全监察局关于印发</w:t>
      </w:r>
      <w:r>
        <w:rPr>
          <w:rFonts w:ascii="Times New Roman" w:hAnsi="Times New Roman" w:eastAsia="Calibri" w:cs="Times New Roman"/>
          <w:spacing w:val="2"/>
          <w:sz w:val="28"/>
          <w:szCs w:val="28"/>
          <w:lang w:eastAsia="zh-CN"/>
        </w:rPr>
        <w:t>&lt;</w:t>
      </w:r>
      <w:r>
        <w:rPr>
          <w:rFonts w:ascii="Times New Roman" w:hAnsi="Times New Roman" w:eastAsia="宋体" w:cs="Times New Roman"/>
          <w:spacing w:val="2"/>
          <w:sz w:val="28"/>
          <w:szCs w:val="28"/>
          <w:lang w:eastAsia="zh-CN"/>
        </w:rPr>
        <w:t>金属非金属矿</w:t>
      </w:r>
      <w:r>
        <w:rPr>
          <w:rFonts w:ascii="Times New Roman" w:hAnsi="Times New Roman" w:eastAsia="宋体" w:cs="Times New Roman"/>
          <w:spacing w:val="3"/>
          <w:sz w:val="28"/>
          <w:szCs w:val="28"/>
          <w:lang w:eastAsia="zh-CN"/>
        </w:rPr>
        <w:t>山重大事故隐患判定标准&gt;</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022]88</w:t>
      </w:r>
      <w:r>
        <w:rPr>
          <w:rFonts w:ascii="宋体" w:hAnsi="宋体" w:eastAsia="宋体" w:cs="宋体"/>
          <w:spacing w:val="2"/>
          <w:sz w:val="28"/>
          <w:szCs w:val="28"/>
          <w:lang w:eastAsia="zh-CN"/>
        </w:rPr>
        <w:t>号）、《国家矿山安全</w:t>
      </w:r>
      <w:r>
        <w:rPr>
          <w:rFonts w:ascii="宋体" w:hAnsi="宋体" w:eastAsia="宋体" w:cs="宋体"/>
          <w:spacing w:val="-2"/>
          <w:sz w:val="28"/>
          <w:szCs w:val="28"/>
          <w:lang w:eastAsia="zh-CN"/>
        </w:rPr>
        <w:t>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金属非金属矿山重大事故隐患判定标准补充情形</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26"/>
          <w:sz w:val="28"/>
          <w:szCs w:val="28"/>
          <w:lang w:eastAsia="zh-CN"/>
        </w:rPr>
        <w:t xml:space="preserve"> </w:t>
      </w:r>
      <w:r>
        <w:rPr>
          <w:rFonts w:ascii="宋体" w:hAnsi="宋体" w:eastAsia="宋体" w:cs="宋体"/>
          <w:spacing w:val="-2"/>
          <w:sz w:val="28"/>
          <w:szCs w:val="28"/>
          <w:lang w:eastAsia="zh-CN"/>
        </w:rPr>
        <w:t>的通知》</w:t>
      </w:r>
      <w:r>
        <w:rPr>
          <w:rFonts w:ascii="宋体" w:hAnsi="宋体" w:eastAsia="宋体" w:cs="宋体"/>
          <w:spacing w:val="1"/>
          <w:sz w:val="28"/>
          <w:szCs w:val="28"/>
          <w:lang w:eastAsia="zh-CN"/>
        </w:rPr>
        <w:t>（矿安</w:t>
      </w:r>
      <w:r>
        <w:rPr>
          <w:rFonts w:ascii="Times New Roman" w:hAnsi="Times New Roman" w:eastAsia="Times New Roman" w:cs="Times New Roman"/>
          <w:spacing w:val="1"/>
          <w:sz w:val="28"/>
          <w:szCs w:val="28"/>
          <w:lang w:eastAsia="zh-CN"/>
        </w:rPr>
        <w:t>[2024]41</w:t>
      </w:r>
      <w:r>
        <w:rPr>
          <w:rFonts w:ascii="宋体" w:hAnsi="宋体" w:eastAsia="宋体" w:cs="宋体"/>
          <w:spacing w:val="1"/>
          <w:sz w:val="28"/>
          <w:szCs w:val="28"/>
          <w:lang w:eastAsia="zh-CN"/>
        </w:rPr>
        <w:t>号）的规定，不存在重大隐患，具备安全生产条件。</w:t>
      </w:r>
    </w:p>
    <w:p w14:paraId="61CBCE65">
      <w:pPr>
        <w:spacing w:line="360" w:lineRule="auto"/>
        <w:jc w:val="center"/>
        <w:outlineLvl w:val="1"/>
        <w:rPr>
          <w:rFonts w:hint="eastAsia" w:ascii="黑体" w:hAnsi="黑体" w:eastAsia="黑体" w:cs="黑体"/>
          <w:sz w:val="30"/>
          <w:szCs w:val="30"/>
          <w:lang w:eastAsia="zh-CN"/>
        </w:rPr>
      </w:pPr>
      <w:bookmarkStart w:id="264" w:name="bookmark54"/>
      <w:bookmarkEnd w:id="264"/>
      <w:bookmarkStart w:id="265" w:name="_Toc19135"/>
      <w:bookmarkStart w:id="266" w:name="_Toc17607"/>
      <w:r>
        <w:rPr>
          <w:rFonts w:ascii="Times New Roman" w:hAnsi="Times New Roman" w:eastAsia="Times New Roman" w:cs="Times New Roman"/>
          <w:b/>
          <w:bCs/>
          <w:spacing w:val="-3"/>
          <w:sz w:val="30"/>
          <w:szCs w:val="30"/>
          <w:lang w:eastAsia="zh-CN"/>
        </w:rPr>
        <w:t>5.8</w:t>
      </w:r>
      <w:r>
        <w:rPr>
          <w:rFonts w:ascii="黑体" w:hAnsi="黑体" w:eastAsia="黑体" w:cs="黑体"/>
          <w:b/>
          <w:bCs/>
          <w:spacing w:val="-3"/>
          <w:sz w:val="30"/>
          <w:szCs w:val="30"/>
          <w:lang w:eastAsia="zh-CN"/>
        </w:rPr>
        <w:t>“延期换证审核”单元</w:t>
      </w:r>
      <w:bookmarkEnd w:id="265"/>
      <w:bookmarkEnd w:id="266"/>
    </w:p>
    <w:p w14:paraId="62B9F3B9">
      <w:pPr>
        <w:spacing w:line="360" w:lineRule="auto"/>
        <w:outlineLvl w:val="2"/>
        <w:rPr>
          <w:rFonts w:hint="eastAsia" w:ascii="宋体" w:hAnsi="宋体" w:eastAsia="宋体" w:cs="宋体"/>
          <w:sz w:val="28"/>
          <w:szCs w:val="28"/>
          <w:lang w:eastAsia="zh-CN"/>
        </w:rPr>
      </w:pPr>
      <w:bookmarkStart w:id="267" w:name="_Toc29374"/>
      <w:bookmarkStart w:id="268" w:name="_Toc16594"/>
      <w:bookmarkStart w:id="269" w:name="_Toc5274"/>
      <w:r>
        <w:rPr>
          <w:rFonts w:ascii="Times New Roman" w:hAnsi="Times New Roman" w:eastAsia="Times New Roman" w:cs="Times New Roman"/>
          <w:b/>
          <w:bCs/>
          <w:spacing w:val="-3"/>
          <w:sz w:val="28"/>
          <w:szCs w:val="28"/>
          <w:lang w:eastAsia="zh-CN"/>
        </w:rPr>
        <w:t xml:space="preserve">5.8.1 </w:t>
      </w:r>
      <w:r>
        <w:rPr>
          <w:rFonts w:ascii="宋体" w:hAnsi="宋体" w:eastAsia="宋体" w:cs="宋体"/>
          <w:b/>
          <w:bCs/>
          <w:spacing w:val="-3"/>
          <w:sz w:val="28"/>
          <w:szCs w:val="28"/>
          <w:lang w:eastAsia="zh-CN"/>
        </w:rPr>
        <w:t>安全检查表法评价</w:t>
      </w:r>
      <w:bookmarkEnd w:id="267"/>
      <w:bookmarkEnd w:id="268"/>
      <w:bookmarkEnd w:id="269"/>
    </w:p>
    <w:p w14:paraId="12C7E3CA">
      <w:pPr>
        <w:spacing w:line="360" w:lineRule="auto"/>
        <w:ind w:firstLine="553"/>
        <w:jc w:val="both"/>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根据</w:t>
      </w:r>
      <w:r>
        <w:rPr>
          <w:rFonts w:ascii="宋体" w:hAnsi="宋体" w:eastAsia="宋体" w:cs="宋体"/>
          <w:spacing w:val="-1"/>
          <w:sz w:val="28"/>
          <w:szCs w:val="28"/>
          <w:lang w:eastAsia="zh-CN"/>
        </w:rPr>
        <w:t>《辽宁省安全生产监督管理局关于进一步规范非煤矿矿山安全生产行政许可管理工作的通知》（辽安监非煤</w:t>
      </w:r>
      <w:r>
        <w:rPr>
          <w:rFonts w:ascii="Times New Roman" w:hAnsi="Times New Roman" w:eastAsia="Times New Roman" w:cs="Times New Roman"/>
          <w:spacing w:val="-1"/>
          <w:sz w:val="28"/>
          <w:szCs w:val="28"/>
          <w:lang w:eastAsia="zh-CN"/>
        </w:rPr>
        <w:t>[2018]29</w:t>
      </w:r>
      <w:r>
        <w:rPr>
          <w:rFonts w:hint="eastAsia" w:ascii="Times New Roman" w:hAnsi="Times New Roman" w:eastAsia="宋体" w:cs="Times New Roman"/>
          <w:spacing w:val="-1"/>
          <w:sz w:val="28"/>
          <w:szCs w:val="28"/>
          <w:lang w:eastAsia="zh-CN"/>
        </w:rPr>
        <w:t>号</w:t>
      </w:r>
      <w:r>
        <w:rPr>
          <w:rFonts w:ascii="宋体" w:hAnsi="宋体" w:eastAsia="宋体" w:cs="宋体"/>
          <w:spacing w:val="-1"/>
          <w:sz w:val="28"/>
          <w:szCs w:val="28"/>
          <w:lang w:eastAsia="zh-CN"/>
        </w:rPr>
        <w:t>）</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采用安全检查表法对</w:t>
      </w:r>
      <w:r>
        <w:rPr>
          <w:rFonts w:hint="eastAsia" w:ascii="宋体" w:hAnsi="宋体" w:eastAsia="宋体" w:cs="宋体"/>
          <w:spacing w:val="-1"/>
          <w:sz w:val="28"/>
          <w:szCs w:val="28"/>
          <w:lang w:val="en-US" w:eastAsia="zh-CN"/>
        </w:rPr>
        <w:t>该尾矿库</w:t>
      </w:r>
      <w:r>
        <w:rPr>
          <w:rFonts w:ascii="宋体" w:hAnsi="宋体" w:eastAsia="宋体" w:cs="宋体"/>
          <w:spacing w:val="-1"/>
          <w:sz w:val="28"/>
          <w:szCs w:val="28"/>
          <w:lang w:eastAsia="zh-CN"/>
        </w:rPr>
        <w:t>安全生产许可证相关延期内容进行符合性评价，详见表</w:t>
      </w:r>
      <w:r>
        <w:rPr>
          <w:rFonts w:ascii="Times New Roman" w:hAnsi="Times New Roman" w:eastAsia="Times New Roman" w:cs="Times New Roman"/>
          <w:spacing w:val="-1"/>
          <w:sz w:val="28"/>
          <w:szCs w:val="28"/>
          <w:lang w:eastAsia="zh-CN"/>
        </w:rPr>
        <w:t>5.</w:t>
      </w:r>
      <w:r>
        <w:rPr>
          <w:rFonts w:hint="eastAsia" w:ascii="Times New Roman" w:hAnsi="Times New Roman" w:eastAsia="宋体" w:cs="Times New Roman"/>
          <w:spacing w:val="-1"/>
          <w:sz w:val="28"/>
          <w:szCs w:val="28"/>
          <w:lang w:eastAsia="zh-CN"/>
        </w:rPr>
        <w:t>8</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w:t>
      </w:r>
    </w:p>
    <w:p w14:paraId="04EDA3AA">
      <w:pPr>
        <w:rPr>
          <w:rFonts w:ascii="宋体" w:hAnsi="宋体" w:eastAsia="宋体" w:cs="宋体"/>
          <w:spacing w:val="-3"/>
          <w:sz w:val="24"/>
          <w:szCs w:val="24"/>
          <w:lang w:eastAsia="zh-CN"/>
        </w:rPr>
      </w:pPr>
      <w:r>
        <w:rPr>
          <w:rFonts w:ascii="宋体" w:hAnsi="宋体" w:eastAsia="宋体" w:cs="宋体"/>
          <w:spacing w:val="-3"/>
          <w:sz w:val="24"/>
          <w:szCs w:val="24"/>
          <w:lang w:eastAsia="zh-CN"/>
        </w:rPr>
        <w:br w:type="page"/>
      </w:r>
    </w:p>
    <w:p w14:paraId="197A7F39">
      <w:pPr>
        <w:jc w:val="center"/>
        <w:rPr>
          <w:rFonts w:hint="eastAsia" w:ascii="宋体" w:hAnsi="宋体" w:eastAsia="宋体" w:cs="宋体"/>
          <w:sz w:val="24"/>
          <w:szCs w:val="24"/>
          <w:lang w:eastAsia="zh-CN"/>
        </w:rPr>
      </w:pPr>
      <w:r>
        <w:rPr>
          <w:rFonts w:ascii="宋体" w:hAnsi="宋体" w:eastAsia="宋体" w:cs="宋体"/>
          <w:spacing w:val="-3"/>
          <w:sz w:val="24"/>
          <w:szCs w:val="24"/>
          <w:lang w:eastAsia="zh-CN"/>
        </w:rPr>
        <w:t>表</w:t>
      </w:r>
      <w:r>
        <w:rPr>
          <w:rFonts w:ascii="宋体" w:hAnsi="宋体" w:eastAsia="宋体" w:cs="宋体"/>
          <w:spacing w:val="-37"/>
          <w:sz w:val="24"/>
          <w:szCs w:val="24"/>
          <w:lang w:eastAsia="zh-CN"/>
        </w:rPr>
        <w:t xml:space="preserve"> </w:t>
      </w:r>
      <w:r>
        <w:rPr>
          <w:rFonts w:ascii="Times New Roman" w:hAnsi="Times New Roman" w:eastAsia="Times New Roman" w:cs="Times New Roman"/>
          <w:spacing w:val="-3"/>
          <w:sz w:val="24"/>
          <w:szCs w:val="24"/>
          <w:lang w:eastAsia="zh-CN"/>
        </w:rPr>
        <w:t xml:space="preserve">5.8-1 </w:t>
      </w:r>
      <w:r>
        <w:rPr>
          <w:rFonts w:ascii="宋体" w:hAnsi="宋体" w:eastAsia="宋体" w:cs="宋体"/>
          <w:spacing w:val="-3"/>
          <w:sz w:val="24"/>
          <w:szCs w:val="24"/>
          <w:lang w:eastAsia="zh-CN"/>
        </w:rPr>
        <w:t>“延期换证审核</w:t>
      </w:r>
      <w:r>
        <w:rPr>
          <w:rFonts w:ascii="宋体" w:hAnsi="宋体" w:eastAsia="宋体" w:cs="宋体"/>
          <w:spacing w:val="-88"/>
          <w:sz w:val="24"/>
          <w:szCs w:val="24"/>
          <w:lang w:eastAsia="zh-CN"/>
        </w:rPr>
        <w:t xml:space="preserve"> </w:t>
      </w:r>
      <w:r>
        <w:rPr>
          <w:rFonts w:ascii="宋体" w:hAnsi="宋体" w:eastAsia="宋体" w:cs="宋体"/>
          <w:spacing w:val="-3"/>
          <w:sz w:val="24"/>
          <w:szCs w:val="24"/>
          <w:lang w:eastAsia="zh-CN"/>
        </w:rPr>
        <w:t>”单元安全检查表</w:t>
      </w:r>
    </w:p>
    <w:p w14:paraId="6A952966">
      <w:pPr>
        <w:spacing w:line="360" w:lineRule="auto"/>
        <w:outlineLvl w:val="2"/>
        <w:rPr>
          <w:rFonts w:hint="eastAsia" w:ascii="宋体" w:hAnsi="宋体" w:eastAsia="宋体" w:cs="宋体"/>
          <w:sz w:val="28"/>
          <w:szCs w:val="28"/>
        </w:rPr>
      </w:pPr>
      <w:bookmarkStart w:id="270" w:name="_Toc2347"/>
      <w:bookmarkStart w:id="271" w:name="_Toc16668"/>
      <w:bookmarkStart w:id="272" w:name="_Toc19227"/>
      <w:bookmarkStart w:id="309" w:name="_GoBack"/>
      <w:bookmarkEnd w:id="309"/>
      <w:r>
        <w:rPr>
          <w:rFonts w:ascii="Times New Roman" w:hAnsi="Times New Roman" w:eastAsia="Times New Roman" w:cs="Times New Roman"/>
          <w:b/>
          <w:bCs/>
          <w:spacing w:val="-3"/>
          <w:sz w:val="28"/>
          <w:szCs w:val="28"/>
        </w:rPr>
        <w:t xml:space="preserve">5.8.2 </w:t>
      </w:r>
      <w:r>
        <w:rPr>
          <w:rFonts w:ascii="宋体" w:hAnsi="宋体" w:eastAsia="宋体" w:cs="宋体"/>
          <w:b/>
          <w:bCs/>
          <w:spacing w:val="-3"/>
          <w:sz w:val="28"/>
          <w:szCs w:val="28"/>
        </w:rPr>
        <w:t>评价单元小结</w:t>
      </w:r>
      <w:bookmarkEnd w:id="270"/>
      <w:bookmarkEnd w:id="271"/>
      <w:bookmarkEnd w:id="272"/>
    </w:p>
    <w:p w14:paraId="776218AD">
      <w:pPr>
        <w:spacing w:line="360" w:lineRule="auto"/>
        <w:ind w:firstLine="562"/>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凤城市添合矿业有限公司</w:t>
      </w:r>
      <w:r>
        <w:rPr>
          <w:rFonts w:ascii="宋体" w:hAnsi="宋体" w:eastAsia="宋体" w:cs="宋体"/>
          <w:spacing w:val="7"/>
          <w:sz w:val="28"/>
          <w:szCs w:val="28"/>
          <w:lang w:eastAsia="zh-CN"/>
        </w:rPr>
        <w:t>严格按照《辽宁</w:t>
      </w:r>
      <w:r>
        <w:rPr>
          <w:rFonts w:ascii="宋体" w:hAnsi="宋体" w:eastAsia="宋体" w:cs="宋体"/>
          <w:spacing w:val="6"/>
          <w:sz w:val="28"/>
          <w:szCs w:val="28"/>
          <w:lang w:eastAsia="zh-CN"/>
        </w:rPr>
        <w:t>省安全生产监督</w:t>
      </w:r>
      <w:r>
        <w:rPr>
          <w:rFonts w:ascii="宋体" w:hAnsi="宋体" w:eastAsia="宋体" w:cs="宋体"/>
          <w:spacing w:val="15"/>
          <w:sz w:val="28"/>
          <w:szCs w:val="28"/>
          <w:lang w:eastAsia="zh-CN"/>
        </w:rPr>
        <w:t>管理局关于进一步规范非煤矿矿山安全生产行政许可管理工作的通知》</w:t>
      </w:r>
      <w:r>
        <w:rPr>
          <w:rFonts w:ascii="宋体" w:hAnsi="宋体" w:eastAsia="宋体" w:cs="宋体"/>
          <w:spacing w:val="-1"/>
          <w:sz w:val="28"/>
          <w:szCs w:val="28"/>
          <w:lang w:eastAsia="zh-CN"/>
        </w:rPr>
        <w:t>（辽安监非煤</w:t>
      </w:r>
      <w:r>
        <w:rPr>
          <w:rFonts w:ascii="Times New Roman" w:hAnsi="Times New Roman" w:eastAsia="Times New Roman" w:cs="Times New Roman"/>
          <w:spacing w:val="-1"/>
          <w:sz w:val="28"/>
          <w:szCs w:val="28"/>
          <w:lang w:eastAsia="zh-CN"/>
        </w:rPr>
        <w:t>[2018]29</w:t>
      </w:r>
      <w:r>
        <w:rPr>
          <w:rFonts w:ascii="宋体" w:hAnsi="宋体" w:eastAsia="宋体" w:cs="宋体"/>
          <w:spacing w:val="-1"/>
          <w:sz w:val="28"/>
          <w:szCs w:val="28"/>
          <w:lang w:eastAsia="zh-CN"/>
        </w:rPr>
        <w:t>号）</w:t>
      </w:r>
      <w:r>
        <w:rPr>
          <w:rFonts w:hint="eastAsia" w:ascii="宋体" w:hAnsi="宋体" w:eastAsia="宋体" w:cs="宋体"/>
          <w:spacing w:val="-1"/>
          <w:sz w:val="28"/>
          <w:szCs w:val="28"/>
          <w:lang w:eastAsia="zh-CN"/>
        </w:rPr>
        <w:t>的</w:t>
      </w:r>
      <w:r>
        <w:rPr>
          <w:rFonts w:ascii="宋体" w:hAnsi="宋体" w:eastAsia="宋体" w:cs="宋体"/>
          <w:spacing w:val="-1"/>
          <w:sz w:val="28"/>
          <w:szCs w:val="28"/>
          <w:lang w:eastAsia="zh-CN"/>
        </w:rPr>
        <w:t>相关规定，准备</w:t>
      </w:r>
      <w:r>
        <w:rPr>
          <w:rFonts w:hint="eastAsia" w:ascii="宋体" w:hAnsi="宋体" w:eastAsia="宋体" w:cs="宋体"/>
          <w:spacing w:val="-1"/>
          <w:sz w:val="28"/>
          <w:szCs w:val="28"/>
          <w:lang w:val="en-US" w:eastAsia="zh-CN"/>
        </w:rPr>
        <w:t>该</w:t>
      </w:r>
      <w:r>
        <w:rPr>
          <w:rFonts w:ascii="宋体" w:hAnsi="宋体" w:eastAsia="宋体" w:cs="宋体"/>
          <w:spacing w:val="7"/>
          <w:sz w:val="28"/>
          <w:szCs w:val="28"/>
          <w:lang w:eastAsia="zh-CN"/>
        </w:rPr>
        <w:t>尾矿库</w:t>
      </w:r>
      <w:r>
        <w:rPr>
          <w:rFonts w:ascii="宋体" w:hAnsi="宋体" w:eastAsia="宋体" w:cs="宋体"/>
          <w:spacing w:val="-1"/>
          <w:sz w:val="28"/>
          <w:szCs w:val="28"/>
          <w:lang w:eastAsia="zh-CN"/>
        </w:rPr>
        <w:t>安全生产许可证的延期</w:t>
      </w:r>
      <w:r>
        <w:rPr>
          <w:rFonts w:hint="eastAsia" w:ascii="宋体" w:hAnsi="宋体" w:eastAsia="宋体" w:cs="宋体"/>
          <w:spacing w:val="-1"/>
          <w:sz w:val="28"/>
          <w:szCs w:val="28"/>
          <w:lang w:val="en-US" w:eastAsia="zh-CN"/>
        </w:rPr>
        <w:t>申请</w:t>
      </w:r>
      <w:r>
        <w:rPr>
          <w:rFonts w:ascii="宋体" w:hAnsi="宋体" w:eastAsia="宋体" w:cs="宋体"/>
          <w:spacing w:val="-1"/>
          <w:sz w:val="28"/>
          <w:szCs w:val="28"/>
          <w:lang w:eastAsia="zh-CN"/>
        </w:rPr>
        <w:t>材料。</w:t>
      </w:r>
    </w:p>
    <w:p w14:paraId="095990E6">
      <w:pPr>
        <w:spacing w:line="360" w:lineRule="auto"/>
        <w:rPr>
          <w:rFonts w:hint="eastAsia" w:ascii="宋体" w:hAnsi="宋体" w:eastAsia="宋体" w:cs="宋体"/>
          <w:sz w:val="28"/>
          <w:szCs w:val="28"/>
          <w:lang w:eastAsia="zh-CN"/>
        </w:rPr>
        <w:sectPr>
          <w:headerReference r:id="rId25" w:type="default"/>
          <w:footerReference r:id="rId26" w:type="default"/>
          <w:pgSz w:w="11906" w:h="16839"/>
          <w:pgMar w:top="1150" w:right="932" w:bottom="1315" w:left="1385" w:header="868" w:footer="986" w:gutter="0"/>
          <w:cols w:space="720" w:num="1"/>
        </w:sectPr>
      </w:pPr>
    </w:p>
    <w:p w14:paraId="4C187855">
      <w:pPr>
        <w:spacing w:line="360" w:lineRule="auto"/>
        <w:jc w:val="center"/>
        <w:outlineLvl w:val="0"/>
        <w:rPr>
          <w:rFonts w:hint="eastAsia" w:ascii="黑体" w:hAnsi="黑体" w:eastAsia="黑体" w:cs="黑体"/>
          <w:sz w:val="31"/>
          <w:szCs w:val="31"/>
          <w:lang w:eastAsia="zh-CN"/>
        </w:rPr>
      </w:pPr>
      <w:bookmarkStart w:id="273" w:name="bookmark56"/>
      <w:bookmarkEnd w:id="273"/>
      <w:bookmarkStart w:id="274" w:name="_Toc22421"/>
      <w:bookmarkStart w:id="275" w:name="_Toc28438"/>
      <w:r>
        <w:rPr>
          <w:rFonts w:ascii="Times New Roman" w:hAnsi="Times New Roman" w:eastAsia="Times New Roman" w:cs="Times New Roman"/>
          <w:b/>
          <w:bCs/>
          <w:spacing w:val="5"/>
          <w:sz w:val="31"/>
          <w:szCs w:val="31"/>
          <w:lang w:eastAsia="zh-CN"/>
        </w:rPr>
        <w:t xml:space="preserve">6 </w:t>
      </w:r>
      <w:r>
        <w:rPr>
          <w:rFonts w:ascii="黑体" w:hAnsi="黑体" w:eastAsia="黑体" w:cs="黑体"/>
          <w:b/>
          <w:bCs/>
          <w:spacing w:val="5"/>
          <w:sz w:val="31"/>
          <w:szCs w:val="31"/>
          <w:lang w:eastAsia="zh-CN"/>
        </w:rPr>
        <w:t>建议补充的安全对策措施</w:t>
      </w:r>
      <w:bookmarkEnd w:id="274"/>
      <w:bookmarkEnd w:id="275"/>
    </w:p>
    <w:p w14:paraId="61CD383B">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针对该尾矿库存在的危险、有害因素和安全分析与评价结果，依据国</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家相关安全法律法规、标准和规范的要求，借鉴类似尾矿库的安</w:t>
      </w:r>
      <w:r>
        <w:rPr>
          <w:rFonts w:ascii="宋体" w:hAnsi="宋体" w:eastAsia="宋体" w:cs="宋体"/>
          <w:spacing w:val="1"/>
          <w:sz w:val="28"/>
          <w:szCs w:val="28"/>
          <w:lang w:eastAsia="zh-CN"/>
        </w:rPr>
        <w:t>全生产经</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验，分单元提出以下对应的安全对策措施建议。</w:t>
      </w:r>
    </w:p>
    <w:p w14:paraId="18F32A18">
      <w:pPr>
        <w:spacing w:line="360" w:lineRule="auto"/>
        <w:jc w:val="center"/>
        <w:outlineLvl w:val="1"/>
        <w:rPr>
          <w:rFonts w:hint="eastAsia" w:ascii="黑体" w:hAnsi="黑体" w:eastAsia="黑体" w:cs="黑体"/>
          <w:sz w:val="30"/>
          <w:szCs w:val="30"/>
          <w:lang w:eastAsia="zh-CN"/>
        </w:rPr>
      </w:pPr>
      <w:bookmarkStart w:id="276" w:name="bookmark58"/>
      <w:bookmarkEnd w:id="276"/>
      <w:bookmarkStart w:id="277" w:name="_Toc16501"/>
      <w:bookmarkStart w:id="278" w:name="_Toc29788"/>
      <w:r>
        <w:rPr>
          <w:rFonts w:ascii="Times New Roman" w:hAnsi="Times New Roman" w:eastAsia="Times New Roman" w:cs="Times New Roman"/>
          <w:b/>
          <w:bCs/>
          <w:spacing w:val="-4"/>
          <w:sz w:val="30"/>
          <w:szCs w:val="30"/>
          <w:lang w:eastAsia="zh-CN"/>
        </w:rPr>
        <w:t xml:space="preserve">6.1 </w:t>
      </w:r>
      <w:r>
        <w:rPr>
          <w:rFonts w:ascii="黑体" w:hAnsi="黑体" w:eastAsia="黑体" w:cs="黑体"/>
          <w:b/>
          <w:bCs/>
          <w:spacing w:val="-4"/>
          <w:sz w:val="30"/>
          <w:szCs w:val="30"/>
          <w:lang w:eastAsia="zh-CN"/>
        </w:rPr>
        <w:t>周边环境单元</w:t>
      </w:r>
      <w:bookmarkEnd w:id="277"/>
      <w:bookmarkEnd w:id="278"/>
    </w:p>
    <w:p w14:paraId="43A29B75">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）加强库区周边环境的巡视检查，发现滑坡及异常</w:t>
      </w:r>
      <w:r>
        <w:rPr>
          <w:rFonts w:ascii="宋体" w:hAnsi="宋体" w:eastAsia="宋体" w:cs="宋体"/>
          <w:sz w:val="28"/>
          <w:szCs w:val="28"/>
          <w:lang w:eastAsia="zh-CN"/>
        </w:rPr>
        <w:t xml:space="preserve">现象及时处理。 </w:t>
      </w:r>
      <w:r>
        <w:rPr>
          <w:rFonts w:ascii="宋体" w:hAnsi="宋体" w:eastAsia="宋体" w:cs="宋体"/>
          <w:spacing w:val="-1"/>
          <w:sz w:val="28"/>
          <w:szCs w:val="28"/>
          <w:lang w:eastAsia="zh-CN"/>
        </w:rPr>
        <w:t>坝顶及库区内严禁设计以外的其他任何建筑物或设施的建设；</w:t>
      </w:r>
    </w:p>
    <w:p w14:paraId="5032AEF2">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2</w:t>
      </w:r>
      <w:r>
        <w:rPr>
          <w:rFonts w:ascii="宋体" w:hAnsi="宋体" w:eastAsia="宋体" w:cs="宋体"/>
          <w:spacing w:val="-1"/>
          <w:sz w:val="28"/>
          <w:szCs w:val="28"/>
          <w:lang w:eastAsia="zh-CN"/>
        </w:rPr>
        <w:t>）严禁在库区范围内违章爆破、采石、放牧、取土等；</w:t>
      </w:r>
    </w:p>
    <w:p w14:paraId="436E52C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）加强对上坝道路的维护和道路运输安全管理，确保上坝道路通畅</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和运输安全，冰雪或多雨季节道路较滑时，应有防滑措施并减速行驶；</w:t>
      </w:r>
    </w:p>
    <w:p w14:paraId="7A6A867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）加强库区周边的安全警示标志和坝上照明设施的巡视检查，确保</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其完整性和适应性，发现破损、丢失的，及时更换；</w:t>
      </w:r>
    </w:p>
    <w:p w14:paraId="63B56BD4">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5</w:t>
      </w:r>
      <w:r>
        <w:rPr>
          <w:rFonts w:ascii="宋体" w:hAnsi="宋体" w:eastAsia="宋体" w:cs="宋体"/>
          <w:spacing w:val="-1"/>
          <w:sz w:val="28"/>
          <w:szCs w:val="28"/>
          <w:lang w:eastAsia="zh-CN"/>
        </w:rPr>
        <w:t>）加强库区管理，防止无关人员进入。</w:t>
      </w:r>
    </w:p>
    <w:p w14:paraId="41F693BC">
      <w:pPr>
        <w:spacing w:line="360" w:lineRule="auto"/>
        <w:jc w:val="center"/>
        <w:outlineLvl w:val="1"/>
        <w:rPr>
          <w:rFonts w:ascii="Times New Roman" w:hAnsi="Times New Roman" w:eastAsia="Times New Roman" w:cs="Times New Roman"/>
          <w:b/>
          <w:bCs/>
          <w:spacing w:val="-4"/>
          <w:sz w:val="30"/>
          <w:szCs w:val="30"/>
          <w:lang w:eastAsia="zh-CN"/>
        </w:rPr>
      </w:pPr>
      <w:bookmarkStart w:id="279" w:name="bookmark60"/>
      <w:bookmarkEnd w:id="279"/>
      <w:bookmarkStart w:id="280" w:name="_Toc11756"/>
      <w:bookmarkStart w:id="281" w:name="_Toc31197"/>
      <w:r>
        <w:rPr>
          <w:rFonts w:ascii="Times New Roman" w:hAnsi="Times New Roman" w:eastAsia="Times New Roman" w:cs="Times New Roman"/>
          <w:b/>
          <w:bCs/>
          <w:spacing w:val="-4"/>
          <w:sz w:val="30"/>
          <w:szCs w:val="30"/>
          <w:lang w:eastAsia="zh-CN"/>
        </w:rPr>
        <w:t xml:space="preserve">6.2 </w:t>
      </w:r>
      <w:r>
        <w:rPr>
          <w:rFonts w:hint="eastAsia" w:ascii="黑体" w:hAnsi="黑体" w:eastAsia="黑体" w:cs="黑体"/>
          <w:b/>
          <w:bCs/>
          <w:spacing w:val="-4"/>
          <w:sz w:val="30"/>
          <w:szCs w:val="30"/>
          <w:lang w:eastAsia="zh-CN"/>
        </w:rPr>
        <w:t>尾矿坝单元</w:t>
      </w:r>
      <w:bookmarkEnd w:id="280"/>
      <w:bookmarkEnd w:id="281"/>
    </w:p>
    <w:p w14:paraId="2B8E6678">
      <w:pPr>
        <w:spacing w:line="360" w:lineRule="auto"/>
        <w:ind w:firstLine="566"/>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）经常检查坝体位移和坝体沉降。要求坝体位移量和沉降量变化应</w:t>
      </w:r>
      <w:r>
        <w:rPr>
          <w:rFonts w:ascii="宋体" w:hAnsi="宋体" w:eastAsia="宋体" w:cs="宋体"/>
          <w:spacing w:val="3"/>
          <w:sz w:val="28"/>
          <w:szCs w:val="28"/>
          <w:lang w:eastAsia="zh-CN"/>
        </w:rPr>
        <w:t xml:space="preserve"> </w:t>
      </w:r>
      <w:r>
        <w:rPr>
          <w:rFonts w:ascii="宋体" w:hAnsi="宋体" w:eastAsia="宋体" w:cs="宋体"/>
          <w:spacing w:val="7"/>
          <w:sz w:val="28"/>
          <w:szCs w:val="28"/>
          <w:lang w:eastAsia="zh-CN"/>
        </w:rPr>
        <w:t>均衡，无突变现象，且应逐年减小。当位移</w:t>
      </w:r>
      <w:r>
        <w:rPr>
          <w:rFonts w:ascii="宋体" w:hAnsi="宋体" w:eastAsia="宋体" w:cs="宋体"/>
          <w:spacing w:val="6"/>
          <w:sz w:val="28"/>
          <w:szCs w:val="28"/>
          <w:lang w:eastAsia="zh-CN"/>
        </w:rPr>
        <w:t>量和沉降量变化出现突变或有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增大趋势时，应查明原因，妥善处理；</w:t>
      </w:r>
    </w:p>
    <w:p w14:paraId="10FDD4E6">
      <w:pPr>
        <w:spacing w:line="360" w:lineRule="auto"/>
        <w:ind w:firstLine="544"/>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）经常检查坝体有无纵、横向裂缝。坝体出现裂缝时，应查明裂缝</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的长度、宽度、深度、走向、形态和成因，判断危害程度，妥</w:t>
      </w:r>
      <w:r>
        <w:rPr>
          <w:rFonts w:ascii="宋体" w:hAnsi="宋体" w:eastAsia="宋体" w:cs="宋体"/>
          <w:spacing w:val="-2"/>
          <w:sz w:val="28"/>
          <w:szCs w:val="28"/>
          <w:lang w:eastAsia="zh-CN"/>
        </w:rPr>
        <w:t>善处理；</w:t>
      </w:r>
    </w:p>
    <w:p w14:paraId="74DD4415">
      <w:pPr>
        <w:spacing w:line="360" w:lineRule="auto"/>
        <w:jc w:val="center"/>
        <w:outlineLvl w:val="1"/>
        <w:rPr>
          <w:rFonts w:ascii="Times New Roman" w:hAnsi="Times New Roman" w:eastAsia="Times New Roman" w:cs="Times New Roman"/>
          <w:b/>
          <w:bCs/>
          <w:spacing w:val="-4"/>
          <w:sz w:val="30"/>
          <w:szCs w:val="30"/>
          <w:lang w:eastAsia="zh-CN"/>
        </w:rPr>
      </w:pPr>
      <w:bookmarkStart w:id="282" w:name="bookmark62"/>
      <w:bookmarkEnd w:id="282"/>
      <w:bookmarkStart w:id="283" w:name="_Toc8334"/>
      <w:bookmarkStart w:id="284" w:name="_Toc16376"/>
      <w:r>
        <w:rPr>
          <w:rFonts w:ascii="Times New Roman" w:hAnsi="Times New Roman" w:eastAsia="Times New Roman" w:cs="Times New Roman"/>
          <w:b/>
          <w:bCs/>
          <w:spacing w:val="-4"/>
          <w:sz w:val="30"/>
          <w:szCs w:val="30"/>
          <w:lang w:eastAsia="zh-CN"/>
        </w:rPr>
        <w:t xml:space="preserve">6.3 </w:t>
      </w:r>
      <w:r>
        <w:rPr>
          <w:rFonts w:hint="eastAsia" w:ascii="黑体" w:hAnsi="黑体" w:eastAsia="黑体" w:cs="黑体"/>
          <w:b/>
          <w:bCs/>
          <w:spacing w:val="-4"/>
          <w:sz w:val="30"/>
          <w:szCs w:val="30"/>
          <w:lang w:eastAsia="zh-CN"/>
        </w:rPr>
        <w:t>排洪系统单元</w:t>
      </w:r>
      <w:bookmarkEnd w:id="283"/>
      <w:bookmarkEnd w:id="284"/>
    </w:p>
    <w:p w14:paraId="6789D33C">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）加强对排水构筑物的动态监测，发现异常情况应及时处理。</w:t>
      </w:r>
    </w:p>
    <w:p w14:paraId="2D799D82">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）加强汛期库、坝的防汛工作，了解和掌握汛期水情和气象预报，</w:t>
      </w:r>
      <w:r>
        <w:rPr>
          <w:rFonts w:ascii="宋体" w:hAnsi="宋体" w:eastAsia="宋体" w:cs="宋体"/>
          <w:spacing w:val="7"/>
          <w:sz w:val="28"/>
          <w:szCs w:val="28"/>
          <w:lang w:eastAsia="zh-CN"/>
        </w:rPr>
        <w:t>切实落实防汛措施。对排洪系统及坝体必须进行详</w:t>
      </w:r>
      <w:r>
        <w:rPr>
          <w:rFonts w:ascii="宋体" w:hAnsi="宋体" w:eastAsia="宋体" w:cs="宋体"/>
          <w:spacing w:val="6"/>
          <w:sz w:val="28"/>
          <w:szCs w:val="28"/>
          <w:lang w:eastAsia="zh-CN"/>
        </w:rPr>
        <w:t>细检查和维护，疏浚排</w:t>
      </w:r>
      <w:r>
        <w:rPr>
          <w:rFonts w:ascii="宋体" w:hAnsi="宋体" w:eastAsia="宋体" w:cs="宋体"/>
          <w:spacing w:val="7"/>
          <w:sz w:val="28"/>
          <w:szCs w:val="28"/>
          <w:lang w:eastAsia="zh-CN"/>
        </w:rPr>
        <w:t>洪通道。对检查中发现的问题要立即采取有效措施</w:t>
      </w:r>
      <w:r>
        <w:rPr>
          <w:rFonts w:ascii="宋体" w:hAnsi="宋体" w:eastAsia="宋体" w:cs="宋体"/>
          <w:spacing w:val="6"/>
          <w:sz w:val="28"/>
          <w:szCs w:val="28"/>
          <w:lang w:eastAsia="zh-CN"/>
        </w:rPr>
        <w:t>进行解决，确保尾矿库</w:t>
      </w:r>
      <w:r>
        <w:rPr>
          <w:rFonts w:ascii="宋体" w:hAnsi="宋体" w:eastAsia="宋体" w:cs="宋体"/>
          <w:spacing w:val="-2"/>
          <w:sz w:val="28"/>
          <w:szCs w:val="28"/>
          <w:lang w:eastAsia="zh-CN"/>
        </w:rPr>
        <w:t>安全度汛；</w:t>
      </w:r>
    </w:p>
    <w:p w14:paraId="2D9C4F9B">
      <w:pPr>
        <w:spacing w:line="360" w:lineRule="auto"/>
        <w:rPr>
          <w:rFonts w:hint="eastAsia" w:ascii="宋体" w:hAnsi="宋体" w:eastAsia="宋体" w:cs="宋体"/>
          <w:sz w:val="28"/>
          <w:szCs w:val="28"/>
          <w:lang w:eastAsia="zh-CN"/>
        </w:rPr>
      </w:pPr>
    </w:p>
    <w:p w14:paraId="75247211">
      <w:pPr>
        <w:spacing w:line="360" w:lineRule="auto"/>
        <w:ind w:firstLine="556" w:firstLineChars="200"/>
        <w:rPr>
          <w:rFonts w:hint="default" w:ascii="Times New Roman" w:hAnsi="Times New Roman" w:eastAsia="宋体" w:cs="Times New Roman"/>
          <w:spacing w:val="-1"/>
          <w:sz w:val="28"/>
          <w:szCs w:val="28"/>
          <w:lang w:val="en-US" w:eastAsia="zh-CN"/>
        </w:rPr>
      </w:pPr>
      <w:r>
        <w:rPr>
          <w:rFonts w:hint="default" w:ascii="Times New Roman" w:hAnsi="Times New Roman" w:eastAsia="宋体" w:cs="Times New Roman"/>
          <w:spacing w:val="-1"/>
          <w:sz w:val="28"/>
          <w:szCs w:val="28"/>
          <w:lang w:val="en-US" w:eastAsia="zh-CN"/>
        </w:rPr>
        <w:t>（3）排水井进水口应进行定期检查和清理，发现问题及时修复；</w:t>
      </w:r>
    </w:p>
    <w:p w14:paraId="60A6BCCE">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4）</w:t>
      </w:r>
      <w:r>
        <w:rPr>
          <w:rFonts w:hint="default" w:ascii="Times New Roman" w:hAnsi="Times New Roman" w:eastAsia="宋体" w:cs="Times New Roman"/>
          <w:spacing w:val="-1"/>
          <w:sz w:val="28"/>
          <w:szCs w:val="28"/>
          <w:lang w:eastAsia="zh-CN"/>
        </w:rPr>
        <w:t>尾矿库在正常使用过程中，必需保证尾矿库的水面标高与坝顶的安全超高及</w:t>
      </w:r>
      <w:r>
        <w:rPr>
          <w:rFonts w:hint="eastAsia" w:ascii="Times New Roman" w:hAnsi="Times New Roman" w:eastAsia="宋体" w:cs="Times New Roman"/>
          <w:spacing w:val="-1"/>
          <w:sz w:val="28"/>
          <w:szCs w:val="28"/>
          <w:lang w:val="en-US" w:eastAsia="zh-CN"/>
        </w:rPr>
        <w:t>干滩长度</w:t>
      </w:r>
      <w:r>
        <w:rPr>
          <w:rFonts w:hint="default" w:ascii="Times New Roman" w:hAnsi="Times New Roman" w:eastAsia="宋体" w:cs="Times New Roman"/>
          <w:spacing w:val="-1"/>
          <w:sz w:val="28"/>
          <w:szCs w:val="28"/>
          <w:lang w:eastAsia="zh-CN"/>
        </w:rPr>
        <w:t>满足规范要求；</w:t>
      </w:r>
    </w:p>
    <w:p w14:paraId="77A62052">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5</w:t>
      </w:r>
      <w:r>
        <w:rPr>
          <w:rFonts w:hint="default" w:ascii="Times New Roman" w:hAnsi="Times New Roman" w:eastAsia="宋体" w:cs="Times New Roman"/>
          <w:spacing w:val="-1"/>
          <w:sz w:val="28"/>
          <w:szCs w:val="28"/>
          <w:lang w:eastAsia="zh-CN"/>
        </w:rPr>
        <w:t>）洪水过后应对坝体和排洪构筑物进行全面认真的检查与清理，发 现问题及时修复。同时，采取措施降低库内水位，防止连续降雨后发生溃 坝事故；</w:t>
      </w:r>
    </w:p>
    <w:p w14:paraId="3B32E2CD">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6</w:t>
      </w:r>
      <w:r>
        <w:rPr>
          <w:rFonts w:hint="default" w:ascii="Times New Roman" w:hAnsi="Times New Roman" w:eastAsia="宋体" w:cs="Times New Roman"/>
          <w:spacing w:val="-1"/>
          <w:sz w:val="28"/>
          <w:szCs w:val="28"/>
          <w:lang w:eastAsia="zh-CN"/>
        </w:rPr>
        <w:t>）每年汛期前应进行调洪演算，复核尾矿库的防洪能力，提出防洪 安全控制参数；</w:t>
      </w:r>
    </w:p>
    <w:p w14:paraId="2A339370">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7</w:t>
      </w:r>
      <w:r>
        <w:rPr>
          <w:rFonts w:hint="default" w:ascii="Times New Roman" w:hAnsi="Times New Roman" w:eastAsia="宋体" w:cs="Times New Roman"/>
          <w:spacing w:val="-1"/>
          <w:sz w:val="28"/>
          <w:szCs w:val="28"/>
          <w:lang w:eastAsia="zh-CN"/>
        </w:rPr>
        <w:t>）每隔3年应进行一次排洪构筑物检测；</w:t>
      </w:r>
    </w:p>
    <w:p w14:paraId="17ABF5AC">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8</w:t>
      </w:r>
      <w:r>
        <w:rPr>
          <w:rFonts w:hint="default" w:ascii="Times New Roman" w:hAnsi="Times New Roman" w:eastAsia="宋体" w:cs="Times New Roman"/>
          <w:spacing w:val="-1"/>
          <w:sz w:val="28"/>
          <w:szCs w:val="28"/>
          <w:lang w:eastAsia="zh-CN"/>
        </w:rPr>
        <w:t>）冬季尾矿库的排洪、回水系统应经常检查进出口结冰情况，及时 破除排水系统周边浮冰，破冰时应避免对排水系统结构造成破坏。</w:t>
      </w:r>
    </w:p>
    <w:p w14:paraId="3AFC93FD">
      <w:pPr>
        <w:spacing w:line="360" w:lineRule="auto"/>
        <w:jc w:val="center"/>
        <w:outlineLvl w:val="1"/>
        <w:rPr>
          <w:rFonts w:ascii="Times New Roman" w:hAnsi="Times New Roman" w:eastAsia="黑体" w:cs="Times New Roman"/>
          <w:b/>
          <w:bCs/>
          <w:spacing w:val="-4"/>
          <w:sz w:val="30"/>
          <w:szCs w:val="30"/>
          <w:lang w:eastAsia="zh-CN"/>
        </w:rPr>
      </w:pPr>
      <w:bookmarkStart w:id="285" w:name="bookmark64"/>
      <w:bookmarkEnd w:id="285"/>
      <w:bookmarkStart w:id="286" w:name="_Toc17008"/>
      <w:bookmarkStart w:id="287" w:name="_Toc24913"/>
      <w:r>
        <w:rPr>
          <w:rFonts w:ascii="Times New Roman" w:hAnsi="Times New Roman" w:eastAsia="黑体" w:cs="Times New Roman"/>
          <w:b/>
          <w:bCs/>
          <w:spacing w:val="-4"/>
          <w:sz w:val="30"/>
          <w:szCs w:val="30"/>
          <w:lang w:eastAsia="zh-CN"/>
        </w:rPr>
        <w:t>6.4 安全监测设施单元</w:t>
      </w:r>
      <w:bookmarkEnd w:id="286"/>
      <w:bookmarkEnd w:id="287"/>
    </w:p>
    <w:p w14:paraId="06C615D9">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监测设施作为重要的安全设施，应建立健全相应的定期观测、观测数</w:t>
      </w:r>
      <w:r>
        <w:rPr>
          <w:rFonts w:ascii="宋体" w:hAnsi="宋体" w:eastAsia="宋体" w:cs="宋体"/>
          <w:spacing w:val="2"/>
          <w:sz w:val="28"/>
          <w:szCs w:val="28"/>
          <w:lang w:eastAsia="zh-CN"/>
        </w:rPr>
        <w:t xml:space="preserve"> </w:t>
      </w:r>
      <w:r>
        <w:rPr>
          <w:rFonts w:ascii="宋体" w:hAnsi="宋体" w:eastAsia="宋体" w:cs="宋体"/>
          <w:spacing w:val="7"/>
          <w:sz w:val="28"/>
          <w:szCs w:val="28"/>
          <w:lang w:eastAsia="zh-CN"/>
        </w:rPr>
        <w:t>据记录与分析、设施维护等各项管理制度和档案；</w:t>
      </w:r>
      <w:r>
        <w:rPr>
          <w:rFonts w:ascii="宋体" w:hAnsi="宋体" w:eastAsia="宋体" w:cs="宋体"/>
          <w:spacing w:val="6"/>
          <w:sz w:val="28"/>
          <w:szCs w:val="28"/>
          <w:lang w:eastAsia="zh-CN"/>
        </w:rPr>
        <w:t>发现诸如坝体变形及检</w:t>
      </w:r>
      <w:r>
        <w:rPr>
          <w:rFonts w:ascii="宋体" w:hAnsi="宋体" w:eastAsia="宋体" w:cs="宋体"/>
          <w:sz w:val="28"/>
          <w:szCs w:val="28"/>
          <w:lang w:eastAsia="zh-CN"/>
        </w:rPr>
        <w:t xml:space="preserve"> </w:t>
      </w:r>
      <w:r>
        <w:rPr>
          <w:rFonts w:ascii="宋体" w:hAnsi="宋体" w:eastAsia="宋体" w:cs="宋体"/>
          <w:spacing w:val="7"/>
          <w:sz w:val="28"/>
          <w:szCs w:val="28"/>
          <w:lang w:eastAsia="zh-CN"/>
        </w:rPr>
        <w:t>测数据有突变或逐年增大等问题时，要及时分析研</w:t>
      </w:r>
      <w:r>
        <w:rPr>
          <w:rFonts w:ascii="宋体" w:hAnsi="宋体" w:eastAsia="宋体" w:cs="宋体"/>
          <w:spacing w:val="6"/>
          <w:sz w:val="28"/>
          <w:szCs w:val="28"/>
          <w:lang w:eastAsia="zh-CN"/>
        </w:rPr>
        <w:t>究，查明原因，采取有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效措施，妥善处理。</w:t>
      </w:r>
    </w:p>
    <w:p w14:paraId="7840DD80">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）企业在后续的使用过程中，不仅应按照设计要求也要满足现行规</w:t>
      </w:r>
      <w:r>
        <w:rPr>
          <w:rFonts w:ascii="宋体" w:hAnsi="宋体" w:eastAsia="宋体" w:cs="宋体"/>
          <w:spacing w:val="3"/>
          <w:sz w:val="28"/>
          <w:szCs w:val="28"/>
          <w:lang w:eastAsia="zh-CN"/>
        </w:rPr>
        <w:t xml:space="preserve"> </w:t>
      </w:r>
      <w:r>
        <w:rPr>
          <w:rFonts w:ascii="宋体" w:hAnsi="宋体" w:eastAsia="宋体" w:cs="宋体"/>
          <w:spacing w:val="-2"/>
          <w:sz w:val="28"/>
          <w:szCs w:val="28"/>
          <w:lang w:eastAsia="zh-CN"/>
        </w:rPr>
        <w:t>范要求设置监测设施；</w:t>
      </w:r>
    </w:p>
    <w:p w14:paraId="6B7E7620">
      <w:pPr>
        <w:spacing w:line="360" w:lineRule="auto"/>
        <w:ind w:firstLine="53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）企业应加强监测设施的检查维护，加强对监测结果的统计分析，</w:t>
      </w:r>
      <w:r>
        <w:rPr>
          <w:rFonts w:ascii="宋体" w:hAnsi="宋体" w:eastAsia="宋体" w:cs="宋体"/>
          <w:spacing w:val="2"/>
          <w:sz w:val="28"/>
          <w:szCs w:val="28"/>
          <w:lang w:eastAsia="zh-CN"/>
        </w:rPr>
        <w:t xml:space="preserve"> </w:t>
      </w:r>
      <w:r>
        <w:rPr>
          <w:rFonts w:ascii="宋体" w:hAnsi="宋体" w:eastAsia="宋体" w:cs="宋体"/>
          <w:spacing w:val="-4"/>
          <w:sz w:val="28"/>
          <w:szCs w:val="28"/>
          <w:lang w:eastAsia="zh-CN"/>
        </w:rPr>
        <w:t>以指导尾矿库的正常运行。</w:t>
      </w:r>
    </w:p>
    <w:p w14:paraId="6D86A8ED">
      <w:pPr>
        <w:spacing w:line="360" w:lineRule="auto"/>
        <w:jc w:val="center"/>
        <w:outlineLvl w:val="1"/>
        <w:rPr>
          <w:rFonts w:hint="eastAsia" w:ascii="黑体" w:hAnsi="黑体" w:eastAsia="黑体" w:cs="黑体"/>
          <w:sz w:val="30"/>
          <w:szCs w:val="30"/>
          <w:lang w:eastAsia="zh-CN"/>
        </w:rPr>
      </w:pPr>
      <w:bookmarkStart w:id="288" w:name="bookmark66"/>
      <w:bookmarkEnd w:id="288"/>
      <w:bookmarkStart w:id="289" w:name="_Toc12602"/>
      <w:bookmarkStart w:id="290" w:name="_Toc31074"/>
      <w:r>
        <w:rPr>
          <w:rFonts w:ascii="Times New Roman" w:hAnsi="Times New Roman" w:eastAsia="Times New Roman" w:cs="Times New Roman"/>
          <w:b/>
          <w:bCs/>
          <w:spacing w:val="-4"/>
          <w:sz w:val="30"/>
          <w:szCs w:val="30"/>
          <w:lang w:eastAsia="zh-CN"/>
        </w:rPr>
        <w:t xml:space="preserve">6.5 </w:t>
      </w:r>
      <w:r>
        <w:rPr>
          <w:rFonts w:ascii="黑体" w:hAnsi="黑体" w:eastAsia="黑体" w:cs="黑体"/>
          <w:b/>
          <w:bCs/>
          <w:spacing w:val="-4"/>
          <w:sz w:val="30"/>
          <w:szCs w:val="30"/>
          <w:lang w:eastAsia="zh-CN"/>
        </w:rPr>
        <w:t>安全管理单元</w:t>
      </w:r>
      <w:bookmarkEnd w:id="289"/>
      <w:bookmarkEnd w:id="290"/>
    </w:p>
    <w:p w14:paraId="620B7D50">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）编制年、季作业计划和详细运行图表，并配备懂尾矿库技术方</w:t>
      </w:r>
      <w:r>
        <w:rPr>
          <w:rFonts w:ascii="宋体" w:hAnsi="宋体" w:eastAsia="宋体" w:cs="宋体"/>
          <w:spacing w:val="9"/>
          <w:sz w:val="28"/>
          <w:szCs w:val="28"/>
          <w:lang w:eastAsia="zh-CN"/>
        </w:rPr>
        <w:t xml:space="preserve"> </w:t>
      </w:r>
      <w:r>
        <w:rPr>
          <w:rFonts w:ascii="宋体" w:hAnsi="宋体" w:eastAsia="宋体" w:cs="宋体"/>
          <w:spacing w:val="-2"/>
          <w:sz w:val="28"/>
          <w:szCs w:val="28"/>
          <w:lang w:eastAsia="zh-CN"/>
        </w:rPr>
        <w:t>面的技术人员；</w:t>
      </w:r>
    </w:p>
    <w:p w14:paraId="6DD35195">
      <w:pPr>
        <w:spacing w:line="360" w:lineRule="auto"/>
        <w:ind w:firstLine="565"/>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）后续的安全管理要求应及时按照现行的法律法规进行更新和完</w:t>
      </w:r>
      <w:r>
        <w:rPr>
          <w:rFonts w:ascii="宋体" w:hAnsi="宋体" w:eastAsia="宋体" w:cs="宋体"/>
          <w:spacing w:val="12"/>
          <w:sz w:val="28"/>
          <w:szCs w:val="28"/>
          <w:lang w:eastAsia="zh-CN"/>
        </w:rPr>
        <w:t xml:space="preserve"> </w:t>
      </w:r>
      <w:r>
        <w:rPr>
          <w:rFonts w:ascii="宋体" w:hAnsi="宋体" w:eastAsia="宋体" w:cs="宋体"/>
          <w:spacing w:val="-7"/>
          <w:sz w:val="28"/>
          <w:szCs w:val="28"/>
          <w:lang w:eastAsia="zh-CN"/>
        </w:rPr>
        <w:t>善；</w:t>
      </w:r>
    </w:p>
    <w:p w14:paraId="5EEDB411">
      <w:pPr>
        <w:spacing w:line="360" w:lineRule="auto"/>
        <w:ind w:firstLine="561"/>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3</w:t>
      </w:r>
      <w:r>
        <w:rPr>
          <w:rFonts w:ascii="宋体" w:hAnsi="宋体" w:eastAsia="宋体" w:cs="宋体"/>
          <w:spacing w:val="6"/>
          <w:sz w:val="28"/>
          <w:szCs w:val="28"/>
          <w:lang w:eastAsia="zh-CN"/>
        </w:rPr>
        <w:t>）加强生产运行期间的管理，严格巡查制度，发现安全隐患及时</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处理，做好抢险应急预案及演练工作；</w:t>
      </w:r>
    </w:p>
    <w:p w14:paraId="0EFEA2B6">
      <w:pPr>
        <w:spacing w:line="360" w:lineRule="auto"/>
        <w:ind w:firstLine="584" w:firstLineChars="200"/>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）加强企业法人是尾矿库安全生产第一责任人</w:t>
      </w:r>
      <w:r>
        <w:rPr>
          <w:rFonts w:hint="eastAsia" w:ascii="宋体" w:hAnsi="宋体" w:eastAsia="宋体" w:cs="宋体"/>
          <w:spacing w:val="6"/>
          <w:sz w:val="28"/>
          <w:szCs w:val="28"/>
          <w:lang w:eastAsia="zh-CN"/>
        </w:rPr>
        <w:t>，</w:t>
      </w:r>
      <w:r>
        <w:rPr>
          <w:rFonts w:ascii="宋体" w:hAnsi="宋体" w:eastAsia="宋体" w:cs="宋体"/>
          <w:spacing w:val="6"/>
          <w:sz w:val="28"/>
          <w:szCs w:val="28"/>
          <w:lang w:eastAsia="zh-CN"/>
        </w:rPr>
        <w:t>对尾矿库的安全</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生产负主要责任的意识；</w:t>
      </w:r>
    </w:p>
    <w:p w14:paraId="59B4CA27">
      <w:pPr>
        <w:spacing w:line="360" w:lineRule="auto"/>
        <w:ind w:firstLine="567"/>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5</w:t>
      </w:r>
      <w:r>
        <w:rPr>
          <w:rFonts w:ascii="宋体" w:hAnsi="宋体" w:eastAsia="宋体" w:cs="宋体"/>
          <w:spacing w:val="6"/>
          <w:sz w:val="28"/>
          <w:szCs w:val="28"/>
          <w:lang w:eastAsia="zh-CN"/>
        </w:rPr>
        <w:t>）加强尾矿库管理机构各岗位人员的培训工作，培训内容包括：</w:t>
      </w:r>
      <w:r>
        <w:rPr>
          <w:rFonts w:ascii="宋体" w:hAnsi="宋体" w:eastAsia="宋体" w:cs="宋体"/>
          <w:spacing w:val="4"/>
          <w:sz w:val="28"/>
          <w:szCs w:val="28"/>
          <w:lang w:eastAsia="zh-CN"/>
        </w:rPr>
        <w:t xml:space="preserve"> </w:t>
      </w:r>
      <w:r>
        <w:rPr>
          <w:rFonts w:ascii="宋体" w:hAnsi="宋体" w:eastAsia="宋体" w:cs="宋体"/>
          <w:spacing w:val="2"/>
          <w:sz w:val="28"/>
          <w:szCs w:val="28"/>
          <w:lang w:eastAsia="zh-CN"/>
        </w:rPr>
        <w:t>尾矿库安全管理方面的各项管理制度、岗位职责、尾矿库专业</w:t>
      </w:r>
      <w:r>
        <w:rPr>
          <w:rFonts w:ascii="宋体" w:hAnsi="宋体" w:eastAsia="宋体" w:cs="宋体"/>
          <w:spacing w:val="1"/>
          <w:sz w:val="28"/>
          <w:szCs w:val="28"/>
          <w:lang w:eastAsia="zh-CN"/>
        </w:rPr>
        <w:t>知识，掌握</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设计文件及有关规定，了解尾矿处理的工艺，熟悉国家或部门</w:t>
      </w:r>
      <w:r>
        <w:rPr>
          <w:rFonts w:ascii="宋体" w:hAnsi="宋体" w:eastAsia="宋体" w:cs="宋体"/>
          <w:spacing w:val="1"/>
          <w:sz w:val="28"/>
          <w:szCs w:val="28"/>
          <w:lang w:eastAsia="zh-CN"/>
        </w:rPr>
        <w:t>有关标准及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规定、规范等；</w:t>
      </w:r>
    </w:p>
    <w:p w14:paraId="07BC1030">
      <w:pPr>
        <w:spacing w:line="360" w:lineRule="auto"/>
        <w:ind w:firstLine="55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6</w:t>
      </w:r>
      <w:r>
        <w:rPr>
          <w:rFonts w:ascii="宋体" w:hAnsi="宋体" w:eastAsia="宋体" w:cs="宋体"/>
          <w:spacing w:val="6"/>
          <w:sz w:val="28"/>
          <w:szCs w:val="28"/>
          <w:lang w:eastAsia="zh-CN"/>
        </w:rPr>
        <w:t>）按时修订应急预案，并在日常工作中注重预案的演练工作，不</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断提高各级人员的应变能力和事故处理能力，并根据演练结果不断完善应</w:t>
      </w:r>
    </w:p>
    <w:p w14:paraId="54C5C8FE">
      <w:pPr>
        <w:spacing w:line="360" w:lineRule="auto"/>
        <w:rPr>
          <w:rFonts w:hint="eastAsia" w:ascii="宋体" w:hAnsi="宋体" w:eastAsia="宋体" w:cs="宋体"/>
          <w:sz w:val="28"/>
          <w:szCs w:val="28"/>
          <w:lang w:eastAsia="zh-CN"/>
        </w:rPr>
      </w:pPr>
      <w:r>
        <w:rPr>
          <w:rFonts w:ascii="宋体" w:hAnsi="宋体" w:eastAsia="宋体" w:cs="宋体"/>
          <w:spacing w:val="-5"/>
          <w:sz w:val="28"/>
          <w:szCs w:val="28"/>
          <w:lang w:eastAsia="zh-CN"/>
        </w:rPr>
        <w:t>急预案。</w:t>
      </w:r>
    </w:p>
    <w:p w14:paraId="42BCA405">
      <w:pPr>
        <w:spacing w:line="360" w:lineRule="auto"/>
        <w:rPr>
          <w:rFonts w:hint="eastAsia" w:ascii="宋体" w:hAnsi="宋体" w:eastAsia="宋体" w:cs="宋体"/>
          <w:sz w:val="28"/>
          <w:szCs w:val="28"/>
          <w:lang w:eastAsia="zh-CN"/>
        </w:rPr>
        <w:sectPr>
          <w:headerReference r:id="rId27" w:type="default"/>
          <w:footerReference r:id="rId28" w:type="default"/>
          <w:pgSz w:w="11906" w:h="16839"/>
          <w:pgMar w:top="1150" w:right="1133" w:bottom="1315" w:left="1588" w:header="868" w:footer="986" w:gutter="0"/>
          <w:cols w:space="720" w:num="1"/>
        </w:sectPr>
      </w:pPr>
    </w:p>
    <w:p w14:paraId="59ED354C">
      <w:pPr>
        <w:spacing w:line="360" w:lineRule="auto"/>
        <w:jc w:val="center"/>
        <w:outlineLvl w:val="0"/>
        <w:rPr>
          <w:rFonts w:hint="eastAsia" w:ascii="黑体" w:hAnsi="黑体" w:eastAsia="黑体" w:cs="黑体"/>
          <w:sz w:val="31"/>
          <w:szCs w:val="31"/>
          <w:lang w:eastAsia="zh-CN"/>
        </w:rPr>
      </w:pPr>
      <w:bookmarkStart w:id="291" w:name="bookmark68"/>
      <w:bookmarkEnd w:id="291"/>
      <w:bookmarkStart w:id="292" w:name="_Toc8426"/>
      <w:bookmarkStart w:id="293" w:name="_Toc14549"/>
      <w:r>
        <w:rPr>
          <w:rFonts w:ascii="Times New Roman" w:hAnsi="Times New Roman" w:eastAsia="Times New Roman" w:cs="Times New Roman"/>
          <w:b/>
          <w:bCs/>
          <w:spacing w:val="2"/>
          <w:sz w:val="31"/>
          <w:szCs w:val="31"/>
          <w:lang w:eastAsia="zh-CN"/>
        </w:rPr>
        <w:t xml:space="preserve">7 </w:t>
      </w:r>
      <w:r>
        <w:rPr>
          <w:rFonts w:ascii="黑体" w:hAnsi="黑体" w:eastAsia="黑体" w:cs="黑体"/>
          <w:b/>
          <w:bCs/>
          <w:spacing w:val="2"/>
          <w:sz w:val="31"/>
          <w:szCs w:val="31"/>
          <w:lang w:eastAsia="zh-CN"/>
        </w:rPr>
        <w:t>评价结论</w:t>
      </w:r>
      <w:bookmarkEnd w:id="292"/>
      <w:bookmarkEnd w:id="293"/>
    </w:p>
    <w:p w14:paraId="7C228A82">
      <w:pPr>
        <w:spacing w:line="360" w:lineRule="auto"/>
        <w:jc w:val="center"/>
        <w:outlineLvl w:val="1"/>
        <w:rPr>
          <w:rFonts w:hint="eastAsia" w:ascii="黑体" w:hAnsi="黑体" w:eastAsia="黑体" w:cs="黑体"/>
          <w:sz w:val="30"/>
          <w:szCs w:val="30"/>
          <w:lang w:eastAsia="zh-CN"/>
        </w:rPr>
      </w:pPr>
      <w:bookmarkStart w:id="294" w:name="bookmark70"/>
      <w:bookmarkEnd w:id="294"/>
      <w:bookmarkStart w:id="295" w:name="_Toc29228"/>
      <w:bookmarkStart w:id="296" w:name="_Toc28391"/>
      <w:r>
        <w:rPr>
          <w:rFonts w:ascii="Times New Roman" w:hAnsi="Times New Roman" w:eastAsia="Times New Roman" w:cs="Times New Roman"/>
          <w:b/>
          <w:bCs/>
          <w:spacing w:val="-4"/>
          <w:sz w:val="30"/>
          <w:szCs w:val="30"/>
          <w:lang w:eastAsia="zh-CN"/>
        </w:rPr>
        <w:t xml:space="preserve">7.1 </w:t>
      </w:r>
      <w:r>
        <w:rPr>
          <w:rFonts w:ascii="黑体" w:hAnsi="黑体" w:eastAsia="黑体" w:cs="黑体"/>
          <w:b/>
          <w:bCs/>
          <w:spacing w:val="-4"/>
          <w:sz w:val="30"/>
          <w:szCs w:val="30"/>
          <w:lang w:eastAsia="zh-CN"/>
        </w:rPr>
        <w:t>安全现状综合评述</w:t>
      </w:r>
      <w:bookmarkEnd w:id="295"/>
      <w:bookmarkEnd w:id="296"/>
    </w:p>
    <w:p w14:paraId="54289EA0">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通过本次安全评价可以确认，</w:t>
      </w:r>
      <w:r>
        <w:rPr>
          <w:rFonts w:hint="eastAsia" w:ascii="宋体" w:hAnsi="宋体" w:eastAsia="宋体" w:cs="宋体"/>
          <w:spacing w:val="2"/>
          <w:sz w:val="28"/>
          <w:szCs w:val="28"/>
          <w:lang w:eastAsia="zh-CN"/>
        </w:rPr>
        <w:t>凤城市添合矿业有限公司</w:t>
      </w:r>
      <w:r>
        <w:rPr>
          <w:rFonts w:ascii="宋体" w:hAnsi="宋体" w:eastAsia="宋体" w:cs="宋体"/>
          <w:spacing w:val="2"/>
          <w:sz w:val="28"/>
          <w:szCs w:val="28"/>
          <w:lang w:eastAsia="zh-CN"/>
        </w:rPr>
        <w:t>尾</w:t>
      </w:r>
      <w:r>
        <w:rPr>
          <w:rFonts w:ascii="宋体" w:hAnsi="宋体" w:eastAsia="宋体" w:cs="宋体"/>
          <w:spacing w:val="1"/>
          <w:sz w:val="28"/>
          <w:szCs w:val="28"/>
          <w:lang w:eastAsia="zh-CN"/>
        </w:rPr>
        <w:t>矿库安</w:t>
      </w:r>
      <w:r>
        <w:rPr>
          <w:rFonts w:ascii="宋体" w:hAnsi="宋体" w:eastAsia="宋体" w:cs="宋体"/>
          <w:spacing w:val="-1"/>
          <w:sz w:val="28"/>
          <w:szCs w:val="28"/>
          <w:lang w:eastAsia="zh-CN"/>
        </w:rPr>
        <w:t>全设施健全，安全生产管理满足要求。</w:t>
      </w:r>
    </w:p>
    <w:p w14:paraId="355A54A4">
      <w:pPr>
        <w:spacing w:line="360" w:lineRule="auto"/>
        <w:jc w:val="center"/>
        <w:outlineLvl w:val="1"/>
        <w:rPr>
          <w:rFonts w:ascii="Times New Roman" w:hAnsi="Times New Roman" w:eastAsia="Times New Roman" w:cs="Times New Roman"/>
          <w:b/>
          <w:bCs/>
          <w:spacing w:val="-4"/>
          <w:sz w:val="30"/>
          <w:szCs w:val="30"/>
          <w:lang w:eastAsia="zh-CN"/>
        </w:rPr>
      </w:pPr>
      <w:bookmarkStart w:id="297" w:name="bookmark72"/>
      <w:bookmarkEnd w:id="297"/>
      <w:bookmarkStart w:id="298" w:name="_Toc29470"/>
      <w:bookmarkStart w:id="299" w:name="_Toc31269"/>
      <w:r>
        <w:rPr>
          <w:rFonts w:ascii="Times New Roman" w:hAnsi="Times New Roman" w:eastAsia="Times New Roman" w:cs="Times New Roman"/>
          <w:b/>
          <w:bCs/>
          <w:spacing w:val="-4"/>
          <w:sz w:val="30"/>
          <w:szCs w:val="30"/>
          <w:lang w:eastAsia="zh-CN"/>
        </w:rPr>
        <w:t xml:space="preserve">7.2 </w:t>
      </w:r>
      <w:r>
        <w:rPr>
          <w:rFonts w:hint="eastAsia" w:ascii="黑体" w:hAnsi="黑体" w:eastAsia="黑体" w:cs="黑体"/>
          <w:b/>
          <w:bCs/>
          <w:spacing w:val="-4"/>
          <w:sz w:val="30"/>
          <w:szCs w:val="30"/>
          <w:lang w:eastAsia="zh-CN"/>
        </w:rPr>
        <w:t>各评价单元评价结果</w:t>
      </w:r>
      <w:bookmarkEnd w:id="298"/>
      <w:bookmarkEnd w:id="299"/>
    </w:p>
    <w:p w14:paraId="656DDC5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）周边环境单元</w:t>
      </w:r>
    </w:p>
    <w:p w14:paraId="42ABABE2">
      <w:pPr>
        <w:spacing w:line="360" w:lineRule="auto"/>
        <w:ind w:firstLine="56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评价组采用</w:t>
      </w:r>
      <w:r>
        <w:rPr>
          <w:rFonts w:ascii="宋体" w:hAnsi="宋体" w:eastAsia="宋体" w:cs="宋体"/>
          <w:spacing w:val="2"/>
          <w:sz w:val="28"/>
          <w:szCs w:val="28"/>
          <w:lang w:eastAsia="zh-CN"/>
        </w:rPr>
        <w:t>安全检查表法对尾矿库周边环境单元进行评价</w:t>
      </w:r>
      <w:r>
        <w:rPr>
          <w:rFonts w:ascii="宋体" w:hAnsi="宋体" w:eastAsia="宋体" w:cs="宋体"/>
          <w:spacing w:val="1"/>
          <w:sz w:val="28"/>
          <w:szCs w:val="28"/>
          <w:lang w:eastAsia="zh-CN"/>
        </w:rPr>
        <w:t>：该尾</w:t>
      </w:r>
      <w:r>
        <w:rPr>
          <w:rFonts w:ascii="宋体" w:hAnsi="宋体" w:eastAsia="宋体" w:cs="宋体"/>
          <w:spacing w:val="2"/>
          <w:sz w:val="28"/>
          <w:szCs w:val="28"/>
          <w:lang w:eastAsia="zh-CN"/>
        </w:rPr>
        <w:t>矿库区域构造稳定，库区周边没有发现诸如爆破、采石、挖砂、</w:t>
      </w:r>
      <w:r>
        <w:rPr>
          <w:rFonts w:ascii="宋体" w:hAnsi="宋体" w:eastAsia="宋体" w:cs="宋体"/>
          <w:spacing w:val="1"/>
          <w:sz w:val="28"/>
          <w:szCs w:val="28"/>
          <w:lang w:eastAsia="zh-CN"/>
        </w:rPr>
        <w:t>取水、放</w:t>
      </w:r>
      <w:r>
        <w:rPr>
          <w:rFonts w:ascii="宋体" w:hAnsi="宋体" w:eastAsia="宋体" w:cs="宋体"/>
          <w:spacing w:val="2"/>
          <w:sz w:val="28"/>
          <w:szCs w:val="28"/>
          <w:lang w:eastAsia="zh-CN"/>
        </w:rPr>
        <w:t>牧、开垦等违章活动。尾矿库内未发现大面积滑坡、塌方及泥石</w:t>
      </w:r>
      <w:r>
        <w:rPr>
          <w:rFonts w:ascii="宋体" w:hAnsi="宋体" w:eastAsia="宋体" w:cs="宋体"/>
          <w:spacing w:val="1"/>
          <w:sz w:val="28"/>
          <w:szCs w:val="28"/>
          <w:lang w:eastAsia="zh-CN"/>
        </w:rPr>
        <w:t>流迹象，</w:t>
      </w:r>
      <w:r>
        <w:rPr>
          <w:rFonts w:ascii="宋体" w:hAnsi="宋体" w:eastAsia="宋体" w:cs="宋体"/>
          <w:spacing w:val="2"/>
          <w:sz w:val="28"/>
          <w:szCs w:val="28"/>
          <w:lang w:eastAsia="zh-CN"/>
        </w:rPr>
        <w:t>库区边坡整体稳定性较好，尾矿库与周边环境的相互影响在可控范围内。周边环境单元满足规</w:t>
      </w:r>
      <w:r>
        <w:rPr>
          <w:rFonts w:ascii="宋体" w:hAnsi="宋体" w:eastAsia="宋体" w:cs="宋体"/>
          <w:spacing w:val="1"/>
          <w:sz w:val="28"/>
          <w:szCs w:val="28"/>
          <w:lang w:eastAsia="zh-CN"/>
        </w:rPr>
        <w:t>范、规程</w:t>
      </w:r>
      <w:r>
        <w:rPr>
          <w:rFonts w:ascii="宋体" w:hAnsi="宋体" w:eastAsia="宋体" w:cs="宋体"/>
          <w:sz w:val="28"/>
          <w:szCs w:val="28"/>
          <w:lang w:eastAsia="zh-CN"/>
        </w:rPr>
        <w:t>要求，具备安全生产条件。</w:t>
      </w:r>
    </w:p>
    <w:p w14:paraId="4EEDDD9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165B81B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评价组采用安全检查表法和定量分析法对尾矿坝单元进行评价：该尾</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矿库坝体结构完好，轮廓尺寸符合设计要求，无渗漏、管涌、沼</w:t>
      </w:r>
      <w:r>
        <w:rPr>
          <w:rFonts w:ascii="宋体" w:hAnsi="宋体" w:eastAsia="宋体" w:cs="宋体"/>
          <w:spacing w:val="1"/>
          <w:sz w:val="28"/>
          <w:szCs w:val="28"/>
          <w:lang w:eastAsia="zh-CN"/>
        </w:rPr>
        <w:t>泽化、裂</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缝和滑坡现象。尾矿坝现状的渗流稳定性良好，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渗流破坏。尾矿坝现状的抗滑稳定性满足设计及规范要求。</w:t>
      </w:r>
      <w:r>
        <w:rPr>
          <w:rFonts w:hint="eastAsia" w:ascii="宋体" w:hAnsi="宋体" w:eastAsia="宋体" w:cs="宋体"/>
          <w:spacing w:val="2"/>
          <w:sz w:val="28"/>
          <w:szCs w:val="28"/>
          <w:lang w:val="en-US" w:eastAsia="zh-CN"/>
        </w:rPr>
        <w:t>尾矿库下个周期间的坝体稳定性满足设计要求。</w:t>
      </w:r>
      <w:r>
        <w:rPr>
          <w:rFonts w:ascii="宋体" w:hAnsi="宋体" w:eastAsia="宋体" w:cs="宋体"/>
          <w:spacing w:val="1"/>
          <w:sz w:val="28"/>
          <w:szCs w:val="28"/>
          <w:lang w:eastAsia="zh-CN"/>
        </w:rPr>
        <w:t>尾矿库坝</w:t>
      </w:r>
      <w:r>
        <w:rPr>
          <w:rFonts w:ascii="宋体" w:hAnsi="宋体" w:eastAsia="宋体" w:cs="宋体"/>
          <w:spacing w:val="2"/>
          <w:sz w:val="28"/>
          <w:szCs w:val="28"/>
          <w:lang w:eastAsia="zh-CN"/>
        </w:rPr>
        <w:t>体符合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，具备安</w:t>
      </w:r>
      <w:r>
        <w:rPr>
          <w:rFonts w:ascii="宋体" w:hAnsi="宋体" w:eastAsia="宋体" w:cs="宋体"/>
          <w:spacing w:val="-1"/>
          <w:sz w:val="28"/>
          <w:szCs w:val="28"/>
          <w:lang w:eastAsia="zh-CN"/>
        </w:rPr>
        <w:t>全生产条件。</w:t>
      </w:r>
    </w:p>
    <w:p w14:paraId="4F8C0D5D">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3</w:t>
      </w:r>
      <w:r>
        <w:rPr>
          <w:rFonts w:ascii="宋体" w:hAnsi="宋体" w:eastAsia="宋体" w:cs="宋体"/>
          <w:spacing w:val="-3"/>
          <w:sz w:val="28"/>
          <w:szCs w:val="28"/>
          <w:lang w:eastAsia="zh-CN"/>
        </w:rPr>
        <w:t>）排洪系统单元</w:t>
      </w:r>
    </w:p>
    <w:p w14:paraId="4AE9985A">
      <w:pPr>
        <w:keepNext w:val="0"/>
        <w:keepLines w:val="0"/>
        <w:pageBreakBefore w:val="0"/>
        <w:widowControl/>
        <w:kinsoku w:val="0"/>
        <w:wordWrap/>
        <w:overflowPunct/>
        <w:topLinePunct w:val="0"/>
        <w:autoSpaceDE w:val="0"/>
        <w:autoSpaceDN w:val="0"/>
        <w:bidi w:val="0"/>
        <w:adjustRightInd w:val="0"/>
        <w:snapToGrid w:val="0"/>
        <w:spacing w:line="360" w:lineRule="auto"/>
        <w:ind w:firstLine="568" w:firstLineChars="200"/>
        <w:textAlignment w:val="baseline"/>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评价组采用安全检查表法和定量分析法对排洪系统单元进行评价</w:t>
      </w:r>
      <w:r>
        <w:rPr>
          <w:rFonts w:ascii="宋体" w:hAnsi="宋体" w:eastAsia="宋体" w:cs="宋体"/>
          <w:spacing w:val="1"/>
          <w:sz w:val="28"/>
          <w:szCs w:val="28"/>
          <w:lang w:eastAsia="zh-CN"/>
        </w:rPr>
        <w:t>：该</w:t>
      </w:r>
      <w:r>
        <w:rPr>
          <w:rFonts w:ascii="宋体" w:hAnsi="宋体" w:eastAsia="宋体" w:cs="宋体"/>
          <w:spacing w:val="-2"/>
          <w:sz w:val="28"/>
          <w:szCs w:val="28"/>
          <w:lang w:eastAsia="zh-CN"/>
        </w:rPr>
        <w:t>尾矿库排洪系统结构完好，断面尺寸符合设计要求，排洪构筑物运行正常。</w:t>
      </w:r>
      <w:r>
        <w:rPr>
          <w:rFonts w:ascii="宋体" w:hAnsi="宋体" w:eastAsia="宋体" w:cs="宋体"/>
          <w:spacing w:val="2"/>
          <w:sz w:val="28"/>
          <w:szCs w:val="28"/>
          <w:lang w:eastAsia="zh-CN"/>
        </w:rPr>
        <w:t>尾矿库现状的防洪能力符合设计及规范要求。</w:t>
      </w:r>
      <w:r>
        <w:rPr>
          <w:rFonts w:hint="eastAsia" w:ascii="宋体" w:hAnsi="宋体" w:eastAsia="宋体" w:cs="宋体"/>
          <w:spacing w:val="2"/>
          <w:sz w:val="28"/>
          <w:szCs w:val="28"/>
          <w:lang w:val="en-US" w:eastAsia="zh-CN"/>
        </w:rPr>
        <w:t>尾矿库下个评价周期的防洪能力满足设计要求。</w:t>
      </w:r>
      <w:r>
        <w:rPr>
          <w:rFonts w:ascii="宋体" w:hAnsi="宋体" w:eastAsia="宋体" w:cs="宋体"/>
          <w:spacing w:val="2"/>
          <w:sz w:val="28"/>
          <w:szCs w:val="28"/>
          <w:lang w:eastAsia="zh-CN"/>
        </w:rPr>
        <w:t>排洪系统符合有关安全生产法律法规、规章、规范性</w:t>
      </w:r>
      <w:r>
        <w:rPr>
          <w:rFonts w:ascii="宋体" w:hAnsi="宋体" w:eastAsia="宋体" w:cs="宋体"/>
          <w:spacing w:val="1"/>
          <w:sz w:val="28"/>
          <w:szCs w:val="28"/>
          <w:lang w:eastAsia="zh-CN"/>
        </w:rPr>
        <w:t>文件和标准的</w:t>
      </w:r>
      <w:r>
        <w:rPr>
          <w:rFonts w:ascii="宋体" w:hAnsi="宋体" w:eastAsia="宋体" w:cs="宋体"/>
          <w:spacing w:val="-1"/>
          <w:sz w:val="28"/>
          <w:szCs w:val="28"/>
          <w:lang w:eastAsia="zh-CN"/>
        </w:rPr>
        <w:t>规定，具备安全生产条件。</w:t>
      </w:r>
    </w:p>
    <w:p w14:paraId="7E86A04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211CA39B">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评价组采用安全检查表法对尾矿库安全监测设施单元进行评价：该尾</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矿库安全监测系统运行正常，监测设施无损坏，监测点布置、监</w:t>
      </w:r>
      <w:r>
        <w:rPr>
          <w:rFonts w:ascii="宋体" w:hAnsi="宋体" w:eastAsia="宋体" w:cs="宋体"/>
          <w:spacing w:val="1"/>
          <w:sz w:val="28"/>
          <w:szCs w:val="28"/>
          <w:lang w:eastAsia="zh-CN"/>
        </w:rPr>
        <w:t>测内容等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符合设计及规范要求。</w:t>
      </w:r>
      <w:r>
        <w:rPr>
          <w:rFonts w:hint="eastAsia" w:ascii="宋体" w:hAnsi="宋体" w:eastAsia="宋体" w:cs="宋体"/>
          <w:spacing w:val="2"/>
          <w:sz w:val="28"/>
          <w:szCs w:val="28"/>
          <w:lang w:val="en-US" w:eastAsia="zh-CN"/>
        </w:rPr>
        <w:t>坝体</w:t>
      </w:r>
      <w:r>
        <w:rPr>
          <w:rFonts w:ascii="宋体" w:hAnsi="宋体" w:eastAsia="宋体" w:cs="宋体"/>
          <w:spacing w:val="2"/>
          <w:sz w:val="28"/>
          <w:szCs w:val="28"/>
          <w:lang w:eastAsia="zh-CN"/>
        </w:rPr>
        <w:t>位移量较小且无突变现象，坝体逐</w:t>
      </w:r>
      <w:r>
        <w:rPr>
          <w:rFonts w:ascii="宋体" w:hAnsi="宋体" w:eastAsia="宋体" w:cs="宋体"/>
          <w:spacing w:val="1"/>
          <w:sz w:val="28"/>
          <w:szCs w:val="28"/>
          <w:lang w:eastAsia="zh-CN"/>
        </w:rPr>
        <w:t>渐趋于稳</w:t>
      </w:r>
      <w:r>
        <w:rPr>
          <w:rFonts w:ascii="宋体" w:hAnsi="宋体" w:eastAsia="宋体" w:cs="宋体"/>
          <w:spacing w:val="2"/>
          <w:sz w:val="28"/>
          <w:szCs w:val="28"/>
          <w:lang w:eastAsia="zh-CN"/>
        </w:rPr>
        <w:t>定。安全监测设施符合有关安全生产法律法规、规章、规范性文</w:t>
      </w:r>
      <w:r>
        <w:rPr>
          <w:rFonts w:ascii="宋体" w:hAnsi="宋体" w:eastAsia="宋体" w:cs="宋体"/>
          <w:spacing w:val="1"/>
          <w:sz w:val="28"/>
          <w:szCs w:val="28"/>
          <w:lang w:eastAsia="zh-CN"/>
        </w:rPr>
        <w:t>件和标准</w:t>
      </w:r>
      <w:r>
        <w:rPr>
          <w:rFonts w:ascii="宋体" w:hAnsi="宋体" w:eastAsia="宋体" w:cs="宋体"/>
          <w:spacing w:val="-1"/>
          <w:sz w:val="28"/>
          <w:szCs w:val="28"/>
          <w:lang w:eastAsia="zh-CN"/>
        </w:rPr>
        <w:t>的规定，具备安全生产条件。</w:t>
      </w:r>
    </w:p>
    <w:p w14:paraId="62BD2C33">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5</w:t>
      </w:r>
      <w:r>
        <w:rPr>
          <w:rFonts w:ascii="宋体" w:hAnsi="宋体" w:eastAsia="宋体" w:cs="宋体"/>
          <w:spacing w:val="-3"/>
          <w:sz w:val="28"/>
          <w:szCs w:val="28"/>
          <w:lang w:eastAsia="zh-CN"/>
        </w:rPr>
        <w:t>）辅助设施单元</w:t>
      </w:r>
    </w:p>
    <w:p w14:paraId="0E5597E4">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评价组采用安全检查表法对尾矿库辅助设施单元进行评价：尾矿库已</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按设计要求建设道路、通讯、照明、</w:t>
      </w:r>
      <w:r>
        <w:rPr>
          <w:rFonts w:hint="eastAsia" w:ascii="宋体" w:hAnsi="宋体" w:eastAsia="宋体" w:cs="宋体"/>
          <w:spacing w:val="2"/>
          <w:sz w:val="28"/>
          <w:szCs w:val="28"/>
          <w:lang w:eastAsia="zh-CN"/>
        </w:rPr>
        <w:t>值班室</w:t>
      </w:r>
      <w:r>
        <w:rPr>
          <w:rFonts w:ascii="宋体" w:hAnsi="宋体" w:eastAsia="宋体" w:cs="宋体"/>
          <w:spacing w:val="2"/>
          <w:sz w:val="28"/>
          <w:szCs w:val="28"/>
          <w:lang w:eastAsia="zh-CN"/>
        </w:rPr>
        <w:t>等设施</w:t>
      </w:r>
      <w:r>
        <w:rPr>
          <w:rFonts w:ascii="宋体" w:hAnsi="宋体" w:eastAsia="宋体" w:cs="宋体"/>
          <w:spacing w:val="1"/>
          <w:sz w:val="28"/>
          <w:szCs w:val="28"/>
          <w:lang w:eastAsia="zh-CN"/>
        </w:rPr>
        <w:t>，各设施安全有</w:t>
      </w:r>
      <w:r>
        <w:rPr>
          <w:rFonts w:ascii="宋体" w:hAnsi="宋体" w:eastAsia="宋体" w:cs="宋体"/>
          <w:spacing w:val="-1"/>
          <w:sz w:val="28"/>
          <w:szCs w:val="28"/>
          <w:lang w:eastAsia="zh-CN"/>
        </w:rPr>
        <w:t>效，符合规范及设计要求，具备安全生产条件。</w:t>
      </w:r>
    </w:p>
    <w:p w14:paraId="04B0C6DF">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6</w:t>
      </w:r>
      <w:r>
        <w:rPr>
          <w:rFonts w:ascii="宋体" w:hAnsi="宋体" w:eastAsia="宋体" w:cs="宋体"/>
          <w:spacing w:val="-3"/>
          <w:sz w:val="28"/>
          <w:szCs w:val="28"/>
          <w:lang w:eastAsia="zh-CN"/>
        </w:rPr>
        <w:t>）安全管理单元</w:t>
      </w:r>
    </w:p>
    <w:p w14:paraId="0CC9FF9A">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评价组采用安全检查表法对尾矿库安全管理单元进行评价：企业设立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安全科，制定了全员安全生产责任制、安全生产规章制度</w:t>
      </w:r>
      <w:r>
        <w:rPr>
          <w:rFonts w:ascii="宋体" w:hAnsi="宋体" w:eastAsia="宋体" w:cs="宋体"/>
          <w:spacing w:val="-3"/>
          <w:sz w:val="28"/>
          <w:szCs w:val="28"/>
          <w:lang w:eastAsia="zh-CN"/>
        </w:rPr>
        <w:t>和岗位操作规程，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制定应急预案并定期组织应急演练。职工上岗经过安全教育培训</w:t>
      </w:r>
      <w:r>
        <w:rPr>
          <w:rFonts w:ascii="宋体" w:hAnsi="宋体" w:eastAsia="宋体" w:cs="宋体"/>
          <w:spacing w:val="1"/>
          <w:sz w:val="28"/>
          <w:szCs w:val="28"/>
          <w:lang w:eastAsia="zh-CN"/>
        </w:rPr>
        <w:t>，特种作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业人员</w:t>
      </w:r>
      <w:r>
        <w:rPr>
          <w:rFonts w:hint="eastAsia" w:ascii="宋体" w:hAnsi="宋体" w:eastAsia="宋体" w:cs="宋体"/>
          <w:spacing w:val="2"/>
          <w:sz w:val="28"/>
          <w:szCs w:val="28"/>
          <w:lang w:eastAsia="zh-CN"/>
        </w:rPr>
        <w:t>均</w:t>
      </w:r>
      <w:r>
        <w:rPr>
          <w:rFonts w:ascii="宋体" w:hAnsi="宋体" w:eastAsia="宋体" w:cs="宋体"/>
          <w:spacing w:val="2"/>
          <w:sz w:val="28"/>
          <w:szCs w:val="28"/>
          <w:lang w:eastAsia="zh-CN"/>
        </w:rPr>
        <w:t>持证上岗，管理人员</w:t>
      </w:r>
      <w:r>
        <w:rPr>
          <w:rFonts w:hint="eastAsia" w:ascii="宋体" w:hAnsi="宋体" w:eastAsia="宋体" w:cs="宋体"/>
          <w:spacing w:val="2"/>
          <w:sz w:val="28"/>
          <w:szCs w:val="28"/>
          <w:lang w:eastAsia="zh-CN"/>
        </w:rPr>
        <w:t>、</w:t>
      </w:r>
      <w:r>
        <w:rPr>
          <w:rFonts w:ascii="宋体" w:hAnsi="宋体" w:eastAsia="宋体" w:cs="宋体"/>
          <w:spacing w:val="2"/>
          <w:sz w:val="28"/>
          <w:szCs w:val="28"/>
          <w:lang w:eastAsia="zh-CN"/>
        </w:rPr>
        <w:t>技术人员</w:t>
      </w:r>
      <w:r>
        <w:rPr>
          <w:rFonts w:hint="eastAsia" w:ascii="宋体" w:hAnsi="宋体" w:eastAsia="宋体" w:cs="宋体"/>
          <w:spacing w:val="2"/>
          <w:sz w:val="28"/>
          <w:szCs w:val="28"/>
          <w:lang w:eastAsia="zh-CN"/>
        </w:rPr>
        <w:t>及注安人员</w:t>
      </w:r>
      <w:r>
        <w:rPr>
          <w:rFonts w:ascii="宋体" w:hAnsi="宋体" w:eastAsia="宋体" w:cs="宋体"/>
          <w:spacing w:val="2"/>
          <w:sz w:val="28"/>
          <w:szCs w:val="28"/>
          <w:lang w:eastAsia="zh-CN"/>
        </w:rPr>
        <w:t>具有丰富的实践经验。安</w:t>
      </w:r>
      <w:r>
        <w:rPr>
          <w:rFonts w:ascii="宋体" w:hAnsi="宋体" w:eastAsia="宋体" w:cs="宋体"/>
          <w:spacing w:val="1"/>
          <w:sz w:val="28"/>
          <w:szCs w:val="28"/>
          <w:lang w:eastAsia="zh-CN"/>
        </w:rPr>
        <w:t>全管理单</w:t>
      </w:r>
      <w:r>
        <w:rPr>
          <w:rFonts w:ascii="宋体" w:hAnsi="宋体" w:eastAsia="宋体" w:cs="宋体"/>
          <w:spacing w:val="-1"/>
          <w:sz w:val="28"/>
          <w:szCs w:val="28"/>
          <w:lang w:eastAsia="zh-CN"/>
        </w:rPr>
        <w:t>元满足规范、规程要求，具备安全生产条件。</w:t>
      </w:r>
    </w:p>
    <w:p w14:paraId="3C5F7F54">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36A47ED3">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评价组采用安全检查表法对尾矿库重大隐患判定单元进行评价：</w:t>
      </w:r>
      <w:r>
        <w:rPr>
          <w:rFonts w:hint="eastAsia" w:ascii="宋体" w:hAnsi="宋体" w:eastAsia="宋体" w:cs="宋体"/>
          <w:spacing w:val="2"/>
          <w:sz w:val="28"/>
          <w:szCs w:val="28"/>
          <w:lang w:eastAsia="zh-CN"/>
        </w:rPr>
        <w:t>企业</w:t>
      </w:r>
      <w:r>
        <w:rPr>
          <w:rFonts w:ascii="宋体" w:hAnsi="宋体" w:eastAsia="宋体" w:cs="宋体"/>
          <w:spacing w:val="7"/>
          <w:sz w:val="28"/>
          <w:szCs w:val="28"/>
          <w:lang w:eastAsia="zh-CN"/>
        </w:rPr>
        <w:t>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val="en-US" w:eastAsia="zh-CN"/>
        </w:rPr>
        <w:t>尾矿坝、</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洪系统、安全监测系统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w:t>
      </w:r>
      <w:r>
        <w:rPr>
          <w:rFonts w:ascii="宋体" w:hAnsi="宋体" w:eastAsia="宋体" w:cs="宋体"/>
          <w:spacing w:val="1"/>
          <w:sz w:val="28"/>
          <w:szCs w:val="28"/>
          <w:lang w:eastAsia="zh-CN"/>
        </w:rPr>
        <w:t>企业</w:t>
      </w:r>
      <w:r>
        <w:rPr>
          <w:rFonts w:ascii="宋体" w:hAnsi="宋体" w:eastAsia="宋体" w:cs="宋体"/>
          <w:spacing w:val="2"/>
          <w:sz w:val="28"/>
          <w:szCs w:val="28"/>
          <w:lang w:eastAsia="zh-CN"/>
        </w:rPr>
        <w:t>配备尾矿库专职安全管理人员和专业技术人员；该尾矿库符</w:t>
      </w:r>
      <w:r>
        <w:rPr>
          <w:rFonts w:ascii="宋体" w:hAnsi="宋体" w:eastAsia="宋体" w:cs="宋体"/>
          <w:spacing w:val="1"/>
          <w:sz w:val="28"/>
          <w:szCs w:val="28"/>
          <w:lang w:eastAsia="zh-CN"/>
        </w:rPr>
        <w:t>合《国家矿</w:t>
      </w:r>
      <w:r>
        <w:rPr>
          <w:rFonts w:ascii="宋体" w:hAnsi="宋体" w:eastAsia="宋体" w:cs="宋体"/>
          <w:spacing w:val="-1"/>
          <w:sz w:val="28"/>
          <w:szCs w:val="28"/>
          <w:lang w:eastAsia="zh-CN"/>
        </w:rPr>
        <w:t>山安全监察局关于印发</w:t>
      </w:r>
      <w:r>
        <w:rPr>
          <w:rFonts w:ascii="Times New Roman" w:hAnsi="Times New Roman" w:eastAsia="Times New Roman" w:cs="Times New Roman"/>
          <w:spacing w:val="-1"/>
          <w:sz w:val="28"/>
          <w:szCs w:val="28"/>
          <w:lang w:eastAsia="zh-CN"/>
        </w:rPr>
        <w:t>&lt;</w:t>
      </w:r>
      <w:r>
        <w:rPr>
          <w:rFonts w:ascii="宋体" w:hAnsi="宋体" w:eastAsia="宋体" w:cs="宋体"/>
          <w:spacing w:val="-1"/>
          <w:sz w:val="28"/>
          <w:szCs w:val="28"/>
          <w:lang w:eastAsia="zh-CN"/>
        </w:rPr>
        <w:t>金属非金属矿山重大事故隐患判定标准</w:t>
      </w:r>
      <w:r>
        <w:rPr>
          <w:rFonts w:ascii="Times New Roman" w:hAnsi="Times New Roman" w:eastAsia="Times New Roman" w:cs="Times New Roman"/>
          <w:spacing w:val="-1"/>
          <w:sz w:val="28"/>
          <w:szCs w:val="28"/>
          <w:lang w:eastAsia="zh-CN"/>
        </w:rPr>
        <w:t>&gt;</w:t>
      </w:r>
      <w:r>
        <w:rPr>
          <w:rFonts w:ascii="Times New Roman" w:hAnsi="Times New Roman" w:eastAsia="Times New Roman" w:cs="Times New Roman"/>
          <w:spacing w:val="-28"/>
          <w:sz w:val="28"/>
          <w:szCs w:val="28"/>
          <w:lang w:eastAsia="zh-CN"/>
        </w:rPr>
        <w:t xml:space="preserve"> </w:t>
      </w:r>
      <w:r>
        <w:rPr>
          <w:rFonts w:ascii="宋体" w:hAnsi="宋体" w:eastAsia="宋体" w:cs="宋体"/>
          <w:spacing w:val="-1"/>
          <w:sz w:val="28"/>
          <w:szCs w:val="28"/>
          <w:lang w:eastAsia="zh-CN"/>
        </w:rPr>
        <w:t>的通知》</w:t>
      </w:r>
      <w:r>
        <w:rPr>
          <w:rFonts w:ascii="宋体" w:hAnsi="宋体" w:eastAsia="宋体" w:cs="宋体"/>
          <w:spacing w:val="6"/>
          <w:sz w:val="28"/>
          <w:szCs w:val="28"/>
          <w:lang w:eastAsia="zh-CN"/>
        </w:rPr>
        <w:t>（矿安</w:t>
      </w:r>
      <w:r>
        <w:rPr>
          <w:rFonts w:ascii="Times New Roman" w:hAnsi="Times New Roman" w:eastAsia="Times New Roman" w:cs="Times New Roman"/>
          <w:spacing w:val="6"/>
          <w:sz w:val="28"/>
          <w:szCs w:val="28"/>
          <w:lang w:eastAsia="zh-CN"/>
        </w:rPr>
        <w:t>[2022]88</w:t>
      </w:r>
      <w:r>
        <w:rPr>
          <w:rFonts w:ascii="宋体" w:hAnsi="宋体" w:eastAsia="宋体" w:cs="宋体"/>
          <w:spacing w:val="6"/>
          <w:sz w:val="28"/>
          <w:szCs w:val="28"/>
          <w:lang w:eastAsia="zh-CN"/>
        </w:rPr>
        <w:t>号）、《国家矿山</w:t>
      </w:r>
      <w:r>
        <w:rPr>
          <w:rFonts w:ascii="宋体" w:hAnsi="宋体" w:eastAsia="宋体" w:cs="宋体"/>
          <w:spacing w:val="5"/>
          <w:sz w:val="28"/>
          <w:szCs w:val="28"/>
          <w:lang w:eastAsia="zh-CN"/>
        </w:rPr>
        <w:t>安全监察局关于印发</w:t>
      </w:r>
      <w:r>
        <w:rPr>
          <w:rFonts w:ascii="Times New Roman" w:hAnsi="Times New Roman" w:eastAsia="Times New Roman" w:cs="Times New Roman"/>
          <w:spacing w:val="5"/>
          <w:sz w:val="28"/>
          <w:szCs w:val="28"/>
          <w:lang w:eastAsia="zh-CN"/>
        </w:rPr>
        <w:t>&lt;</w:t>
      </w:r>
      <w:r>
        <w:rPr>
          <w:rFonts w:ascii="宋体" w:hAnsi="宋体" w:eastAsia="宋体" w:cs="宋体"/>
          <w:spacing w:val="5"/>
          <w:sz w:val="28"/>
          <w:szCs w:val="28"/>
          <w:lang w:eastAsia="zh-CN"/>
        </w:rPr>
        <w:t>金属非金属矿山</w:t>
      </w:r>
      <w:r>
        <w:rPr>
          <w:rFonts w:ascii="宋体" w:hAnsi="宋体" w:eastAsia="宋体" w:cs="宋体"/>
          <w:spacing w:val="6"/>
          <w:sz w:val="28"/>
          <w:szCs w:val="28"/>
          <w:lang w:eastAsia="zh-CN"/>
        </w:rPr>
        <w:t>重大事故隐患判定标准补充情形</w:t>
      </w:r>
      <w:r>
        <w:rPr>
          <w:rFonts w:ascii="Times New Roman" w:hAnsi="Times New Roman" w:eastAsia="Times New Roman" w:cs="Times New Roman"/>
          <w:spacing w:val="6"/>
          <w:sz w:val="28"/>
          <w:szCs w:val="28"/>
          <w:lang w:eastAsia="zh-CN"/>
        </w:rPr>
        <w:t>&gt;</w:t>
      </w:r>
      <w:r>
        <w:rPr>
          <w:rFonts w:ascii="Times New Roman" w:hAnsi="Times New Roman" w:eastAsia="Times New Roman" w:cs="Times New Roman"/>
          <w:spacing w:val="-15"/>
          <w:sz w:val="28"/>
          <w:szCs w:val="28"/>
          <w:lang w:eastAsia="zh-CN"/>
        </w:rPr>
        <w:t xml:space="preserve"> </w:t>
      </w:r>
      <w:r>
        <w:rPr>
          <w:rFonts w:ascii="宋体" w:hAnsi="宋体" w:eastAsia="宋体" w:cs="宋体"/>
          <w:spacing w:val="6"/>
          <w:sz w:val="28"/>
          <w:szCs w:val="28"/>
          <w:lang w:eastAsia="zh-CN"/>
        </w:rPr>
        <w:t>的通知》（矿安</w:t>
      </w:r>
      <w:r>
        <w:rPr>
          <w:rFonts w:ascii="Times New Roman" w:hAnsi="Times New Roman" w:eastAsia="Times New Roman" w:cs="Times New Roman"/>
          <w:spacing w:val="6"/>
          <w:sz w:val="28"/>
          <w:szCs w:val="28"/>
          <w:lang w:eastAsia="zh-CN"/>
        </w:rPr>
        <w:t>[2024]41</w:t>
      </w:r>
      <w:r>
        <w:rPr>
          <w:rFonts w:ascii="宋体" w:hAnsi="宋体" w:eastAsia="宋体" w:cs="宋体"/>
          <w:spacing w:val="6"/>
          <w:sz w:val="28"/>
          <w:szCs w:val="28"/>
          <w:lang w:eastAsia="zh-CN"/>
        </w:rPr>
        <w:t>号）中各项规</w:t>
      </w:r>
      <w:r>
        <w:rPr>
          <w:rFonts w:ascii="宋体" w:hAnsi="宋体" w:eastAsia="宋体" w:cs="宋体"/>
          <w:spacing w:val="-1"/>
          <w:sz w:val="28"/>
          <w:szCs w:val="28"/>
          <w:lang w:eastAsia="zh-CN"/>
        </w:rPr>
        <w:t>定。尾矿库无重大隐患，具备安全生产条件。</w:t>
      </w:r>
    </w:p>
    <w:p w14:paraId="5FA23F2A">
      <w:pPr>
        <w:spacing w:line="360" w:lineRule="auto"/>
        <w:ind w:firstLine="540" w:firstLineChars="200"/>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8</w:t>
      </w:r>
      <w:r>
        <w:rPr>
          <w:rFonts w:ascii="宋体" w:hAnsi="宋体" w:eastAsia="宋体" w:cs="宋体"/>
          <w:spacing w:val="-5"/>
          <w:sz w:val="28"/>
          <w:szCs w:val="28"/>
          <w:lang w:eastAsia="zh-CN"/>
        </w:rPr>
        <w:t>）“延期换证审核</w:t>
      </w:r>
      <w:r>
        <w:rPr>
          <w:rFonts w:ascii="宋体" w:hAnsi="宋体" w:eastAsia="宋体" w:cs="宋体"/>
          <w:spacing w:val="-94"/>
          <w:sz w:val="28"/>
          <w:szCs w:val="28"/>
          <w:lang w:eastAsia="zh-CN"/>
        </w:rPr>
        <w:t xml:space="preserve"> </w:t>
      </w:r>
      <w:r>
        <w:rPr>
          <w:rFonts w:ascii="宋体" w:hAnsi="宋体" w:eastAsia="宋体" w:cs="宋体"/>
          <w:spacing w:val="-5"/>
          <w:sz w:val="28"/>
          <w:szCs w:val="28"/>
          <w:lang w:eastAsia="zh-CN"/>
        </w:rPr>
        <w:t>”单元</w:t>
      </w:r>
    </w:p>
    <w:p w14:paraId="6E5E1847">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评价组采用安全检查表法对“延期换证审核</w:t>
      </w:r>
      <w:r>
        <w:rPr>
          <w:rFonts w:ascii="宋体" w:hAnsi="宋体" w:eastAsia="宋体" w:cs="宋体"/>
          <w:spacing w:val="-100"/>
          <w:sz w:val="28"/>
          <w:szCs w:val="28"/>
          <w:lang w:eastAsia="zh-CN"/>
        </w:rPr>
        <w:t xml:space="preserve"> </w:t>
      </w:r>
      <w:r>
        <w:rPr>
          <w:rFonts w:ascii="宋体" w:hAnsi="宋体" w:eastAsia="宋体" w:cs="宋体"/>
          <w:spacing w:val="1"/>
          <w:sz w:val="28"/>
          <w:szCs w:val="28"/>
          <w:lang w:eastAsia="zh-CN"/>
        </w:rPr>
        <w:t>”单</w:t>
      </w:r>
      <w:r>
        <w:rPr>
          <w:rFonts w:ascii="宋体" w:hAnsi="宋体" w:eastAsia="宋体" w:cs="宋体"/>
          <w:sz w:val="28"/>
          <w:szCs w:val="28"/>
          <w:lang w:eastAsia="zh-CN"/>
        </w:rPr>
        <w:t xml:space="preserve">元进行符合性评价， </w:t>
      </w:r>
      <w:r>
        <w:rPr>
          <w:rFonts w:ascii="宋体" w:hAnsi="宋体" w:eastAsia="宋体" w:cs="宋体"/>
          <w:spacing w:val="2"/>
          <w:sz w:val="28"/>
          <w:szCs w:val="28"/>
          <w:lang w:eastAsia="zh-CN"/>
        </w:rPr>
        <w:t>该尾矿库延期安全生产许可证材料符合《辽宁省安全生产监督管理</w:t>
      </w:r>
      <w:r>
        <w:rPr>
          <w:rFonts w:ascii="宋体" w:hAnsi="宋体" w:eastAsia="宋体" w:cs="宋体"/>
          <w:spacing w:val="1"/>
          <w:sz w:val="28"/>
          <w:szCs w:val="28"/>
          <w:lang w:eastAsia="zh-CN"/>
        </w:rPr>
        <w:t>局关于</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进一步规范非煤矿矿山安全生产行政许可管理工作的通知》（辽安</w:t>
      </w:r>
      <w:r>
        <w:rPr>
          <w:rFonts w:ascii="宋体" w:hAnsi="宋体" w:eastAsia="宋体" w:cs="宋体"/>
          <w:spacing w:val="1"/>
          <w:sz w:val="28"/>
          <w:szCs w:val="28"/>
          <w:lang w:eastAsia="zh-CN"/>
        </w:rPr>
        <w:t>监非煤</w:t>
      </w:r>
      <w:r>
        <w:rPr>
          <w:rFonts w:ascii="宋体" w:hAnsi="宋体" w:eastAsia="宋体" w:cs="宋体"/>
          <w:sz w:val="28"/>
          <w:szCs w:val="28"/>
          <w:lang w:eastAsia="zh-CN"/>
        </w:rPr>
        <w:t xml:space="preserve"> </w:t>
      </w:r>
      <w:r>
        <w:rPr>
          <w:rFonts w:ascii="Times New Roman" w:hAnsi="Times New Roman" w:eastAsia="Times New Roman" w:cs="Times New Roman"/>
          <w:spacing w:val="-3"/>
          <w:sz w:val="28"/>
          <w:szCs w:val="28"/>
          <w:lang w:eastAsia="zh-CN"/>
        </w:rPr>
        <w:t xml:space="preserve">[2018]29 </w:t>
      </w:r>
      <w:r>
        <w:rPr>
          <w:rFonts w:ascii="宋体" w:hAnsi="宋体" w:eastAsia="宋体" w:cs="宋体"/>
          <w:spacing w:val="-3"/>
          <w:sz w:val="28"/>
          <w:szCs w:val="28"/>
          <w:lang w:eastAsia="zh-CN"/>
        </w:rPr>
        <w:t>号）。</w:t>
      </w:r>
    </w:p>
    <w:p w14:paraId="2AD65CD2">
      <w:pPr>
        <w:spacing w:line="360" w:lineRule="auto"/>
        <w:jc w:val="center"/>
        <w:outlineLvl w:val="1"/>
        <w:rPr>
          <w:rFonts w:ascii="Times New Roman" w:hAnsi="Times New Roman" w:eastAsia="Times New Roman" w:cs="Times New Roman"/>
          <w:b/>
          <w:bCs/>
          <w:spacing w:val="-4"/>
          <w:sz w:val="30"/>
          <w:szCs w:val="30"/>
          <w:lang w:eastAsia="zh-CN"/>
        </w:rPr>
        <w:sectPr>
          <w:headerReference r:id="rId29" w:type="default"/>
          <w:footerReference r:id="rId30" w:type="default"/>
          <w:pgSz w:w="11906" w:h="16839"/>
          <w:pgMar w:top="1150" w:right="1133" w:bottom="1315" w:left="1588" w:header="868" w:footer="986" w:gutter="0"/>
          <w:cols w:space="720" w:num="1"/>
        </w:sectPr>
      </w:pPr>
      <w:bookmarkStart w:id="300" w:name="bookmark74"/>
      <w:bookmarkEnd w:id="300"/>
      <w:bookmarkStart w:id="301" w:name="_Toc20756"/>
    </w:p>
    <w:p w14:paraId="7CB3B608">
      <w:pPr>
        <w:spacing w:line="360" w:lineRule="auto"/>
        <w:jc w:val="center"/>
        <w:outlineLvl w:val="1"/>
        <w:rPr>
          <w:rFonts w:ascii="Times New Roman" w:hAnsi="Times New Roman" w:eastAsia="Times New Roman" w:cs="Times New Roman"/>
          <w:b/>
          <w:bCs/>
          <w:spacing w:val="-4"/>
          <w:sz w:val="30"/>
          <w:szCs w:val="30"/>
          <w:lang w:eastAsia="zh-CN"/>
        </w:rPr>
      </w:pPr>
      <w:bookmarkStart w:id="302" w:name="_Toc28671"/>
      <w:r>
        <w:rPr>
          <w:rFonts w:ascii="Times New Roman" w:hAnsi="Times New Roman" w:eastAsia="Times New Roman" w:cs="Times New Roman"/>
          <w:b/>
          <w:bCs/>
          <w:spacing w:val="-4"/>
          <w:sz w:val="30"/>
          <w:szCs w:val="30"/>
          <w:lang w:eastAsia="zh-CN"/>
        </w:rPr>
        <w:t xml:space="preserve">7.3 </w:t>
      </w:r>
      <w:r>
        <w:rPr>
          <w:rFonts w:hint="eastAsia" w:ascii="黑体" w:hAnsi="黑体" w:eastAsia="黑体" w:cs="黑体"/>
          <w:b/>
          <w:bCs/>
          <w:spacing w:val="-4"/>
          <w:sz w:val="30"/>
          <w:szCs w:val="30"/>
          <w:lang w:eastAsia="zh-CN"/>
        </w:rPr>
        <w:t>总体评价结论</w:t>
      </w:r>
      <w:bookmarkEnd w:id="301"/>
      <w:bookmarkEnd w:id="302"/>
    </w:p>
    <w:p w14:paraId="155B57A1">
      <w:pPr>
        <w:spacing w:line="360" w:lineRule="auto"/>
        <w:ind w:firstLine="562"/>
        <w:rPr>
          <w:rFonts w:hint="eastAsia" w:ascii="宋体" w:hAnsi="宋体" w:eastAsia="宋体" w:cs="宋体"/>
          <w:sz w:val="28"/>
          <w:szCs w:val="28"/>
          <w:lang w:eastAsia="zh-CN"/>
        </w:rPr>
      </w:pPr>
      <w:r>
        <w:rPr>
          <w:rFonts w:ascii="宋体" w:hAnsi="宋体" w:eastAsia="宋体" w:cs="宋体"/>
          <w:spacing w:val="2"/>
          <w:sz w:val="28"/>
          <w:szCs w:val="28"/>
          <w:lang w:eastAsia="zh-CN"/>
        </w:rPr>
        <w:t>按照科学、严谨、客观、公正的原则，本着对工作高度负责的</w:t>
      </w:r>
      <w:r>
        <w:rPr>
          <w:rFonts w:ascii="宋体" w:hAnsi="宋体" w:eastAsia="宋体" w:cs="宋体"/>
          <w:spacing w:val="1"/>
          <w:sz w:val="28"/>
          <w:szCs w:val="28"/>
          <w:lang w:eastAsia="zh-CN"/>
        </w:rPr>
        <w:t>精神，</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依据国家及地方政府的相关法律法规、标准、规程的规定，本次</w:t>
      </w:r>
      <w:r>
        <w:rPr>
          <w:rFonts w:ascii="宋体" w:hAnsi="宋体" w:eastAsia="宋体" w:cs="宋体"/>
          <w:spacing w:val="1"/>
          <w:sz w:val="28"/>
          <w:szCs w:val="28"/>
          <w:lang w:eastAsia="zh-CN"/>
        </w:rPr>
        <w:t>评价认定</w:t>
      </w:r>
      <w:r>
        <w:rPr>
          <w:rFonts w:ascii="宋体" w:hAnsi="宋体" w:eastAsia="宋体" w:cs="宋体"/>
          <w:sz w:val="28"/>
          <w:szCs w:val="28"/>
          <w:lang w:eastAsia="zh-CN"/>
        </w:rPr>
        <w:t xml:space="preserve"> </w:t>
      </w:r>
      <w:r>
        <w:rPr>
          <w:rFonts w:hint="eastAsia" w:ascii="宋体" w:hAnsi="宋体" w:eastAsia="宋体" w:cs="宋体"/>
          <w:spacing w:val="2"/>
          <w:sz w:val="28"/>
          <w:szCs w:val="28"/>
          <w:lang w:eastAsia="zh-CN"/>
        </w:rPr>
        <w:t>凤城市添合矿业有限公司</w:t>
      </w:r>
      <w:r>
        <w:rPr>
          <w:rFonts w:ascii="宋体" w:hAnsi="宋体" w:eastAsia="宋体" w:cs="宋体"/>
          <w:spacing w:val="2"/>
          <w:sz w:val="28"/>
          <w:szCs w:val="28"/>
          <w:lang w:eastAsia="zh-CN"/>
        </w:rPr>
        <w:t>尾矿库现状具备继续生产运行</w:t>
      </w:r>
      <w:r>
        <w:rPr>
          <w:rFonts w:ascii="宋体" w:hAnsi="宋体" w:eastAsia="宋体" w:cs="宋体"/>
          <w:spacing w:val="1"/>
          <w:sz w:val="28"/>
          <w:szCs w:val="28"/>
          <w:lang w:eastAsia="zh-CN"/>
        </w:rPr>
        <w:t>的安全生产条</w:t>
      </w:r>
      <w:r>
        <w:rPr>
          <w:rFonts w:ascii="宋体" w:hAnsi="宋体" w:eastAsia="宋体" w:cs="宋体"/>
          <w:spacing w:val="-1"/>
          <w:sz w:val="28"/>
          <w:szCs w:val="28"/>
          <w:lang w:eastAsia="zh-CN"/>
        </w:rPr>
        <w:t>件，符合延期换发安全生产许可证的要求。</w:t>
      </w:r>
    </w:p>
    <w:p w14:paraId="6C3D85BD">
      <w:pPr>
        <w:spacing w:line="360" w:lineRule="auto"/>
        <w:rPr>
          <w:rFonts w:hint="eastAsia" w:ascii="宋体" w:hAnsi="宋体" w:eastAsia="宋体" w:cs="宋体"/>
          <w:sz w:val="28"/>
          <w:szCs w:val="28"/>
          <w:lang w:eastAsia="zh-CN"/>
        </w:rPr>
        <w:sectPr>
          <w:footerReference r:id="rId31" w:type="default"/>
          <w:pgSz w:w="11906" w:h="16839"/>
          <w:pgMar w:top="1150" w:right="1133" w:bottom="1315" w:left="1588" w:header="868" w:footer="986" w:gutter="0"/>
          <w:cols w:space="720" w:num="1"/>
        </w:sectPr>
      </w:pPr>
    </w:p>
    <w:p w14:paraId="0F40A417">
      <w:pPr>
        <w:spacing w:line="360" w:lineRule="auto"/>
        <w:jc w:val="center"/>
        <w:outlineLvl w:val="0"/>
        <w:rPr>
          <w:rFonts w:hint="eastAsia" w:ascii="黑体" w:hAnsi="黑体" w:eastAsia="黑体" w:cs="黑体"/>
          <w:sz w:val="31"/>
          <w:szCs w:val="31"/>
          <w:lang w:eastAsia="zh-CN"/>
        </w:rPr>
      </w:pPr>
      <w:bookmarkStart w:id="303" w:name="bookmark76"/>
      <w:bookmarkEnd w:id="303"/>
      <w:bookmarkStart w:id="304" w:name="_Toc7610"/>
      <w:bookmarkStart w:id="305" w:name="_Toc8740"/>
      <w:r>
        <w:rPr>
          <w:rFonts w:ascii="Times New Roman" w:hAnsi="Times New Roman" w:eastAsia="Times New Roman" w:cs="Times New Roman"/>
          <w:b/>
          <w:bCs/>
          <w:spacing w:val="-8"/>
          <w:sz w:val="31"/>
          <w:szCs w:val="31"/>
          <w:lang w:eastAsia="zh-CN"/>
        </w:rPr>
        <w:t>8</w:t>
      </w:r>
      <w:r>
        <w:rPr>
          <w:rFonts w:ascii="Times New Roman" w:hAnsi="Times New Roman" w:eastAsia="Times New Roman" w:cs="Times New Roman"/>
          <w:b/>
          <w:bCs/>
          <w:spacing w:val="21"/>
          <w:sz w:val="31"/>
          <w:szCs w:val="31"/>
          <w:lang w:eastAsia="zh-CN"/>
        </w:rPr>
        <w:t xml:space="preserve"> </w:t>
      </w:r>
      <w:r>
        <w:rPr>
          <w:rFonts w:ascii="黑体" w:hAnsi="黑体" w:eastAsia="黑体" w:cs="黑体"/>
          <w:b/>
          <w:bCs/>
          <w:spacing w:val="-8"/>
          <w:sz w:val="31"/>
          <w:szCs w:val="31"/>
          <w:lang w:eastAsia="zh-CN"/>
        </w:rPr>
        <w:t>附件</w:t>
      </w:r>
      <w:bookmarkEnd w:id="304"/>
      <w:bookmarkEnd w:id="305"/>
    </w:p>
    <w:p w14:paraId="3DE3C6B8">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）营业执照；</w:t>
      </w:r>
    </w:p>
    <w:p w14:paraId="664B5BC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）安全生产许可证；</w:t>
      </w:r>
    </w:p>
    <w:p w14:paraId="740DDB4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w:t>
      </w:r>
      <w:r>
        <w:rPr>
          <w:rFonts w:hint="eastAsia" w:ascii="宋体" w:hAnsi="宋体" w:eastAsia="宋体" w:cs="宋体"/>
          <w:spacing w:val="-2"/>
          <w:sz w:val="28"/>
          <w:szCs w:val="28"/>
          <w:lang w:eastAsia="zh-CN"/>
        </w:rPr>
        <w:t>尾矿库成立安全</w:t>
      </w:r>
      <w:r>
        <w:rPr>
          <w:rFonts w:hint="eastAsia" w:ascii="宋体" w:hAnsi="宋体" w:eastAsia="宋体" w:cs="宋体"/>
          <w:spacing w:val="-2"/>
          <w:sz w:val="28"/>
          <w:szCs w:val="28"/>
          <w:lang w:val="en-US" w:eastAsia="zh-CN"/>
        </w:rPr>
        <w:t>生产</w:t>
      </w:r>
      <w:r>
        <w:rPr>
          <w:rFonts w:hint="eastAsia" w:ascii="宋体" w:hAnsi="宋体" w:eastAsia="宋体" w:cs="宋体"/>
          <w:spacing w:val="-2"/>
          <w:sz w:val="28"/>
          <w:szCs w:val="28"/>
          <w:lang w:eastAsia="zh-CN"/>
        </w:rPr>
        <w:t>管理</w:t>
      </w:r>
      <w:r>
        <w:rPr>
          <w:rFonts w:hint="eastAsia" w:ascii="宋体" w:hAnsi="宋体" w:eastAsia="宋体" w:cs="宋体"/>
          <w:spacing w:val="-2"/>
          <w:sz w:val="28"/>
          <w:szCs w:val="28"/>
          <w:lang w:val="en-US" w:eastAsia="zh-CN"/>
        </w:rPr>
        <w:t>组织</w:t>
      </w:r>
      <w:r>
        <w:rPr>
          <w:rFonts w:hint="eastAsia" w:ascii="宋体" w:hAnsi="宋体" w:eastAsia="宋体" w:cs="宋体"/>
          <w:spacing w:val="-2"/>
          <w:sz w:val="28"/>
          <w:szCs w:val="28"/>
          <w:lang w:eastAsia="zh-CN"/>
        </w:rPr>
        <w:t>机构</w:t>
      </w:r>
      <w:r>
        <w:rPr>
          <w:rFonts w:hint="eastAsia" w:ascii="宋体" w:hAnsi="宋体" w:eastAsia="宋体" w:cs="宋体"/>
          <w:spacing w:val="-2"/>
          <w:sz w:val="28"/>
          <w:szCs w:val="28"/>
          <w:lang w:val="en-US" w:eastAsia="zh-CN"/>
        </w:rPr>
        <w:t>文件</w:t>
      </w:r>
      <w:r>
        <w:rPr>
          <w:rFonts w:ascii="宋体" w:hAnsi="宋体" w:eastAsia="宋体" w:cs="宋体"/>
          <w:spacing w:val="-2"/>
          <w:sz w:val="28"/>
          <w:szCs w:val="28"/>
          <w:lang w:eastAsia="zh-CN"/>
        </w:rPr>
        <w:t>通知；</w:t>
      </w:r>
    </w:p>
    <w:p w14:paraId="52A327A3">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4</w:t>
      </w:r>
      <w:r>
        <w:rPr>
          <w:rFonts w:ascii="宋体" w:hAnsi="宋体" w:eastAsia="宋体" w:cs="宋体"/>
          <w:spacing w:val="-1"/>
          <w:sz w:val="28"/>
          <w:szCs w:val="28"/>
          <w:lang w:eastAsia="zh-CN"/>
        </w:rPr>
        <w:t>）主要负责人、安全管理人员证件；</w:t>
      </w:r>
    </w:p>
    <w:p w14:paraId="58346C0F">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）特种作业人员操作资格证书；</w:t>
      </w:r>
    </w:p>
    <w:p w14:paraId="6E225F1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）安全生产责任制文件及目录；</w:t>
      </w:r>
    </w:p>
    <w:p w14:paraId="37A7589D">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7</w:t>
      </w:r>
      <w:r>
        <w:rPr>
          <w:rFonts w:ascii="宋体" w:hAnsi="宋体" w:eastAsia="宋体" w:cs="宋体"/>
          <w:spacing w:val="-1"/>
          <w:sz w:val="28"/>
          <w:szCs w:val="28"/>
          <w:lang w:eastAsia="zh-CN"/>
        </w:rPr>
        <w:t>）安全管理规章制度及岗位操作规程文件及目录；</w:t>
      </w:r>
    </w:p>
    <w:p w14:paraId="29FF55B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8</w:t>
      </w: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202</w:t>
      </w:r>
      <w:r>
        <w:rPr>
          <w:rFonts w:hint="eastAsia" w:ascii="Times New Roman" w:hAnsi="Times New Roman" w:eastAsia="宋体" w:cs="Times New Roman"/>
          <w:spacing w:val="-2"/>
          <w:sz w:val="28"/>
          <w:szCs w:val="28"/>
          <w:lang w:val="en-US" w:eastAsia="zh-CN"/>
        </w:rPr>
        <w:t>6</w:t>
      </w:r>
      <w:r>
        <w:rPr>
          <w:rFonts w:ascii="宋体" w:hAnsi="宋体" w:eastAsia="宋体" w:cs="宋体"/>
          <w:spacing w:val="-2"/>
          <w:sz w:val="28"/>
          <w:szCs w:val="28"/>
          <w:lang w:eastAsia="zh-CN"/>
        </w:rPr>
        <w:t>年提取安全生产费用计划和使用明细；</w:t>
      </w:r>
    </w:p>
    <w:p w14:paraId="4388A07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9</w:t>
      </w:r>
      <w:r>
        <w:rPr>
          <w:rFonts w:ascii="宋体" w:hAnsi="宋体" w:eastAsia="宋体" w:cs="宋体"/>
          <w:spacing w:val="-2"/>
          <w:sz w:val="28"/>
          <w:szCs w:val="28"/>
          <w:lang w:eastAsia="zh-CN"/>
        </w:rPr>
        <w:t>）</w:t>
      </w:r>
      <w:r>
        <w:rPr>
          <w:rFonts w:hint="eastAsia" w:ascii="宋体" w:hAnsi="宋体" w:eastAsia="宋体" w:cs="宋体"/>
          <w:spacing w:val="-2"/>
          <w:sz w:val="28"/>
          <w:szCs w:val="28"/>
          <w:lang w:val="en-US" w:eastAsia="zh-CN"/>
        </w:rPr>
        <w:t>工伤保险及</w:t>
      </w:r>
      <w:r>
        <w:rPr>
          <w:rFonts w:ascii="宋体" w:hAnsi="宋体" w:eastAsia="宋体" w:cs="宋体"/>
          <w:spacing w:val="-2"/>
          <w:sz w:val="28"/>
          <w:szCs w:val="28"/>
          <w:lang w:eastAsia="zh-CN"/>
        </w:rPr>
        <w:t>安全生产责任险保单；</w:t>
      </w:r>
    </w:p>
    <w:p w14:paraId="6B815557">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10</w:t>
      </w:r>
      <w:r>
        <w:rPr>
          <w:rFonts w:ascii="宋体" w:hAnsi="宋体" w:eastAsia="宋体" w:cs="宋体"/>
          <w:spacing w:val="-2"/>
          <w:sz w:val="28"/>
          <w:szCs w:val="28"/>
          <w:lang w:eastAsia="zh-CN"/>
        </w:rPr>
        <w:t>）事故应急预案备案登记表；</w:t>
      </w:r>
    </w:p>
    <w:p w14:paraId="5BB3CF75">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11</w:t>
      </w:r>
      <w:r>
        <w:rPr>
          <w:rFonts w:ascii="宋体" w:hAnsi="宋体" w:eastAsia="宋体" w:cs="宋体"/>
          <w:spacing w:val="-4"/>
          <w:sz w:val="28"/>
          <w:szCs w:val="28"/>
          <w:lang w:eastAsia="zh-CN"/>
        </w:rPr>
        <w:t>）救护协议；</w:t>
      </w:r>
    </w:p>
    <w:p w14:paraId="1C2AA83A">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12</w:t>
      </w:r>
      <w:r>
        <w:rPr>
          <w:rFonts w:ascii="宋体" w:hAnsi="宋体" w:eastAsia="宋体" w:cs="宋体"/>
          <w:spacing w:val="-1"/>
          <w:sz w:val="28"/>
          <w:szCs w:val="28"/>
          <w:lang w:eastAsia="zh-CN"/>
        </w:rPr>
        <w:t>）关于任命尾矿库技术负责人的通知；</w:t>
      </w:r>
    </w:p>
    <w:p w14:paraId="1CBE0C37">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hint="eastAsia" w:ascii="Times New Roman" w:hAnsi="Times New Roman" w:eastAsia="宋体" w:cs="Times New Roman"/>
          <w:spacing w:val="-1"/>
          <w:sz w:val="28"/>
          <w:szCs w:val="28"/>
          <w:lang w:val="en-US" w:eastAsia="zh-CN"/>
        </w:rPr>
        <w:t>3</w:t>
      </w:r>
      <w:r>
        <w:rPr>
          <w:rFonts w:ascii="宋体" w:hAnsi="宋体" w:eastAsia="宋体" w:cs="宋体"/>
          <w:spacing w:val="-1"/>
          <w:sz w:val="28"/>
          <w:szCs w:val="28"/>
          <w:lang w:eastAsia="zh-CN"/>
        </w:rPr>
        <w:t>）关于任命尾矿库</w:t>
      </w:r>
      <w:r>
        <w:rPr>
          <w:rFonts w:hint="eastAsia" w:ascii="宋体" w:hAnsi="宋体" w:eastAsia="宋体" w:cs="宋体"/>
          <w:spacing w:val="-1"/>
          <w:sz w:val="28"/>
          <w:szCs w:val="28"/>
          <w:lang w:eastAsia="zh-CN"/>
        </w:rPr>
        <w:t>注安人员</w:t>
      </w:r>
      <w:r>
        <w:rPr>
          <w:rFonts w:ascii="宋体" w:hAnsi="宋体" w:eastAsia="宋体" w:cs="宋体"/>
          <w:spacing w:val="-1"/>
          <w:sz w:val="28"/>
          <w:szCs w:val="28"/>
          <w:lang w:eastAsia="zh-CN"/>
        </w:rPr>
        <w:t>的通知；</w:t>
      </w:r>
    </w:p>
    <w:p w14:paraId="06781058">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hint="eastAsia" w:ascii="Times New Roman" w:hAnsi="Times New Roman" w:eastAsia="宋体" w:cs="Times New Roman"/>
          <w:spacing w:val="-2"/>
          <w:sz w:val="28"/>
          <w:szCs w:val="28"/>
          <w:lang w:val="en-US" w:eastAsia="zh-CN"/>
        </w:rPr>
        <w:t>4</w:t>
      </w:r>
      <w:r>
        <w:rPr>
          <w:rFonts w:ascii="宋体" w:hAnsi="宋体" w:eastAsia="宋体" w:cs="宋体"/>
          <w:spacing w:val="-2"/>
          <w:sz w:val="28"/>
          <w:szCs w:val="28"/>
          <w:lang w:eastAsia="zh-CN"/>
        </w:rPr>
        <w:t>）技术负责人证件；</w:t>
      </w:r>
    </w:p>
    <w:p w14:paraId="53A1F10E">
      <w:pPr>
        <w:spacing w:line="360" w:lineRule="auto"/>
        <w:ind w:firstLine="552" w:firstLineChars="200"/>
        <w:rPr>
          <w:rFonts w:hint="default" w:ascii="Times New Roman" w:hAnsi="Times New Roman" w:eastAsia="宋体" w:cs="Times New Roman"/>
          <w:spacing w:val="-2"/>
          <w:sz w:val="28"/>
          <w:szCs w:val="28"/>
          <w:lang w:eastAsia="zh-CN"/>
        </w:rPr>
      </w:pPr>
      <w:r>
        <w:rPr>
          <w:rFonts w:hint="default" w:ascii="Times New Roman" w:hAnsi="Times New Roman" w:eastAsia="宋体" w:cs="Times New Roman"/>
          <w:spacing w:val="-2"/>
          <w:sz w:val="28"/>
          <w:szCs w:val="28"/>
          <w:lang w:eastAsia="zh-CN"/>
        </w:rPr>
        <w:t>（15）注安人员证件；</w:t>
      </w:r>
    </w:p>
    <w:p w14:paraId="068AA906">
      <w:pPr>
        <w:spacing w:line="360" w:lineRule="auto"/>
        <w:ind w:firstLine="552" w:firstLineChars="200"/>
        <w:rPr>
          <w:rFonts w:hint="eastAsia" w:ascii="宋体" w:hAnsi="宋体" w:eastAsia="宋体" w:cs="宋体"/>
          <w:spacing w:val="-2"/>
          <w:sz w:val="28"/>
          <w:szCs w:val="28"/>
          <w:lang w:val="en-US" w:eastAsia="zh-CN"/>
        </w:rPr>
      </w:pPr>
      <w:r>
        <w:rPr>
          <w:rFonts w:hint="default" w:ascii="Times New Roman" w:hAnsi="Times New Roman" w:eastAsia="宋体" w:cs="Times New Roman"/>
          <w:spacing w:val="-2"/>
          <w:sz w:val="28"/>
          <w:szCs w:val="28"/>
          <w:lang w:eastAsia="zh-CN"/>
        </w:rPr>
        <w:t>（</w:t>
      </w:r>
      <w:r>
        <w:rPr>
          <w:rFonts w:hint="default" w:ascii="Times New Roman" w:hAnsi="Times New Roman" w:eastAsia="宋体" w:cs="Times New Roman"/>
          <w:spacing w:val="-2"/>
          <w:sz w:val="28"/>
          <w:szCs w:val="28"/>
          <w:lang w:val="en-US" w:eastAsia="zh-CN"/>
        </w:rPr>
        <w:t>1</w:t>
      </w:r>
      <w:r>
        <w:rPr>
          <w:rFonts w:hint="eastAsia" w:ascii="Times New Roman" w:hAnsi="Times New Roman" w:eastAsia="宋体" w:cs="Times New Roman"/>
          <w:spacing w:val="-2"/>
          <w:sz w:val="28"/>
          <w:szCs w:val="28"/>
          <w:lang w:val="en-US" w:eastAsia="zh-CN"/>
        </w:rPr>
        <w:t>6</w:t>
      </w:r>
      <w:r>
        <w:rPr>
          <w:rFonts w:hint="eastAsia" w:ascii="宋体" w:hAnsi="宋体" w:eastAsia="宋体" w:cs="宋体"/>
          <w:spacing w:val="-2"/>
          <w:sz w:val="28"/>
          <w:szCs w:val="28"/>
          <w:lang w:val="en-US" w:eastAsia="zh-CN"/>
        </w:rPr>
        <w:t>）排洪构筑物检测报告结论页；</w:t>
      </w:r>
    </w:p>
    <w:p w14:paraId="2660609E">
      <w:pPr>
        <w:spacing w:line="360" w:lineRule="auto"/>
        <w:ind w:firstLine="552" w:firstLineChars="200"/>
        <w:rPr>
          <w:rFonts w:hint="default" w:ascii="Times New Roman" w:hAnsi="Times New Roman" w:eastAsia="宋体" w:cs="Times New Roman"/>
          <w:spacing w:val="-2"/>
          <w:sz w:val="28"/>
          <w:szCs w:val="28"/>
          <w:lang w:val="en-US" w:eastAsia="zh-CN"/>
        </w:rPr>
      </w:pPr>
      <w:r>
        <w:rPr>
          <w:rFonts w:hint="eastAsia" w:ascii="Times New Roman" w:hAnsi="Times New Roman" w:eastAsia="宋体" w:cs="Times New Roman"/>
          <w:spacing w:val="-2"/>
          <w:sz w:val="28"/>
          <w:szCs w:val="28"/>
          <w:lang w:val="en-US" w:eastAsia="zh-CN"/>
        </w:rPr>
        <w:t>（17）凤城市添合矿业有限公司尾矿库冬季停产说明。</w:t>
      </w:r>
    </w:p>
    <w:p w14:paraId="10283945">
      <w:pPr>
        <w:spacing w:line="360" w:lineRule="auto"/>
        <w:ind w:firstLine="552" w:firstLineChars="200"/>
        <w:rPr>
          <w:rFonts w:hint="default" w:ascii="宋体" w:hAnsi="宋体" w:eastAsia="宋体" w:cs="宋体"/>
          <w:spacing w:val="-2"/>
          <w:sz w:val="28"/>
          <w:szCs w:val="28"/>
          <w:lang w:val="en-US" w:eastAsia="zh-CN"/>
        </w:rPr>
      </w:pPr>
    </w:p>
    <w:p w14:paraId="0F1415DC">
      <w:pPr>
        <w:spacing w:line="360" w:lineRule="auto"/>
        <w:ind w:firstLine="552" w:firstLineChars="200"/>
        <w:rPr>
          <w:rFonts w:hint="default" w:ascii="宋体" w:hAnsi="宋体" w:eastAsia="宋体" w:cs="宋体"/>
          <w:spacing w:val="-2"/>
          <w:sz w:val="28"/>
          <w:szCs w:val="28"/>
          <w:lang w:val="en-US" w:eastAsia="zh-CN"/>
        </w:rPr>
        <w:sectPr>
          <w:headerReference r:id="rId32" w:type="default"/>
          <w:footerReference r:id="rId33" w:type="default"/>
          <w:pgSz w:w="11906" w:h="16839"/>
          <w:pgMar w:top="1150" w:right="1785" w:bottom="1315" w:left="1785" w:header="868" w:footer="986" w:gutter="0"/>
          <w:cols w:space="720" w:num="1"/>
        </w:sectPr>
      </w:pPr>
    </w:p>
    <w:p w14:paraId="54EEB3E5">
      <w:pPr>
        <w:spacing w:line="360" w:lineRule="auto"/>
        <w:jc w:val="center"/>
        <w:outlineLvl w:val="0"/>
        <w:rPr>
          <w:rFonts w:hint="eastAsia" w:ascii="宋体" w:hAnsi="宋体" w:eastAsia="宋体" w:cs="宋体"/>
          <w:sz w:val="31"/>
          <w:szCs w:val="31"/>
          <w:lang w:eastAsia="zh-CN"/>
        </w:rPr>
      </w:pPr>
      <w:bookmarkStart w:id="306" w:name="bookmark78"/>
      <w:bookmarkEnd w:id="306"/>
      <w:bookmarkStart w:id="307" w:name="_Toc10595"/>
      <w:bookmarkStart w:id="308" w:name="_Toc329"/>
      <w:r>
        <w:rPr>
          <w:rFonts w:ascii="Times New Roman" w:hAnsi="Times New Roman" w:eastAsia="Times New Roman" w:cs="Times New Roman"/>
          <w:b/>
          <w:bCs/>
          <w:spacing w:val="-10"/>
          <w:sz w:val="31"/>
          <w:szCs w:val="31"/>
          <w:lang w:eastAsia="zh-CN"/>
        </w:rPr>
        <w:t>9</w:t>
      </w:r>
      <w:r>
        <w:rPr>
          <w:rFonts w:ascii="Times New Roman" w:hAnsi="Times New Roman" w:eastAsia="Times New Roman" w:cs="Times New Roman"/>
          <w:b/>
          <w:bCs/>
          <w:spacing w:val="28"/>
          <w:sz w:val="31"/>
          <w:szCs w:val="31"/>
          <w:lang w:eastAsia="zh-CN"/>
        </w:rPr>
        <w:t xml:space="preserve"> </w:t>
      </w:r>
      <w:r>
        <w:rPr>
          <w:rFonts w:ascii="宋体" w:hAnsi="宋体" w:eastAsia="宋体" w:cs="宋体"/>
          <w:b/>
          <w:bCs/>
          <w:spacing w:val="-10"/>
          <w:sz w:val="31"/>
          <w:szCs w:val="31"/>
          <w:lang w:eastAsia="zh-CN"/>
        </w:rPr>
        <w:t>附图</w:t>
      </w:r>
      <w:bookmarkEnd w:id="307"/>
      <w:bookmarkEnd w:id="308"/>
    </w:p>
    <w:p w14:paraId="647844C3">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）尾矿库现状平面图；</w:t>
      </w:r>
    </w:p>
    <w:p w14:paraId="74F2CE3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）尾矿坝现状剖面图；</w:t>
      </w:r>
    </w:p>
    <w:sectPr>
      <w:footerReference r:id="rId34" w:type="default"/>
      <w:pgSz w:w="11906" w:h="16839"/>
      <w:pgMar w:top="1150" w:right="1785" w:bottom="1315" w:left="1785" w:header="868" w:footer="98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7ECF4">
    <w:pPr>
      <w:spacing w:before="48" w:line="271" w:lineRule="exact"/>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2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3EEA048">
                          <w:pPr>
                            <w:pStyle w:val="13"/>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lYNMvKAQAAlAMAAA4AAAAAAAAAAQAgAAAAHwEAAGRycy9lMm9E&#10;b2MueG1sUEsFBgAAAAAGAAYAWQEAAFsFAAAAAA==&#10;">
              <v:fill on="f" focussize="0,0"/>
              <v:stroke on="f"/>
              <v:imagedata o:title=""/>
              <o:lock v:ext="edit" aspectratio="f"/>
              <v:textbox inset="0mm,0mm,0mm,0mm" style="mso-fit-shape-to-text:t;">
                <w:txbxContent>
                  <w:p w14:paraId="63EEA048">
                    <w:pPr>
                      <w:pStyle w:val="13"/>
                    </w:pPr>
                    <w:r>
                      <w:fldChar w:fldCharType="begin"/>
                    </w:r>
                    <w:r>
                      <w:instrText xml:space="preserve"> PAGE  \* MERGEFORMAT </w:instrText>
                    </w:r>
                    <w:r>
                      <w:fldChar w:fldCharType="separate"/>
                    </w:r>
                    <w:r>
                      <w:t>1</w:t>
                    </w:r>
                    <w:r>
                      <w:fldChar w:fldCharType="end"/>
                    </w:r>
                  </w:p>
                </w:txbxContent>
              </v:textbox>
            </v:rect>
          </w:pict>
        </mc:Fallback>
      </mc:AlternateContent>
    </w:r>
    <w:r>
      <w:pict>
        <v:shape id="4099" o:spid="_x0000_s2050" style="position:absolute;left:0pt;margin-left:79.4pt;margin-top:776.2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4100" name="IM 6"/>
          <wp:cNvGraphicFramePr/>
          <a:graphic xmlns:a="http://schemas.openxmlformats.org/drawingml/2006/main">
            <a:graphicData uri="http://schemas.openxmlformats.org/drawingml/2006/picture">
              <pic:pic xmlns:pic="http://schemas.openxmlformats.org/drawingml/2006/picture">
                <pic:nvPicPr>
                  <pic:cNvPr id="4100" name="IM 6"/>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4"/>
        <w:position w:val="-1"/>
        <w:sz w:val="18"/>
        <w:szCs w:val="18"/>
        <w:lang w:eastAsia="zh-CN"/>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92A7A">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34" name="文本框 15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45491D6">
                          <w:pPr>
                            <w:pStyle w:val="13"/>
                          </w:pPr>
                          <w:r>
                            <w:fldChar w:fldCharType="begin"/>
                          </w:r>
                          <w:r>
                            <w:instrText xml:space="preserve"> PAGE  \* MERGEFORMAT </w:instrText>
                          </w:r>
                          <w:r>
                            <w:fldChar w:fldCharType="separate"/>
                          </w:r>
                          <w:r>
                            <w:t>43</w:t>
                          </w:r>
                          <w:r>
                            <w:fldChar w:fldCharType="end"/>
                          </w:r>
                        </w:p>
                      </w:txbxContent>
                    </wps:txbx>
                    <wps:bodyPr vert="horz" wrap="none" lIns="0" tIns="0" rIns="0" bIns="0" anchor="t">
                      <a:spAutoFit/>
                    </wps:bodyPr>
                  </wps:wsp>
                </a:graphicData>
              </a:graphic>
            </wp:anchor>
          </w:drawing>
        </mc:Choice>
        <mc:Fallback>
          <w:pict>
            <v:rect id="文本框 15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PetF+cwBAACUAwAADgAAAAAAAAABACAAAAAfAQAAZHJzL2Uy&#10;b0RvYy54bWxQSwUGAAAAAAYABgBZAQAAXQUAAAAA&#10;">
              <v:fill on="f" focussize="0,0"/>
              <v:stroke on="f"/>
              <v:imagedata o:title=""/>
              <o:lock v:ext="edit" aspectratio="f"/>
              <v:textbox inset="0mm,0mm,0mm,0mm" style="mso-fit-shape-to-text:t;">
                <w:txbxContent>
                  <w:p w14:paraId="245491D6">
                    <w:pPr>
                      <w:pStyle w:val="13"/>
                    </w:pPr>
                    <w:r>
                      <w:fldChar w:fldCharType="begin"/>
                    </w:r>
                    <w:r>
                      <w:instrText xml:space="preserve"> PAGE  \* MERGEFORMAT </w:instrText>
                    </w:r>
                    <w:r>
                      <w:fldChar w:fldCharType="separate"/>
                    </w:r>
                    <w:r>
                      <w:t>43</w:t>
                    </w:r>
                    <w:r>
                      <w:fldChar w:fldCharType="end"/>
                    </w:r>
                  </w:p>
                </w:txbxContent>
              </v:textbox>
            </v:rect>
          </w:pict>
        </mc:Fallback>
      </mc:AlternateContent>
    </w:r>
    <w:r>
      <w:pict>
        <v:shape id="4135" o:spid="_x0000_s2068"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36" name="IM 150"/>
          <wp:cNvGraphicFramePr/>
          <a:graphic xmlns:a="http://schemas.openxmlformats.org/drawingml/2006/main">
            <a:graphicData uri="http://schemas.openxmlformats.org/drawingml/2006/picture">
              <pic:pic xmlns:pic="http://schemas.openxmlformats.org/drawingml/2006/picture">
                <pic:nvPicPr>
                  <pic:cNvPr id="4136" name="IM 150"/>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1E5C9">
    <w:pPr>
      <w:spacing w:before="46" w:line="228" w:lineRule="auto"/>
      <w:ind w:left="135"/>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38" name="文本框 158"/>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43D5DB0">
                          <w:pPr>
                            <w:pStyle w:val="13"/>
                          </w:pPr>
                          <w:r>
                            <w:fldChar w:fldCharType="begin"/>
                          </w:r>
                          <w:r>
                            <w:instrText xml:space="preserve"> PAGE  \* MERGEFORMAT </w:instrText>
                          </w:r>
                          <w:r>
                            <w:fldChar w:fldCharType="separate"/>
                          </w:r>
                          <w:r>
                            <w:t>44</w:t>
                          </w:r>
                          <w:r>
                            <w:fldChar w:fldCharType="end"/>
                          </w:r>
                        </w:p>
                      </w:txbxContent>
                    </wps:txbx>
                    <wps:bodyPr vert="horz" wrap="none" lIns="0" tIns="0" rIns="0" bIns="0" anchor="t">
                      <a:spAutoFit/>
                    </wps:bodyPr>
                  </wps:wsp>
                </a:graphicData>
              </a:graphic>
            </wp:anchor>
          </w:drawing>
        </mc:Choice>
        <mc:Fallback>
          <w:pict>
            <v:rect id="文本框 158"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2aH//ywEAAJQDAAAOAAAAAAAAAAEAIAAAAB8BAABkcnMvZTJv&#10;RG9jLnhtbFBLBQYAAAAABgAGAFkBAABcBQAAAAA=&#10;">
              <v:fill on="f" focussize="0,0"/>
              <v:stroke on="f"/>
              <v:imagedata o:title=""/>
              <o:lock v:ext="edit" aspectratio="f"/>
              <v:textbox inset="0mm,0mm,0mm,0mm" style="mso-fit-shape-to-text:t;">
                <w:txbxContent>
                  <w:p w14:paraId="443D5DB0">
                    <w:pPr>
                      <w:pStyle w:val="13"/>
                    </w:pPr>
                    <w:r>
                      <w:fldChar w:fldCharType="begin"/>
                    </w:r>
                    <w:r>
                      <w:instrText xml:space="preserve"> PAGE  \* MERGEFORMAT </w:instrText>
                    </w:r>
                    <w:r>
                      <w:fldChar w:fldCharType="separate"/>
                    </w:r>
                    <w:r>
                      <w:t>44</w:t>
                    </w:r>
                    <w:r>
                      <w:fldChar w:fldCharType="end"/>
                    </w:r>
                  </w:p>
                </w:txbxContent>
              </v:textbox>
            </v:rect>
          </w:pict>
        </mc:Fallback>
      </mc:AlternateContent>
    </w:r>
    <w:r>
      <w:pict>
        <v:shape id="4139" o:spid="_x0000_s2070"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40" name="IM 152"/>
          <wp:cNvGraphicFramePr/>
          <a:graphic xmlns:a="http://schemas.openxmlformats.org/drawingml/2006/main">
            <a:graphicData uri="http://schemas.openxmlformats.org/drawingml/2006/picture">
              <pic:pic xmlns:pic="http://schemas.openxmlformats.org/drawingml/2006/picture">
                <pic:nvPicPr>
                  <pic:cNvPr id="4140" name="IM 152"/>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6A0B1">
    <w:pPr>
      <w:spacing w:before="46" w:line="228" w:lineRule="auto"/>
      <w:ind w:left="223"/>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42" name="文本框 16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07DA59">
                          <w:pPr>
                            <w:pStyle w:val="13"/>
                          </w:pPr>
                          <w:r>
                            <w:fldChar w:fldCharType="begin"/>
                          </w:r>
                          <w:r>
                            <w:instrText xml:space="preserve"> PAGE  \* MERGEFORMAT </w:instrText>
                          </w:r>
                          <w:r>
                            <w:fldChar w:fldCharType="separate"/>
                          </w:r>
                          <w:r>
                            <w:t>51</w:t>
                          </w:r>
                          <w:r>
                            <w:fldChar w:fldCharType="end"/>
                          </w:r>
                        </w:p>
                      </w:txbxContent>
                    </wps:txbx>
                    <wps:bodyPr vert="horz" wrap="none" lIns="0" tIns="0" rIns="0" bIns="0" anchor="t">
                      <a:spAutoFit/>
                    </wps:bodyPr>
                  </wps:wsp>
                </a:graphicData>
              </a:graphic>
            </wp:anchor>
          </w:drawing>
        </mc:Choice>
        <mc:Fallback>
          <w:pict>
            <v:rect id="文本框 16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oZTJWywEAAJQDAAAOAAAAAAAAAAEAIAAAAB8BAABkcnMvZTJv&#10;RG9jLnhtbFBLBQYAAAAABgAGAFkBAABcBQAAAAA=&#10;">
              <v:fill on="f" focussize="0,0"/>
              <v:stroke on="f"/>
              <v:imagedata o:title=""/>
              <o:lock v:ext="edit" aspectratio="f"/>
              <v:textbox inset="0mm,0mm,0mm,0mm" style="mso-fit-shape-to-text:t;">
                <w:txbxContent>
                  <w:p w14:paraId="1007DA59">
                    <w:pPr>
                      <w:pStyle w:val="13"/>
                    </w:pPr>
                    <w:r>
                      <w:fldChar w:fldCharType="begin"/>
                    </w:r>
                    <w:r>
                      <w:instrText xml:space="preserve"> PAGE  \* MERGEFORMAT </w:instrText>
                    </w:r>
                    <w:r>
                      <w:fldChar w:fldCharType="separate"/>
                    </w:r>
                    <w:r>
                      <w:t>51</w:t>
                    </w:r>
                    <w:r>
                      <w:fldChar w:fldCharType="end"/>
                    </w:r>
                  </w:p>
                </w:txbxContent>
              </v:textbox>
            </v:rect>
          </w:pict>
        </mc:Fallback>
      </mc:AlternateContent>
    </w:r>
    <w:r>
      <w:pict>
        <v:shape id="4143" o:spid="_x0000_s2072"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44" name="IM 242"/>
          <wp:cNvGraphicFramePr/>
          <a:graphic xmlns:a="http://schemas.openxmlformats.org/drawingml/2006/main">
            <a:graphicData uri="http://schemas.openxmlformats.org/drawingml/2006/picture">
              <pic:pic xmlns:pic="http://schemas.openxmlformats.org/drawingml/2006/picture">
                <pic:nvPicPr>
                  <pic:cNvPr id="4144" name="IM 242"/>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E1741">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46" name="文本框 16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DD712BD">
                          <w:pPr>
                            <w:pStyle w:val="13"/>
                          </w:pPr>
                          <w:r>
                            <w:fldChar w:fldCharType="begin"/>
                          </w:r>
                          <w:r>
                            <w:instrText xml:space="preserve"> PAGE  \* MERGEFORMAT </w:instrText>
                          </w:r>
                          <w:r>
                            <w:fldChar w:fldCharType="separate"/>
                          </w:r>
                          <w:r>
                            <w:t>70</w:t>
                          </w:r>
                          <w:r>
                            <w:fldChar w:fldCharType="end"/>
                          </w:r>
                        </w:p>
                      </w:txbxContent>
                    </wps:txbx>
                    <wps:bodyPr vert="horz" wrap="none" lIns="0" tIns="0" rIns="0" bIns="0" anchor="t">
                      <a:spAutoFit/>
                    </wps:bodyPr>
                  </wps:wsp>
                </a:graphicData>
              </a:graphic>
            </wp:anchor>
          </w:drawing>
        </mc:Choice>
        <mc:Fallback>
          <w:pict>
            <v:rect id="文本框 16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nmFmZywEAAJQDAAAOAAAAAAAAAAEAIAAAAB8BAABkcnMvZTJv&#10;RG9jLnhtbFBLBQYAAAAABgAGAFkBAABcBQAAAAA=&#10;">
              <v:fill on="f" focussize="0,0"/>
              <v:stroke on="f"/>
              <v:imagedata o:title=""/>
              <o:lock v:ext="edit" aspectratio="f"/>
              <v:textbox inset="0mm,0mm,0mm,0mm" style="mso-fit-shape-to-text:t;">
                <w:txbxContent>
                  <w:p w14:paraId="5DD712BD">
                    <w:pPr>
                      <w:pStyle w:val="13"/>
                    </w:pPr>
                    <w:r>
                      <w:fldChar w:fldCharType="begin"/>
                    </w:r>
                    <w:r>
                      <w:instrText xml:space="preserve"> PAGE  \* MERGEFORMAT </w:instrText>
                    </w:r>
                    <w:r>
                      <w:fldChar w:fldCharType="separate"/>
                    </w:r>
                    <w:r>
                      <w:t>70</w:t>
                    </w:r>
                    <w:r>
                      <w:fldChar w:fldCharType="end"/>
                    </w:r>
                  </w:p>
                </w:txbxContent>
              </v:textbox>
            </v:rect>
          </w:pict>
        </mc:Fallback>
      </mc:AlternateContent>
    </w:r>
    <w:r>
      <w:pict>
        <v:shape id="4147" o:spid="_x0000_s2074"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48" name="IM 248"/>
          <wp:cNvGraphicFramePr/>
          <a:graphic xmlns:a="http://schemas.openxmlformats.org/drawingml/2006/main">
            <a:graphicData uri="http://schemas.openxmlformats.org/drawingml/2006/picture">
              <pic:pic xmlns:pic="http://schemas.openxmlformats.org/drawingml/2006/picture">
                <pic:nvPicPr>
                  <pic:cNvPr id="4148" name="IM 248"/>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9BF00">
    <w:pPr>
      <w:spacing w:before="46" w:line="228" w:lineRule="auto"/>
      <w:ind w:left="20"/>
      <w:rPr>
        <w:rFonts w:ascii="Calibri" w:hAnsi="Calibri" w:eastAsia="宋体"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53" name="文本框 16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CAD71EA">
                          <w:pPr>
                            <w:pStyle w:val="13"/>
                          </w:pPr>
                          <w:r>
                            <w:fldChar w:fldCharType="begin"/>
                          </w:r>
                          <w:r>
                            <w:instrText xml:space="preserve"> PAGE  \* MERGEFORMAT </w:instrText>
                          </w:r>
                          <w:r>
                            <w:fldChar w:fldCharType="separate"/>
                          </w:r>
                          <w:r>
                            <w:t>72</w:t>
                          </w:r>
                          <w:r>
                            <w:fldChar w:fldCharType="end"/>
                          </w:r>
                        </w:p>
                      </w:txbxContent>
                    </wps:txbx>
                    <wps:bodyPr vert="horz" wrap="none" lIns="0" tIns="0" rIns="0" bIns="0" anchor="t">
                      <a:spAutoFit/>
                    </wps:bodyPr>
                  </wps:wsp>
                </a:graphicData>
              </a:graphic>
            </wp:anchor>
          </w:drawing>
        </mc:Choice>
        <mc:Fallback>
          <w:pict>
            <v:rect id="文本框 16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kDyzB8wBAACUAwAADgAAAAAAAAABACAAAAAfAQAAZHJzL2Uy&#10;b0RvYy54bWxQSwUGAAAAAAYABgBZAQAAXQUAAAAA&#10;">
              <v:fill on="f" focussize="0,0"/>
              <v:stroke on="f"/>
              <v:imagedata o:title=""/>
              <o:lock v:ext="edit" aspectratio="f"/>
              <v:textbox inset="0mm,0mm,0mm,0mm" style="mso-fit-shape-to-text:t;">
                <w:txbxContent>
                  <w:p w14:paraId="6CAD71EA">
                    <w:pPr>
                      <w:pStyle w:val="13"/>
                    </w:pPr>
                    <w:r>
                      <w:fldChar w:fldCharType="begin"/>
                    </w:r>
                    <w:r>
                      <w:instrText xml:space="preserve"> PAGE  \* MERGEFORMAT </w:instrText>
                    </w:r>
                    <w:r>
                      <w:fldChar w:fldCharType="separate"/>
                    </w:r>
                    <w:r>
                      <w:t>72</w:t>
                    </w:r>
                    <w:r>
                      <w:fldChar w:fldCharType="end"/>
                    </w:r>
                  </w:p>
                </w:txbxContent>
              </v:textbox>
            </v:rect>
          </w:pict>
        </mc:Fallback>
      </mc:AlternateContent>
    </w:r>
    <w:r>
      <mc:AlternateContent>
        <mc:Choice Requires="wps">
          <w:drawing>
            <wp:anchor distT="0" distB="0" distL="0" distR="0" simplePos="0" relativeHeight="251659264" behindDoc="0" locked="0" layoutInCell="0" allowOverlap="1">
              <wp:simplePos x="0" y="0"/>
              <wp:positionH relativeFrom="page">
                <wp:posOffset>1007745</wp:posOffset>
              </wp:positionH>
              <wp:positionV relativeFrom="page">
                <wp:posOffset>9857105</wp:posOffset>
              </wp:positionV>
              <wp:extent cx="5832475" cy="6350"/>
              <wp:effectExtent l="0" t="0" r="0" b="0"/>
              <wp:wrapNone/>
              <wp:docPr id="4154" name="任意多边形 106"/>
              <wp:cNvGraphicFramePr/>
              <a:graphic xmlns:a="http://schemas.openxmlformats.org/drawingml/2006/main">
                <a:graphicData uri="http://schemas.microsoft.com/office/word/2010/wordprocessingShape">
                  <wps:wsp>
                    <wps:cNvSpPr/>
                    <wps:spPr>
                      <a:xfrm>
                        <a:off x="0" y="0"/>
                        <a:ext cx="5832475" cy="6350"/>
                      </a:xfrm>
                      <a:custGeom>
                        <a:avLst/>
                        <a:gdLst/>
                        <a:ahLst/>
                        <a:cxnLst/>
                        <a:rect l="l" t="t" r="r" b="b"/>
                        <a:pathLst>
                          <a:path w="9185" h="10">
                            <a:moveTo>
                              <a:pt x="0" y="0"/>
                            </a:moveTo>
                            <a:lnTo>
                              <a:pt x="9184" y="0"/>
                            </a:lnTo>
                            <a:lnTo>
                              <a:pt x="9184" y="9"/>
                            </a:lnTo>
                            <a:lnTo>
                              <a:pt x="0" y="9"/>
                            </a:lnTo>
                            <a:lnTo>
                              <a:pt x="0" y="0"/>
                            </a:lnTo>
                            <a:close/>
                          </a:path>
                        </a:pathLst>
                      </a:custGeom>
                      <a:solidFill>
                        <a:srgbClr val="000000"/>
                      </a:solidFill>
                      <a:ln>
                        <a:noFill/>
                      </a:ln>
                    </wps:spPr>
                    <wps:bodyPr/>
                  </wps:wsp>
                </a:graphicData>
              </a:graphic>
            </wp:anchor>
          </w:drawing>
        </mc:Choice>
        <mc:Fallback>
          <w:pict>
            <v:shape id="任意多边形 106" o:spid="_x0000_s1026" o:spt="100" style="position:absolute;left:0pt;margin-left:79.35pt;margin-top:776.15pt;height:0.5pt;width:459.25pt;mso-position-horizontal-relative:page;mso-position-vertical-relative:page;z-index:251659264;mso-width-relative:page;mso-height-relative:page;" fillcolor="#000000" filled="t" stroked="f" coordsize="9185,10" o:allowincell="f" o:gfxdata="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HBHVA3YAAAA&#10;DgEAAA8AAAAAAAAAAQAgAAAAIgAAAGRycy9kb3ducmV2LnhtbFBLAQIUABQAAAAIAIdO4kAqvBt4&#10;HQIAAJMEAAAOAAAAAAAAAAEAIAAAACcBAABkcnMvZTJvRG9jLnhtbFBLBQYAAAAABgAGAFkBAAC2&#10;BQ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4155" name="IM 254"/>
          <wp:cNvGraphicFramePr/>
          <a:graphic xmlns:a="http://schemas.openxmlformats.org/drawingml/2006/main">
            <a:graphicData uri="http://schemas.openxmlformats.org/drawingml/2006/picture">
              <pic:pic xmlns:pic="http://schemas.openxmlformats.org/drawingml/2006/picture">
                <pic:nvPicPr>
                  <pic:cNvPr id="4155" name="IM 254"/>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D9BAB">
    <w:pPr>
      <w:spacing w:before="46" w:line="228" w:lineRule="auto"/>
      <w:ind w:left="20"/>
      <w:rPr>
        <w:rFonts w:ascii="Calibri" w:hAnsi="Calibri" w:eastAsia="宋体"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56" name="文本框 16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CC2F9EA">
                          <w:pPr>
                            <w:pStyle w:val="13"/>
                          </w:pPr>
                          <w:r>
                            <w:fldChar w:fldCharType="begin"/>
                          </w:r>
                          <w:r>
                            <w:instrText xml:space="preserve"> PAGE  \* MERGEFORMAT </w:instrText>
                          </w:r>
                          <w:r>
                            <w:fldChar w:fldCharType="separate"/>
                          </w:r>
                          <w:r>
                            <w:t>73</w:t>
                          </w:r>
                          <w:r>
                            <w:fldChar w:fldCharType="end"/>
                          </w:r>
                        </w:p>
                      </w:txbxContent>
                    </wps:txbx>
                    <wps:bodyPr vert="horz" wrap="none" lIns="0" tIns="0" rIns="0" bIns="0" anchor="t">
                      <a:spAutoFit/>
                    </wps:bodyPr>
                  </wps:wsp>
                </a:graphicData>
              </a:graphic>
            </wp:anchor>
          </w:drawing>
        </mc:Choice>
        <mc:Fallback>
          <w:pict>
            <v:rect id="文本框 16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WQKiVcwBAACUAwAADgAAAAAAAAABACAAAAAfAQAAZHJzL2Uy&#10;b0RvYy54bWxQSwUGAAAAAAYABgBZAQAAXQUAAAAA&#10;">
              <v:fill on="f" focussize="0,0"/>
              <v:stroke on="f"/>
              <v:imagedata o:title=""/>
              <o:lock v:ext="edit" aspectratio="f"/>
              <v:textbox inset="0mm,0mm,0mm,0mm" style="mso-fit-shape-to-text:t;">
                <w:txbxContent>
                  <w:p w14:paraId="4CC2F9EA">
                    <w:pPr>
                      <w:pStyle w:val="13"/>
                    </w:pPr>
                    <w:r>
                      <w:fldChar w:fldCharType="begin"/>
                    </w:r>
                    <w:r>
                      <w:instrText xml:space="preserve"> PAGE  \* MERGEFORMAT </w:instrText>
                    </w:r>
                    <w:r>
                      <w:fldChar w:fldCharType="separate"/>
                    </w:r>
                    <w:r>
                      <w:t>73</w:t>
                    </w:r>
                    <w:r>
                      <w:fldChar w:fldCharType="end"/>
                    </w:r>
                  </w:p>
                </w:txbxContent>
              </v:textbox>
            </v:rect>
          </w:pict>
        </mc:Fallback>
      </mc:AlternateContent>
    </w:r>
    <w:r>
      <mc:AlternateContent>
        <mc:Choice Requires="wps">
          <w:drawing>
            <wp:anchor distT="0" distB="0" distL="0" distR="0" simplePos="0" relativeHeight="251659264" behindDoc="0" locked="0" layoutInCell="0" allowOverlap="1">
              <wp:simplePos x="0" y="0"/>
              <wp:positionH relativeFrom="page">
                <wp:posOffset>1007745</wp:posOffset>
              </wp:positionH>
              <wp:positionV relativeFrom="page">
                <wp:posOffset>9857105</wp:posOffset>
              </wp:positionV>
              <wp:extent cx="5832475" cy="6350"/>
              <wp:effectExtent l="0" t="0" r="0" b="0"/>
              <wp:wrapNone/>
              <wp:docPr id="4157" name="任意多边形 115"/>
              <wp:cNvGraphicFramePr/>
              <a:graphic xmlns:a="http://schemas.openxmlformats.org/drawingml/2006/main">
                <a:graphicData uri="http://schemas.microsoft.com/office/word/2010/wordprocessingShape">
                  <wps:wsp>
                    <wps:cNvSpPr/>
                    <wps:spPr>
                      <a:xfrm>
                        <a:off x="0" y="0"/>
                        <a:ext cx="5832475" cy="6350"/>
                      </a:xfrm>
                      <a:custGeom>
                        <a:avLst/>
                        <a:gdLst/>
                        <a:ahLst/>
                        <a:cxnLst/>
                        <a:rect l="l" t="t" r="r" b="b"/>
                        <a:pathLst>
                          <a:path w="9185" h="10">
                            <a:moveTo>
                              <a:pt x="0" y="0"/>
                            </a:moveTo>
                            <a:lnTo>
                              <a:pt x="9184" y="0"/>
                            </a:lnTo>
                            <a:lnTo>
                              <a:pt x="9184" y="9"/>
                            </a:lnTo>
                            <a:lnTo>
                              <a:pt x="0" y="9"/>
                            </a:lnTo>
                            <a:lnTo>
                              <a:pt x="0" y="0"/>
                            </a:lnTo>
                            <a:close/>
                          </a:path>
                        </a:pathLst>
                      </a:custGeom>
                      <a:solidFill>
                        <a:srgbClr val="000000"/>
                      </a:solidFill>
                      <a:ln>
                        <a:noFill/>
                      </a:ln>
                    </wps:spPr>
                    <wps:bodyPr/>
                  </wps:wsp>
                </a:graphicData>
              </a:graphic>
            </wp:anchor>
          </w:drawing>
        </mc:Choice>
        <mc:Fallback>
          <w:pict>
            <v:shape id="任意多边形 115" o:spid="_x0000_s1026" o:spt="100" style="position:absolute;left:0pt;margin-left:79.35pt;margin-top:776.15pt;height:0.5pt;width:459.25pt;mso-position-horizontal-relative:page;mso-position-vertical-relative:page;z-index:251659264;mso-width-relative:page;mso-height-relative:page;" fillcolor="#000000" filled="t" stroked="f" coordsize="9185,10" o:allowincell="f" o:gfxdata="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wR1QN2AAA&#10;AA4BAAAPAAAAAAAAAAEAIAAAACIAAABkcnMvZG93bnJldi54bWxQSwECFAAUAAAACACHTuJAehJb&#10;Zx4CAACTBAAADgAAAAAAAAABACAAAAAnAQAAZHJzL2Uyb0RvYy54bWxQSwUGAAAAAAYABgBZAQAA&#10;twU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4158" name="IM 254"/>
          <wp:cNvGraphicFramePr/>
          <a:graphic xmlns:a="http://schemas.openxmlformats.org/drawingml/2006/main">
            <a:graphicData uri="http://schemas.openxmlformats.org/drawingml/2006/picture">
              <pic:pic xmlns:pic="http://schemas.openxmlformats.org/drawingml/2006/picture">
                <pic:nvPicPr>
                  <pic:cNvPr id="4158" name="IM 254"/>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69876">
    <w:pPr>
      <w:spacing w:before="46" w:line="228" w:lineRule="auto"/>
      <w:ind w:left="33"/>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0" name="文本框 168"/>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6897604">
                          <w:pPr>
                            <w:pStyle w:val="13"/>
                          </w:pPr>
                          <w:r>
                            <w:fldChar w:fldCharType="begin"/>
                          </w:r>
                          <w:r>
                            <w:instrText xml:space="preserve"> PAGE  \* MERGEFORMAT </w:instrText>
                          </w:r>
                          <w:r>
                            <w:fldChar w:fldCharType="separate"/>
                          </w:r>
                          <w:r>
                            <w:t>74</w:t>
                          </w:r>
                          <w:r>
                            <w:fldChar w:fldCharType="end"/>
                          </w:r>
                        </w:p>
                      </w:txbxContent>
                    </wps:txbx>
                    <wps:bodyPr vert="horz" wrap="none" lIns="0" tIns="0" rIns="0" bIns="0" anchor="t">
                      <a:spAutoFit/>
                    </wps:bodyPr>
                  </wps:wsp>
                </a:graphicData>
              </a:graphic>
            </wp:anchor>
          </w:drawing>
        </mc:Choice>
        <mc:Fallback>
          <w:pict>
            <v:rect id="文本框 168"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9KPTAywEAAJQDAAAOAAAAAAAAAAEAIAAAAB8BAABkcnMvZTJv&#10;RG9jLnhtbFBLBQYAAAAABgAGAFkBAABcBQAAAAA=&#10;">
              <v:fill on="f" focussize="0,0"/>
              <v:stroke on="f"/>
              <v:imagedata o:title=""/>
              <o:lock v:ext="edit" aspectratio="f"/>
              <v:textbox inset="0mm,0mm,0mm,0mm" style="mso-fit-shape-to-text:t;">
                <w:txbxContent>
                  <w:p w14:paraId="16897604">
                    <w:pPr>
                      <w:pStyle w:val="13"/>
                    </w:pPr>
                    <w:r>
                      <w:fldChar w:fldCharType="begin"/>
                    </w:r>
                    <w:r>
                      <w:instrText xml:space="preserve"> PAGE  \* MERGEFORMAT </w:instrText>
                    </w:r>
                    <w:r>
                      <w:fldChar w:fldCharType="separate"/>
                    </w:r>
                    <w:r>
                      <w:t>74</w:t>
                    </w:r>
                    <w:r>
                      <w:fldChar w:fldCharType="end"/>
                    </w:r>
                  </w:p>
                </w:txbxContent>
              </v:textbox>
            </v:rect>
          </w:pict>
        </mc:Fallback>
      </mc:AlternateContent>
    </w:r>
    <w:r>
      <w:pict>
        <v:shape id="4161" o:spid="_x0000_s2078" style="position:absolute;left:0pt;margin-left:90pt;margin-top:776.15pt;height:0.5pt;width:415.3pt;mso-position-horizontal-relative:page;mso-position-vertical-relative:page;z-index:251659264;mso-width-relative:page;mso-height-relative:page;" fillcolor="#000000" filled="t" stroked="f" coordsize="8305,10" o:allowincell="f" path="m0,0l8305,0,8305,9,0,9,0,0xe">
          <v:path textboxrect="0,0,8305,10"/>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4162" name="IM 256"/>
          <wp:cNvGraphicFramePr/>
          <a:graphic xmlns:a="http://schemas.openxmlformats.org/drawingml/2006/main">
            <a:graphicData uri="http://schemas.openxmlformats.org/drawingml/2006/picture">
              <pic:pic xmlns:pic="http://schemas.openxmlformats.org/drawingml/2006/picture">
                <pic:nvPicPr>
                  <pic:cNvPr id="4162" name="IM 256"/>
                  <pic:cNvPicPr/>
                </pic:nvPicPr>
                <pic:blipFill>
                  <a:blip r:embed="rId1" cstate="print"/>
                  <a:srcRect/>
                  <a:stretch>
                    <a:fillRect/>
                  </a:stretch>
                </pic:blipFill>
                <pic:spPr>
                  <a:xfrm>
                    <a:off x="0" y="0"/>
                    <a:ext cx="299720" cy="117475"/>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27973">
    <w:pPr>
      <w:spacing w:before="46" w:line="228" w:lineRule="auto"/>
      <w:ind w:left="33"/>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3" name="文本框 16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CF830">
                          <w:pPr>
                            <w:pStyle w:val="13"/>
                          </w:pPr>
                          <w:r>
                            <w:fldChar w:fldCharType="begin"/>
                          </w:r>
                          <w:r>
                            <w:instrText xml:space="preserve"> PAGE  \* MERGEFORMAT </w:instrText>
                          </w:r>
                          <w:r>
                            <w:fldChar w:fldCharType="separate"/>
                          </w:r>
                          <w:r>
                            <w:t>75</w:t>
                          </w:r>
                          <w:r>
                            <w:fldChar w:fldCharType="end"/>
                          </w:r>
                        </w:p>
                      </w:txbxContent>
                    </wps:txbx>
                    <wps:bodyPr vert="horz" wrap="none" lIns="0" tIns="0" rIns="0" bIns="0" anchor="t">
                      <a:spAutoFit/>
                    </wps:bodyPr>
                  </wps:wsp>
                </a:graphicData>
              </a:graphic>
            </wp:anchor>
          </w:drawing>
        </mc:Choice>
        <mc:Fallback>
          <w:pict>
            <v:rect id="文本框 169"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S5QdFcwBAACUAwAADgAAAAAAAAABACAAAAAfAQAAZHJzL2Uy&#10;b0RvYy54bWxQSwUGAAAAAAYABgBZAQAAXQUAAAAA&#10;">
              <v:fill on="f" focussize="0,0"/>
              <v:stroke on="f"/>
              <v:imagedata o:title=""/>
              <o:lock v:ext="edit" aspectratio="f"/>
              <v:textbox inset="0mm,0mm,0mm,0mm" style="mso-fit-shape-to-text:t;">
                <w:txbxContent>
                  <w:p w14:paraId="20DCF830">
                    <w:pPr>
                      <w:pStyle w:val="13"/>
                    </w:pPr>
                    <w:r>
                      <w:fldChar w:fldCharType="begin"/>
                    </w:r>
                    <w:r>
                      <w:instrText xml:space="preserve"> PAGE  \* MERGEFORMAT </w:instrText>
                    </w:r>
                    <w:r>
                      <w:fldChar w:fldCharType="separate"/>
                    </w:r>
                    <w:r>
                      <w:t>75</w:t>
                    </w:r>
                    <w:r>
                      <w:fldChar w:fldCharType="end"/>
                    </w:r>
                  </w:p>
                </w:txbxContent>
              </v:textbox>
            </v:rect>
          </w:pict>
        </mc:Fallback>
      </mc:AlternateContent>
    </w:r>
    <w:r>
      <w:pict>
        <v:shape id="4164" o:spid="_x0000_s2079" style="position:absolute;left:0pt;margin-left:90pt;margin-top:776.15pt;height:0.5pt;width:415.3pt;mso-position-horizontal-relative:page;mso-position-vertical-relative:page;z-index:251659264;mso-width-relative:page;mso-height-relative:page;" fillcolor="#000000" filled="t" stroked="f" coordsize="8305,10" o:allowincell="f" path="m0,0l8305,0,8305,9,0,9,0,0xe">
          <v:path textboxrect="0,0,8305,10"/>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4165" name="IM 258"/>
          <wp:cNvGraphicFramePr/>
          <a:graphic xmlns:a="http://schemas.openxmlformats.org/drawingml/2006/main">
            <a:graphicData uri="http://schemas.openxmlformats.org/drawingml/2006/picture">
              <pic:pic xmlns:pic="http://schemas.openxmlformats.org/drawingml/2006/picture">
                <pic:nvPicPr>
                  <pic:cNvPr id="4165" name="IM 258"/>
                  <pic:cNvPicPr/>
                </pic:nvPicPr>
                <pic:blipFill>
                  <a:blip r:embed="rId1" cstate="print"/>
                  <a:srcRect/>
                  <a:stretch>
                    <a:fillRect/>
                  </a:stretch>
                </pic:blipFill>
                <pic:spPr>
                  <a:xfrm>
                    <a:off x="0" y="0"/>
                    <a:ext cx="299720" cy="117475"/>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7C1FE">
    <w:pPr>
      <w:spacing w:before="48" w:line="271" w:lineRule="exact"/>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2" name="文本框 12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537712">
                          <w:pPr>
                            <w:pStyle w:val="13"/>
                          </w:pPr>
                          <w:r>
                            <w:fldChar w:fldCharType="begin"/>
                          </w:r>
                          <w:r>
                            <w:instrText xml:space="preserve"> PAGE  \* MERGEFORMAT </w:instrText>
                          </w:r>
                          <w:r>
                            <w:fldChar w:fldCharType="separate"/>
                          </w:r>
                          <w:r>
                            <w:t>6</w:t>
                          </w:r>
                          <w:r>
                            <w:fldChar w:fldCharType="end"/>
                          </w:r>
                        </w:p>
                      </w:txbxContent>
                    </wps:txbx>
                    <wps:bodyPr vert="horz" wrap="none" lIns="0" tIns="0" rIns="0" bIns="0" anchor="t">
                      <a:spAutoFit/>
                    </wps:bodyPr>
                  </wps:wsp>
                </a:graphicData>
              </a:graphic>
            </wp:anchor>
          </w:drawing>
        </mc:Choice>
        <mc:Fallback>
          <w:pict>
            <v:rect id="文本框 129"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X0LqgywEAAJQDAAAOAAAAAAAAAAEAIAAAAB8BAABkcnMvZTJv&#10;RG9jLnhtbFBLBQYAAAAABgAGAFkBAABcBQAAAAA=&#10;">
              <v:fill on="f" focussize="0,0"/>
              <v:stroke on="f"/>
              <v:imagedata o:title=""/>
              <o:lock v:ext="edit" aspectratio="f"/>
              <v:textbox inset="0mm,0mm,0mm,0mm" style="mso-fit-shape-to-text:t;">
                <w:txbxContent>
                  <w:p w14:paraId="0F537712">
                    <w:pPr>
                      <w:pStyle w:val="13"/>
                    </w:pPr>
                    <w:r>
                      <w:fldChar w:fldCharType="begin"/>
                    </w:r>
                    <w:r>
                      <w:instrText xml:space="preserve"> PAGE  \* MERGEFORMAT </w:instrText>
                    </w:r>
                    <w:r>
                      <w:fldChar w:fldCharType="separate"/>
                    </w:r>
                    <w:r>
                      <w:t>6</w:t>
                    </w:r>
                    <w:r>
                      <w:fldChar w:fldCharType="end"/>
                    </w:r>
                  </w:p>
                </w:txbxContent>
              </v:textbox>
            </v:rect>
          </w:pict>
        </mc:Fallback>
      </mc:AlternateContent>
    </w:r>
    <w:r>
      <w:pict>
        <v:shape id="4103" o:spid="_x0000_s2052" style="position:absolute;left:0pt;margin-left:79.4pt;margin-top:776.2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4104" name="IM 18"/>
          <wp:cNvGraphicFramePr/>
          <a:graphic xmlns:a="http://schemas.openxmlformats.org/drawingml/2006/main">
            <a:graphicData uri="http://schemas.openxmlformats.org/drawingml/2006/picture">
              <pic:pic xmlns:pic="http://schemas.openxmlformats.org/drawingml/2006/picture">
                <pic:nvPicPr>
                  <pic:cNvPr id="4104" name="IM 18"/>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F9651">
    <w:pPr>
      <w:spacing w:before="48" w:line="271" w:lineRule="exact"/>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6" name="文本框 13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C46446F">
                          <w:pPr>
                            <w:pStyle w:val="13"/>
                          </w:pPr>
                          <w:r>
                            <w:fldChar w:fldCharType="begin"/>
                          </w:r>
                          <w:r>
                            <w:instrText xml:space="preserve"> PAGE  \* MERGEFORMAT </w:instrText>
                          </w:r>
                          <w:r>
                            <w:fldChar w:fldCharType="separate"/>
                          </w:r>
                          <w:r>
                            <w:t>8</w:t>
                          </w:r>
                          <w:r>
                            <w:fldChar w:fldCharType="end"/>
                          </w:r>
                        </w:p>
                      </w:txbxContent>
                    </wps:txbx>
                    <wps:bodyPr vert="horz" wrap="none" lIns="0" tIns="0" rIns="0" bIns="0" anchor="t">
                      <a:spAutoFit/>
                    </wps:bodyPr>
                  </wps:wsp>
                </a:graphicData>
              </a:graphic>
            </wp:anchor>
          </w:drawing>
        </mc:Choice>
        <mc:Fallback>
          <w:pict>
            <v:rect id="文本框 13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kRJYzywEAAJQDAAAOAAAAAAAAAAEAIAAAAB8BAABkcnMvZTJv&#10;RG9jLnhtbFBLBQYAAAAABgAGAFkBAABcBQAAAAA=&#10;">
              <v:fill on="f" focussize="0,0"/>
              <v:stroke on="f"/>
              <v:imagedata o:title=""/>
              <o:lock v:ext="edit" aspectratio="f"/>
              <v:textbox inset="0mm,0mm,0mm,0mm" style="mso-fit-shape-to-text:t;">
                <w:txbxContent>
                  <w:p w14:paraId="2C46446F">
                    <w:pPr>
                      <w:pStyle w:val="13"/>
                    </w:pPr>
                    <w:r>
                      <w:fldChar w:fldCharType="begin"/>
                    </w:r>
                    <w:r>
                      <w:instrText xml:space="preserve"> PAGE  \* MERGEFORMAT </w:instrText>
                    </w:r>
                    <w:r>
                      <w:fldChar w:fldCharType="separate"/>
                    </w:r>
                    <w:r>
                      <w:t>8</w:t>
                    </w:r>
                    <w:r>
                      <w:fldChar w:fldCharType="end"/>
                    </w:r>
                  </w:p>
                </w:txbxContent>
              </v:textbox>
            </v:rect>
          </w:pict>
        </mc:Fallback>
      </mc:AlternateContent>
    </w:r>
    <w:r>
      <w:pict>
        <v:shape id="4107" o:spid="_x0000_s2054" style="position:absolute;left:0pt;margin-left:79.4pt;margin-top:776.2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4108" name="IM 20"/>
          <wp:cNvGraphicFramePr/>
          <a:graphic xmlns:a="http://schemas.openxmlformats.org/drawingml/2006/main">
            <a:graphicData uri="http://schemas.openxmlformats.org/drawingml/2006/picture">
              <pic:pic xmlns:pic="http://schemas.openxmlformats.org/drawingml/2006/picture">
                <pic:nvPicPr>
                  <pic:cNvPr id="4108" name="IM 20"/>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6FA48">
    <w:pPr>
      <w:spacing w:before="48" w:line="272" w:lineRule="exact"/>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10" name="文本框 14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812A7E">
                          <w:pPr>
                            <w:pStyle w:val="13"/>
                          </w:pPr>
                          <w:r>
                            <w:fldChar w:fldCharType="begin"/>
                          </w:r>
                          <w:r>
                            <w:instrText xml:space="preserve"> PAGE  \* MERGEFORMAT </w:instrText>
                          </w:r>
                          <w:r>
                            <w:fldChar w:fldCharType="separate"/>
                          </w:r>
                          <w:r>
                            <w:t>33</w:t>
                          </w:r>
                          <w:r>
                            <w:fldChar w:fldCharType="end"/>
                          </w:r>
                        </w:p>
                      </w:txbxContent>
                    </wps:txbx>
                    <wps:bodyPr vert="horz" wrap="none" lIns="0" tIns="0" rIns="0" bIns="0" anchor="t">
                      <a:spAutoFit/>
                    </wps:bodyPr>
                  </wps:wsp>
                </a:graphicData>
              </a:graphic>
            </wp:anchor>
          </w:drawing>
        </mc:Choice>
        <mc:Fallback>
          <w:pict>
            <v:rect id="文本框 14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VMQ8NywEAAJQDAAAOAAAAAAAAAAEAIAAAAB8BAABkcnMvZTJv&#10;RG9jLnhtbFBLBQYAAAAABgAGAFkBAABcBQAAAAA=&#10;">
              <v:fill on="f" focussize="0,0"/>
              <v:stroke on="f"/>
              <v:imagedata o:title=""/>
              <o:lock v:ext="edit" aspectratio="f"/>
              <v:textbox inset="0mm,0mm,0mm,0mm" style="mso-fit-shape-to-text:t;">
                <w:txbxContent>
                  <w:p w14:paraId="68812A7E">
                    <w:pPr>
                      <w:pStyle w:val="13"/>
                    </w:pPr>
                    <w:r>
                      <w:fldChar w:fldCharType="begin"/>
                    </w:r>
                    <w:r>
                      <w:instrText xml:space="preserve"> PAGE  \* MERGEFORMAT </w:instrText>
                    </w:r>
                    <w:r>
                      <w:fldChar w:fldCharType="separate"/>
                    </w:r>
                    <w:r>
                      <w:t>33</w:t>
                    </w:r>
                    <w:r>
                      <w:fldChar w:fldCharType="end"/>
                    </w:r>
                  </w:p>
                </w:txbxContent>
              </v:textbox>
            </v:rect>
          </w:pict>
        </mc:Fallback>
      </mc:AlternateContent>
    </w:r>
    <w:r>
      <w:pict>
        <v:shape id="4111" o:spid="_x0000_s2056" style="position:absolute;left:0pt;margin-left:85.05pt;margin-top:769.1pt;height:0.5pt;width:425.25pt;mso-position-horizontal-relative:page;mso-position-vertical-relative:page;z-index:251659264;mso-width-relative:page;mso-height-relative:page;" fillcolor="#000000" filled="t" stroked="f" coordsize="8505,10" o:allowincell="f" path="m0,0l8504,0,8504,9,0,9,0,0xe">
          <v:path textboxrect="0,0,8505,10"/>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4112" name="IM 134"/>
          <wp:cNvGraphicFramePr/>
          <a:graphic xmlns:a="http://schemas.openxmlformats.org/drawingml/2006/main">
            <a:graphicData uri="http://schemas.openxmlformats.org/drawingml/2006/picture">
              <pic:pic xmlns:pic="http://schemas.openxmlformats.org/drawingml/2006/picture">
                <pic:nvPicPr>
                  <pic:cNvPr id="4112" name="IM 134"/>
                  <pic:cNvPicPr/>
                </pic:nvPicPr>
                <pic:blipFill>
                  <a:blip r:embed="rId1" cstate="print"/>
                  <a:srcRect/>
                  <a:stretch>
                    <a:fillRect/>
                  </a:stretch>
                </pic:blipFill>
                <pic:spPr>
                  <a:xfrm>
                    <a:off x="0" y="0"/>
                    <a:ext cx="299720" cy="117475"/>
                  </a:xfrm>
                  <a:prstGeom prst="rect">
                    <a:avLst/>
                  </a:prstGeom>
                </pic:spPr>
              </pic:pic>
            </a:graphicData>
          </a:graphic>
        </wp:inline>
      </w:drawing>
    </w:r>
    <w:r>
      <w:rPr>
        <w:rFonts w:ascii="宋体" w:hAnsi="宋体" w:eastAsia="宋体" w:cs="宋体"/>
        <w:spacing w:val="4"/>
        <w:position w:val="-1"/>
        <w:sz w:val="18"/>
        <w:szCs w:val="18"/>
        <w:lang w:eastAsia="zh-CN"/>
      </w:rPr>
      <w:t xml:space="preserve"> </w:t>
    </w:r>
    <w:r>
      <w:rPr>
        <w:rFonts w:ascii="宋体" w:hAnsi="宋体" w:eastAsia="宋体" w:cs="宋体"/>
        <w:spacing w:val="-2"/>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237E3">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posOffset>2929255</wp:posOffset>
              </wp:positionH>
              <wp:positionV relativeFrom="paragraph">
                <wp:posOffset>6985</wp:posOffset>
              </wp:positionV>
              <wp:extent cx="1828800" cy="1828800"/>
              <wp:effectExtent l="0" t="0" r="0" b="0"/>
              <wp:wrapNone/>
              <wp:docPr id="4114" name="文本框 14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D8842CC">
                          <w:pPr>
                            <w:pStyle w:val="13"/>
                          </w:pPr>
                          <w:r>
                            <w:fldChar w:fldCharType="begin"/>
                          </w:r>
                          <w:r>
                            <w:instrText xml:space="preserve"> PAGE  \* MERGEFORMAT </w:instrText>
                          </w:r>
                          <w:r>
                            <w:fldChar w:fldCharType="separate"/>
                          </w:r>
                          <w:r>
                            <w:t>36</w:t>
                          </w:r>
                          <w:r>
                            <w:fldChar w:fldCharType="end"/>
                          </w:r>
                        </w:p>
                      </w:txbxContent>
                    </wps:txbx>
                    <wps:bodyPr vert="horz" wrap="none" lIns="0" tIns="0" rIns="0" bIns="0" anchor="t">
                      <a:spAutoFit/>
                    </wps:bodyPr>
                  </wps:wsp>
                </a:graphicData>
              </a:graphic>
            </wp:anchor>
          </w:drawing>
        </mc:Choice>
        <mc:Fallback>
          <w:pict>
            <v:rect id="文本框 147" o:spid="_x0000_s1026" o:spt="1" style="position:absolute;left:0pt;margin-left:230.65pt;margin-top:0.55pt;height:144pt;width:144pt;mso-position-horizontal-relative:margin;mso-wrap-style:none;z-index:251659264;mso-width-relative:page;mso-height-relative:page;" filled="f" stroked="f" coordsize="21600,21600" o:gfxdata="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GCzYhjVAAAACQEAAA8AAAAAAAAAAQAgAAAAIgAAAGRycy9k&#10;b3ducmV2LnhtbFBLAQIUABQAAAAIAIdO4kCtzvoAzAEAAJQDAAAOAAAAAAAAAAEAIAAAACQBAABk&#10;cnMvZTJvRG9jLnhtbFBLBQYAAAAABgAGAFkBAABiBQAAAAA=&#10;">
              <v:fill on="f" focussize="0,0"/>
              <v:stroke on="f"/>
              <v:imagedata o:title=""/>
              <o:lock v:ext="edit" aspectratio="f"/>
              <v:textbox inset="0mm,0mm,0mm,0mm" style="mso-fit-shape-to-text:t;">
                <w:txbxContent>
                  <w:p w14:paraId="6D8842CC">
                    <w:pPr>
                      <w:pStyle w:val="13"/>
                    </w:pPr>
                    <w:r>
                      <w:fldChar w:fldCharType="begin"/>
                    </w:r>
                    <w:r>
                      <w:instrText xml:space="preserve"> PAGE  \* MERGEFORMAT </w:instrText>
                    </w:r>
                    <w:r>
                      <w:fldChar w:fldCharType="separate"/>
                    </w:r>
                    <w:r>
                      <w:t>36</w:t>
                    </w:r>
                    <w:r>
                      <w:fldChar w:fldCharType="end"/>
                    </w:r>
                  </w:p>
                </w:txbxContent>
              </v:textbox>
            </v:rect>
          </w:pict>
        </mc:Fallback>
      </mc:AlternateContent>
    </w:r>
    <w:r>
      <w:pict>
        <v:shape id="4115" o:spid="_x0000_s2058"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16" name="IM 136"/>
          <wp:cNvGraphicFramePr/>
          <a:graphic xmlns:a="http://schemas.openxmlformats.org/drawingml/2006/main">
            <a:graphicData uri="http://schemas.openxmlformats.org/drawingml/2006/picture">
              <pic:pic xmlns:pic="http://schemas.openxmlformats.org/drawingml/2006/picture">
                <pic:nvPicPr>
                  <pic:cNvPr id="4116" name="IM 136"/>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BD9DD">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18" name="文本框 14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45DB821">
                          <w:pPr>
                            <w:pStyle w:val="13"/>
                          </w:pPr>
                          <w:r>
                            <w:fldChar w:fldCharType="begin"/>
                          </w:r>
                          <w:r>
                            <w:instrText xml:space="preserve"> PAGE  \* MERGEFORMAT </w:instrText>
                          </w:r>
                          <w:r>
                            <w:fldChar w:fldCharType="separate"/>
                          </w:r>
                          <w:r>
                            <w:t>37</w:t>
                          </w:r>
                          <w:r>
                            <w:fldChar w:fldCharType="end"/>
                          </w:r>
                        </w:p>
                      </w:txbxContent>
                    </wps:txbx>
                    <wps:bodyPr vert="horz" wrap="none" lIns="0" tIns="0" rIns="0" bIns="0" anchor="t">
                      <a:spAutoFit/>
                    </wps:bodyPr>
                  </wps:wsp>
                </a:graphicData>
              </a:graphic>
            </wp:anchor>
          </w:drawing>
        </mc:Choice>
        <mc:Fallback>
          <w:pict>
            <v:rect id="文本框 149"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vM219ywEAAJQDAAAOAAAAAAAAAAEAIAAAAB8BAABkcnMvZTJv&#10;RG9jLnhtbFBLBQYAAAAABgAGAFkBAABcBQAAAAA=&#10;">
              <v:fill on="f" focussize="0,0"/>
              <v:stroke on="f"/>
              <v:imagedata o:title=""/>
              <o:lock v:ext="edit" aspectratio="f"/>
              <v:textbox inset="0mm,0mm,0mm,0mm" style="mso-fit-shape-to-text:t;">
                <w:txbxContent>
                  <w:p w14:paraId="445DB821">
                    <w:pPr>
                      <w:pStyle w:val="13"/>
                    </w:pPr>
                    <w:r>
                      <w:fldChar w:fldCharType="begin"/>
                    </w:r>
                    <w:r>
                      <w:instrText xml:space="preserve"> PAGE  \* MERGEFORMAT </w:instrText>
                    </w:r>
                    <w:r>
                      <w:fldChar w:fldCharType="separate"/>
                    </w:r>
                    <w:r>
                      <w:t>37</w:t>
                    </w:r>
                    <w:r>
                      <w:fldChar w:fldCharType="end"/>
                    </w:r>
                  </w:p>
                </w:txbxContent>
              </v:textbox>
            </v:rect>
          </w:pict>
        </mc:Fallback>
      </mc:AlternateContent>
    </w:r>
    <w:r>
      <w:pict>
        <v:shape id="4119" o:spid="_x0000_s2060"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20" name="IM 138"/>
          <wp:cNvGraphicFramePr/>
          <a:graphic xmlns:a="http://schemas.openxmlformats.org/drawingml/2006/main">
            <a:graphicData uri="http://schemas.openxmlformats.org/drawingml/2006/picture">
              <pic:pic xmlns:pic="http://schemas.openxmlformats.org/drawingml/2006/picture">
                <pic:nvPicPr>
                  <pic:cNvPr id="4120" name="IM 138"/>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4EF83">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22" name="文本框 15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96F81FE">
                          <w:pPr>
                            <w:pStyle w:val="13"/>
                          </w:pPr>
                          <w:r>
                            <w:fldChar w:fldCharType="begin"/>
                          </w:r>
                          <w:r>
                            <w:instrText xml:space="preserve"> PAGE  \* MERGEFORMAT </w:instrText>
                          </w:r>
                          <w:r>
                            <w:fldChar w:fldCharType="separate"/>
                          </w:r>
                          <w:r>
                            <w:t>38</w:t>
                          </w:r>
                          <w:r>
                            <w:fldChar w:fldCharType="end"/>
                          </w:r>
                        </w:p>
                      </w:txbxContent>
                    </wps:txbx>
                    <wps:bodyPr vert="horz" wrap="none" lIns="0" tIns="0" rIns="0" bIns="0" anchor="t">
                      <a:spAutoFit/>
                    </wps:bodyPr>
                  </wps:wsp>
                </a:graphicData>
              </a:graphic>
            </wp:anchor>
          </w:drawing>
        </mc:Choice>
        <mc:Fallback>
          <w:pict>
            <v:rect id="文本框 15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Qcy/8ywEAAJQDAAAOAAAAAAAAAAEAIAAAAB8BAABkcnMvZTJv&#10;RG9jLnhtbFBLBQYAAAAABgAGAFkBAABcBQAAAAA=&#10;">
              <v:fill on="f" focussize="0,0"/>
              <v:stroke on="f"/>
              <v:imagedata o:title=""/>
              <o:lock v:ext="edit" aspectratio="f"/>
              <v:textbox inset="0mm,0mm,0mm,0mm" style="mso-fit-shape-to-text:t;">
                <w:txbxContent>
                  <w:p w14:paraId="396F81FE">
                    <w:pPr>
                      <w:pStyle w:val="13"/>
                    </w:pPr>
                    <w:r>
                      <w:fldChar w:fldCharType="begin"/>
                    </w:r>
                    <w:r>
                      <w:instrText xml:space="preserve"> PAGE  \* MERGEFORMAT </w:instrText>
                    </w:r>
                    <w:r>
                      <w:fldChar w:fldCharType="separate"/>
                    </w:r>
                    <w:r>
                      <w:t>38</w:t>
                    </w:r>
                    <w:r>
                      <w:fldChar w:fldCharType="end"/>
                    </w:r>
                  </w:p>
                </w:txbxContent>
              </v:textbox>
            </v:rect>
          </w:pict>
        </mc:Fallback>
      </mc:AlternateContent>
    </w:r>
    <w:r>
      <w:pict>
        <v:shape id="4123" o:spid="_x0000_s2062"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24" name="IM 140"/>
          <wp:cNvGraphicFramePr/>
          <a:graphic xmlns:a="http://schemas.openxmlformats.org/drawingml/2006/main">
            <a:graphicData uri="http://schemas.openxmlformats.org/drawingml/2006/picture">
              <pic:pic xmlns:pic="http://schemas.openxmlformats.org/drawingml/2006/picture">
                <pic:nvPicPr>
                  <pic:cNvPr id="4124" name="IM 140"/>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265F5">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26" name="文本框 15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43DDEE8">
                          <w:pPr>
                            <w:pStyle w:val="13"/>
                          </w:pPr>
                          <w:r>
                            <w:fldChar w:fldCharType="begin"/>
                          </w:r>
                          <w:r>
                            <w:instrText xml:space="preserve"> PAGE  \* MERGEFORMAT </w:instrText>
                          </w:r>
                          <w:r>
                            <w:fldChar w:fldCharType="separate"/>
                          </w:r>
                          <w:r>
                            <w:t>39</w:t>
                          </w:r>
                          <w:r>
                            <w:fldChar w:fldCharType="end"/>
                          </w:r>
                        </w:p>
                      </w:txbxContent>
                    </wps:txbx>
                    <wps:bodyPr vert="horz" wrap="none" lIns="0" tIns="0" rIns="0" bIns="0" anchor="t">
                      <a:spAutoFit/>
                    </wps:bodyPr>
                  </wps:wsp>
                </a:graphicData>
              </a:graphic>
            </wp:anchor>
          </w:drawing>
        </mc:Choice>
        <mc:Fallback>
          <w:pict>
            <v:rect id="文本框 15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6Iza8cwBAACUAwAADgAAAAAAAAABACAAAAAfAQAAZHJzL2Uy&#10;b0RvYy54bWxQSwUGAAAAAAYABgBZAQAAXQUAAAAA&#10;">
              <v:fill on="f" focussize="0,0"/>
              <v:stroke on="f"/>
              <v:imagedata o:title=""/>
              <o:lock v:ext="edit" aspectratio="f"/>
              <v:textbox inset="0mm,0mm,0mm,0mm" style="mso-fit-shape-to-text:t;">
                <w:txbxContent>
                  <w:p w14:paraId="343DDEE8">
                    <w:pPr>
                      <w:pStyle w:val="13"/>
                    </w:pPr>
                    <w:r>
                      <w:fldChar w:fldCharType="begin"/>
                    </w:r>
                    <w:r>
                      <w:instrText xml:space="preserve"> PAGE  \* MERGEFORMAT </w:instrText>
                    </w:r>
                    <w:r>
                      <w:fldChar w:fldCharType="separate"/>
                    </w:r>
                    <w:r>
                      <w:t>39</w:t>
                    </w:r>
                    <w:r>
                      <w:fldChar w:fldCharType="end"/>
                    </w:r>
                  </w:p>
                </w:txbxContent>
              </v:textbox>
            </v:rect>
          </w:pict>
        </mc:Fallback>
      </mc:AlternateContent>
    </w:r>
    <w:r>
      <w:pict>
        <v:shape id="4127" o:spid="_x0000_s2064"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28" name="IM 142"/>
          <wp:cNvGraphicFramePr/>
          <a:graphic xmlns:a="http://schemas.openxmlformats.org/drawingml/2006/main">
            <a:graphicData uri="http://schemas.openxmlformats.org/drawingml/2006/picture">
              <pic:pic xmlns:pic="http://schemas.openxmlformats.org/drawingml/2006/picture">
                <pic:nvPicPr>
                  <pic:cNvPr id="4128" name="IM 142"/>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7C4DD">
    <w:pPr>
      <w:spacing w:before="46" w:line="228" w:lineRule="auto"/>
      <w:ind w:left="20"/>
      <w:rPr>
        <w:rFonts w:ascii="Calibri" w:hAnsi="Calibri" w:eastAsia="Calibri" w:cs="Calibri"/>
        <w:sz w:val="18"/>
        <w:szCs w:val="18"/>
        <w:lang w:eastAsia="zh-CN"/>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30" name="文本框 15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E3CCCB5">
                          <w:pPr>
                            <w:pStyle w:val="13"/>
                          </w:pPr>
                          <w:r>
                            <w:fldChar w:fldCharType="begin"/>
                          </w:r>
                          <w:r>
                            <w:instrText xml:space="preserve"> PAGE  \* MERGEFORMAT </w:instrText>
                          </w:r>
                          <w:r>
                            <w:fldChar w:fldCharType="separate"/>
                          </w:r>
                          <w:r>
                            <w:t>42</w:t>
                          </w:r>
                          <w:r>
                            <w:fldChar w:fldCharType="end"/>
                          </w:r>
                        </w:p>
                      </w:txbxContent>
                    </wps:txbx>
                    <wps:bodyPr vert="horz" wrap="none" lIns="0" tIns="0" rIns="0" bIns="0" anchor="t">
                      <a:spAutoFit/>
                    </wps:bodyPr>
                  </wps:wsp>
                </a:graphicData>
              </a:graphic>
            </wp:anchor>
          </w:drawing>
        </mc:Choice>
        <mc:Fallback>
          <w:pict>
            <v:rect id="文本框 15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HpZHeMwBAACUAwAADgAAAAAAAAABACAAAAAfAQAAZHJzL2Uy&#10;b0RvYy54bWxQSwUGAAAAAAYABgBZAQAAXQUAAAAA&#10;">
              <v:fill on="f" focussize="0,0"/>
              <v:stroke on="f"/>
              <v:imagedata o:title=""/>
              <o:lock v:ext="edit" aspectratio="f"/>
              <v:textbox inset="0mm,0mm,0mm,0mm" style="mso-fit-shape-to-text:t;">
                <w:txbxContent>
                  <w:p w14:paraId="0E3CCCB5">
                    <w:pPr>
                      <w:pStyle w:val="13"/>
                    </w:pPr>
                    <w:r>
                      <w:fldChar w:fldCharType="begin"/>
                    </w:r>
                    <w:r>
                      <w:instrText xml:space="preserve"> PAGE  \* MERGEFORMAT </w:instrText>
                    </w:r>
                    <w:r>
                      <w:fldChar w:fldCharType="separate"/>
                    </w:r>
                    <w:r>
                      <w:t>42</w:t>
                    </w:r>
                    <w:r>
                      <w:fldChar w:fldCharType="end"/>
                    </w:r>
                  </w:p>
                </w:txbxContent>
              </v:textbox>
            </v:rect>
          </w:pict>
        </mc:Fallback>
      </mc:AlternateContent>
    </w:r>
    <w:r>
      <w:pict>
        <v:shape id="4131" o:spid="_x0000_s2066" style="position:absolute;left:0pt;margin-left:79.4pt;margin-top:776.15pt;height:0.5pt;width:459.25pt;mso-position-horizontal-relative:page;mso-position-vertical-relative:page;z-index:251659264;mso-width-relative:page;mso-height-relative:page;" fillcolor="#000000" filled="t" stroked="f" coordsize="9185,10" o:allowincell="f" path="m0,0l9184,0,9184,9,0,9,0,0xe">
          <v:path textboxrect="0,0,9185,10"/>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4132" name="IM 148"/>
          <wp:cNvGraphicFramePr/>
          <a:graphic xmlns:a="http://schemas.openxmlformats.org/drawingml/2006/main">
            <a:graphicData uri="http://schemas.openxmlformats.org/drawingml/2006/picture">
              <pic:pic xmlns:pic="http://schemas.openxmlformats.org/drawingml/2006/picture">
                <pic:nvPicPr>
                  <pic:cNvPr id="4132" name="IM 148"/>
                  <pic:cNvPicPr/>
                </pic:nvPicPr>
                <pic:blipFill>
                  <a:blip r:embed="rId1" cstate="print"/>
                  <a:srcRect/>
                  <a:stretch>
                    <a:fillRect/>
                  </a:stretch>
                </pic:blipFill>
                <pic:spPr>
                  <a:xfrm>
                    <a:off x="0" y="0"/>
                    <a:ext cx="312420" cy="117475"/>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2B064">
    <w:pPr>
      <w:spacing w:before="14" w:line="229" w:lineRule="auto"/>
      <w:ind w:left="2093"/>
      <w:rPr>
        <w:rFonts w:hint="default" w:ascii="楷体" w:hAnsi="楷体" w:eastAsia="楷体" w:cs="楷体"/>
        <w:sz w:val="20"/>
        <w:szCs w:val="20"/>
        <w:lang w:val="en-US" w:eastAsia="zh-CN"/>
      </w:rPr>
    </w:pPr>
    <w:r>
      <w:rPr>
        <w:rFonts w:hint="eastAsia" w:ascii="宋体" w:hAnsi="宋体" w:eastAsia="宋体" w:cs="宋体"/>
      </w:rPr>
      <w:pict>
        <v:shape id="4097" o:spid="_x0000_s2049"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A0766">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4133" o:spid="_x0000_s2067"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00208">
    <w:pPr>
      <w:spacing w:before="14" w:line="229" w:lineRule="auto"/>
      <w:ind w:left="2208"/>
      <w:rPr>
        <w:rFonts w:hint="eastAsia" w:ascii="宋体" w:hAnsi="宋体" w:eastAsia="宋体" w:cs="宋体"/>
        <w:sz w:val="20"/>
        <w:szCs w:val="20"/>
        <w:lang w:eastAsia="zh-CN"/>
      </w:rPr>
    </w:pPr>
    <w:r>
      <w:rPr>
        <w:rFonts w:hint="eastAsia" w:ascii="宋体" w:hAnsi="宋体" w:eastAsia="宋体" w:cs="宋体"/>
      </w:rPr>
      <w:pict>
        <v:shape id="4137" o:spid="_x0000_s2069"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50ACA">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4141" o:spid="_x0000_s2071"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6DB25">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45" o:spid="_x0000_s2073"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937AD">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49" o:spid="_x0000_s2075"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89863">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4159" o:spid="_x0000_s2077" style="position:absolute;left:0pt;margin-left:90pt;margin-top:56.15pt;height:0.75pt;width:415.3pt;mso-position-horizontal-relative:page;mso-position-vertical-relative:page;z-index:251659264;mso-width-relative:page;mso-height-relative:page;" fillcolor="#000000" filled="t" stroked="f" coordsize="8305,15" o:allowincell="f" path="m0,0l8305,0,8305,14,0,14,0,0xe">
          <v:path textboxrect="0,0,830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8F123">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01" o:spid="_x0000_s2051"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DD43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05" o:spid="_x0000_s2053"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F058D">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4109" o:spid="_x0000_s2055" style="position:absolute;left:0pt;margin-left:85.05pt;margin-top:70.3pt;height:0.75pt;width:425.25pt;mso-position-horizontal-relative:page;mso-position-vertical-relative:page;z-index:251659264;mso-width-relative:page;mso-height-relative:page;" fillcolor="#000000" filled="t" stroked="f" coordsize="8505,15" o:allowincell="f" path="m0,0l8504,0,8504,14,0,14,0,0xe">
          <v:path textboxrect="0,0,850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3BB16">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13" o:spid="_x0000_s2057"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F35CA">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17" o:spid="_x0000_s2059"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FF639">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21" o:spid="_x0000_s2061"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B2C6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25" o:spid="_x0000_s2063"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A32E9">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4129" o:spid="_x0000_s2065" style="position:absolute;left:0pt;margin-left:79.4pt;margin-top:56.15pt;height:0.75pt;width:459.25pt;mso-position-horizontal-relative:page;mso-position-vertical-relative:page;z-index:251659264;mso-width-relative:page;mso-height-relative:page;" fillcolor="#000000" filled="t" stroked="f" coordsize="9185,15" o:allowincell="f" path="m0,0l9184,0,9184,14,0,14,0,0xe">
          <v:path textboxrect="0,0,9185,15"/>
          <v:fill on="t" focussize="0,0"/>
          <v:stroke on="f"/>
          <v:imagedata o:title=""/>
          <o:lock v:ext="edit"/>
        </v:shape>
      </w:pict>
    </w:r>
    <w:r>
      <w:rPr>
        <w:rFonts w:hint="eastAsia" w:ascii="宋体" w:hAnsi="宋体" w:eastAsia="宋体" w:cs="宋体"/>
        <w:spacing w:val="9"/>
        <w:sz w:val="20"/>
        <w:szCs w:val="20"/>
        <w:lang w:eastAsia="zh-CN"/>
      </w:rPr>
      <w:t>凤城市添合矿业有限公司尾矿库安全现状评价报告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32" w:hanging="432"/>
      </w:pPr>
      <w:rPr>
        <w:rFonts w:hint="default"/>
        <w:sz w:val="36"/>
        <w:szCs w:val="36"/>
      </w:rPr>
    </w:lvl>
    <w:lvl w:ilvl="1" w:tentative="0">
      <w:start w:val="1"/>
      <w:numFmt w:val="decimal"/>
      <w:pStyle w:val="3"/>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
    <w:nsid w:val="00000002"/>
    <w:multiLevelType w:val="singleLevel"/>
    <w:tmpl w:val="00000002"/>
    <w:lvl w:ilvl="0" w:tentative="0">
      <w:start w:val="6"/>
      <w:numFmt w:val="decimal"/>
      <w:suff w:val="nothing"/>
      <w:lvlText w:val="（%1）"/>
      <w:lvlJc w:val="left"/>
    </w:lvl>
  </w:abstractNum>
  <w:abstractNum w:abstractNumId="2">
    <w:nsid w:val="00000003"/>
    <w:multiLevelType w:val="multilevel"/>
    <w:tmpl w:val="00000003"/>
    <w:lvl w:ilvl="0" w:tentative="0">
      <w:start w:val="1"/>
      <w:numFmt w:val="decimal"/>
      <w:pStyle w:val="2"/>
      <w:lvlText w:val="%1."/>
      <w:lvlJc w:val="left"/>
      <w:pPr>
        <w:ind w:left="432" w:hanging="432"/>
      </w:pPr>
      <w:rPr>
        <w:rFonts w:hint="default"/>
      </w:rPr>
    </w:lvl>
    <w:lvl w:ilvl="1" w:tentative="0">
      <w:start w:val="1"/>
      <w:numFmt w:val="decimal"/>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compatSetting w:name="compatibilityMode" w:uri="http://schemas.microsoft.com/office/word" w:val="14"/>
  </w:compat>
  <w:rsids>
    <w:rsidRoot w:val="00000000"/>
    <w:rsid w:val="010E5DED"/>
    <w:rsid w:val="02C874AC"/>
    <w:rsid w:val="035246D9"/>
    <w:rsid w:val="03D817E9"/>
    <w:rsid w:val="052B2F21"/>
    <w:rsid w:val="06420522"/>
    <w:rsid w:val="11C52008"/>
    <w:rsid w:val="19E75B77"/>
    <w:rsid w:val="1A670100"/>
    <w:rsid w:val="1A7013EA"/>
    <w:rsid w:val="2494611C"/>
    <w:rsid w:val="24DB5972"/>
    <w:rsid w:val="25CB6A51"/>
    <w:rsid w:val="28893937"/>
    <w:rsid w:val="2CED0939"/>
    <w:rsid w:val="31104BF6"/>
    <w:rsid w:val="37F963E3"/>
    <w:rsid w:val="3800255F"/>
    <w:rsid w:val="396C0022"/>
    <w:rsid w:val="3AF15A98"/>
    <w:rsid w:val="3F5C54AA"/>
    <w:rsid w:val="3F6F342F"/>
    <w:rsid w:val="42883D73"/>
    <w:rsid w:val="47D91D8D"/>
    <w:rsid w:val="48515DC8"/>
    <w:rsid w:val="49B20E8D"/>
    <w:rsid w:val="4A7C7145"/>
    <w:rsid w:val="50514F86"/>
    <w:rsid w:val="52D019E9"/>
    <w:rsid w:val="61E05A36"/>
    <w:rsid w:val="68EF2D67"/>
    <w:rsid w:val="69C565E0"/>
    <w:rsid w:val="6A116D0D"/>
    <w:rsid w:val="6F5C0A2B"/>
    <w:rsid w:val="70871AD7"/>
    <w:rsid w:val="714162DA"/>
    <w:rsid w:val="74082F2F"/>
    <w:rsid w:val="75B90985"/>
    <w:rsid w:val="764C17F9"/>
    <w:rsid w:val="77275DC2"/>
    <w:rsid w:val="784B6F0C"/>
    <w:rsid w:val="7D1511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numPr>
        <w:ilvl w:val="0"/>
        <w:numId w:val="1"/>
      </w:numPr>
      <w:spacing w:before="340" w:after="330" w:line="578" w:lineRule="auto"/>
      <w:ind w:left="432" w:hanging="432"/>
      <w:outlineLvl w:val="0"/>
    </w:pPr>
    <w:rPr>
      <w:b/>
      <w:bCs/>
      <w:kern w:val="44"/>
      <w:sz w:val="44"/>
      <w:szCs w:val="44"/>
    </w:rPr>
  </w:style>
  <w:style w:type="paragraph" w:styleId="3">
    <w:name w:val="heading 2"/>
    <w:basedOn w:val="1"/>
    <w:next w:val="1"/>
    <w:qFormat/>
    <w:uiPriority w:val="0"/>
    <w:pPr>
      <w:keepNext/>
      <w:keepLines/>
      <w:numPr>
        <w:ilvl w:val="1"/>
        <w:numId w:val="2"/>
      </w:numPr>
      <w:spacing w:before="260" w:after="260"/>
      <w:outlineLvl w:val="1"/>
    </w:pPr>
    <w:rPr>
      <w:rFonts w:ascii="Times New Roman" w:hAnsi="Times New Roman" w:eastAsia="宋体"/>
      <w:b/>
      <w:bCs/>
      <w:sz w:val="30"/>
      <w:szCs w:val="32"/>
    </w:rPr>
  </w:style>
  <w:style w:type="paragraph" w:styleId="4">
    <w:name w:val="heading 3"/>
    <w:basedOn w:val="1"/>
    <w:next w:val="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eastAsia="黑体"/>
      <w:b/>
      <w:sz w:val="28"/>
    </w:rPr>
  </w:style>
  <w:style w:type="paragraph" w:styleId="6">
    <w:name w:val="heading 5"/>
    <w:basedOn w:val="1"/>
    <w:next w:val="1"/>
    <w:qFormat/>
    <w:uiPriority w:val="0"/>
    <w:pPr>
      <w:keepNext/>
      <w:keepLines/>
      <w:numPr>
        <w:ilvl w:val="4"/>
        <w:numId w:val="1"/>
      </w:numPr>
      <w:spacing w:before="280" w:beforeAutospacing="0" w:after="290" w:afterAutospacing="0" w:line="372" w:lineRule="auto"/>
      <w:ind w:left="1008" w:hanging="1008" w:firstLineChars="0"/>
      <w:outlineLvl w:val="4"/>
    </w:pPr>
    <w:rPr>
      <w:b/>
      <w:sz w:val="28"/>
    </w:rPr>
  </w:style>
  <w:style w:type="character" w:default="1" w:styleId="23">
    <w:name w:val="Default Paragraph Font"/>
    <w:qFormat/>
    <w:uiPriority w:val="1"/>
  </w:style>
  <w:style w:type="table" w:default="1" w:styleId="21">
    <w:name w:val="Normal Table"/>
    <w:qFormat/>
    <w:uiPriority w:val="99"/>
    <w:tblPr>
      <w:tblCellMar>
        <w:top w:w="0" w:type="dxa"/>
        <w:left w:w="108" w:type="dxa"/>
        <w:bottom w:w="0" w:type="dxa"/>
        <w:right w:w="108" w:type="dxa"/>
      </w:tblCellMar>
    </w:tblPr>
  </w:style>
  <w:style w:type="paragraph" w:styleId="7">
    <w:name w:val="Normal Indent"/>
    <w:basedOn w:val="1"/>
    <w:qFormat/>
    <w:uiPriority w:val="0"/>
    <w:pPr>
      <w:ind w:firstLine="420" w:firstLineChars="200"/>
    </w:pPr>
    <w:rPr>
      <w:rFonts w:eastAsia="宋体"/>
      <w:kern w:val="2"/>
      <w:sz w:val="21"/>
      <w:szCs w:val="24"/>
      <w:lang w:val="en-US" w:eastAsia="zh-CN" w:bidi="ar-SA"/>
    </w:rPr>
  </w:style>
  <w:style w:type="paragraph" w:styleId="8">
    <w:name w:val="annotation text"/>
    <w:basedOn w:val="1"/>
    <w:link w:val="28"/>
    <w:qFormat/>
    <w:uiPriority w:val="0"/>
  </w:style>
  <w:style w:type="paragraph" w:styleId="9">
    <w:name w:val="Body Text"/>
    <w:basedOn w:val="1"/>
    <w:qFormat/>
    <w:uiPriority w:val="0"/>
  </w:style>
  <w:style w:type="paragraph" w:styleId="10">
    <w:name w:val="Body Text Indent"/>
    <w:basedOn w:val="1"/>
    <w:qFormat/>
    <w:uiPriority w:val="0"/>
    <w:pPr>
      <w:spacing w:line="380" w:lineRule="exact"/>
      <w:ind w:firstLine="480" w:firstLineChars="200"/>
    </w:pPr>
    <w:rPr>
      <w:sz w:val="24"/>
    </w:rPr>
  </w:style>
  <w:style w:type="paragraph" w:styleId="11">
    <w:name w:val="toc 3"/>
    <w:basedOn w:val="1"/>
    <w:next w:val="1"/>
    <w:qFormat/>
    <w:uiPriority w:val="0"/>
    <w:pPr>
      <w:ind w:left="840" w:leftChars="400"/>
    </w:pPr>
  </w:style>
  <w:style w:type="paragraph" w:styleId="12">
    <w:name w:val="Plain Text"/>
    <w:basedOn w:val="1"/>
    <w:qFormat/>
    <w:uiPriority w:val="0"/>
    <w:rPr>
      <w:rFonts w:ascii="宋体" w:hAnsi="Courier New"/>
      <w:szCs w:val="20"/>
    </w:r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toc 1"/>
    <w:basedOn w:val="1"/>
    <w:next w:val="1"/>
    <w:qFormat/>
    <w:uiPriority w:val="0"/>
  </w:style>
  <w:style w:type="paragraph" w:styleId="16">
    <w:name w:val="Subtitle"/>
    <w:basedOn w:val="1"/>
    <w:next w:val="1"/>
    <w:qFormat/>
    <w:uiPriority w:val="0"/>
    <w:pPr>
      <w:spacing w:line="300" w:lineRule="auto"/>
      <w:jc w:val="center"/>
    </w:pPr>
    <w:rPr>
      <w:bCs/>
      <w:kern w:val="28"/>
      <w:szCs w:val="32"/>
    </w:rPr>
  </w:style>
  <w:style w:type="paragraph" w:styleId="17">
    <w:name w:val="toc 2"/>
    <w:basedOn w:val="1"/>
    <w:next w:val="1"/>
    <w:qFormat/>
    <w:uiPriority w:val="0"/>
    <w:pPr>
      <w:ind w:left="420" w:leftChars="200"/>
    </w:pPr>
  </w:style>
  <w:style w:type="paragraph" w:styleId="18">
    <w:name w:val="annotation subject"/>
    <w:basedOn w:val="8"/>
    <w:next w:val="8"/>
    <w:link w:val="29"/>
    <w:qFormat/>
    <w:uiPriority w:val="0"/>
    <w:rPr>
      <w:b/>
      <w:bCs/>
    </w:rPr>
  </w:style>
  <w:style w:type="paragraph" w:styleId="19">
    <w:name w:val="Body Text First Indent"/>
    <w:basedOn w:val="9"/>
    <w:qFormat/>
    <w:uiPriority w:val="0"/>
    <w:pPr>
      <w:spacing w:line="240" w:lineRule="auto"/>
      <w:ind w:firstLine="420" w:firstLineChars="100"/>
    </w:pPr>
    <w:rPr>
      <w:rFonts w:ascii="Calibri" w:hAnsi="Calibri"/>
      <w:szCs w:val="22"/>
    </w:rPr>
  </w:style>
  <w:style w:type="paragraph" w:styleId="20">
    <w:name w:val="Body Text First Indent 2"/>
    <w:basedOn w:val="1"/>
    <w:next w:val="1"/>
    <w:qFormat/>
    <w:uiPriority w:val="0"/>
    <w:pPr>
      <w:widowControl w:val="0"/>
      <w:spacing w:after="120" w:line="240" w:lineRule="auto"/>
      <w:ind w:left="420" w:leftChars="200" w:firstLine="420"/>
      <w:jc w:val="both"/>
    </w:pPr>
    <w:rPr>
      <w:rFonts w:ascii="Times New Roman" w:hAnsi="Times New Roman" w:eastAsia="宋体" w:cs="Times New Roman"/>
      <w:kern w:val="2"/>
      <w:sz w:val="21"/>
      <w:szCs w:val="24"/>
      <w:lang w:eastAsia="zh-CN"/>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annotation reference"/>
    <w:basedOn w:val="23"/>
    <w:qFormat/>
    <w:uiPriority w:val="0"/>
    <w:rPr>
      <w:sz w:val="21"/>
      <w:szCs w:val="21"/>
    </w:rPr>
  </w:style>
  <w:style w:type="table" w:customStyle="1" w:styleId="25">
    <w:name w:val="Table Normal"/>
    <w:qFormat/>
    <w:uiPriority w:val="0"/>
    <w:tblPr>
      <w:tblCellMar>
        <w:top w:w="0" w:type="dxa"/>
        <w:left w:w="0" w:type="dxa"/>
        <w:bottom w:w="0" w:type="dxa"/>
        <w:right w:w="0" w:type="dxa"/>
      </w:tblCellMar>
    </w:tblPr>
  </w:style>
  <w:style w:type="paragraph" w:customStyle="1" w:styleId="26">
    <w:name w:val="Table Text"/>
    <w:basedOn w:val="1"/>
    <w:qFormat/>
    <w:uiPriority w:val="0"/>
    <w:rPr>
      <w:rFonts w:ascii="Times New Roman" w:hAnsi="Times New Roman" w:eastAsia="Times New Roman" w:cs="Times New Roman"/>
      <w:sz w:val="20"/>
      <w:szCs w:val="20"/>
    </w:rPr>
  </w:style>
  <w:style w:type="paragraph" w:customStyle="1" w:styleId="27">
    <w:name w:val="表格居中"/>
    <w:qFormat/>
    <w:uiPriority w:val="0"/>
    <w:pPr>
      <w:tabs>
        <w:tab w:val="left" w:pos="369"/>
      </w:tabs>
      <w:wordWrap w:val="0"/>
      <w:jc w:val="center"/>
    </w:pPr>
    <w:rPr>
      <w:rFonts w:ascii="Times New Roman" w:hAnsi="Times New Roman" w:eastAsia="宋体" w:cs="Times New Roman"/>
      <w:kern w:val="21"/>
      <w:sz w:val="21"/>
      <w:szCs w:val="24"/>
      <w:lang w:val="en-US" w:eastAsia="zh-CN" w:bidi="ar-SA"/>
    </w:rPr>
  </w:style>
  <w:style w:type="character" w:customStyle="1" w:styleId="28">
    <w:name w:val="批注文字 字符"/>
    <w:basedOn w:val="23"/>
    <w:link w:val="8"/>
    <w:qFormat/>
    <w:uiPriority w:val="0"/>
    <w:rPr>
      <w:rFonts w:eastAsia="Arial"/>
      <w:snapToGrid w:val="0"/>
      <w:color w:val="000000"/>
      <w:sz w:val="21"/>
      <w:szCs w:val="21"/>
      <w:lang w:eastAsia="en-US"/>
    </w:rPr>
  </w:style>
  <w:style w:type="character" w:customStyle="1" w:styleId="29">
    <w:name w:val="批注主题 字符"/>
    <w:basedOn w:val="28"/>
    <w:link w:val="18"/>
    <w:qFormat/>
    <w:uiPriority w:val="0"/>
    <w:rPr>
      <w:rFonts w:eastAsia="Arial"/>
      <w:b/>
      <w:bCs/>
      <w:snapToGrid w:val="0"/>
      <w:color w:val="000000"/>
      <w:sz w:val="21"/>
      <w:szCs w:val="21"/>
      <w:lang w:eastAsia="en-US"/>
    </w:rPr>
  </w:style>
  <w:style w:type="paragraph" w:customStyle="1" w:styleId="30">
    <w:name w:val="表格"/>
    <w:basedOn w:val="1"/>
    <w:qFormat/>
    <w:uiPriority w:val="0"/>
    <w:pPr>
      <w:adjustRightInd w:val="0"/>
      <w:snapToGrid w:val="0"/>
    </w:pPr>
    <w:rPr>
      <w:sz w:val="24"/>
      <w:szCs w:val="28"/>
    </w:rPr>
  </w:style>
  <w:style w:type="paragraph" w:customStyle="1" w:styleId="31">
    <w:name w:val="表名"/>
    <w:basedOn w:val="1"/>
    <w:qFormat/>
    <w:uiPriority w:val="0"/>
    <w:pPr>
      <w:jc w:val="center"/>
    </w:pPr>
    <w:rPr>
      <w:b/>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2" Type="http://schemas.openxmlformats.org/officeDocument/2006/relationships/fontTable" Target="fontTable.xml"/><Relationship Id="rId51" Type="http://schemas.openxmlformats.org/officeDocument/2006/relationships/customXml" Target="../customXml/item3.xml"/><Relationship Id="rId50" Type="http://schemas.openxmlformats.org/officeDocument/2006/relationships/customXml" Target="../customXml/item2.xml"/><Relationship Id="rId5" Type="http://schemas.openxmlformats.org/officeDocument/2006/relationships/header" Target="header2.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5.jpeg"/><Relationship Id="rId46" Type="http://schemas.openxmlformats.org/officeDocument/2006/relationships/image" Target="media/image14.png"/><Relationship Id="rId45" Type="http://schemas.openxmlformats.org/officeDocument/2006/relationships/image" Target="media/image13.wmf"/><Relationship Id="rId44" Type="http://schemas.openxmlformats.org/officeDocument/2006/relationships/image" Target="media/image12.wmf"/><Relationship Id="rId43" Type="http://schemas.openxmlformats.org/officeDocument/2006/relationships/image" Target="media/image11.wmf"/><Relationship Id="rId42" Type="http://schemas.openxmlformats.org/officeDocument/2006/relationships/image" Target="media/image10.wmf"/><Relationship Id="rId41" Type="http://schemas.openxmlformats.org/officeDocument/2006/relationships/image" Target="media/image9.wmf"/><Relationship Id="rId40" Type="http://schemas.openxmlformats.org/officeDocument/2006/relationships/image" Target="media/image8.wmf"/><Relationship Id="rId4" Type="http://schemas.openxmlformats.org/officeDocument/2006/relationships/footer" Target="footer1.xml"/><Relationship Id="rId39" Type="http://schemas.openxmlformats.org/officeDocument/2006/relationships/image" Target="media/image7.wmf"/><Relationship Id="rId38" Type="http://schemas.openxmlformats.org/officeDocument/2006/relationships/image" Target="media/image6.png"/><Relationship Id="rId37" Type="http://schemas.openxmlformats.org/officeDocument/2006/relationships/image" Target="media/image5.png"/><Relationship Id="rId36" Type="http://schemas.openxmlformats.org/officeDocument/2006/relationships/image" Target="media/image4.png"/><Relationship Id="rId35" Type="http://schemas.openxmlformats.org/officeDocument/2006/relationships/theme" Target="theme/theme1.xml"/><Relationship Id="rId34" Type="http://schemas.openxmlformats.org/officeDocument/2006/relationships/footer" Target="footer17.xml"/><Relationship Id="rId33" Type="http://schemas.openxmlformats.org/officeDocument/2006/relationships/footer" Target="footer16.xml"/><Relationship Id="rId32" Type="http://schemas.openxmlformats.org/officeDocument/2006/relationships/header" Target="header15.xml"/><Relationship Id="rId31" Type="http://schemas.openxmlformats.org/officeDocument/2006/relationships/footer" Target="footer15.xml"/><Relationship Id="rId30" Type="http://schemas.openxmlformats.org/officeDocument/2006/relationships/footer" Target="footer14.xml"/><Relationship Id="rId3" Type="http://schemas.openxmlformats.org/officeDocument/2006/relationships/header" Target="header1.xml"/><Relationship Id="rId29" Type="http://schemas.openxmlformats.org/officeDocument/2006/relationships/header" Target="header14.xml"/><Relationship Id="rId28" Type="http://schemas.openxmlformats.org/officeDocument/2006/relationships/footer" Target="footer13.xml"/><Relationship Id="rId27" Type="http://schemas.openxmlformats.org/officeDocument/2006/relationships/header" Target="header13.xml"/><Relationship Id="rId26" Type="http://schemas.openxmlformats.org/officeDocument/2006/relationships/footer" Target="footer12.xml"/><Relationship Id="rId25" Type="http://schemas.openxmlformats.org/officeDocument/2006/relationships/header" Target="header12.xml"/><Relationship Id="rId24" Type="http://schemas.openxmlformats.org/officeDocument/2006/relationships/footer" Target="footer11.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header" Target="head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3.png"/></Relationships>
</file>

<file path=word/_rels/footer17.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1026" textRotate="1"/>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2069"/>
    <customShpInfo spid="_x0000_s2070"/>
    <customShpInfo spid="_x0000_s2071"/>
    <customShpInfo spid="_x0000_s2072"/>
    <customShpInfo spid="_x0000_s2073"/>
    <customShpInfo spid="_x0000_s2074"/>
    <customShpInfo spid="_x0000_s2075"/>
    <customShpInfo spid="_x0000_s2077"/>
    <customShpInfo spid="_x0000_s2078"/>
    <customShpInfo spid="_x0000_s2079"/>
  </customShpExts>
</s: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b1ab50-17cb-4445-96c9-3564f62ae677}">
  <ds:schemaRefs/>
</ds:datastoreItem>
</file>

<file path=customXml/itemProps3.xml><?xml version="1.0" encoding="utf-8"?>
<ds:datastoreItem xmlns:ds="http://schemas.openxmlformats.org/officeDocument/2006/customXml" ds:itemID="{dfe54d79-071a-4c2c-babb-98ae8b295376}">
  <ds:schemaRefs/>
</ds:datastoreItem>
</file>

<file path=docProps/app.xml><?xml version="1.0" encoding="utf-8"?>
<Properties xmlns="http://schemas.openxmlformats.org/officeDocument/2006/extended-properties" xmlns:vt="http://schemas.openxmlformats.org/officeDocument/2006/docPropsVTypes">
  <Template>Normal</Template>
  <Pages>47</Pages>
  <Words>8028</Words>
  <Characters>9287</Characters>
  <Paragraphs>1958</Paragraphs>
  <TotalTime>5</TotalTime>
  <ScaleCrop>false</ScaleCrop>
  <LinksUpToDate>false</LinksUpToDate>
  <CharactersWithSpaces>9521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2024-11-01T15:50:00Z</dcterms:created>
  <dc:creator>Administrator</dc:creator>
  <cp:lastModifiedBy>真高兴。</cp:lastModifiedBy>
  <dcterms:modified xsi:type="dcterms:W3CDTF">2026-04-23T05:54:20Z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2024-12-12T13:13:27Z</vt:filetime>
  </property>
  <property fmtid="{D5CDD505-2E9C-101B-9397-08002B2CF9AE}" pid="4" name="KSOProductBuildVer">
    <vt:lpwstr>2052-12.1.0.25865</vt:lpwstr>
  </property>
  <property fmtid="{D5CDD505-2E9C-101B-9397-08002B2CF9AE}" pid="5" name="ICV">
    <vt:lpwstr>B0ED657BB6D9424E95705E40917756BD_13</vt:lpwstr>
  </property>
  <property fmtid="{D5CDD505-2E9C-101B-9397-08002B2CF9AE}" pid="6" name="KSOTemplateDocerSaveRecord">
    <vt:lpwstr>eyJoZGlkIjoiNTc1ZDQzMzRiMzI4ODBiMDViN2JjZTNlZmNiZWI0YjgiLCJ1c2VySWQiOiIyNzQ3NzIxNDMifQ==</vt:lpwstr>
  </property>
</Properties>
</file>