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ustomizations.xml" ContentType="application/vnd.ms-word.keyMapCustomization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3F412D">
      <w:pPr>
        <w:pStyle w:val="18"/>
        <w:keepNext w:val="0"/>
        <w:keepLines w:val="0"/>
        <w:pageBreakBefore/>
        <w:widowControl/>
        <w:kinsoku/>
        <w:wordWrap/>
        <w:overflowPunct/>
        <w:topLinePunct w:val="0"/>
        <w:autoSpaceDE/>
        <w:autoSpaceDN/>
        <w:bidi w:val="0"/>
        <w:adjustRightInd w:val="0"/>
        <w:snapToGrid w:val="0"/>
        <w:spacing w:before="313" w:beforeLines="100" w:after="313" w:afterLines="100" w:line="240" w:lineRule="auto"/>
        <w:jc w:val="center"/>
        <w:textAlignment w:val="auto"/>
        <w:outlineLvl w:val="9"/>
        <w:rPr>
          <w:rFonts w:hint="eastAsia" w:ascii="黑体" w:hAnsi="黑体" w:eastAsia="黑体" w:cs="黑体"/>
          <w:b/>
          <w:bCs/>
          <w:sz w:val="32"/>
          <w:szCs w:val="32"/>
          <w:lang w:val="en-US" w:eastAsia="zh-CN"/>
        </w:rPr>
      </w:pPr>
      <w:bookmarkStart w:id="393" w:name="_GoBack"/>
      <w:bookmarkEnd w:id="393"/>
      <w:r>
        <w:rPr>
          <w:rFonts w:hint="eastAsia" w:ascii="黑体" w:hAnsi="黑体" w:eastAsia="黑体" w:cs="黑体"/>
          <w:b/>
          <w:bCs/>
          <w:sz w:val="32"/>
          <w:szCs w:val="32"/>
          <w:lang w:val="en-US" w:eastAsia="zh-CN"/>
        </w:rPr>
        <w:t>前  言</w:t>
      </w:r>
    </w:p>
    <w:p w14:paraId="755705C6">
      <w:pPr>
        <w:pStyle w:val="18"/>
        <w:bidi w:val="0"/>
        <w:rPr>
          <w:rFonts w:hint="eastAsia" w:ascii="Times New Roman" w:hAnsi="Times New Roman" w:cs="Times New Roman"/>
          <w:lang w:val="en-US" w:eastAsia="zh-CN"/>
        </w:rPr>
      </w:pPr>
      <w:r>
        <w:rPr>
          <w:rFonts w:hint="eastAsia"/>
        </w:rPr>
        <w:t>海城市荣富耐火材料有限公司成立于1998年06月30日，</w:t>
      </w:r>
      <w:r>
        <w:rPr>
          <w:rFonts w:hint="eastAsia"/>
          <w:lang w:val="en-US" w:eastAsia="zh-CN"/>
        </w:rPr>
        <w:t>企业性质为有限责任公司，</w:t>
      </w:r>
      <w:r>
        <w:rPr>
          <w:rFonts w:hint="eastAsia"/>
        </w:rPr>
        <w:t>矿区行政区划属海城市马风镇</w:t>
      </w:r>
      <w:r>
        <w:rPr>
          <w:rFonts w:hint="eastAsia"/>
          <w:lang w:eastAsia="zh-CN"/>
        </w:rPr>
        <w:t>，法定代表人为：董宝华。</w:t>
      </w:r>
      <w:r>
        <w:rPr>
          <w:rFonts w:hint="eastAsia"/>
          <w:lang w:val="en-US" w:eastAsia="zh-CN"/>
        </w:rPr>
        <w:t>矿区</w:t>
      </w:r>
      <w:r>
        <w:rPr>
          <w:rFonts w:hint="eastAsia"/>
        </w:rPr>
        <w:t>位于海城市东南约130°方位，直线距离约20km</w:t>
      </w:r>
      <w:r>
        <w:rPr>
          <w:rFonts w:hint="eastAsia"/>
          <w:lang w:eastAsia="zh-CN"/>
        </w:rPr>
        <w:t>，地理坐标为东经：</w:t>
      </w:r>
      <w:r>
        <w:rPr>
          <w:rFonts w:hint="eastAsia" w:cs="Times New Roman"/>
          <w:lang w:eastAsia="zh-CN"/>
        </w:rPr>
        <w:t>XXXXXXX</w:t>
      </w:r>
      <w:r>
        <w:rPr>
          <w:rFonts w:hint="eastAsia" w:ascii="Times New Roman" w:hAnsi="Times New Roman" w:cs="Times New Roman"/>
          <w:lang w:eastAsia="zh-CN"/>
        </w:rPr>
        <w:t>，</w:t>
      </w:r>
      <w:r>
        <w:rPr>
          <w:rFonts w:hint="default" w:ascii="Times New Roman" w:hAnsi="Times New Roman" w:cs="Times New Roman"/>
          <w:lang w:eastAsia="zh-CN"/>
        </w:rPr>
        <w:t>北纬：</w:t>
      </w:r>
      <w:r>
        <w:rPr>
          <w:rFonts w:hint="eastAsia" w:cs="Times New Roman"/>
          <w:lang w:eastAsia="zh-CN"/>
        </w:rPr>
        <w:t>XXXXXXX</w:t>
      </w:r>
      <w:r>
        <w:rPr>
          <w:rFonts w:hint="default" w:ascii="Times New Roman" w:hAnsi="Times New Roman" w:cs="Times New Roman"/>
          <w:lang w:eastAsia="zh-CN"/>
        </w:rPr>
        <w:t>。2022年10月25日，辽宁省自然资源厅</w:t>
      </w:r>
      <w:r>
        <w:rPr>
          <w:rFonts w:hint="eastAsia" w:ascii="Times New Roman" w:hAnsi="Times New Roman" w:cs="Times New Roman"/>
          <w:lang w:val="en-US" w:eastAsia="zh-CN"/>
        </w:rPr>
        <w:t>颁发</w:t>
      </w:r>
      <w:r>
        <w:rPr>
          <w:rFonts w:hint="default" w:ascii="Times New Roman" w:hAnsi="Times New Roman" w:cs="Times New Roman"/>
          <w:lang w:eastAsia="zh-CN"/>
        </w:rPr>
        <w:t>《采矿许可证》</w:t>
      </w:r>
      <w:r>
        <w:rPr>
          <w:rFonts w:hint="eastAsia" w:ascii="Times New Roman" w:hAnsi="Times New Roman" w:cs="Times New Roman"/>
          <w:lang w:eastAsia="zh-CN"/>
        </w:rPr>
        <w:t>（</w:t>
      </w:r>
      <w:r>
        <w:rPr>
          <w:rFonts w:hint="eastAsia" w:ascii="Times New Roman" w:hAnsi="Times New Roman" w:cs="Times New Roman"/>
          <w:lang w:val="en-US" w:eastAsia="zh-CN"/>
        </w:rPr>
        <w:t>证号：</w:t>
      </w:r>
      <w:r>
        <w:rPr>
          <w:rFonts w:hint="eastAsia" w:cs="Times New Roman"/>
          <w:lang w:val="en-US" w:eastAsia="zh-CN"/>
        </w:rPr>
        <w:t>XXXXXXXXXXXXXXXXX</w:t>
      </w:r>
      <w:r>
        <w:rPr>
          <w:rFonts w:hint="eastAsia" w:ascii="Times New Roman" w:hAnsi="Times New Roman" w:cs="Times New Roman"/>
          <w:lang w:eastAsia="zh-CN"/>
        </w:rPr>
        <w:t>）</w:t>
      </w:r>
      <w:r>
        <w:rPr>
          <w:rFonts w:hint="default" w:ascii="Times New Roman" w:hAnsi="Times New Roman" w:cs="Times New Roman"/>
          <w:lang w:eastAsia="zh-CN"/>
        </w:rPr>
        <w:t>，</w:t>
      </w:r>
      <w:r>
        <w:rPr>
          <w:rFonts w:hint="eastAsia" w:ascii="Times New Roman" w:hAnsi="Times New Roman" w:cs="Times New Roman"/>
          <w:lang w:val="en-US" w:eastAsia="zh-CN"/>
        </w:rPr>
        <w:t>采矿权人为</w:t>
      </w:r>
      <w:r>
        <w:rPr>
          <w:rFonts w:hint="eastAsia"/>
        </w:rPr>
        <w:t>海城市荣富耐火材料有限公司</w:t>
      </w:r>
      <w:r>
        <w:rPr>
          <w:rFonts w:hint="eastAsia"/>
          <w:lang w:eastAsia="zh-CN"/>
        </w:rPr>
        <w:t>，</w:t>
      </w:r>
      <w:r>
        <w:rPr>
          <w:rFonts w:hint="default" w:ascii="Times New Roman" w:hAnsi="Times New Roman" w:cs="Times New Roman"/>
          <w:lang w:eastAsia="zh-CN"/>
        </w:rPr>
        <w:t>生产规模</w:t>
      </w:r>
      <w:r>
        <w:rPr>
          <w:rFonts w:hint="eastAsia" w:cs="Times New Roman"/>
          <w:lang w:eastAsia="zh-CN"/>
        </w:rPr>
        <w:t>XXXXXXX</w:t>
      </w:r>
      <w:r>
        <w:rPr>
          <w:rFonts w:hint="eastAsia" w:ascii="Times New Roman" w:hAnsi="Times New Roman" w:cs="Times New Roman"/>
          <w:lang w:val="en-US" w:eastAsia="zh-CN"/>
        </w:rPr>
        <w:t>。</w:t>
      </w:r>
    </w:p>
    <w:p w14:paraId="28A0708A">
      <w:pPr>
        <w:pStyle w:val="18"/>
        <w:bidi w:val="0"/>
        <w:rPr>
          <w:rFonts w:hint="default"/>
          <w:lang w:val="en-US" w:eastAsia="zh-CN"/>
        </w:rPr>
      </w:pPr>
      <w:r>
        <w:rPr>
          <w:rFonts w:hint="default"/>
          <w:lang w:val="en-US" w:eastAsia="zh-CN"/>
        </w:rPr>
        <w:t>矿</w:t>
      </w:r>
      <w:r>
        <w:rPr>
          <w:rFonts w:hint="eastAsia"/>
          <w:lang w:val="en-US" w:eastAsia="zh-CN"/>
        </w:rPr>
        <w:t>山</w:t>
      </w:r>
      <w:r>
        <w:rPr>
          <w:rFonts w:hint="default"/>
          <w:lang w:val="en-US" w:eastAsia="zh-CN"/>
        </w:rPr>
        <w:t>始建于2000年，2007年海城市荣富耐火材料有限公司（北采区）与海城市东方滑镁公司（南采区）进行整合，整合后矿山名称为海城市荣富耐火材料有限公司镁矿，采矿权人为海城市荣富耐火材料有限公司。</w:t>
      </w:r>
    </w:p>
    <w:p w14:paraId="5A4847E9">
      <w:pPr>
        <w:pStyle w:val="18"/>
        <w:bidi w:val="0"/>
        <w:rPr>
          <w:rFonts w:hint="default"/>
          <w:lang w:val="en-US" w:eastAsia="zh-CN"/>
        </w:rPr>
      </w:pPr>
      <w:r>
        <w:rPr>
          <w:rFonts w:hint="default"/>
          <w:lang w:val="en-US" w:eastAsia="zh-CN"/>
        </w:rPr>
        <w:t>2019年</w:t>
      </w:r>
      <w:r>
        <w:rPr>
          <w:rFonts w:hint="eastAsia"/>
          <w:lang w:val="en-US" w:eastAsia="zh-CN"/>
        </w:rPr>
        <w:t>，</w:t>
      </w:r>
      <w:r>
        <w:rPr>
          <w:rFonts w:hint="default"/>
          <w:lang w:val="en-US" w:eastAsia="zh-CN"/>
        </w:rPr>
        <w:t>为了合理有效的利用矿区内的矿产资源，根据《自然资源部关于推进矿产资源管理改革若干事项的意见（试行）》（自然资规〔2019〕7号）文件要求，海城市荣富耐火材料有限公司委托辽宁省第七地质大队有限责任公司，先后投入了槽探、钻探等地质工作，对矿区内的菱镁矿、滑石矿进行地质勘查。</w:t>
      </w:r>
    </w:p>
    <w:p w14:paraId="64787A52">
      <w:pPr>
        <w:pStyle w:val="18"/>
        <w:bidi w:val="0"/>
        <w:rPr>
          <w:rFonts w:hint="default"/>
          <w:lang w:val="en-US" w:eastAsia="zh-CN"/>
        </w:rPr>
      </w:pPr>
      <w:r>
        <w:rPr>
          <w:rFonts w:hint="default"/>
          <w:lang w:val="en-US" w:eastAsia="zh-CN"/>
        </w:rPr>
        <w:t>2020年7月28日，辽宁溪源土地矿产资源评估有限公司组织相关专家对《辽宁省海城市红土岭矿区荣富菱镁矿、滑石矿资源储量核实报告》进行了评审，出具了《&lt;辽宁省海城市红土岭矿区荣富菱镁矿、滑石矿资源储量核实报告〉评审意见书》（辽溪评（储）字辽[2020]016号）。2020年9月14日，辽宁省自然资源厅以辽自然资储备字[2020]079号文对《&lt;辽宁省海城市红土岭矿区荣富菱镁矿、滑石矿资源储量核实报告&gt;评审意见书》予以备案。</w:t>
      </w:r>
    </w:p>
    <w:p w14:paraId="1591EDCA">
      <w:pPr>
        <w:pStyle w:val="18"/>
        <w:bidi w:val="0"/>
        <w:rPr>
          <w:rFonts w:hint="default"/>
          <w:lang w:val="en-US" w:eastAsia="zh-CN"/>
        </w:rPr>
      </w:pPr>
      <w:r>
        <w:rPr>
          <w:rFonts w:hint="default"/>
          <w:lang w:val="en-US" w:eastAsia="zh-CN"/>
        </w:rPr>
        <w:t>2022年5月，海城市荣富耐火材料有限公司，委托沈阳一方正和工程技术咨询有限公司编制《海城市荣富耐火材料有限公司镁矿（菱镁矿、滑石矿）矿产资源开发利用方案》，并经过辽宁省自然资源事务服务中心审查备案，出具了《审查意见书》（辽自然资事矿（开）审字〔2022〕C058号）</w:t>
      </w:r>
      <w:r>
        <w:rPr>
          <w:rFonts w:hint="eastAsia"/>
          <w:lang w:val="en-US" w:eastAsia="zh-CN"/>
        </w:rPr>
        <w:t>。</w:t>
      </w:r>
    </w:p>
    <w:p w14:paraId="454F86B2">
      <w:pPr>
        <w:pStyle w:val="18"/>
        <w:bidi w:val="0"/>
        <w:rPr>
          <w:rFonts w:hint="default"/>
          <w:lang w:val="en-US" w:eastAsia="zh-CN"/>
        </w:rPr>
      </w:pPr>
      <w:r>
        <w:rPr>
          <w:rFonts w:hint="default"/>
          <w:lang w:val="en-US" w:eastAsia="zh-CN"/>
        </w:rPr>
        <w:t>2023年1月，海城市荣富耐火材料有限公司，委托沈阳嘉纳工程技术有限公司，</w:t>
      </w:r>
      <w:r>
        <w:rPr>
          <w:rFonts w:hint="eastAsia"/>
          <w:lang w:val="en-US" w:eastAsia="zh-CN"/>
        </w:rPr>
        <w:t>编制完成了</w:t>
      </w:r>
      <w:r>
        <w:rPr>
          <w:rFonts w:hint="default"/>
          <w:lang w:val="en-US" w:eastAsia="zh-CN"/>
        </w:rPr>
        <w:t>《海城市荣富耐火材料有限公司镁矿（菱镁石、滑石）露天矿山建设项目初步设计》和《海城市荣富耐火材料有限公司镁矿（菱镁石、滑石）露天矿山建设项目安全设施设计》。经鞍山市应急管理局组织专家审查通过，下发了《关于海城市荣富耐火材料有限公司镁矿（菱镁石、滑石）露天矿山建设项目安全设施设计的批复》(鞍应急矿设复〔2023〕3号)。设计中确定采用公路开拓，汽车运输方案，开采矿种为菱镁矿、滑石，矿山生产规模为</w:t>
      </w:r>
      <w:r>
        <w:rPr>
          <w:rFonts w:hint="eastAsia"/>
          <w:lang w:val="en-US" w:eastAsia="zh-CN"/>
        </w:rPr>
        <w:t>XXXXXXX</w:t>
      </w:r>
      <w:r>
        <w:rPr>
          <w:rFonts w:hint="default"/>
          <w:lang w:val="en-US" w:eastAsia="zh-CN"/>
        </w:rPr>
        <w:t>，开采深度从+320m至-60m标高，采用自上而下水平分台阶开采。</w:t>
      </w:r>
    </w:p>
    <w:p w14:paraId="2668D160">
      <w:pPr>
        <w:pStyle w:val="18"/>
        <w:bidi w:val="0"/>
        <w:rPr>
          <w:rFonts w:hint="default"/>
          <w:lang w:val="en-US" w:eastAsia="zh-CN"/>
        </w:rPr>
      </w:pPr>
      <w:r>
        <w:rPr>
          <w:rFonts w:hint="default"/>
          <w:lang w:val="en-US" w:eastAsia="zh-CN"/>
        </w:rPr>
        <w:t>该项目于2023年4月开工建设，于2025年2月竣工，基建期共22个月；企业委托辽宁泓远建设有限公司，对项目基建工程进行了施工，工程竣工后，施工单位出具了《海城市荣富耐火材料有限公司镁矿（菱镁石、滑石）露天矿山建设项目竣工报告》(以下简称《竣工报告》)；企业委托吉林东北亚国际工程技术集团有限公司，对项目基建工程进行了监理，工程建设完成后，监理单位出具了《海城市荣富耐火材料有限公司镁矿（菱镁石、滑石）露天矿山建设项目监理报告》(以下简称《监理报告》)，经过一个月时间的试生产，各项安全设施达到设计要求，</w:t>
      </w:r>
      <w:r>
        <w:rPr>
          <w:rFonts w:hint="eastAsia"/>
          <w:lang w:val="en-US" w:eastAsia="zh-CN"/>
        </w:rPr>
        <w:t>未</w:t>
      </w:r>
      <w:r>
        <w:rPr>
          <w:rFonts w:hint="default"/>
          <w:lang w:val="en-US" w:eastAsia="zh-CN"/>
        </w:rPr>
        <w:t>发生安全事故。</w:t>
      </w:r>
    </w:p>
    <w:p w14:paraId="6283BE94">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2025年</w:t>
      </w:r>
      <w:r>
        <w:rPr>
          <w:rFonts w:hint="eastAsia"/>
          <w:lang w:val="en-US" w:eastAsia="zh-CN"/>
        </w:rPr>
        <w:t>3</w:t>
      </w:r>
      <w:r>
        <w:rPr>
          <w:rFonts w:hint="default"/>
          <w:lang w:val="en-US" w:eastAsia="zh-CN"/>
        </w:rPr>
        <w:t>月，海城市荣富耐火材料有限公司委托辽宁诺诚安全科技有限公司，承担海城市荣富耐火材料有限公司镁矿（菱镁石、滑石）露天矿山建设项目安全设施验收评价工作。</w:t>
      </w:r>
    </w:p>
    <w:p w14:paraId="74CA4FD8">
      <w:pPr>
        <w:pStyle w:val="18"/>
        <w:bidi w:val="0"/>
        <w:rPr>
          <w:rFonts w:hint="default"/>
          <w:lang w:val="en-US" w:eastAsia="zh-CN"/>
        </w:rPr>
      </w:pPr>
      <w:r>
        <w:rPr>
          <w:rFonts w:hint="eastAsia"/>
          <w:lang w:val="en-US" w:eastAsia="zh-CN"/>
        </w:rPr>
        <w:t>公司在接受海城市荣富耐火材料有限公司安全设施验收评价工作的委托之后，组成了安全验收评价组，组织专业评价人员，按照《安全评价通则》、《金属非金属露天矿山建设项目安全设施验收评价报告编写提纲》（安监总管一〔2016〕49号）以及相关的法律、法规、标准、文件的要求对该项目进行了评价，并本着科学、公正的原则，编制完成了《海城市荣富耐火材料有限公司镁矿（菱镁石、滑石）露天矿山建设项目安全设施验收评价报告》。</w:t>
      </w:r>
    </w:p>
    <w:p w14:paraId="49A4F669">
      <w:pPr>
        <w:rPr>
          <w:rFonts w:hint="eastAsia" w:ascii="Times New Roman" w:hAnsi="Times New Roman"/>
          <w:sz w:val="28"/>
          <w:szCs w:val="28"/>
        </w:rPr>
      </w:pPr>
      <w:r>
        <w:rPr>
          <w:rFonts w:hint="eastAsia" w:ascii="Times New Roman" w:hAnsi="Times New Roman"/>
          <w:sz w:val="28"/>
          <w:szCs w:val="28"/>
        </w:rPr>
        <w:br w:type="page"/>
      </w:r>
    </w:p>
    <w:p w14:paraId="6D9FD6F8">
      <w:pPr>
        <w:keepNext w:val="0"/>
        <w:keepLines w:val="0"/>
        <w:pageBreakBefore w:val="0"/>
        <w:widowControl w:val="0"/>
        <w:kinsoku/>
        <w:wordWrap/>
        <w:overflowPunct/>
        <w:topLinePunct w:val="0"/>
        <w:autoSpaceDE/>
        <w:autoSpaceDN/>
        <w:bidi w:val="0"/>
        <w:adjustRightInd w:val="0"/>
        <w:snapToGrid w:val="0"/>
        <w:spacing w:before="0" w:beforeLines="0" w:after="0" w:afterLines="0" w:line="240" w:lineRule="auto"/>
        <w:ind w:left="0" w:leftChars="0" w:right="0" w:rightChars="0" w:firstLine="0" w:firstLineChars="0"/>
        <w:jc w:val="center"/>
        <w:textAlignment w:val="auto"/>
      </w:pPr>
      <w:r>
        <w:rPr>
          <w:rFonts w:hint="eastAsia" w:ascii="黑体" w:hAnsi="黑体" w:eastAsia="黑体" w:cs="黑体"/>
          <w:sz w:val="32"/>
          <w:szCs w:val="32"/>
        </w:rPr>
        <w:t>目</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录</w:t>
      </w:r>
    </w:p>
    <w:p w14:paraId="5E4C47DF">
      <w:pPr>
        <w:pStyle w:val="17"/>
        <w:tabs>
          <w:tab w:val="right" w:leader="dot" w:pos="8306"/>
        </w:tabs>
      </w:pPr>
      <w:r>
        <w:rPr>
          <w:rFonts w:hint="default" w:ascii="Times New Roman" w:hAnsi="Times New Roman" w:eastAsiaTheme="minorEastAsia"/>
          <w:sz w:val="28"/>
          <w:szCs w:val="28"/>
          <w:lang w:val="en-US" w:eastAsia="zh-CN"/>
        </w:rPr>
        <w:fldChar w:fldCharType="begin"/>
      </w:r>
      <w:r>
        <w:rPr>
          <w:rFonts w:hint="default" w:ascii="Times New Roman" w:hAnsi="Times New Roman" w:eastAsiaTheme="minorEastAsia"/>
          <w:sz w:val="28"/>
          <w:szCs w:val="28"/>
          <w:lang w:val="en-US" w:eastAsia="zh-CN"/>
        </w:rPr>
        <w:instrText xml:space="preserve">TOC \o "1-2" \h \u </w:instrText>
      </w:r>
      <w:r>
        <w:rPr>
          <w:rFonts w:hint="default" w:ascii="Times New Roman" w:hAnsi="Times New Roman" w:eastAsiaTheme="minorEastAsia"/>
          <w:sz w:val="28"/>
          <w:szCs w:val="28"/>
          <w:lang w:val="en-US" w:eastAsia="zh-CN"/>
        </w:rPr>
        <w:fldChar w:fldCharType="separate"/>
      </w: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_Toc11739 </w:instrText>
      </w:r>
      <w:r>
        <w:rPr>
          <w:rFonts w:hint="default" w:ascii="Times New Roman" w:hAnsi="Times New Roman" w:eastAsiaTheme="minorEastAsia"/>
          <w:szCs w:val="28"/>
          <w:lang w:val="en-US" w:eastAsia="zh-CN"/>
        </w:rPr>
        <w:fldChar w:fldCharType="separate"/>
      </w:r>
      <w:r>
        <w:rPr>
          <w:rFonts w:hint="default"/>
          <w:lang w:val="en-US" w:eastAsia="zh-CN"/>
        </w:rPr>
        <w:t xml:space="preserve">1 </w:t>
      </w:r>
      <w:r>
        <w:rPr>
          <w:rFonts w:hint="eastAsia"/>
          <w:lang w:val="en-US" w:eastAsia="zh-CN"/>
        </w:rPr>
        <w:t>评价范围与依据</w:t>
      </w:r>
      <w:r>
        <w:tab/>
      </w:r>
      <w:r>
        <w:fldChar w:fldCharType="begin"/>
      </w:r>
      <w:r>
        <w:instrText xml:space="preserve"> PAGEREF _Toc11739 \h </w:instrText>
      </w:r>
      <w:r>
        <w:fldChar w:fldCharType="separate"/>
      </w:r>
      <w:r>
        <w:t>1</w:t>
      </w:r>
      <w:r>
        <w:fldChar w:fldCharType="end"/>
      </w:r>
      <w:r>
        <w:rPr>
          <w:rFonts w:hint="default" w:ascii="Times New Roman" w:hAnsi="Times New Roman" w:eastAsiaTheme="minorEastAsia"/>
          <w:szCs w:val="28"/>
          <w:lang w:val="en-US" w:eastAsia="zh-CN"/>
        </w:rPr>
        <w:fldChar w:fldCharType="end"/>
      </w:r>
    </w:p>
    <w:p w14:paraId="5BF22CC4">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_Toc29413 </w:instrText>
      </w:r>
      <w:r>
        <w:rPr>
          <w:rFonts w:hint="default" w:ascii="Times New Roman" w:hAnsi="Times New Roman" w:eastAsiaTheme="minorEastAsia"/>
          <w:szCs w:val="28"/>
          <w:lang w:val="en-US" w:eastAsia="zh-CN"/>
        </w:rPr>
        <w:fldChar w:fldCharType="separate"/>
      </w:r>
      <w:r>
        <w:rPr>
          <w:rFonts w:hint="default"/>
          <w:lang w:val="en-US" w:eastAsia="zh-CN"/>
        </w:rPr>
        <w:t xml:space="preserve">1.1 </w:t>
      </w:r>
      <w:r>
        <w:rPr>
          <w:rFonts w:hint="eastAsia"/>
          <w:lang w:val="en-US" w:eastAsia="zh-CN"/>
        </w:rPr>
        <w:t>评价对象和范围</w:t>
      </w:r>
      <w:r>
        <w:tab/>
      </w:r>
      <w:r>
        <w:fldChar w:fldCharType="begin"/>
      </w:r>
      <w:r>
        <w:instrText xml:space="preserve"> PAGEREF _Toc29413 \h </w:instrText>
      </w:r>
      <w:r>
        <w:fldChar w:fldCharType="separate"/>
      </w:r>
      <w:r>
        <w:t>1</w:t>
      </w:r>
      <w:r>
        <w:fldChar w:fldCharType="end"/>
      </w:r>
      <w:r>
        <w:rPr>
          <w:rFonts w:hint="default" w:ascii="Times New Roman" w:hAnsi="Times New Roman" w:eastAsiaTheme="minorEastAsia"/>
          <w:szCs w:val="28"/>
          <w:lang w:val="en-US" w:eastAsia="zh-CN"/>
        </w:rPr>
        <w:fldChar w:fldCharType="end"/>
      </w:r>
    </w:p>
    <w:p w14:paraId="7ED49DE8">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_Toc19065 </w:instrText>
      </w:r>
      <w:r>
        <w:rPr>
          <w:rFonts w:hint="default" w:ascii="Times New Roman" w:hAnsi="Times New Roman" w:eastAsiaTheme="minorEastAsia"/>
          <w:szCs w:val="28"/>
          <w:lang w:val="en-US" w:eastAsia="zh-CN"/>
        </w:rPr>
        <w:fldChar w:fldCharType="separate"/>
      </w:r>
      <w:r>
        <w:rPr>
          <w:rFonts w:hint="default"/>
          <w:lang w:val="en-US" w:eastAsia="zh-CN"/>
        </w:rPr>
        <w:t xml:space="preserve">1.2 </w:t>
      </w:r>
      <w:r>
        <w:rPr>
          <w:rFonts w:hint="eastAsia"/>
          <w:lang w:val="en-US" w:eastAsia="zh-CN"/>
        </w:rPr>
        <w:t>评价依据</w:t>
      </w:r>
      <w:r>
        <w:tab/>
      </w:r>
      <w:r>
        <w:fldChar w:fldCharType="begin"/>
      </w:r>
      <w:r>
        <w:instrText xml:space="preserve"> PAGEREF _Toc19065 \h </w:instrText>
      </w:r>
      <w:r>
        <w:fldChar w:fldCharType="separate"/>
      </w:r>
      <w:r>
        <w:t>3</w:t>
      </w:r>
      <w:r>
        <w:fldChar w:fldCharType="end"/>
      </w:r>
      <w:r>
        <w:rPr>
          <w:rFonts w:hint="default" w:ascii="Times New Roman" w:hAnsi="Times New Roman" w:eastAsiaTheme="minorEastAsia"/>
          <w:szCs w:val="28"/>
          <w:lang w:val="en-US" w:eastAsia="zh-CN"/>
        </w:rPr>
        <w:fldChar w:fldCharType="end"/>
      </w:r>
    </w:p>
    <w:p w14:paraId="7584F5B0">
      <w:pPr>
        <w:pStyle w:val="17"/>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_Toc21460 </w:instrText>
      </w:r>
      <w:r>
        <w:rPr>
          <w:rFonts w:hint="default" w:ascii="Times New Roman" w:hAnsi="Times New Roman" w:eastAsiaTheme="minorEastAsia"/>
          <w:szCs w:val="28"/>
          <w:lang w:val="en-US" w:eastAsia="zh-CN"/>
        </w:rPr>
        <w:fldChar w:fldCharType="separate"/>
      </w:r>
      <w:r>
        <w:rPr>
          <w:rFonts w:hint="default"/>
          <w:lang w:val="en-US" w:eastAsia="zh-CN"/>
        </w:rPr>
        <w:t xml:space="preserve">2 </w:t>
      </w:r>
      <w:r>
        <w:rPr>
          <w:rFonts w:hint="eastAsia"/>
          <w:lang w:val="en-US" w:eastAsia="zh-CN"/>
        </w:rPr>
        <w:t>项目建设概述</w:t>
      </w:r>
      <w:r>
        <w:tab/>
      </w:r>
      <w:r>
        <w:fldChar w:fldCharType="begin"/>
      </w:r>
      <w:r>
        <w:instrText xml:space="preserve"> PAGEREF _Toc21460 \h </w:instrText>
      </w:r>
      <w:r>
        <w:fldChar w:fldCharType="separate"/>
      </w:r>
      <w:r>
        <w:t>13</w:t>
      </w:r>
      <w:r>
        <w:fldChar w:fldCharType="end"/>
      </w:r>
      <w:r>
        <w:rPr>
          <w:rFonts w:hint="default" w:ascii="Times New Roman" w:hAnsi="Times New Roman" w:eastAsiaTheme="minorEastAsia"/>
          <w:szCs w:val="28"/>
          <w:lang w:val="en-US" w:eastAsia="zh-CN"/>
        </w:rPr>
        <w:fldChar w:fldCharType="end"/>
      </w:r>
    </w:p>
    <w:p w14:paraId="38CCBC13">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_Toc15087 </w:instrText>
      </w:r>
      <w:r>
        <w:rPr>
          <w:rFonts w:hint="default" w:ascii="Times New Roman" w:hAnsi="Times New Roman" w:eastAsiaTheme="minorEastAsia"/>
          <w:szCs w:val="28"/>
          <w:lang w:val="en-US" w:eastAsia="zh-CN"/>
        </w:rPr>
        <w:fldChar w:fldCharType="separate"/>
      </w:r>
      <w:r>
        <w:rPr>
          <w:rFonts w:hint="default"/>
          <w:lang w:val="en-US" w:eastAsia="zh-CN"/>
        </w:rPr>
        <w:t xml:space="preserve">2.1 </w:t>
      </w:r>
      <w:r>
        <w:rPr>
          <w:rFonts w:hint="eastAsia"/>
          <w:lang w:val="en-US" w:eastAsia="zh-CN"/>
        </w:rPr>
        <w:t>建设单位概况</w:t>
      </w:r>
      <w:r>
        <w:tab/>
      </w:r>
      <w:r>
        <w:fldChar w:fldCharType="begin"/>
      </w:r>
      <w:r>
        <w:instrText xml:space="preserve"> PAGEREF _Toc15087 \h </w:instrText>
      </w:r>
      <w:r>
        <w:fldChar w:fldCharType="separate"/>
      </w:r>
      <w:r>
        <w:t>13</w:t>
      </w:r>
      <w:r>
        <w:fldChar w:fldCharType="end"/>
      </w:r>
      <w:r>
        <w:rPr>
          <w:rFonts w:hint="default" w:ascii="Times New Roman" w:hAnsi="Times New Roman" w:eastAsiaTheme="minorEastAsia"/>
          <w:szCs w:val="28"/>
          <w:lang w:val="en-US" w:eastAsia="zh-CN"/>
        </w:rPr>
        <w:fldChar w:fldCharType="end"/>
      </w:r>
    </w:p>
    <w:p w14:paraId="7A6BB6BD">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_Toc8646 </w:instrText>
      </w:r>
      <w:r>
        <w:rPr>
          <w:rFonts w:hint="default" w:ascii="Times New Roman" w:hAnsi="Times New Roman" w:eastAsiaTheme="minorEastAsia"/>
          <w:szCs w:val="28"/>
          <w:lang w:val="en-US" w:eastAsia="zh-CN"/>
        </w:rPr>
        <w:fldChar w:fldCharType="separate"/>
      </w:r>
      <w:r>
        <w:rPr>
          <w:rFonts w:hint="default"/>
          <w:lang w:val="en-US" w:eastAsia="zh-CN"/>
        </w:rPr>
        <w:t xml:space="preserve">2.2 </w:t>
      </w:r>
      <w:r>
        <w:rPr>
          <w:rFonts w:hint="eastAsia"/>
          <w:lang w:val="en-US" w:eastAsia="zh-CN"/>
        </w:rPr>
        <w:t>自然环境概况</w:t>
      </w:r>
      <w:r>
        <w:tab/>
      </w:r>
      <w:r>
        <w:fldChar w:fldCharType="begin"/>
      </w:r>
      <w:r>
        <w:instrText xml:space="preserve"> PAGEREF _Toc8646 \h </w:instrText>
      </w:r>
      <w:r>
        <w:fldChar w:fldCharType="separate"/>
      </w:r>
      <w:r>
        <w:t>18</w:t>
      </w:r>
      <w:r>
        <w:fldChar w:fldCharType="end"/>
      </w:r>
      <w:r>
        <w:rPr>
          <w:rFonts w:hint="default" w:ascii="Times New Roman" w:hAnsi="Times New Roman" w:eastAsiaTheme="minorEastAsia"/>
          <w:szCs w:val="28"/>
          <w:lang w:val="en-US" w:eastAsia="zh-CN"/>
        </w:rPr>
        <w:fldChar w:fldCharType="end"/>
      </w:r>
    </w:p>
    <w:p w14:paraId="418B82FE">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_Toc26555 </w:instrText>
      </w:r>
      <w:r>
        <w:rPr>
          <w:rFonts w:hint="default" w:ascii="Times New Roman" w:hAnsi="Times New Roman" w:eastAsiaTheme="minorEastAsia"/>
          <w:szCs w:val="28"/>
          <w:lang w:val="en-US" w:eastAsia="zh-CN"/>
        </w:rPr>
        <w:fldChar w:fldCharType="separate"/>
      </w:r>
      <w:r>
        <w:rPr>
          <w:rFonts w:hint="default"/>
          <w:lang w:val="en-US" w:eastAsia="zh-CN"/>
        </w:rPr>
        <w:t xml:space="preserve">2.3 </w:t>
      </w:r>
      <w:r>
        <w:rPr>
          <w:rFonts w:hint="eastAsia"/>
          <w:lang w:val="en-US" w:eastAsia="zh-CN"/>
        </w:rPr>
        <w:t>地质概况</w:t>
      </w:r>
      <w:r>
        <w:tab/>
      </w:r>
      <w:r>
        <w:fldChar w:fldCharType="begin"/>
      </w:r>
      <w:r>
        <w:instrText xml:space="preserve"> PAGEREF _Toc26555 \h </w:instrText>
      </w:r>
      <w:r>
        <w:fldChar w:fldCharType="separate"/>
      </w:r>
      <w:r>
        <w:t>19</w:t>
      </w:r>
      <w:r>
        <w:fldChar w:fldCharType="end"/>
      </w:r>
      <w:r>
        <w:rPr>
          <w:rFonts w:hint="default" w:ascii="Times New Roman" w:hAnsi="Times New Roman" w:eastAsiaTheme="minorEastAsia"/>
          <w:szCs w:val="28"/>
          <w:lang w:val="en-US" w:eastAsia="zh-CN"/>
        </w:rPr>
        <w:fldChar w:fldCharType="end"/>
      </w:r>
    </w:p>
    <w:p w14:paraId="48916D02">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_Toc31132 </w:instrText>
      </w:r>
      <w:r>
        <w:rPr>
          <w:rFonts w:hint="default" w:ascii="Times New Roman" w:hAnsi="Times New Roman" w:eastAsiaTheme="minorEastAsia"/>
          <w:szCs w:val="28"/>
          <w:lang w:val="en-US" w:eastAsia="zh-CN"/>
        </w:rPr>
        <w:fldChar w:fldCharType="separate"/>
      </w:r>
      <w:r>
        <w:rPr>
          <w:rFonts w:hint="default"/>
          <w:lang w:val="en-US" w:eastAsia="zh-CN"/>
        </w:rPr>
        <w:t xml:space="preserve">2.4 </w:t>
      </w:r>
      <w:r>
        <w:rPr>
          <w:rFonts w:hint="eastAsia"/>
          <w:lang w:val="en-US" w:eastAsia="zh-CN"/>
        </w:rPr>
        <w:t>建设概况</w:t>
      </w:r>
      <w:r>
        <w:tab/>
      </w:r>
      <w:r>
        <w:fldChar w:fldCharType="begin"/>
      </w:r>
      <w:r>
        <w:instrText xml:space="preserve"> PAGEREF _Toc31132 \h </w:instrText>
      </w:r>
      <w:r>
        <w:fldChar w:fldCharType="separate"/>
      </w:r>
      <w:r>
        <w:t>24</w:t>
      </w:r>
      <w:r>
        <w:fldChar w:fldCharType="end"/>
      </w:r>
      <w:r>
        <w:rPr>
          <w:rFonts w:hint="default" w:ascii="Times New Roman" w:hAnsi="Times New Roman" w:eastAsiaTheme="minorEastAsia"/>
          <w:szCs w:val="28"/>
          <w:lang w:val="en-US" w:eastAsia="zh-CN"/>
        </w:rPr>
        <w:fldChar w:fldCharType="end"/>
      </w:r>
    </w:p>
    <w:p w14:paraId="63F6BA2B">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_Toc24366 </w:instrText>
      </w:r>
      <w:r>
        <w:rPr>
          <w:rFonts w:hint="default" w:ascii="Times New Roman" w:hAnsi="Times New Roman" w:eastAsiaTheme="minorEastAsia"/>
          <w:szCs w:val="28"/>
          <w:lang w:val="en-US" w:eastAsia="zh-CN"/>
        </w:rPr>
        <w:fldChar w:fldCharType="separate"/>
      </w:r>
      <w:r>
        <w:rPr>
          <w:rFonts w:hint="default"/>
          <w:lang w:val="en-US" w:eastAsia="zh-CN"/>
        </w:rPr>
        <w:t xml:space="preserve">2.5 </w:t>
      </w:r>
      <w:r>
        <w:rPr>
          <w:rFonts w:hint="eastAsia"/>
          <w:lang w:val="en-US" w:eastAsia="zh-CN"/>
        </w:rPr>
        <w:t>施工及监理概况</w:t>
      </w:r>
      <w:r>
        <w:tab/>
      </w:r>
      <w:r>
        <w:fldChar w:fldCharType="begin"/>
      </w:r>
      <w:r>
        <w:instrText xml:space="preserve"> PAGEREF _Toc24366 \h </w:instrText>
      </w:r>
      <w:r>
        <w:fldChar w:fldCharType="separate"/>
      </w:r>
      <w:r>
        <w:t>52</w:t>
      </w:r>
      <w:r>
        <w:fldChar w:fldCharType="end"/>
      </w:r>
      <w:r>
        <w:rPr>
          <w:rFonts w:hint="default" w:ascii="Times New Roman" w:hAnsi="Times New Roman" w:eastAsiaTheme="minorEastAsia"/>
          <w:szCs w:val="28"/>
          <w:lang w:val="en-US" w:eastAsia="zh-CN"/>
        </w:rPr>
        <w:fldChar w:fldCharType="end"/>
      </w:r>
    </w:p>
    <w:p w14:paraId="23759A0C">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_Toc18829 </w:instrText>
      </w:r>
      <w:r>
        <w:rPr>
          <w:rFonts w:hint="default" w:ascii="Times New Roman" w:hAnsi="Times New Roman" w:eastAsiaTheme="minorEastAsia"/>
          <w:szCs w:val="28"/>
          <w:lang w:val="en-US" w:eastAsia="zh-CN"/>
        </w:rPr>
        <w:fldChar w:fldCharType="separate"/>
      </w:r>
      <w:r>
        <w:rPr>
          <w:rFonts w:hint="default"/>
          <w:lang w:val="en-US" w:eastAsia="zh-CN"/>
        </w:rPr>
        <w:t xml:space="preserve">2.6 </w:t>
      </w:r>
      <w:r>
        <w:rPr>
          <w:rFonts w:hint="eastAsia"/>
          <w:lang w:val="en-US" w:eastAsia="zh-CN"/>
        </w:rPr>
        <w:t>试运行概况</w:t>
      </w:r>
      <w:r>
        <w:tab/>
      </w:r>
      <w:r>
        <w:fldChar w:fldCharType="begin"/>
      </w:r>
      <w:r>
        <w:instrText xml:space="preserve"> PAGEREF _Toc18829 \h </w:instrText>
      </w:r>
      <w:r>
        <w:fldChar w:fldCharType="separate"/>
      </w:r>
      <w:r>
        <w:t>52</w:t>
      </w:r>
      <w:r>
        <w:fldChar w:fldCharType="end"/>
      </w:r>
      <w:r>
        <w:rPr>
          <w:rFonts w:hint="default" w:ascii="Times New Roman" w:hAnsi="Times New Roman" w:eastAsiaTheme="minorEastAsia"/>
          <w:szCs w:val="28"/>
          <w:lang w:val="en-US" w:eastAsia="zh-CN"/>
        </w:rPr>
        <w:fldChar w:fldCharType="end"/>
      </w:r>
    </w:p>
    <w:p w14:paraId="33E59EBB">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_Toc13085 </w:instrText>
      </w:r>
      <w:r>
        <w:rPr>
          <w:rFonts w:hint="default" w:ascii="Times New Roman" w:hAnsi="Times New Roman" w:eastAsiaTheme="minorEastAsia"/>
          <w:szCs w:val="28"/>
          <w:lang w:val="en-US" w:eastAsia="zh-CN"/>
        </w:rPr>
        <w:fldChar w:fldCharType="separate"/>
      </w:r>
      <w:r>
        <w:rPr>
          <w:rFonts w:hint="default"/>
          <w:lang w:val="en-US" w:eastAsia="zh-CN"/>
        </w:rPr>
        <w:t>2.7 安全设施概况</w:t>
      </w:r>
      <w:r>
        <w:tab/>
      </w:r>
      <w:r>
        <w:fldChar w:fldCharType="begin"/>
      </w:r>
      <w:r>
        <w:instrText xml:space="preserve"> PAGEREF _Toc13085 \h </w:instrText>
      </w:r>
      <w:r>
        <w:fldChar w:fldCharType="separate"/>
      </w:r>
      <w:r>
        <w:t>55</w:t>
      </w:r>
      <w:r>
        <w:fldChar w:fldCharType="end"/>
      </w:r>
      <w:r>
        <w:rPr>
          <w:rFonts w:hint="default" w:ascii="Times New Roman" w:hAnsi="Times New Roman" w:eastAsiaTheme="minorEastAsia"/>
          <w:szCs w:val="28"/>
          <w:lang w:val="en-US" w:eastAsia="zh-CN"/>
        </w:rPr>
        <w:fldChar w:fldCharType="end"/>
      </w:r>
    </w:p>
    <w:p w14:paraId="461A63BF">
      <w:pPr>
        <w:pStyle w:val="17"/>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_Toc20115 </w:instrText>
      </w:r>
      <w:r>
        <w:rPr>
          <w:rFonts w:hint="default" w:ascii="Times New Roman" w:hAnsi="Times New Roman" w:eastAsiaTheme="minorEastAsia"/>
          <w:szCs w:val="28"/>
          <w:lang w:val="en-US" w:eastAsia="zh-CN"/>
        </w:rPr>
        <w:fldChar w:fldCharType="separate"/>
      </w:r>
      <w:r>
        <w:rPr>
          <w:rFonts w:hint="default"/>
          <w:lang w:val="en-US" w:eastAsia="zh-CN"/>
        </w:rPr>
        <w:t xml:space="preserve">3 </w:t>
      </w:r>
      <w:r>
        <w:rPr>
          <w:rFonts w:hint="eastAsia"/>
          <w:lang w:val="en-US" w:eastAsia="zh-CN"/>
        </w:rPr>
        <w:t>安全设施符合性评价</w:t>
      </w:r>
      <w:r>
        <w:tab/>
      </w:r>
      <w:r>
        <w:fldChar w:fldCharType="begin"/>
      </w:r>
      <w:r>
        <w:instrText xml:space="preserve"> PAGEREF _Toc20115 \h </w:instrText>
      </w:r>
      <w:r>
        <w:fldChar w:fldCharType="separate"/>
      </w:r>
      <w:r>
        <w:t>57</w:t>
      </w:r>
      <w:r>
        <w:fldChar w:fldCharType="end"/>
      </w:r>
      <w:r>
        <w:rPr>
          <w:rFonts w:hint="default" w:ascii="Times New Roman" w:hAnsi="Times New Roman" w:eastAsiaTheme="minorEastAsia"/>
          <w:szCs w:val="28"/>
          <w:lang w:val="en-US" w:eastAsia="zh-CN"/>
        </w:rPr>
        <w:fldChar w:fldCharType="end"/>
      </w:r>
    </w:p>
    <w:p w14:paraId="47A232E5">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_Toc15669 </w:instrText>
      </w:r>
      <w:r>
        <w:rPr>
          <w:rFonts w:hint="default" w:ascii="Times New Roman" w:hAnsi="Times New Roman" w:eastAsiaTheme="minorEastAsia"/>
          <w:szCs w:val="28"/>
          <w:lang w:val="en-US" w:eastAsia="zh-CN"/>
        </w:rPr>
        <w:fldChar w:fldCharType="separate"/>
      </w:r>
      <w:r>
        <w:rPr>
          <w:rFonts w:hint="default"/>
          <w:lang w:val="en-US" w:eastAsia="zh-CN"/>
        </w:rPr>
        <w:t>3.1 安全设施“三同时”程序单元</w:t>
      </w:r>
      <w:r>
        <w:tab/>
      </w:r>
      <w:r>
        <w:fldChar w:fldCharType="begin"/>
      </w:r>
      <w:r>
        <w:instrText xml:space="preserve"> PAGEREF _Toc15669 \h </w:instrText>
      </w:r>
      <w:r>
        <w:fldChar w:fldCharType="separate"/>
      </w:r>
      <w:r>
        <w:t>57</w:t>
      </w:r>
      <w:r>
        <w:fldChar w:fldCharType="end"/>
      </w:r>
      <w:r>
        <w:rPr>
          <w:rFonts w:hint="default" w:ascii="Times New Roman" w:hAnsi="Times New Roman" w:eastAsiaTheme="minorEastAsia"/>
          <w:szCs w:val="28"/>
          <w:lang w:val="en-US" w:eastAsia="zh-CN"/>
        </w:rPr>
        <w:fldChar w:fldCharType="end"/>
      </w:r>
    </w:p>
    <w:p w14:paraId="3BD7CF3B">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_Toc4591 </w:instrText>
      </w:r>
      <w:r>
        <w:rPr>
          <w:rFonts w:hint="default" w:ascii="Times New Roman" w:hAnsi="Times New Roman" w:eastAsiaTheme="minorEastAsia"/>
          <w:szCs w:val="28"/>
          <w:lang w:val="en-US" w:eastAsia="zh-CN"/>
        </w:rPr>
        <w:fldChar w:fldCharType="separate"/>
      </w:r>
      <w:r>
        <w:rPr>
          <w:rFonts w:hint="default"/>
          <w:lang w:val="en-US" w:eastAsia="zh-CN"/>
        </w:rPr>
        <w:t xml:space="preserve">3.2 </w:t>
      </w:r>
      <w:r>
        <w:t>露天采场</w:t>
      </w:r>
      <w:r>
        <w:rPr>
          <w:rFonts w:hint="eastAsia"/>
          <w:lang w:val="en-US" w:eastAsia="zh-CN"/>
        </w:rPr>
        <w:t>单元</w:t>
      </w:r>
      <w:r>
        <w:tab/>
      </w:r>
      <w:r>
        <w:fldChar w:fldCharType="begin"/>
      </w:r>
      <w:r>
        <w:instrText xml:space="preserve"> PAGEREF _Toc4591 \h </w:instrText>
      </w:r>
      <w:r>
        <w:fldChar w:fldCharType="separate"/>
      </w:r>
      <w:r>
        <w:t>58</w:t>
      </w:r>
      <w:r>
        <w:fldChar w:fldCharType="end"/>
      </w:r>
      <w:r>
        <w:rPr>
          <w:rFonts w:hint="default" w:ascii="Times New Roman" w:hAnsi="Times New Roman" w:eastAsiaTheme="minorEastAsia"/>
          <w:szCs w:val="28"/>
          <w:lang w:val="en-US" w:eastAsia="zh-CN"/>
        </w:rPr>
        <w:fldChar w:fldCharType="end"/>
      </w:r>
    </w:p>
    <w:p w14:paraId="1287154F">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_Toc18129 </w:instrText>
      </w:r>
      <w:r>
        <w:rPr>
          <w:rFonts w:hint="default" w:ascii="Times New Roman" w:hAnsi="Times New Roman" w:eastAsiaTheme="minorEastAsia"/>
          <w:szCs w:val="28"/>
          <w:lang w:val="en-US" w:eastAsia="zh-CN"/>
        </w:rPr>
        <w:fldChar w:fldCharType="separate"/>
      </w:r>
      <w:r>
        <w:rPr>
          <w:rFonts w:hint="default"/>
          <w:lang w:val="en-US" w:eastAsia="zh-CN"/>
        </w:rPr>
        <w:t xml:space="preserve">3.3 </w:t>
      </w:r>
      <w:r>
        <w:t>矿岩运输系统</w:t>
      </w:r>
      <w:r>
        <w:rPr>
          <w:rFonts w:hint="eastAsia"/>
          <w:lang w:val="en-US" w:eastAsia="zh-CN"/>
        </w:rPr>
        <w:t>单元</w:t>
      </w:r>
      <w:r>
        <w:tab/>
      </w:r>
      <w:r>
        <w:fldChar w:fldCharType="begin"/>
      </w:r>
      <w:r>
        <w:instrText xml:space="preserve"> PAGEREF _Toc18129 \h </w:instrText>
      </w:r>
      <w:r>
        <w:fldChar w:fldCharType="separate"/>
      </w:r>
      <w:r>
        <w:t>61</w:t>
      </w:r>
      <w:r>
        <w:fldChar w:fldCharType="end"/>
      </w:r>
      <w:r>
        <w:rPr>
          <w:rFonts w:hint="default" w:ascii="Times New Roman" w:hAnsi="Times New Roman" w:eastAsiaTheme="minorEastAsia"/>
          <w:szCs w:val="28"/>
          <w:lang w:val="en-US" w:eastAsia="zh-CN"/>
        </w:rPr>
        <w:fldChar w:fldCharType="end"/>
      </w:r>
    </w:p>
    <w:p w14:paraId="1FEDA1C0">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_Toc4143 </w:instrText>
      </w:r>
      <w:r>
        <w:rPr>
          <w:rFonts w:hint="default" w:ascii="Times New Roman" w:hAnsi="Times New Roman" w:eastAsiaTheme="minorEastAsia"/>
          <w:szCs w:val="28"/>
          <w:lang w:val="en-US" w:eastAsia="zh-CN"/>
        </w:rPr>
        <w:fldChar w:fldCharType="separate"/>
      </w:r>
      <w:r>
        <w:rPr>
          <w:rFonts w:hint="default"/>
          <w:lang w:val="en-US" w:eastAsia="zh-CN"/>
        </w:rPr>
        <w:t xml:space="preserve">3.4 </w:t>
      </w:r>
      <w:r>
        <w:t>采场防排水系统</w:t>
      </w:r>
      <w:r>
        <w:rPr>
          <w:rFonts w:hint="eastAsia"/>
          <w:lang w:val="en-US" w:eastAsia="zh-CN"/>
        </w:rPr>
        <w:t>单元</w:t>
      </w:r>
      <w:r>
        <w:tab/>
      </w:r>
      <w:r>
        <w:fldChar w:fldCharType="begin"/>
      </w:r>
      <w:r>
        <w:instrText xml:space="preserve"> PAGEREF _Toc4143 \h </w:instrText>
      </w:r>
      <w:r>
        <w:fldChar w:fldCharType="separate"/>
      </w:r>
      <w:r>
        <w:t>62</w:t>
      </w:r>
      <w:r>
        <w:fldChar w:fldCharType="end"/>
      </w:r>
      <w:r>
        <w:rPr>
          <w:rFonts w:hint="default" w:ascii="Times New Roman" w:hAnsi="Times New Roman" w:eastAsiaTheme="minorEastAsia"/>
          <w:szCs w:val="28"/>
          <w:lang w:val="en-US" w:eastAsia="zh-CN"/>
        </w:rPr>
        <w:fldChar w:fldCharType="end"/>
      </w:r>
    </w:p>
    <w:p w14:paraId="5BAD6E8C">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_Toc14456 </w:instrText>
      </w:r>
      <w:r>
        <w:rPr>
          <w:rFonts w:hint="default" w:ascii="Times New Roman" w:hAnsi="Times New Roman" w:eastAsiaTheme="minorEastAsia"/>
          <w:szCs w:val="28"/>
          <w:lang w:val="en-US" w:eastAsia="zh-CN"/>
        </w:rPr>
        <w:fldChar w:fldCharType="separate"/>
      </w:r>
      <w:r>
        <w:rPr>
          <w:rFonts w:hint="default"/>
          <w:lang w:eastAsia="zh-CN"/>
        </w:rPr>
        <w:t xml:space="preserve">3.5 </w:t>
      </w:r>
      <w:r>
        <w:t>供配电与</w:t>
      </w:r>
      <w:r>
        <w:rPr>
          <w:rFonts w:hint="eastAsia"/>
          <w:lang w:eastAsia="zh-CN"/>
        </w:rPr>
        <w:t>通讯系统</w:t>
      </w:r>
      <w:r>
        <w:tab/>
      </w:r>
      <w:r>
        <w:fldChar w:fldCharType="begin"/>
      </w:r>
      <w:r>
        <w:instrText xml:space="preserve"> PAGEREF _Toc14456 \h </w:instrText>
      </w:r>
      <w:r>
        <w:fldChar w:fldCharType="separate"/>
      </w:r>
      <w:r>
        <w:t>63</w:t>
      </w:r>
      <w:r>
        <w:fldChar w:fldCharType="end"/>
      </w:r>
      <w:r>
        <w:rPr>
          <w:rFonts w:hint="default" w:ascii="Times New Roman" w:hAnsi="Times New Roman" w:eastAsiaTheme="minorEastAsia"/>
          <w:szCs w:val="28"/>
          <w:lang w:val="en-US" w:eastAsia="zh-CN"/>
        </w:rPr>
        <w:fldChar w:fldCharType="end"/>
      </w:r>
    </w:p>
    <w:p w14:paraId="3ED9F0B1">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_Toc15652 </w:instrText>
      </w:r>
      <w:r>
        <w:rPr>
          <w:rFonts w:hint="default" w:ascii="Times New Roman" w:hAnsi="Times New Roman" w:eastAsiaTheme="minorEastAsia"/>
          <w:szCs w:val="28"/>
          <w:lang w:val="en-US" w:eastAsia="zh-CN"/>
        </w:rPr>
        <w:fldChar w:fldCharType="separate"/>
      </w:r>
      <w:r>
        <w:rPr>
          <w:rFonts w:hint="default"/>
        </w:rPr>
        <w:t xml:space="preserve">3.6 </w:t>
      </w:r>
      <w:r>
        <w:t>总平面布置</w:t>
      </w:r>
      <w:r>
        <w:tab/>
      </w:r>
      <w:r>
        <w:fldChar w:fldCharType="begin"/>
      </w:r>
      <w:r>
        <w:instrText xml:space="preserve"> PAGEREF _Toc15652 \h </w:instrText>
      </w:r>
      <w:r>
        <w:fldChar w:fldCharType="separate"/>
      </w:r>
      <w:r>
        <w:t>64</w:t>
      </w:r>
      <w:r>
        <w:fldChar w:fldCharType="end"/>
      </w:r>
      <w:r>
        <w:rPr>
          <w:rFonts w:hint="default" w:ascii="Times New Roman" w:hAnsi="Times New Roman" w:eastAsiaTheme="minorEastAsia"/>
          <w:szCs w:val="28"/>
          <w:lang w:val="en-US" w:eastAsia="zh-CN"/>
        </w:rPr>
        <w:fldChar w:fldCharType="end"/>
      </w:r>
    </w:p>
    <w:p w14:paraId="373DC3F4">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_Toc22137 </w:instrText>
      </w:r>
      <w:r>
        <w:rPr>
          <w:rFonts w:hint="default" w:ascii="Times New Roman" w:hAnsi="Times New Roman" w:eastAsiaTheme="minorEastAsia"/>
          <w:szCs w:val="28"/>
          <w:lang w:val="en-US" w:eastAsia="zh-CN"/>
        </w:rPr>
        <w:fldChar w:fldCharType="separate"/>
      </w:r>
      <w:r>
        <w:rPr>
          <w:rFonts w:hint="default"/>
        </w:rPr>
        <w:t xml:space="preserve">3.7 </w:t>
      </w:r>
      <w:r>
        <w:t>个人安全防护</w:t>
      </w:r>
      <w:r>
        <w:tab/>
      </w:r>
      <w:r>
        <w:fldChar w:fldCharType="begin"/>
      </w:r>
      <w:r>
        <w:instrText xml:space="preserve"> PAGEREF _Toc22137 \h </w:instrText>
      </w:r>
      <w:r>
        <w:fldChar w:fldCharType="separate"/>
      </w:r>
      <w:r>
        <w:t>66</w:t>
      </w:r>
      <w:r>
        <w:fldChar w:fldCharType="end"/>
      </w:r>
      <w:r>
        <w:rPr>
          <w:rFonts w:hint="default" w:ascii="Times New Roman" w:hAnsi="Times New Roman" w:eastAsiaTheme="minorEastAsia"/>
          <w:szCs w:val="28"/>
          <w:lang w:val="en-US" w:eastAsia="zh-CN"/>
        </w:rPr>
        <w:fldChar w:fldCharType="end"/>
      </w:r>
    </w:p>
    <w:p w14:paraId="7F2A50B8">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_Toc29852 </w:instrText>
      </w:r>
      <w:r>
        <w:rPr>
          <w:rFonts w:hint="default" w:ascii="Times New Roman" w:hAnsi="Times New Roman" w:eastAsiaTheme="minorEastAsia"/>
          <w:szCs w:val="28"/>
          <w:lang w:val="en-US" w:eastAsia="zh-CN"/>
        </w:rPr>
        <w:fldChar w:fldCharType="separate"/>
      </w:r>
      <w:r>
        <w:rPr>
          <w:rFonts w:hint="default"/>
        </w:rPr>
        <w:t xml:space="preserve">3.8 </w:t>
      </w:r>
      <w:r>
        <w:t>安全标志</w:t>
      </w:r>
      <w:r>
        <w:tab/>
      </w:r>
      <w:r>
        <w:fldChar w:fldCharType="begin"/>
      </w:r>
      <w:r>
        <w:instrText xml:space="preserve"> PAGEREF _Toc29852 \h </w:instrText>
      </w:r>
      <w:r>
        <w:fldChar w:fldCharType="separate"/>
      </w:r>
      <w:r>
        <w:t>68</w:t>
      </w:r>
      <w:r>
        <w:fldChar w:fldCharType="end"/>
      </w:r>
      <w:r>
        <w:rPr>
          <w:rFonts w:hint="default" w:ascii="Times New Roman" w:hAnsi="Times New Roman" w:eastAsiaTheme="minorEastAsia"/>
          <w:szCs w:val="28"/>
          <w:lang w:val="en-US" w:eastAsia="zh-CN"/>
        </w:rPr>
        <w:fldChar w:fldCharType="end"/>
      </w:r>
    </w:p>
    <w:p w14:paraId="0864F309">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_Toc31550 </w:instrText>
      </w:r>
      <w:r>
        <w:rPr>
          <w:rFonts w:hint="default" w:ascii="Times New Roman" w:hAnsi="Times New Roman" w:eastAsiaTheme="minorEastAsia"/>
          <w:szCs w:val="28"/>
          <w:lang w:val="en-US" w:eastAsia="zh-CN"/>
        </w:rPr>
        <w:fldChar w:fldCharType="separate"/>
      </w:r>
      <w:r>
        <w:rPr>
          <w:rFonts w:hint="default"/>
        </w:rPr>
        <w:t xml:space="preserve">3.9 </w:t>
      </w:r>
      <w:r>
        <w:t>安全管理</w:t>
      </w:r>
      <w:r>
        <w:tab/>
      </w:r>
      <w:r>
        <w:fldChar w:fldCharType="begin"/>
      </w:r>
      <w:r>
        <w:instrText xml:space="preserve"> PAGEREF _Toc31550 \h </w:instrText>
      </w:r>
      <w:r>
        <w:fldChar w:fldCharType="separate"/>
      </w:r>
      <w:r>
        <w:t>68</w:t>
      </w:r>
      <w:r>
        <w:fldChar w:fldCharType="end"/>
      </w:r>
      <w:r>
        <w:rPr>
          <w:rFonts w:hint="default" w:ascii="Times New Roman" w:hAnsi="Times New Roman" w:eastAsiaTheme="minorEastAsia"/>
          <w:szCs w:val="28"/>
          <w:lang w:val="en-US" w:eastAsia="zh-CN"/>
        </w:rPr>
        <w:fldChar w:fldCharType="end"/>
      </w:r>
    </w:p>
    <w:p w14:paraId="19D5D232">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_Toc9699 </w:instrText>
      </w:r>
      <w:r>
        <w:rPr>
          <w:rFonts w:hint="default" w:ascii="Times New Roman" w:hAnsi="Times New Roman" w:eastAsiaTheme="minorEastAsia"/>
          <w:szCs w:val="28"/>
          <w:lang w:val="en-US" w:eastAsia="zh-CN"/>
        </w:rPr>
        <w:fldChar w:fldCharType="separate"/>
      </w:r>
      <w:r>
        <w:rPr>
          <w:rFonts w:hint="default"/>
        </w:rPr>
        <w:t xml:space="preserve">3.10 </w:t>
      </w:r>
      <w:r>
        <w:rPr>
          <w:rFonts w:hint="eastAsia"/>
          <w:lang w:eastAsia="zh-CN"/>
        </w:rPr>
        <w:t>重大事故隐患</w:t>
      </w:r>
      <w:r>
        <w:rPr>
          <w:rFonts w:hint="eastAsia"/>
        </w:rPr>
        <w:t>判定评价</w:t>
      </w:r>
      <w:r>
        <w:tab/>
      </w:r>
      <w:r>
        <w:fldChar w:fldCharType="begin"/>
      </w:r>
      <w:r>
        <w:instrText xml:space="preserve"> PAGEREF _Toc9699 \h </w:instrText>
      </w:r>
      <w:r>
        <w:fldChar w:fldCharType="separate"/>
      </w:r>
      <w:r>
        <w:t>73</w:t>
      </w:r>
      <w:r>
        <w:fldChar w:fldCharType="end"/>
      </w:r>
      <w:r>
        <w:rPr>
          <w:rFonts w:hint="default" w:ascii="Times New Roman" w:hAnsi="Times New Roman" w:eastAsiaTheme="minorEastAsia"/>
          <w:szCs w:val="28"/>
          <w:lang w:val="en-US" w:eastAsia="zh-CN"/>
        </w:rPr>
        <w:fldChar w:fldCharType="end"/>
      </w:r>
    </w:p>
    <w:p w14:paraId="5FC13AE5">
      <w:pPr>
        <w:pStyle w:val="17"/>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_Toc1351 </w:instrText>
      </w:r>
      <w:r>
        <w:rPr>
          <w:rFonts w:hint="default" w:ascii="Times New Roman" w:hAnsi="Times New Roman" w:eastAsiaTheme="minorEastAsia"/>
          <w:szCs w:val="28"/>
          <w:lang w:val="en-US" w:eastAsia="zh-CN"/>
        </w:rPr>
        <w:fldChar w:fldCharType="separate"/>
      </w:r>
      <w:r>
        <w:rPr>
          <w:rFonts w:hint="default"/>
          <w:lang w:val="en-US" w:eastAsia="zh-CN"/>
        </w:rPr>
        <w:t xml:space="preserve">4 </w:t>
      </w:r>
      <w:r>
        <w:rPr>
          <w:rFonts w:hint="eastAsia"/>
          <w:lang w:val="en-US" w:eastAsia="zh-CN"/>
        </w:rPr>
        <w:t>安全对策措施建议</w:t>
      </w:r>
      <w:r>
        <w:tab/>
      </w:r>
      <w:r>
        <w:fldChar w:fldCharType="begin"/>
      </w:r>
      <w:r>
        <w:instrText xml:space="preserve"> PAGEREF _Toc1351 \h </w:instrText>
      </w:r>
      <w:r>
        <w:fldChar w:fldCharType="separate"/>
      </w:r>
      <w:r>
        <w:t>75</w:t>
      </w:r>
      <w:r>
        <w:fldChar w:fldCharType="end"/>
      </w:r>
      <w:r>
        <w:rPr>
          <w:rFonts w:hint="default" w:ascii="Times New Roman" w:hAnsi="Times New Roman" w:eastAsiaTheme="minorEastAsia"/>
          <w:szCs w:val="28"/>
          <w:lang w:val="en-US" w:eastAsia="zh-CN"/>
        </w:rPr>
        <w:fldChar w:fldCharType="end"/>
      </w:r>
    </w:p>
    <w:p w14:paraId="667710BD">
      <w:pPr>
        <w:pStyle w:val="17"/>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_Toc14421 </w:instrText>
      </w:r>
      <w:r>
        <w:rPr>
          <w:rFonts w:hint="default" w:ascii="Times New Roman" w:hAnsi="Times New Roman" w:eastAsiaTheme="minorEastAsia"/>
          <w:szCs w:val="28"/>
          <w:lang w:val="en-US" w:eastAsia="zh-CN"/>
        </w:rPr>
        <w:fldChar w:fldCharType="separate"/>
      </w:r>
      <w:r>
        <w:rPr>
          <w:rFonts w:hint="default"/>
          <w:lang w:val="en-US" w:eastAsia="zh-CN"/>
        </w:rPr>
        <w:t xml:space="preserve">5 </w:t>
      </w:r>
      <w:r>
        <w:rPr>
          <w:rFonts w:hint="eastAsia"/>
          <w:lang w:val="en-US" w:eastAsia="zh-CN"/>
        </w:rPr>
        <w:t>评价结论</w:t>
      </w:r>
      <w:r>
        <w:tab/>
      </w:r>
      <w:r>
        <w:fldChar w:fldCharType="begin"/>
      </w:r>
      <w:r>
        <w:instrText xml:space="preserve"> PAGEREF _Toc14421 \h </w:instrText>
      </w:r>
      <w:r>
        <w:fldChar w:fldCharType="separate"/>
      </w:r>
      <w:r>
        <w:t>77</w:t>
      </w:r>
      <w:r>
        <w:fldChar w:fldCharType="end"/>
      </w:r>
      <w:r>
        <w:rPr>
          <w:rFonts w:hint="default" w:ascii="Times New Roman" w:hAnsi="Times New Roman" w:eastAsiaTheme="minorEastAsia"/>
          <w:szCs w:val="28"/>
          <w:lang w:val="en-US" w:eastAsia="zh-CN"/>
        </w:rPr>
        <w:fldChar w:fldCharType="end"/>
      </w:r>
    </w:p>
    <w:p w14:paraId="0B669DF6">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_Toc7661 </w:instrText>
      </w:r>
      <w:r>
        <w:rPr>
          <w:rFonts w:hint="default" w:ascii="Times New Roman" w:hAnsi="Times New Roman" w:eastAsiaTheme="minorEastAsia"/>
          <w:szCs w:val="28"/>
          <w:lang w:val="en-US" w:eastAsia="zh-CN"/>
        </w:rPr>
        <w:fldChar w:fldCharType="separate"/>
      </w:r>
      <w:r>
        <w:rPr>
          <w:rFonts w:hint="default"/>
          <w:lang w:val="en-US" w:eastAsia="zh-CN"/>
        </w:rPr>
        <w:t>5.1 安全设施验收评价综述</w:t>
      </w:r>
      <w:r>
        <w:tab/>
      </w:r>
      <w:r>
        <w:fldChar w:fldCharType="begin"/>
      </w:r>
      <w:r>
        <w:instrText xml:space="preserve"> PAGEREF _Toc7661 \h </w:instrText>
      </w:r>
      <w:r>
        <w:fldChar w:fldCharType="separate"/>
      </w:r>
      <w:r>
        <w:t>77</w:t>
      </w:r>
      <w:r>
        <w:fldChar w:fldCharType="end"/>
      </w:r>
      <w:r>
        <w:rPr>
          <w:rFonts w:hint="default" w:ascii="Times New Roman" w:hAnsi="Times New Roman" w:eastAsiaTheme="minorEastAsia"/>
          <w:szCs w:val="28"/>
          <w:lang w:val="en-US" w:eastAsia="zh-CN"/>
        </w:rPr>
        <w:fldChar w:fldCharType="end"/>
      </w:r>
    </w:p>
    <w:p w14:paraId="72D22331">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_Toc22925 </w:instrText>
      </w:r>
      <w:r>
        <w:rPr>
          <w:rFonts w:hint="default" w:ascii="Times New Roman" w:hAnsi="Times New Roman" w:eastAsiaTheme="minorEastAsia"/>
          <w:szCs w:val="28"/>
          <w:lang w:val="en-US" w:eastAsia="zh-CN"/>
        </w:rPr>
        <w:fldChar w:fldCharType="separate"/>
      </w:r>
      <w:r>
        <w:rPr>
          <w:rFonts w:hint="default"/>
        </w:rPr>
        <w:t xml:space="preserve">5.2 </w:t>
      </w:r>
      <w:r>
        <w:t>各评价单元评价结果</w:t>
      </w:r>
      <w:r>
        <w:tab/>
      </w:r>
      <w:r>
        <w:fldChar w:fldCharType="begin"/>
      </w:r>
      <w:r>
        <w:instrText xml:space="preserve"> PAGEREF _Toc22925 \h </w:instrText>
      </w:r>
      <w:r>
        <w:fldChar w:fldCharType="separate"/>
      </w:r>
      <w:r>
        <w:t>77</w:t>
      </w:r>
      <w:r>
        <w:fldChar w:fldCharType="end"/>
      </w:r>
      <w:r>
        <w:rPr>
          <w:rFonts w:hint="default" w:ascii="Times New Roman" w:hAnsi="Times New Roman" w:eastAsiaTheme="minorEastAsia"/>
          <w:szCs w:val="28"/>
          <w:lang w:val="en-US" w:eastAsia="zh-CN"/>
        </w:rPr>
        <w:fldChar w:fldCharType="end"/>
      </w:r>
    </w:p>
    <w:p w14:paraId="7CF13C7F">
      <w:pPr>
        <w:pStyle w:val="19"/>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_Toc10738 </w:instrText>
      </w:r>
      <w:r>
        <w:rPr>
          <w:rFonts w:hint="default" w:ascii="Times New Roman" w:hAnsi="Times New Roman" w:eastAsiaTheme="minorEastAsia"/>
          <w:szCs w:val="28"/>
          <w:lang w:val="en-US" w:eastAsia="zh-CN"/>
        </w:rPr>
        <w:fldChar w:fldCharType="separate"/>
      </w:r>
      <w:r>
        <w:rPr>
          <w:rFonts w:hint="default"/>
        </w:rPr>
        <w:t xml:space="preserve">5.3 </w:t>
      </w:r>
      <w:r>
        <w:t>安全总体评价结论</w:t>
      </w:r>
      <w:r>
        <w:tab/>
      </w:r>
      <w:r>
        <w:fldChar w:fldCharType="begin"/>
      </w:r>
      <w:r>
        <w:instrText xml:space="preserve"> PAGEREF _Toc10738 \h </w:instrText>
      </w:r>
      <w:r>
        <w:fldChar w:fldCharType="separate"/>
      </w:r>
      <w:r>
        <w:t>79</w:t>
      </w:r>
      <w:r>
        <w:fldChar w:fldCharType="end"/>
      </w:r>
      <w:r>
        <w:rPr>
          <w:rFonts w:hint="default" w:ascii="Times New Roman" w:hAnsi="Times New Roman" w:eastAsiaTheme="minorEastAsia"/>
          <w:szCs w:val="28"/>
          <w:lang w:val="en-US" w:eastAsia="zh-CN"/>
        </w:rPr>
        <w:fldChar w:fldCharType="end"/>
      </w:r>
    </w:p>
    <w:p w14:paraId="60F0D5BD">
      <w:pPr>
        <w:pStyle w:val="17"/>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_Toc21384 </w:instrText>
      </w:r>
      <w:r>
        <w:rPr>
          <w:rFonts w:hint="default" w:ascii="Times New Roman" w:hAnsi="Times New Roman" w:eastAsiaTheme="minorEastAsia"/>
          <w:szCs w:val="28"/>
          <w:lang w:val="en-US" w:eastAsia="zh-CN"/>
        </w:rPr>
        <w:fldChar w:fldCharType="separate"/>
      </w:r>
      <w:r>
        <w:rPr>
          <w:rFonts w:hint="default"/>
          <w:lang w:val="en-US" w:eastAsia="zh-CN"/>
        </w:rPr>
        <w:t xml:space="preserve">6 </w:t>
      </w:r>
      <w:r>
        <w:rPr>
          <w:rFonts w:hint="eastAsia"/>
          <w:lang w:val="en-US" w:eastAsia="zh-CN"/>
        </w:rPr>
        <w:t>附件</w:t>
      </w:r>
      <w:r>
        <w:tab/>
      </w:r>
      <w:r>
        <w:fldChar w:fldCharType="begin"/>
      </w:r>
      <w:r>
        <w:instrText xml:space="preserve"> PAGEREF _Toc21384 \h </w:instrText>
      </w:r>
      <w:r>
        <w:fldChar w:fldCharType="separate"/>
      </w:r>
      <w:r>
        <w:t>80</w:t>
      </w:r>
      <w:r>
        <w:fldChar w:fldCharType="end"/>
      </w:r>
      <w:r>
        <w:rPr>
          <w:rFonts w:hint="default" w:ascii="Times New Roman" w:hAnsi="Times New Roman" w:eastAsiaTheme="minorEastAsia"/>
          <w:szCs w:val="28"/>
          <w:lang w:val="en-US" w:eastAsia="zh-CN"/>
        </w:rPr>
        <w:fldChar w:fldCharType="end"/>
      </w:r>
    </w:p>
    <w:p w14:paraId="3732E527">
      <w:pPr>
        <w:pStyle w:val="17"/>
        <w:tabs>
          <w:tab w:val="right" w:leader="dot" w:pos="8306"/>
        </w:tabs>
      </w:pPr>
      <w:r>
        <w:rPr>
          <w:rFonts w:hint="default" w:ascii="Times New Roman" w:hAnsi="Times New Roman" w:eastAsiaTheme="minorEastAsia"/>
          <w:szCs w:val="28"/>
          <w:lang w:val="en-US" w:eastAsia="zh-CN"/>
        </w:rPr>
        <w:fldChar w:fldCharType="begin"/>
      </w:r>
      <w:r>
        <w:rPr>
          <w:rFonts w:hint="default" w:ascii="Times New Roman" w:hAnsi="Times New Roman" w:eastAsiaTheme="minorEastAsia"/>
          <w:szCs w:val="28"/>
          <w:lang w:val="en-US" w:eastAsia="zh-CN"/>
        </w:rPr>
        <w:instrText xml:space="preserve"> HYPERLINK \l _Toc8873 </w:instrText>
      </w:r>
      <w:r>
        <w:rPr>
          <w:rFonts w:hint="default" w:ascii="Times New Roman" w:hAnsi="Times New Roman" w:eastAsiaTheme="minorEastAsia"/>
          <w:szCs w:val="28"/>
          <w:lang w:val="en-US" w:eastAsia="zh-CN"/>
        </w:rPr>
        <w:fldChar w:fldCharType="separate"/>
      </w:r>
      <w:r>
        <w:rPr>
          <w:rFonts w:hint="default"/>
          <w:lang w:val="en-US" w:eastAsia="zh-CN"/>
        </w:rPr>
        <w:t xml:space="preserve">7 </w:t>
      </w:r>
      <w:r>
        <w:rPr>
          <w:rFonts w:hint="eastAsia"/>
          <w:lang w:val="en-US" w:eastAsia="zh-CN"/>
        </w:rPr>
        <w:t>附图</w:t>
      </w:r>
      <w:r>
        <w:tab/>
      </w:r>
      <w:r>
        <w:fldChar w:fldCharType="begin"/>
      </w:r>
      <w:r>
        <w:instrText xml:space="preserve"> PAGEREF _Toc8873 \h </w:instrText>
      </w:r>
      <w:r>
        <w:fldChar w:fldCharType="separate"/>
      </w:r>
      <w:r>
        <w:t>82</w:t>
      </w:r>
      <w:r>
        <w:fldChar w:fldCharType="end"/>
      </w:r>
      <w:r>
        <w:rPr>
          <w:rFonts w:hint="default" w:ascii="Times New Roman" w:hAnsi="Times New Roman" w:eastAsiaTheme="minorEastAsia"/>
          <w:szCs w:val="28"/>
          <w:lang w:val="en-US" w:eastAsia="zh-CN"/>
        </w:rPr>
        <w:fldChar w:fldCharType="end"/>
      </w:r>
    </w:p>
    <w:p w14:paraId="770DFA49">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both"/>
        <w:textAlignment w:val="auto"/>
        <w:rPr>
          <w:rFonts w:hint="default" w:ascii="Times New Roman" w:hAnsi="Times New Roman" w:eastAsiaTheme="minorEastAsia" w:cstheme="minorBidi"/>
          <w:b/>
          <w:kern w:val="2"/>
          <w:sz w:val="21"/>
          <w:szCs w:val="28"/>
          <w:lang w:val="en-US" w:eastAsia="zh-CN" w:bidi="ar-SA"/>
        </w:rPr>
      </w:pPr>
      <w:r>
        <w:rPr>
          <w:rFonts w:hint="default" w:ascii="Times New Roman" w:hAnsi="Times New Roman" w:eastAsiaTheme="minorEastAsia"/>
          <w:szCs w:val="28"/>
          <w:lang w:val="en-US" w:eastAsia="zh-CN"/>
        </w:rPr>
        <w:fldChar w:fldCharType="end"/>
      </w:r>
    </w:p>
    <w:p w14:paraId="4D132695">
      <w:pPr>
        <w:keepNext w:val="0"/>
        <w:keepLines w:val="0"/>
        <w:pageBreakBefore w:val="0"/>
        <w:widowControl w:val="0"/>
        <w:kinsoku/>
        <w:wordWrap/>
        <w:overflowPunct/>
        <w:topLinePunct w:val="0"/>
        <w:autoSpaceDE/>
        <w:autoSpaceDN/>
        <w:bidi w:val="0"/>
        <w:adjustRightInd w:val="0"/>
        <w:snapToGrid w:val="0"/>
        <w:spacing w:line="360" w:lineRule="auto"/>
        <w:ind w:firstLine="422" w:firstLineChars="200"/>
        <w:jc w:val="both"/>
        <w:textAlignment w:val="auto"/>
        <w:rPr>
          <w:rFonts w:hint="default" w:ascii="Times New Roman" w:hAnsi="Times New Roman" w:eastAsiaTheme="minorEastAsia" w:cstheme="minorBidi"/>
          <w:b/>
          <w:kern w:val="2"/>
          <w:sz w:val="21"/>
          <w:szCs w:val="28"/>
          <w:lang w:val="en-US" w:eastAsia="zh-CN" w:bidi="ar-SA"/>
        </w:rPr>
      </w:pPr>
    </w:p>
    <w:p w14:paraId="7522F8D8">
      <w:pPr>
        <w:pStyle w:val="18"/>
        <w:bidi w:val="0"/>
        <w:rPr>
          <w:rFonts w:hint="eastAsia"/>
        </w:rPr>
        <w:sectPr>
          <w:pgSz w:w="11906" w:h="16838"/>
          <w:pgMar w:top="1440" w:right="1800" w:bottom="1440" w:left="1800" w:header="851" w:footer="992" w:gutter="0"/>
          <w:cols w:space="425" w:num="1"/>
          <w:docGrid w:type="lines" w:linePitch="312" w:charSpace="0"/>
        </w:sectPr>
      </w:pPr>
    </w:p>
    <w:p w14:paraId="353630C2">
      <w:pPr>
        <w:pStyle w:val="23"/>
        <w:bidi w:val="0"/>
        <w:ind w:left="0" w:leftChars="0" w:firstLine="0" w:firstLineChars="0"/>
        <w:rPr>
          <w:rFonts w:hint="default"/>
          <w:lang w:val="en-US" w:eastAsia="zh-CN"/>
        </w:rPr>
      </w:pPr>
      <w:bookmarkStart w:id="0" w:name="_Toc11739"/>
      <w:r>
        <w:rPr>
          <w:rFonts w:hint="eastAsia"/>
          <w:lang w:val="en-US" w:eastAsia="zh-CN"/>
        </w:rPr>
        <w:t>评价范围与依据</w:t>
      </w:r>
      <w:bookmarkEnd w:id="0"/>
    </w:p>
    <w:p w14:paraId="514C0AF5">
      <w:pPr>
        <w:pStyle w:val="24"/>
        <w:bidi w:val="0"/>
        <w:ind w:left="0" w:leftChars="0" w:firstLine="0" w:firstLineChars="0"/>
        <w:rPr>
          <w:rFonts w:hint="eastAsia"/>
          <w:lang w:val="en-US" w:eastAsia="zh-CN"/>
        </w:rPr>
      </w:pPr>
      <w:bookmarkStart w:id="1" w:name="_Toc29413"/>
      <w:r>
        <w:rPr>
          <w:rFonts w:hint="eastAsia"/>
          <w:lang w:val="en-US" w:eastAsia="zh-CN"/>
        </w:rPr>
        <w:t>评价对象和范围</w:t>
      </w:r>
      <w:bookmarkEnd w:id="1"/>
    </w:p>
    <w:p w14:paraId="11944F54">
      <w:pPr>
        <w:pStyle w:val="25"/>
        <w:bidi w:val="0"/>
        <w:ind w:left="720" w:leftChars="0" w:hanging="720" w:firstLineChars="0"/>
        <w:rPr>
          <w:rFonts w:hint="default"/>
          <w:lang w:val="en-US" w:eastAsia="zh-CN"/>
        </w:rPr>
      </w:pPr>
      <w:r>
        <w:rPr>
          <w:rFonts w:hint="eastAsia"/>
          <w:lang w:val="en-US" w:eastAsia="zh-CN"/>
        </w:rPr>
        <w:t>评价对象</w:t>
      </w:r>
    </w:p>
    <w:p w14:paraId="0B0E781A">
      <w:pPr>
        <w:pStyle w:val="18"/>
        <w:rPr>
          <w:rFonts w:hint="default"/>
          <w:lang w:val="en-US" w:eastAsia="zh-CN"/>
        </w:rPr>
      </w:pPr>
      <w:r>
        <w:rPr>
          <w:rFonts w:hint="default"/>
          <w:lang w:val="en-US" w:eastAsia="zh-CN"/>
        </w:rPr>
        <w:t>本次验收评价对象为：海城市荣富耐火材料有限公司镁矿（菱镁石、滑石）露天矿山建设项目。</w:t>
      </w:r>
    </w:p>
    <w:p w14:paraId="0ADABBA7">
      <w:pPr>
        <w:pStyle w:val="25"/>
        <w:bidi w:val="0"/>
        <w:ind w:left="720" w:leftChars="0" w:hanging="720" w:firstLineChars="0"/>
        <w:rPr>
          <w:rFonts w:hint="default"/>
          <w:lang w:val="en-US" w:eastAsia="zh-CN"/>
        </w:rPr>
      </w:pPr>
      <w:r>
        <w:rPr>
          <w:rFonts w:hint="eastAsia"/>
          <w:lang w:val="en-US" w:eastAsia="zh-CN"/>
        </w:rPr>
        <w:t>评价范围</w:t>
      </w:r>
    </w:p>
    <w:p w14:paraId="5B39B2BE">
      <w:pPr>
        <w:pStyle w:val="18"/>
        <w:rPr>
          <w:rFonts w:hint="default"/>
          <w:lang w:val="en-US" w:eastAsia="zh-CN"/>
        </w:rPr>
      </w:pPr>
      <w:r>
        <w:rPr>
          <w:rFonts w:hint="default"/>
          <w:lang w:val="en-US" w:eastAsia="zh-CN"/>
        </w:rPr>
        <w:t>本次验收评价对象为：海城市荣富耐火材料有限公司镁矿（菱镁石、滑石）露天矿山建设项目开采境界</w:t>
      </w:r>
      <w:r>
        <w:rPr>
          <w:rFonts w:hint="eastAsia"/>
          <w:lang w:val="en-US" w:eastAsia="zh-CN"/>
        </w:rPr>
        <w:t>范围</w:t>
      </w:r>
      <w:r>
        <w:rPr>
          <w:rFonts w:hint="default"/>
          <w:lang w:val="en-US" w:eastAsia="zh-CN"/>
        </w:rPr>
        <w:t>内</w:t>
      </w:r>
      <w:r>
        <w:rPr>
          <w:rFonts w:hint="eastAsia"/>
          <w:lang w:val="en-US" w:eastAsia="zh-CN"/>
        </w:rPr>
        <w:t>，设计</w:t>
      </w:r>
      <w:r>
        <w:rPr>
          <w:rFonts w:hint="default"/>
          <w:lang w:val="en-US" w:eastAsia="zh-CN"/>
        </w:rPr>
        <w:t>圈定的的露天开采系统、公用辅助设施、基本安全设施、专用安全设施与安全生产管理。</w:t>
      </w:r>
    </w:p>
    <w:p w14:paraId="012A1027">
      <w:pPr>
        <w:pStyle w:val="18"/>
        <w:numPr>
          <w:ilvl w:val="0"/>
          <w:numId w:val="0"/>
        </w:numPr>
        <w:ind w:firstLine="560" w:firstLineChars="200"/>
        <w:rPr>
          <w:rFonts w:hint="default"/>
          <w:lang w:val="en-US" w:eastAsia="zh-CN"/>
        </w:rPr>
      </w:pPr>
      <w:r>
        <w:rPr>
          <w:rFonts w:hint="default" w:ascii="Times New Roman" w:hAnsi="Times New Roman" w:eastAsia="宋体" w:cstheme="minorBidi"/>
          <w:sz w:val="28"/>
          <w:szCs w:val="28"/>
          <w:lang w:val="en-US" w:eastAsia="zh-CN"/>
        </w:rPr>
        <w:t>（1）</w:t>
      </w:r>
      <w:r>
        <w:rPr>
          <w:rFonts w:hint="default"/>
          <w:lang w:val="en-US" w:eastAsia="zh-CN"/>
        </w:rPr>
        <w:t>本次安全验收评价的范围及开采标高</w:t>
      </w:r>
    </w:p>
    <w:p w14:paraId="3FBD53ED">
      <w:pPr>
        <w:pStyle w:val="18"/>
        <w:bidi w:val="0"/>
        <w:rPr>
          <w:rFonts w:hint="default"/>
          <w:lang w:val="en-US" w:eastAsia="zh-CN"/>
        </w:rPr>
      </w:pPr>
      <w:r>
        <w:rPr>
          <w:rFonts w:hint="eastAsia"/>
          <w:lang w:val="en-US" w:eastAsia="zh-CN"/>
        </w:rPr>
        <w:t>1、采矿许可证</w:t>
      </w:r>
      <w:r>
        <w:rPr>
          <w:rFonts w:hint="default"/>
          <w:lang w:val="en-US" w:eastAsia="zh-CN"/>
        </w:rPr>
        <w:t>范围</w:t>
      </w:r>
    </w:p>
    <w:p w14:paraId="490EB9D9">
      <w:pPr>
        <w:pStyle w:val="18"/>
        <w:bidi w:val="0"/>
        <w:rPr>
          <w:rFonts w:hint="default"/>
          <w:lang w:val="en-US" w:eastAsia="zh-CN"/>
        </w:rPr>
      </w:pPr>
      <w:r>
        <w:rPr>
          <w:rFonts w:hint="default"/>
          <w:lang w:val="en-US" w:eastAsia="zh-CN"/>
        </w:rPr>
        <w:t>根据辽宁省自然资源厅于2022年10月25日，换发的《采矿许可证》（证号：C</w:t>
      </w:r>
      <w:r>
        <w:rPr>
          <w:rFonts w:hint="eastAsia"/>
          <w:lang w:val="en-US" w:eastAsia="zh-CN"/>
        </w:rPr>
        <w:t>XXXXXXXXXXXXXXXXX）</w:t>
      </w:r>
      <w:r>
        <w:rPr>
          <w:rFonts w:hint="default"/>
          <w:lang w:val="en-US" w:eastAsia="zh-CN"/>
        </w:rPr>
        <w:t>，有效期限叁年零陆个月，自2022年6月19日至2025年12月19日，</w:t>
      </w:r>
      <w:r>
        <w:rPr>
          <w:rFonts w:hint="eastAsia"/>
          <w:lang w:val="en-US" w:eastAsia="zh-CN"/>
        </w:rPr>
        <w:t>生产规模XXXXXXX，</w:t>
      </w:r>
      <w:r>
        <w:rPr>
          <w:rFonts w:hint="default"/>
          <w:lang w:val="en-US" w:eastAsia="zh-CN"/>
        </w:rPr>
        <w:t>矿区面积为0.3908km</w:t>
      </w:r>
      <w:r>
        <w:rPr>
          <w:rFonts w:hint="default"/>
          <w:vertAlign w:val="superscript"/>
          <w:lang w:val="en-US" w:eastAsia="zh-CN"/>
        </w:rPr>
        <w:t>2</w:t>
      </w:r>
      <w:r>
        <w:rPr>
          <w:rFonts w:hint="eastAsia"/>
          <w:lang w:val="en-US" w:eastAsia="zh-CN"/>
        </w:rPr>
        <w:t>，</w:t>
      </w:r>
      <w:r>
        <w:rPr>
          <w:rFonts w:hint="default"/>
          <w:lang w:val="en-US" w:eastAsia="zh-CN"/>
        </w:rPr>
        <w:t>划定的矿区范围共由8个拐点圈定，开采</w:t>
      </w:r>
      <w:r>
        <w:rPr>
          <w:rFonts w:hint="eastAsia"/>
          <w:lang w:val="en-US" w:eastAsia="zh-CN"/>
        </w:rPr>
        <w:t>深度</w:t>
      </w:r>
      <w:r>
        <w:rPr>
          <w:rFonts w:hint="default"/>
          <w:lang w:val="en-US" w:eastAsia="zh-CN"/>
        </w:rPr>
        <w:t>由+320m至-70m。</w:t>
      </w:r>
      <w:r>
        <w:rPr>
          <w:rFonts w:hint="eastAsia"/>
          <w:lang w:val="en-US" w:eastAsia="zh-CN"/>
        </w:rPr>
        <w:t>《采矿许可证》划定的矿区范围拐点坐标见表1.1-1。</w:t>
      </w:r>
    </w:p>
    <w:p w14:paraId="31CEFE3C">
      <w:pPr>
        <w:pStyle w:val="26"/>
        <w:bidi w:val="0"/>
        <w:rPr>
          <w:rFonts w:hint="default"/>
          <w:lang w:val="en-US" w:eastAsia="zh-CN"/>
        </w:rPr>
      </w:pPr>
      <w:r>
        <w:rPr>
          <w:rFonts w:hint="default"/>
          <w:lang w:val="en-US" w:eastAsia="zh-CN"/>
        </w:rPr>
        <w:t>表1</w:t>
      </w:r>
      <w:r>
        <w:rPr>
          <w:rFonts w:hint="eastAsia"/>
          <w:lang w:val="en-US" w:eastAsia="zh-CN"/>
        </w:rPr>
        <w:t>.</w:t>
      </w:r>
      <w:r>
        <w:rPr>
          <w:rFonts w:hint="default"/>
          <w:lang w:val="en-US" w:eastAsia="zh-CN"/>
        </w:rPr>
        <w:t xml:space="preserve">1-1 </w:t>
      </w:r>
      <w:r>
        <w:rPr>
          <w:rFonts w:hint="eastAsia"/>
          <w:lang w:val="en-US" w:eastAsia="zh-CN"/>
        </w:rPr>
        <w:t xml:space="preserve"> </w:t>
      </w:r>
      <w:r>
        <w:rPr>
          <w:rFonts w:hint="default"/>
          <w:lang w:val="en-US" w:eastAsia="zh-CN"/>
        </w:rPr>
        <w:t>《采矿许可证》许可范围拐点坐标表</w:t>
      </w:r>
    </w:p>
    <w:p w14:paraId="65299ADE">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2、设计范围</w:t>
      </w:r>
    </w:p>
    <w:p w14:paraId="191C2D61">
      <w:pPr>
        <w:pStyle w:val="18"/>
        <w:rPr>
          <w:rFonts w:hint="default"/>
          <w:lang w:val="en-US" w:eastAsia="zh-CN"/>
        </w:rPr>
      </w:pPr>
      <w:r>
        <w:rPr>
          <w:rFonts w:hint="default"/>
          <w:lang w:val="en-US" w:eastAsia="zh-CN"/>
        </w:rPr>
        <w:t>根据《初步设计》，设计进行分两期开采，矿区范围内设置1套露天生产系统，一期开采Mg1、Mg3菱镁矿体和滑石矿体-30m以上资源；二期开采Mg2矿体。首先开采一期，待一期开采结束后，再开采二期，两期工程均采用露天开采。</w:t>
      </w:r>
    </w:p>
    <w:p w14:paraId="0F2E4949">
      <w:pPr>
        <w:pStyle w:val="18"/>
        <w:rPr>
          <w:rFonts w:hint="default"/>
          <w:lang w:val="en-US" w:eastAsia="zh-CN"/>
        </w:rPr>
      </w:pPr>
      <w:r>
        <w:rPr>
          <w:rFonts w:hint="default"/>
          <w:lang w:val="en-US" w:eastAsia="zh-CN"/>
        </w:rPr>
        <w:t>设计露天开采境界内的北采区为一期工程，主要开采Mg1、Mg3菱镁矿体和滑石矿体-30m以上资源；南采区为二期工程，主要开采Mg2矿体。</w:t>
      </w:r>
    </w:p>
    <w:p w14:paraId="20C09A86">
      <w:pPr>
        <w:pStyle w:val="18"/>
        <w:rPr>
          <w:rFonts w:hint="default"/>
          <w:lang w:val="en-US" w:eastAsia="zh-CN"/>
        </w:rPr>
      </w:pPr>
      <w:r>
        <w:rPr>
          <w:rFonts w:hint="default"/>
          <w:lang w:val="en-US" w:eastAsia="zh-CN"/>
        </w:rPr>
        <w:t>设计开采范围由8个拐点圈定，设计开采区域面积0.3504km²，开采顺序为先开采一期工程，即北采区，北采区开采范围为110～-30m，开采深度140m；然后开采二期工程，即南采区，南采区开采范围为250m～110m，开采深度140m。</w:t>
      </w:r>
      <w:r>
        <w:rPr>
          <w:rFonts w:hint="eastAsia"/>
          <w:lang w:val="en-US" w:eastAsia="zh-CN"/>
        </w:rPr>
        <w:t>矿区范围拐点坐标见表</w:t>
      </w:r>
      <w:r>
        <w:rPr>
          <w:rFonts w:hint="default"/>
          <w:lang w:val="en-US" w:eastAsia="zh-CN"/>
        </w:rPr>
        <w:t>1</w:t>
      </w:r>
      <w:r>
        <w:rPr>
          <w:rFonts w:hint="eastAsia"/>
          <w:lang w:val="en-US" w:eastAsia="zh-CN"/>
        </w:rPr>
        <w:t>.</w:t>
      </w:r>
      <w:r>
        <w:rPr>
          <w:rFonts w:hint="default"/>
          <w:lang w:val="en-US" w:eastAsia="zh-CN"/>
        </w:rPr>
        <w:t>1-</w:t>
      </w:r>
      <w:r>
        <w:rPr>
          <w:rFonts w:hint="eastAsia"/>
          <w:lang w:val="en-US" w:eastAsia="zh-CN"/>
        </w:rPr>
        <w:t>2。</w:t>
      </w:r>
    </w:p>
    <w:p w14:paraId="48834A05">
      <w:pPr>
        <w:pStyle w:val="26"/>
        <w:bidi w:val="0"/>
      </w:pPr>
      <w:r>
        <w:t>表1.1-2 设计</w:t>
      </w:r>
      <w:r>
        <w:rPr>
          <w:rFonts w:hint="eastAsia"/>
          <w:lang w:val="en-US" w:eastAsia="zh-CN"/>
        </w:rPr>
        <w:t>开采</w:t>
      </w:r>
      <w:r>
        <w:t>范围拐点坐标</w:t>
      </w:r>
      <w:r>
        <w:rPr>
          <w:rFonts w:hint="eastAsia"/>
        </w:rPr>
        <w:t>表</w:t>
      </w:r>
    </w:p>
    <w:p w14:paraId="1C5CC557">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default"/>
          <w:lang w:val="en-US" w:eastAsia="zh-CN"/>
        </w:rPr>
        <w:t>③</w:t>
      </w:r>
      <w:r>
        <w:rPr>
          <w:rFonts w:hint="eastAsia"/>
          <w:lang w:val="en-US" w:eastAsia="zh-CN"/>
        </w:rPr>
        <w:t>验收</w:t>
      </w:r>
      <w:r>
        <w:rPr>
          <w:rFonts w:hint="default"/>
          <w:lang w:val="en-US" w:eastAsia="zh-CN"/>
        </w:rPr>
        <w:t>评价范围</w:t>
      </w:r>
    </w:p>
    <w:p w14:paraId="4DB8624B">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eastAsia"/>
          <w:lang w:val="en-US" w:eastAsia="zh-CN"/>
        </w:rPr>
        <w:t>根据《安全设施设计》，北采区为一期工程，采场顶部标高110m，采场底部标高-30m，开采深度140m。矿山以矿界4和8号拐点划分南北采区分界线，北采区由1、2、3、4、8号拐点圈定。</w:t>
      </w:r>
    </w:p>
    <w:p w14:paraId="1DB68D1D">
      <w:pPr>
        <w:pStyle w:val="18"/>
        <w:bidi w:val="0"/>
        <w:rPr>
          <w:rFonts w:hint="default"/>
          <w:lang w:val="en-US" w:eastAsia="zh-CN"/>
        </w:rPr>
      </w:pPr>
      <w:r>
        <w:rPr>
          <w:rFonts w:hint="eastAsia"/>
          <w:lang w:val="en-US" w:eastAsia="zh-CN"/>
        </w:rPr>
        <w:t>因此，</w:t>
      </w:r>
      <w:r>
        <w:rPr>
          <w:rFonts w:hint="default"/>
          <w:lang w:val="en-US" w:eastAsia="zh-CN"/>
        </w:rPr>
        <w:t>本次评价范围为北采区</w:t>
      </w:r>
      <w:r>
        <w:rPr>
          <w:rFonts w:hint="eastAsia"/>
          <w:lang w:val="en-US" w:eastAsia="zh-CN"/>
        </w:rPr>
        <w:t>一期工程</w:t>
      </w:r>
      <w:r>
        <w:rPr>
          <w:rFonts w:hint="default"/>
          <w:lang w:val="en-US" w:eastAsia="zh-CN"/>
        </w:rPr>
        <w:t>范围，平面由5个拐点圈定，深度由</w:t>
      </w:r>
      <w:r>
        <w:rPr>
          <w:rFonts w:hint="eastAsia"/>
          <w:lang w:val="en-US" w:eastAsia="zh-CN"/>
        </w:rPr>
        <w:t>北采区顶部</w:t>
      </w:r>
      <w:r>
        <w:rPr>
          <w:rFonts w:hint="default"/>
          <w:lang w:val="en-US" w:eastAsia="zh-CN"/>
        </w:rPr>
        <w:t>标高+1</w:t>
      </w:r>
      <w:r>
        <w:rPr>
          <w:rFonts w:hint="eastAsia"/>
          <w:lang w:val="en-US" w:eastAsia="zh-CN"/>
        </w:rPr>
        <w:t>1</w:t>
      </w:r>
      <w:r>
        <w:rPr>
          <w:rFonts w:hint="default"/>
          <w:lang w:val="en-US" w:eastAsia="zh-CN"/>
        </w:rPr>
        <w:t>0m至</w:t>
      </w:r>
      <w:r>
        <w:rPr>
          <w:rFonts w:hint="eastAsia"/>
          <w:lang w:val="en-US" w:eastAsia="zh-CN"/>
        </w:rPr>
        <w:t>北采区底部</w:t>
      </w:r>
      <w:r>
        <w:rPr>
          <w:rFonts w:hint="default"/>
          <w:lang w:val="en-US" w:eastAsia="zh-CN"/>
        </w:rPr>
        <w:t>采标高-</w:t>
      </w:r>
      <w:r>
        <w:rPr>
          <w:rFonts w:hint="eastAsia"/>
          <w:lang w:val="en-US" w:eastAsia="zh-CN"/>
        </w:rPr>
        <w:t>3</w:t>
      </w:r>
      <w:r>
        <w:rPr>
          <w:rFonts w:hint="default"/>
          <w:lang w:val="en-US" w:eastAsia="zh-CN"/>
        </w:rPr>
        <w:t>0m，</w:t>
      </w:r>
      <w:r>
        <w:rPr>
          <w:rFonts w:hint="eastAsia"/>
          <w:lang w:val="en-US" w:eastAsia="zh-CN"/>
        </w:rPr>
        <w:t>开采深度140m</w:t>
      </w:r>
      <w:r>
        <w:rPr>
          <w:rFonts w:hint="default"/>
          <w:lang w:val="en-US" w:eastAsia="zh-CN"/>
        </w:rPr>
        <w:t>面积为0.1506km</w:t>
      </w:r>
      <w:r>
        <w:rPr>
          <w:rFonts w:hint="default"/>
          <w:vertAlign w:val="superscript"/>
          <w:lang w:val="en-US" w:eastAsia="zh-CN"/>
        </w:rPr>
        <w:t>2</w:t>
      </w:r>
      <w:r>
        <w:rPr>
          <w:rFonts w:hint="default"/>
          <w:lang w:val="en-US" w:eastAsia="zh-CN"/>
        </w:rPr>
        <w:t>，拐点坐标见表1</w:t>
      </w:r>
      <w:r>
        <w:rPr>
          <w:rFonts w:hint="eastAsia"/>
          <w:lang w:val="en-US" w:eastAsia="zh-CN"/>
        </w:rPr>
        <w:t>.</w:t>
      </w:r>
      <w:r>
        <w:rPr>
          <w:rFonts w:hint="default"/>
          <w:lang w:val="en-US" w:eastAsia="zh-CN"/>
        </w:rPr>
        <w:t>1-</w:t>
      </w:r>
      <w:r>
        <w:rPr>
          <w:rFonts w:hint="eastAsia"/>
          <w:lang w:val="en-US" w:eastAsia="zh-CN"/>
        </w:rPr>
        <w:t>3</w:t>
      </w:r>
      <w:r>
        <w:rPr>
          <w:rFonts w:hint="default"/>
          <w:lang w:val="en-US" w:eastAsia="zh-CN"/>
        </w:rPr>
        <w:t>。</w:t>
      </w:r>
    </w:p>
    <w:p w14:paraId="1CDD48D5">
      <w:pPr>
        <w:pStyle w:val="26"/>
        <w:bidi w:val="0"/>
      </w:pPr>
      <w:r>
        <w:t>表1.1-</w:t>
      </w:r>
      <w:r>
        <w:rPr>
          <w:rFonts w:hint="eastAsia"/>
          <w:lang w:val="en-US" w:eastAsia="zh-CN"/>
        </w:rPr>
        <w:t>3</w:t>
      </w:r>
      <w:r>
        <w:t xml:space="preserve"> </w:t>
      </w:r>
      <w:r>
        <w:rPr>
          <w:rFonts w:hint="eastAsia"/>
          <w:lang w:val="en-US" w:eastAsia="zh-CN"/>
        </w:rPr>
        <w:t xml:space="preserve"> </w:t>
      </w:r>
      <w:r>
        <w:t>验收</w:t>
      </w:r>
      <w:r>
        <w:rPr>
          <w:rFonts w:hint="eastAsia"/>
          <w:lang w:val="en-US" w:eastAsia="zh-CN"/>
        </w:rPr>
        <w:t>评价矿</w:t>
      </w:r>
      <w:r>
        <w:t>区范围拐点坐标</w:t>
      </w:r>
    </w:p>
    <w:p w14:paraId="7778DD20">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default"/>
          <w:lang w:val="en-US" w:eastAsia="zh-CN"/>
        </w:rPr>
        <w:t>说明：</w:t>
      </w:r>
    </w:p>
    <w:p w14:paraId="06D09F04">
      <w:pPr>
        <w:pStyle w:val="18"/>
        <w:bidi w:val="0"/>
        <w:rPr>
          <w:rFonts w:hint="default"/>
          <w:lang w:val="en-US" w:eastAsia="zh-CN"/>
        </w:rPr>
      </w:pPr>
      <w:r>
        <w:rPr>
          <w:rFonts w:hint="eastAsia"/>
          <w:lang w:val="en-US" w:eastAsia="zh-CN"/>
        </w:rPr>
        <w:t>1、</w:t>
      </w:r>
      <w:r>
        <w:rPr>
          <w:rFonts w:hint="default"/>
          <w:lang w:val="en-US" w:eastAsia="zh-CN"/>
        </w:rPr>
        <w:t>本次</w:t>
      </w:r>
      <w:r>
        <w:rPr>
          <w:rFonts w:hint="eastAsia"/>
          <w:lang w:val="en-US" w:eastAsia="zh-CN"/>
        </w:rPr>
        <w:t>评价</w:t>
      </w:r>
      <w:r>
        <w:rPr>
          <w:rFonts w:hint="default"/>
          <w:lang w:val="en-US" w:eastAsia="zh-CN"/>
        </w:rPr>
        <w:t>开采范围坐标及高程系统均为国家统一坐标（2000国家大地坐标系）；</w:t>
      </w:r>
    </w:p>
    <w:p w14:paraId="79B8511E">
      <w:pPr>
        <w:pStyle w:val="18"/>
        <w:bidi w:val="0"/>
        <w:rPr>
          <w:rFonts w:hint="default"/>
          <w:lang w:val="en-US" w:eastAsia="zh-CN"/>
        </w:rPr>
      </w:pPr>
      <w:r>
        <w:rPr>
          <w:rFonts w:hint="eastAsia"/>
          <w:lang w:val="en-US" w:eastAsia="zh-CN"/>
        </w:rPr>
        <w:t>2、</w:t>
      </w:r>
      <w:r>
        <w:rPr>
          <w:rFonts w:hint="default"/>
          <w:lang w:val="en-US" w:eastAsia="zh-CN"/>
        </w:rPr>
        <w:t>本项目爆破器材库存储及运输不在评价范围内；</w:t>
      </w:r>
    </w:p>
    <w:p w14:paraId="7E2377BF">
      <w:pPr>
        <w:pStyle w:val="18"/>
        <w:bidi w:val="0"/>
        <w:rPr>
          <w:rFonts w:hint="default"/>
          <w:lang w:val="en-US" w:eastAsia="zh-CN"/>
        </w:rPr>
      </w:pPr>
      <w:r>
        <w:rPr>
          <w:rFonts w:hint="eastAsia"/>
          <w:lang w:val="en-US" w:eastAsia="zh-CN"/>
        </w:rPr>
        <w:t>3、</w:t>
      </w:r>
      <w:r>
        <w:rPr>
          <w:rFonts w:hint="default"/>
          <w:lang w:val="en-US" w:eastAsia="zh-CN"/>
        </w:rPr>
        <w:t>凡涉及本项目的职业病及防治、环保等问题，不在本次评价范围之内；</w:t>
      </w:r>
    </w:p>
    <w:p w14:paraId="5D4BA3A4">
      <w:pPr>
        <w:pStyle w:val="18"/>
        <w:bidi w:val="0"/>
        <w:rPr>
          <w:rFonts w:hint="default"/>
          <w:lang w:val="en-US" w:eastAsia="zh-CN"/>
        </w:rPr>
      </w:pPr>
      <w:r>
        <w:rPr>
          <w:rFonts w:hint="eastAsia"/>
          <w:lang w:val="en-US" w:eastAsia="zh-CN"/>
        </w:rPr>
        <w:t>4、</w:t>
      </w:r>
      <w:r>
        <w:rPr>
          <w:rFonts w:hint="default"/>
          <w:lang w:val="en-US" w:eastAsia="zh-CN"/>
        </w:rPr>
        <w:t>露天采场破碎站及其设备不在本次评价范围内。</w:t>
      </w:r>
    </w:p>
    <w:p w14:paraId="5B57DE81">
      <w:pPr>
        <w:pStyle w:val="24"/>
        <w:bidi w:val="0"/>
        <w:ind w:left="0" w:leftChars="0" w:firstLine="0" w:firstLineChars="0"/>
        <w:rPr>
          <w:rFonts w:hint="default"/>
          <w:lang w:val="en-US" w:eastAsia="zh-CN"/>
        </w:rPr>
      </w:pPr>
      <w:bookmarkStart w:id="2" w:name="_Toc19065"/>
      <w:r>
        <w:rPr>
          <w:rFonts w:hint="eastAsia"/>
          <w:lang w:val="en-US" w:eastAsia="zh-CN"/>
        </w:rPr>
        <w:t>评价依据</w:t>
      </w:r>
      <w:bookmarkEnd w:id="2"/>
    </w:p>
    <w:p w14:paraId="6F75E43F">
      <w:pPr>
        <w:pStyle w:val="25"/>
        <w:bidi w:val="0"/>
        <w:ind w:left="720" w:leftChars="0" w:hanging="720" w:firstLineChars="0"/>
        <w:rPr>
          <w:rFonts w:hint="default"/>
          <w:lang w:val="en-US" w:eastAsia="zh-CN"/>
        </w:rPr>
      </w:pPr>
      <w:r>
        <w:rPr>
          <w:rFonts w:hint="eastAsia"/>
          <w:lang w:val="en-US" w:eastAsia="zh-CN"/>
        </w:rPr>
        <w:t>国家法律</w:t>
      </w:r>
    </w:p>
    <w:p w14:paraId="233F2A21">
      <w:pPr>
        <w:pStyle w:val="18"/>
        <w:rPr>
          <w:rFonts w:hint="default"/>
          <w:lang w:val="en-US" w:eastAsia="zh-CN"/>
        </w:rPr>
      </w:pPr>
      <w:r>
        <w:rPr>
          <w:rFonts w:hint="default"/>
          <w:lang w:val="en-US" w:eastAsia="zh-CN"/>
        </w:rPr>
        <w:t>（1）《中华人民共和国安全生产法》(2002年6月29日第九届全国人民代表大会常务委员会第二十八次会议通过　根据2021年6月10日第十三届全国人民代表大会常务委员会第二十九次会议《关于修改&lt;中华人民共和国安全生产法&gt;的决定》第三次修正)；</w:t>
      </w:r>
    </w:p>
    <w:p w14:paraId="48535345">
      <w:pPr>
        <w:pStyle w:val="18"/>
        <w:rPr>
          <w:rFonts w:hint="default"/>
          <w:lang w:val="en-US" w:eastAsia="zh-CN"/>
        </w:rPr>
      </w:pPr>
      <w:r>
        <w:rPr>
          <w:rFonts w:hint="default"/>
          <w:lang w:val="en-US" w:eastAsia="zh-CN"/>
        </w:rPr>
        <w:t>（2）《中华人民共和国矿山安全法》(1992年11月7日第七届全国人民代表大会常务委员会第二十八次会议通过</w:t>
      </w:r>
      <w:r>
        <w:rPr>
          <w:rFonts w:hint="eastAsia"/>
          <w:lang w:val="en-US" w:eastAsia="zh-CN"/>
        </w:rPr>
        <w:t xml:space="preserve"> </w:t>
      </w:r>
      <w:r>
        <w:rPr>
          <w:rFonts w:hint="default"/>
          <w:lang w:val="en-US" w:eastAsia="zh-CN"/>
        </w:rPr>
        <w:t>1992年11月7日中华人民共和国主席令第65号公布　根据2009年8月27日中华人民共和国主席令第18号《全国人民代表大会常务委员会关于修改部分法律的决定》修正)；</w:t>
      </w:r>
    </w:p>
    <w:p w14:paraId="25F47C7E">
      <w:pPr>
        <w:pStyle w:val="18"/>
        <w:rPr>
          <w:rFonts w:hint="default"/>
          <w:lang w:val="en-US" w:eastAsia="zh-CN"/>
        </w:rPr>
      </w:pPr>
      <w:r>
        <w:rPr>
          <w:rFonts w:hint="default"/>
          <w:lang w:val="en-US" w:eastAsia="zh-CN"/>
        </w:rPr>
        <w:t>（3）《中华人民共和国矿产资源法》，(1986年3月19日第六届全国人民代表大会常务委员会第十五次会议通过  2024年11月8日第十四届全国人民代表大会常务委员会第十二次会议修订)；</w:t>
      </w:r>
    </w:p>
    <w:p w14:paraId="114E5540">
      <w:pPr>
        <w:pStyle w:val="18"/>
        <w:rPr>
          <w:rFonts w:hint="default"/>
          <w:lang w:val="en-US" w:eastAsia="zh-CN"/>
        </w:rPr>
      </w:pPr>
      <w:r>
        <w:rPr>
          <w:rFonts w:hint="default"/>
          <w:lang w:val="en-US" w:eastAsia="zh-CN"/>
        </w:rPr>
        <w:t>（4）《中华人民共和国突发事件应对法》(2007年8月30日第十届全国人民代表大会常务委员会第二十九次会议通过　2024年6月28日第十四届全国人民代表大会常务委员会第十次会议修订)；</w:t>
      </w:r>
    </w:p>
    <w:p w14:paraId="1F366378">
      <w:pPr>
        <w:pStyle w:val="18"/>
        <w:rPr>
          <w:rFonts w:hint="default"/>
          <w:lang w:val="en-US" w:eastAsia="zh-CN"/>
        </w:rPr>
      </w:pPr>
      <w:r>
        <w:rPr>
          <w:rFonts w:hint="default"/>
          <w:lang w:val="en-US" w:eastAsia="zh-CN"/>
        </w:rPr>
        <w:t>（5）《中华人民共和国特种设备安全法》（</w:t>
      </w:r>
      <w:r>
        <w:rPr>
          <w:rFonts w:hint="default" w:ascii="Times New Roman" w:hAnsi="Times New Roman" w:cs="Times New Roman"/>
          <w:lang w:val="en-US" w:eastAsia="zh-CN"/>
        </w:rPr>
        <w:t>中华人民共和国第十二届全国人民代表大会常务委员会第三次会议于</w:t>
      </w:r>
      <w:r>
        <w:rPr>
          <w:rFonts w:hint="eastAsia" w:ascii="Times New Roman" w:hAnsi="Times New Roman" w:cs="Times New Roman"/>
          <w:lang w:val="en-US" w:eastAsia="zh-CN"/>
        </w:rPr>
        <w:t>2013</w:t>
      </w:r>
      <w:r>
        <w:rPr>
          <w:rFonts w:hint="default" w:ascii="Times New Roman" w:hAnsi="Times New Roman" w:cs="Times New Roman"/>
          <w:lang w:val="en-US" w:eastAsia="zh-CN"/>
        </w:rPr>
        <w:t>年</w:t>
      </w:r>
      <w:r>
        <w:rPr>
          <w:rFonts w:hint="eastAsia" w:ascii="Times New Roman" w:hAnsi="Times New Roman" w:cs="Times New Roman"/>
          <w:lang w:val="en-US" w:eastAsia="zh-CN"/>
        </w:rPr>
        <w:t>6</w:t>
      </w:r>
      <w:r>
        <w:rPr>
          <w:rFonts w:hint="default" w:ascii="Times New Roman" w:hAnsi="Times New Roman" w:cs="Times New Roman"/>
          <w:lang w:val="en-US" w:eastAsia="zh-CN"/>
        </w:rPr>
        <w:t>月</w:t>
      </w:r>
      <w:r>
        <w:rPr>
          <w:rFonts w:hint="eastAsia" w:ascii="Times New Roman" w:hAnsi="Times New Roman" w:cs="Times New Roman"/>
          <w:lang w:val="en-US" w:eastAsia="zh-CN"/>
        </w:rPr>
        <w:t>29</w:t>
      </w:r>
      <w:r>
        <w:rPr>
          <w:rFonts w:hint="default" w:ascii="Times New Roman" w:hAnsi="Times New Roman" w:cs="Times New Roman"/>
          <w:lang w:val="en-US" w:eastAsia="zh-CN"/>
        </w:rPr>
        <w:t>日通过，自</w:t>
      </w:r>
      <w:r>
        <w:rPr>
          <w:rFonts w:hint="eastAsia" w:ascii="Times New Roman" w:hAnsi="Times New Roman" w:cs="Times New Roman"/>
          <w:lang w:val="en-US" w:eastAsia="zh-CN"/>
        </w:rPr>
        <w:t>2014</w:t>
      </w:r>
      <w:r>
        <w:rPr>
          <w:rFonts w:hint="default" w:ascii="Times New Roman" w:hAnsi="Times New Roman" w:cs="Times New Roman"/>
          <w:lang w:val="en-US" w:eastAsia="zh-CN"/>
        </w:rPr>
        <w:t>年</w:t>
      </w:r>
      <w:r>
        <w:rPr>
          <w:rFonts w:hint="eastAsia" w:ascii="Times New Roman" w:hAnsi="Times New Roman" w:cs="Times New Roman"/>
          <w:lang w:val="en-US" w:eastAsia="zh-CN"/>
        </w:rPr>
        <w:t>1</w:t>
      </w:r>
      <w:r>
        <w:rPr>
          <w:rFonts w:hint="default" w:ascii="Times New Roman" w:hAnsi="Times New Roman" w:cs="Times New Roman"/>
          <w:lang w:val="en-US" w:eastAsia="zh-CN"/>
        </w:rPr>
        <w:t>月</w:t>
      </w:r>
      <w:r>
        <w:rPr>
          <w:rFonts w:hint="eastAsia" w:ascii="Times New Roman" w:hAnsi="Times New Roman" w:cs="Times New Roman"/>
          <w:lang w:val="en-US" w:eastAsia="zh-CN"/>
        </w:rPr>
        <w:t>1</w:t>
      </w:r>
      <w:r>
        <w:rPr>
          <w:rFonts w:hint="default" w:ascii="Times New Roman" w:hAnsi="Times New Roman" w:cs="Times New Roman"/>
          <w:lang w:val="en-US" w:eastAsia="zh-CN"/>
        </w:rPr>
        <w:t>日起施行</w:t>
      </w:r>
      <w:r>
        <w:rPr>
          <w:rFonts w:hint="default"/>
          <w:lang w:val="en-US" w:eastAsia="zh-CN"/>
        </w:rPr>
        <w:t>）；</w:t>
      </w:r>
    </w:p>
    <w:p w14:paraId="0959022F">
      <w:pPr>
        <w:pStyle w:val="18"/>
        <w:rPr>
          <w:rFonts w:hint="default"/>
          <w:lang w:val="en-US" w:eastAsia="zh-CN"/>
        </w:rPr>
      </w:pPr>
      <w:r>
        <w:rPr>
          <w:rFonts w:hint="default"/>
          <w:lang w:val="en-US" w:eastAsia="zh-CN"/>
        </w:rPr>
        <w:t>（6）《中华人民共和国环境保护法》（中华人民共和国第十二届全国人民代表大会常务委员会第八次会议于2014年4月24日修订通过，自2015年1月1日起施行）；</w:t>
      </w:r>
    </w:p>
    <w:p w14:paraId="58FFE9C4">
      <w:pPr>
        <w:pStyle w:val="18"/>
        <w:rPr>
          <w:rFonts w:hint="default"/>
          <w:lang w:val="en-US" w:eastAsia="zh-CN"/>
        </w:rPr>
      </w:pPr>
      <w:r>
        <w:rPr>
          <w:rFonts w:hint="default"/>
          <w:lang w:val="en-US" w:eastAsia="zh-CN"/>
        </w:rPr>
        <w:t>（7）《中华人民共和国劳动法》(1994年7月5日第八届全国人民代表大会常务委员会第八次会议通过</w:t>
      </w:r>
      <w:r>
        <w:rPr>
          <w:rFonts w:hint="eastAsia"/>
          <w:lang w:val="en-US" w:eastAsia="zh-CN"/>
        </w:rPr>
        <w:t xml:space="preserve">  </w:t>
      </w:r>
      <w:r>
        <w:rPr>
          <w:rFonts w:hint="default"/>
          <w:lang w:val="en-US" w:eastAsia="zh-CN"/>
        </w:rPr>
        <w:t>根据2018年12月29日第十三届全国人民代表大会常务委员会第七次会议《关于修改〈中华人民共和国劳动法〉等七部法律的决定》第二次修正)；</w:t>
      </w:r>
    </w:p>
    <w:p w14:paraId="467E7CEB">
      <w:pPr>
        <w:pStyle w:val="18"/>
        <w:rPr>
          <w:rFonts w:hint="eastAsia"/>
          <w:lang w:val="en-US" w:eastAsia="zh-CN"/>
        </w:rPr>
      </w:pPr>
      <w:r>
        <w:rPr>
          <w:rFonts w:hint="default"/>
          <w:lang w:val="en-US" w:eastAsia="zh-CN"/>
        </w:rPr>
        <w:t>（8）《中华人民共和国消防法》（中华人民共和国主席令〔2008〕第6号，2021年4月29日第十三届全国人民代表大会常务委员会第二十八次会议通过《全国人民代表大会常务委员会关于修改〈中华人民共和国道路交通安全法〉等八部法律的决定》第三次修正）</w:t>
      </w:r>
      <w:r>
        <w:rPr>
          <w:rFonts w:hint="eastAsia"/>
          <w:lang w:val="en-US" w:eastAsia="zh-CN"/>
        </w:rPr>
        <w:t>。</w:t>
      </w:r>
    </w:p>
    <w:p w14:paraId="5453B94D">
      <w:pPr>
        <w:pStyle w:val="25"/>
        <w:bidi w:val="0"/>
        <w:ind w:left="720" w:leftChars="0" w:hanging="720" w:firstLineChars="0"/>
        <w:rPr>
          <w:rFonts w:hint="default"/>
          <w:lang w:val="en-US" w:eastAsia="zh-CN"/>
        </w:rPr>
      </w:pPr>
      <w:r>
        <w:rPr>
          <w:rFonts w:hint="eastAsia"/>
          <w:lang w:val="en-US" w:eastAsia="zh-CN"/>
        </w:rPr>
        <w:t>行政</w:t>
      </w:r>
      <w:r>
        <w:rPr>
          <w:rFonts w:hint="default"/>
          <w:lang w:val="en-US" w:eastAsia="zh-CN"/>
        </w:rPr>
        <w:t>法规</w:t>
      </w:r>
    </w:p>
    <w:p w14:paraId="306AF252">
      <w:pPr>
        <w:pStyle w:val="18"/>
        <w:rPr>
          <w:rFonts w:hint="default"/>
          <w:lang w:val="en-US" w:eastAsia="zh-CN"/>
        </w:rPr>
      </w:pPr>
      <w:r>
        <w:rPr>
          <w:rFonts w:hint="default"/>
          <w:lang w:val="en-US" w:eastAsia="zh-CN"/>
        </w:rPr>
        <w:t>（1）《中华人民共和国矿产资源法实施细则》（1994年3月26日国务院令152号，1994年3月26日起施行）</w:t>
      </w:r>
    </w:p>
    <w:p w14:paraId="70636B82">
      <w:pPr>
        <w:pStyle w:val="18"/>
        <w:rPr>
          <w:rFonts w:hint="default"/>
          <w:lang w:val="en-US" w:eastAsia="zh-CN"/>
        </w:rPr>
      </w:pPr>
      <w:r>
        <w:rPr>
          <w:rFonts w:hint="default"/>
          <w:lang w:val="en-US" w:eastAsia="zh-CN"/>
        </w:rPr>
        <w:t>（2）《中华人民共和国矿山安全法实施条例》（1996年10月11日国务院批准，1996年10月30日劳动部发布并施行）</w:t>
      </w:r>
    </w:p>
    <w:p w14:paraId="422F6BED">
      <w:pPr>
        <w:pStyle w:val="18"/>
        <w:rPr>
          <w:rFonts w:hint="default"/>
          <w:lang w:val="en-US" w:eastAsia="zh-CN"/>
        </w:rPr>
      </w:pPr>
      <w:r>
        <w:rPr>
          <w:rFonts w:hint="default"/>
          <w:lang w:val="en-US" w:eastAsia="zh-CN"/>
        </w:rPr>
        <w:t>（3）《地质灾害防治条例》（2003年11月24日中华人民共和国国务院令第394号公布，自2004年3月1日起施行）</w:t>
      </w:r>
    </w:p>
    <w:p w14:paraId="14F463E4">
      <w:pPr>
        <w:pStyle w:val="18"/>
        <w:rPr>
          <w:rFonts w:hint="default"/>
          <w:lang w:val="en-US" w:eastAsia="zh-CN"/>
        </w:rPr>
      </w:pPr>
      <w:r>
        <w:rPr>
          <w:rFonts w:hint="default"/>
          <w:lang w:val="en-US" w:eastAsia="zh-CN"/>
        </w:rPr>
        <w:t>（4）《民用爆炸物品安全管理条例》（2006年5月10日中华人民共和国国务院令第466号公布　根据2014年7月29日《国务院关于修改部分行政法规的决定》修订）</w:t>
      </w:r>
    </w:p>
    <w:p w14:paraId="4557B1A5">
      <w:pPr>
        <w:pStyle w:val="18"/>
        <w:rPr>
          <w:rFonts w:hint="default"/>
          <w:lang w:val="en-US" w:eastAsia="zh-CN"/>
        </w:rPr>
      </w:pPr>
      <w:r>
        <w:rPr>
          <w:rFonts w:hint="default"/>
          <w:lang w:val="en-US" w:eastAsia="zh-CN"/>
        </w:rPr>
        <w:t>（5）《安全生产许可证条例》（根据2014年7月29日《国务院关于修改部分行政法规的决定》进行修订）</w:t>
      </w:r>
    </w:p>
    <w:p w14:paraId="637C914B">
      <w:pPr>
        <w:pStyle w:val="25"/>
        <w:bidi w:val="0"/>
        <w:rPr>
          <w:rFonts w:hint="default"/>
          <w:lang w:val="en-US" w:eastAsia="zh-CN"/>
        </w:rPr>
      </w:pPr>
      <w:r>
        <w:rPr>
          <w:rFonts w:hint="eastAsia"/>
          <w:lang w:val="en-US" w:eastAsia="zh-CN"/>
        </w:rPr>
        <w:t>部门规章</w:t>
      </w:r>
    </w:p>
    <w:p w14:paraId="1CA65CF1">
      <w:pPr>
        <w:pStyle w:val="18"/>
        <w:rPr>
          <w:rFonts w:hint="default"/>
          <w:lang w:val="en-US" w:eastAsia="zh-CN"/>
        </w:rPr>
      </w:pPr>
      <w:r>
        <w:rPr>
          <w:rFonts w:hint="default"/>
          <w:lang w:val="en-US" w:eastAsia="zh-CN"/>
        </w:rPr>
        <w:t>（1）《金属非金属矿山建设项目安全设施目录（试行）》（国家安全生产监督管理总局令第75号，已经2015年1月30日国家安全生产监督管理总局局长办公会议审议通过，自2015年7月1日起施行）</w:t>
      </w:r>
    </w:p>
    <w:p w14:paraId="2A4F0949">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（2）《生产安全事故应急预案管理办法》（根据2019年7月11日应急管理部令第2号《应急管理部关于修改&lt;生产安全事故应急预案管理办法&gt;的决定》修正）</w:t>
      </w:r>
    </w:p>
    <w:p w14:paraId="3B16A6E3">
      <w:pPr>
        <w:pStyle w:val="18"/>
        <w:rPr>
          <w:rFonts w:hint="default"/>
          <w:lang w:val="en-US" w:eastAsia="zh-CN"/>
        </w:rPr>
      </w:pPr>
      <w:r>
        <w:rPr>
          <w:rFonts w:hint="default"/>
          <w:lang w:val="en-US" w:eastAsia="zh-CN"/>
        </w:rPr>
        <w:t>（3）《建设项目安全设施</w:t>
      </w:r>
      <w:r>
        <w:rPr>
          <w:rFonts w:hint="eastAsia"/>
          <w:lang w:val="en-US" w:eastAsia="zh-CN"/>
        </w:rPr>
        <w:t>“</w:t>
      </w:r>
      <w:r>
        <w:rPr>
          <w:rFonts w:hint="default"/>
          <w:lang w:val="en-US" w:eastAsia="zh-CN"/>
        </w:rPr>
        <w:t>三同时</w:t>
      </w:r>
      <w:r>
        <w:rPr>
          <w:rFonts w:hint="eastAsia"/>
          <w:lang w:val="en-US" w:eastAsia="zh-CN"/>
        </w:rPr>
        <w:t>”</w:t>
      </w:r>
      <w:r>
        <w:rPr>
          <w:rFonts w:hint="default"/>
          <w:lang w:val="en-US" w:eastAsia="zh-CN"/>
        </w:rPr>
        <w:t>监督管理办法》（国家安全生产监督管理总局令第36号，根据国家安全生产监督管理总局令第77号《国家安全监管总局关于修改&lt;生产安全事故报告和调查处理条例&gt;罚款处罚暂行规定等四部规章的决定》修改，自2015年5月1日起施行）</w:t>
      </w:r>
    </w:p>
    <w:p w14:paraId="0940631E">
      <w:pPr>
        <w:pStyle w:val="18"/>
        <w:rPr>
          <w:rFonts w:hint="default"/>
          <w:lang w:val="en-US" w:eastAsia="zh-CN"/>
        </w:rPr>
      </w:pPr>
      <w:r>
        <w:rPr>
          <w:rFonts w:hint="default"/>
          <w:lang w:val="en-US" w:eastAsia="zh-CN"/>
        </w:rPr>
        <w:t>（4）《生产安全事故报告和调查处理条例》（国家安全生产监督管理总局令第77号《国家安全监管总局关于修改&lt;生产安全事故报告和调查处理条例&gt;罚款处罚暂行规定等四部规章的决定》已经2015年1月16日国家安全生产监督管理总局局长办公会议审议通过，予以公布，自2015年5月1日起施行）</w:t>
      </w:r>
    </w:p>
    <w:p w14:paraId="2959F892">
      <w:pPr>
        <w:pStyle w:val="18"/>
        <w:rPr>
          <w:rFonts w:hint="default"/>
          <w:lang w:val="en-US" w:eastAsia="zh-CN"/>
        </w:rPr>
      </w:pPr>
      <w:r>
        <w:rPr>
          <w:rFonts w:hint="default"/>
          <w:lang w:val="en-US" w:eastAsia="zh-CN"/>
        </w:rPr>
        <w:t>（5）《国务院安委会办公室关于学习宣传贯彻&lt;中共中央办公厅 国务院办公厅关于进一步加强矿山安全生产工作的意见&gt;的通知》（安委办〔2023〕7号）</w:t>
      </w:r>
    </w:p>
    <w:p w14:paraId="1BE07918">
      <w:pPr>
        <w:pStyle w:val="18"/>
        <w:rPr>
          <w:rFonts w:hint="default"/>
          <w:lang w:val="en-US" w:eastAsia="zh-CN"/>
        </w:rPr>
      </w:pPr>
      <w:r>
        <w:rPr>
          <w:rFonts w:hint="default"/>
          <w:lang w:val="en-US" w:eastAsia="zh-CN"/>
        </w:rPr>
        <w:t>（6）《矿山救援规程》（中华人民共和国应急管理部令第16号）</w:t>
      </w:r>
    </w:p>
    <w:p w14:paraId="065B7A63">
      <w:pPr>
        <w:pStyle w:val="25"/>
        <w:bidi w:val="0"/>
        <w:ind w:left="720" w:leftChars="0" w:hanging="720" w:firstLineChars="0"/>
        <w:rPr>
          <w:rFonts w:hint="default"/>
          <w:lang w:val="en-US" w:eastAsia="zh-CN"/>
        </w:rPr>
      </w:pPr>
      <w:r>
        <w:rPr>
          <w:rFonts w:hint="default"/>
          <w:lang w:val="en-US" w:eastAsia="zh-CN"/>
        </w:rPr>
        <w:t>地方性规范</w:t>
      </w:r>
    </w:p>
    <w:p w14:paraId="326CDDAC">
      <w:pPr>
        <w:pStyle w:val="18"/>
        <w:rPr>
          <w:rFonts w:hint="default"/>
          <w:lang w:val="en-US" w:eastAsia="zh-CN"/>
        </w:rPr>
      </w:pPr>
      <w:r>
        <w:rPr>
          <w:rFonts w:hint="default"/>
          <w:lang w:val="en-US" w:eastAsia="zh-CN"/>
        </w:rPr>
        <w:t>（1）《辽宁省安全生产条例》（根据 2022年4月21日辽宁省第十三届人民代表大会常务委员会第三十二次会议《关于修改&lt;辽宁省食品安全条例&gt;等10件地方性法规的决定》第二次修正）</w:t>
      </w:r>
    </w:p>
    <w:p w14:paraId="4BC159BC">
      <w:pPr>
        <w:pStyle w:val="25"/>
        <w:bidi w:val="0"/>
        <w:rPr>
          <w:rFonts w:hint="default"/>
          <w:lang w:val="en-US" w:eastAsia="zh-CN"/>
        </w:rPr>
      </w:pPr>
      <w:r>
        <w:rPr>
          <w:rFonts w:hint="eastAsia"/>
          <w:lang w:val="en-US" w:eastAsia="zh-CN"/>
        </w:rPr>
        <w:t>地方政府规章</w:t>
      </w:r>
    </w:p>
    <w:p w14:paraId="160D49F9">
      <w:pPr>
        <w:pStyle w:val="18"/>
        <w:rPr>
          <w:rFonts w:hint="default"/>
          <w:lang w:val="en-US" w:eastAsia="zh-CN"/>
        </w:rPr>
      </w:pPr>
      <w:r>
        <w:rPr>
          <w:rFonts w:hint="default"/>
          <w:lang w:val="en-US" w:eastAsia="zh-CN"/>
        </w:rPr>
        <w:t>（1）《辽宁省建设项目安全设施监督管理办法》（2009年3月19日辽宁省人民政府令第229号公布，自2009年5月1日起施行，根据2021年5月18日辽宁省人民政府令第341号第二次修正）</w:t>
      </w:r>
    </w:p>
    <w:p w14:paraId="7B8DFD56">
      <w:pPr>
        <w:pStyle w:val="18"/>
        <w:rPr>
          <w:rFonts w:hint="default"/>
          <w:lang w:val="en-US" w:eastAsia="zh-CN"/>
        </w:rPr>
      </w:pPr>
      <w:r>
        <w:rPr>
          <w:rFonts w:hint="default"/>
          <w:lang w:val="en-US" w:eastAsia="zh-CN"/>
        </w:rPr>
        <w:t>（2）《辽宁省民用爆炸物品安全管理办法》（根据2015年6月14日辽宁省人民政府令第294号《辽宁省人民政府关于废止和修改部分省政府规章的决定》修正的《辽宁省民用爆炸物品安全管理办法（2015年修正本）》）</w:t>
      </w:r>
    </w:p>
    <w:p w14:paraId="74DE1EE8">
      <w:pPr>
        <w:pStyle w:val="18"/>
        <w:rPr>
          <w:rFonts w:hint="default"/>
          <w:lang w:val="en-US" w:eastAsia="zh-CN"/>
        </w:rPr>
      </w:pPr>
      <w:r>
        <w:rPr>
          <w:rFonts w:hint="default"/>
          <w:lang w:val="en-US" w:eastAsia="zh-CN"/>
        </w:rPr>
        <w:t>（3）《辽宁省企业安全生产主体责任规定》（2011年12月8日辽宁省人民政府令第264号公布，自2012年2月1日起施行，根据2021年5月18日辽宁省人民政府令第341号第三次修正）</w:t>
      </w:r>
    </w:p>
    <w:p w14:paraId="7B36168A">
      <w:pPr>
        <w:pStyle w:val="25"/>
        <w:bidi w:val="0"/>
        <w:rPr>
          <w:rFonts w:hint="default"/>
          <w:lang w:val="en-US" w:eastAsia="zh-CN"/>
        </w:rPr>
      </w:pPr>
      <w:r>
        <w:rPr>
          <w:rFonts w:hint="eastAsia"/>
          <w:lang w:val="en-US" w:eastAsia="zh-CN"/>
        </w:rPr>
        <w:t>规范性文件</w:t>
      </w:r>
    </w:p>
    <w:p w14:paraId="15AD62BF">
      <w:pPr>
        <w:pStyle w:val="18"/>
        <w:rPr>
          <w:rFonts w:hint="default"/>
          <w:lang w:val="en-US" w:eastAsia="zh-CN"/>
        </w:rPr>
      </w:pPr>
      <w:r>
        <w:rPr>
          <w:rFonts w:hint="default"/>
          <w:lang w:val="en-US" w:eastAsia="zh-CN"/>
        </w:rPr>
        <w:t>（1）《国家安全监管总局关于发布金属非金属矿山禁止使用的设备及工艺目录（第一批）的通知》（安监总管一[2013]101号）</w:t>
      </w:r>
    </w:p>
    <w:p w14:paraId="392E4471">
      <w:pPr>
        <w:pStyle w:val="18"/>
        <w:rPr>
          <w:rFonts w:hint="default"/>
          <w:lang w:val="en-US" w:eastAsia="zh-CN"/>
        </w:rPr>
      </w:pPr>
      <w:r>
        <w:rPr>
          <w:rFonts w:hint="default"/>
          <w:lang w:val="en-US" w:eastAsia="zh-CN"/>
        </w:rPr>
        <w:t>（2）《国家安全监管总局关于严防十类非煤矿山生产安全事故的通知》（安监总管一[2014]48号）</w:t>
      </w:r>
    </w:p>
    <w:p w14:paraId="625AD11A">
      <w:pPr>
        <w:pStyle w:val="18"/>
        <w:rPr>
          <w:rFonts w:hint="default"/>
          <w:lang w:val="en-US" w:eastAsia="zh-CN"/>
        </w:rPr>
      </w:pPr>
      <w:r>
        <w:rPr>
          <w:rFonts w:hint="default"/>
          <w:lang w:val="en-US" w:eastAsia="zh-CN"/>
        </w:rPr>
        <w:t>（3）《国家安全监管总局关于发布金属非金属矿山禁止使用的设备及工艺目录（第二批）的通知》（安监总管一[2015]13号）</w:t>
      </w:r>
    </w:p>
    <w:p w14:paraId="1EC979FA">
      <w:pPr>
        <w:pStyle w:val="18"/>
        <w:rPr>
          <w:rFonts w:hint="default"/>
          <w:lang w:val="en-US" w:eastAsia="zh-CN"/>
        </w:rPr>
      </w:pPr>
      <w:r>
        <w:rPr>
          <w:rFonts w:hint="default"/>
          <w:lang w:val="en-US" w:eastAsia="zh-CN"/>
        </w:rPr>
        <w:t>（4）《国家安全监管总局关于印发金属非金属矿山建设项目安全评价报告编写提纲的通知》（安监总管一〔2016〕49号）</w:t>
      </w:r>
    </w:p>
    <w:p w14:paraId="10C17B38">
      <w:pPr>
        <w:pStyle w:val="18"/>
        <w:rPr>
          <w:rFonts w:hint="default"/>
          <w:lang w:val="en-US" w:eastAsia="zh-CN"/>
        </w:rPr>
      </w:pPr>
      <w:r>
        <w:rPr>
          <w:rFonts w:hint="default"/>
          <w:lang w:val="en-US" w:eastAsia="zh-CN"/>
        </w:rPr>
        <w:t>（5）《国家安全监管总局关于印发非煤矿山领域遏制重特大事故工作方案的通知》（安监总管一[2016]60号）</w:t>
      </w:r>
    </w:p>
    <w:p w14:paraId="065EF6F4">
      <w:pPr>
        <w:pStyle w:val="18"/>
        <w:rPr>
          <w:rFonts w:hint="default"/>
          <w:lang w:val="en-US" w:eastAsia="zh-CN"/>
        </w:rPr>
      </w:pPr>
      <w:r>
        <w:rPr>
          <w:rFonts w:hint="default"/>
          <w:lang w:val="en-US" w:eastAsia="zh-CN"/>
        </w:rPr>
        <w:t>（6）《国家安全监管总局关于规范金属非金属矿山建设项目安全设施竣工验收工作的通知》（安监总管—〔2016〕14号）</w:t>
      </w:r>
    </w:p>
    <w:p w14:paraId="2D2B965A">
      <w:pPr>
        <w:pStyle w:val="18"/>
        <w:rPr>
          <w:rFonts w:hint="default"/>
          <w:lang w:val="en-US" w:eastAsia="zh-CN"/>
        </w:rPr>
      </w:pPr>
      <w:r>
        <w:rPr>
          <w:rFonts w:hint="default"/>
          <w:lang w:val="en-US" w:eastAsia="zh-CN"/>
        </w:rPr>
        <w:t>（7）《国家安全监管总局关于印发金属非金属矿山建设项目安全设施设计重大变更范围的通知》（安监总管一〔2016〕18号）</w:t>
      </w:r>
    </w:p>
    <w:p w14:paraId="71D3CDB6">
      <w:pPr>
        <w:pStyle w:val="18"/>
        <w:rPr>
          <w:rFonts w:hint="default"/>
          <w:lang w:val="en-US" w:eastAsia="zh-CN"/>
        </w:rPr>
      </w:pPr>
      <w:r>
        <w:rPr>
          <w:rFonts w:hint="default"/>
          <w:lang w:val="en-US" w:eastAsia="zh-CN"/>
        </w:rPr>
        <w:t>（8）《国家矿山安全监察局关于印发&lt;关于加强非煤矿山安全生产工作的指导意见&gt;的通知》（矿安〔2022〕4号）</w:t>
      </w:r>
    </w:p>
    <w:p w14:paraId="34D6E6D4">
      <w:pPr>
        <w:pStyle w:val="18"/>
        <w:rPr>
          <w:rFonts w:hint="default"/>
          <w:lang w:val="en-US" w:eastAsia="zh-CN"/>
        </w:rPr>
      </w:pPr>
      <w:r>
        <w:rPr>
          <w:rFonts w:hint="default"/>
          <w:lang w:val="en-US" w:eastAsia="zh-CN"/>
        </w:rPr>
        <w:t>（9）《国家矿山安全监察局关于印发&lt;金属非金属矿山重大事故隐患判定标准&gt;的通知》（矿安〔2022〕88号）</w:t>
      </w:r>
    </w:p>
    <w:p w14:paraId="7D948677">
      <w:pPr>
        <w:pStyle w:val="18"/>
        <w:rPr>
          <w:rFonts w:hint="default"/>
          <w:lang w:val="en-US" w:eastAsia="zh-CN"/>
        </w:rPr>
      </w:pPr>
      <w:r>
        <w:rPr>
          <w:rFonts w:hint="default"/>
          <w:lang w:val="en-US" w:eastAsia="zh-CN"/>
        </w:rPr>
        <w:t>（10）《国务院关于进一步加强企业安全生产工作的通知》（国务院2010年7月19日公布，国发[2010]23号）</w:t>
      </w:r>
    </w:p>
    <w:p w14:paraId="61B8D1B5">
      <w:pPr>
        <w:pStyle w:val="18"/>
        <w:rPr>
          <w:rFonts w:hint="default"/>
          <w:lang w:val="en-US" w:eastAsia="zh-CN"/>
        </w:rPr>
      </w:pPr>
      <w:r>
        <w:rPr>
          <w:rFonts w:hint="default"/>
          <w:lang w:val="en-US" w:eastAsia="zh-CN"/>
        </w:rPr>
        <w:t>（11）《国务院安委会办公室关于印发标本兼治遏制重特大事故工作指南的通知》（安委办[2016]3号）</w:t>
      </w:r>
    </w:p>
    <w:p w14:paraId="59F6AF78">
      <w:pPr>
        <w:pStyle w:val="18"/>
        <w:rPr>
          <w:rFonts w:hint="default"/>
          <w:lang w:val="en-US" w:eastAsia="zh-CN"/>
        </w:rPr>
      </w:pPr>
      <w:r>
        <w:rPr>
          <w:rFonts w:hint="default"/>
          <w:lang w:val="en-US" w:eastAsia="zh-CN"/>
        </w:rPr>
        <w:t>（12）《关于印发&lt;企业安全生产费用提取和使用管理办法&gt;的通知》（财政部，应急部，财资〔2022〕136号）</w:t>
      </w:r>
    </w:p>
    <w:p w14:paraId="470F63F3">
      <w:pPr>
        <w:pStyle w:val="18"/>
        <w:rPr>
          <w:rFonts w:hint="default"/>
          <w:lang w:val="en-US" w:eastAsia="zh-CN"/>
        </w:rPr>
      </w:pPr>
      <w:r>
        <w:rPr>
          <w:rFonts w:hint="default"/>
          <w:lang w:val="en-US" w:eastAsia="zh-CN"/>
        </w:rPr>
        <w:t>（13）《国家矿山安全监察局关于印发执行安全标志管理的矿用产品目录的通知》（矿安〔2022〕123号，2022年12月10日施行）。</w:t>
      </w:r>
    </w:p>
    <w:p w14:paraId="66CB2979">
      <w:pPr>
        <w:pStyle w:val="18"/>
        <w:rPr>
          <w:rFonts w:hint="default"/>
          <w:lang w:val="en-US" w:eastAsia="zh-CN"/>
        </w:rPr>
      </w:pPr>
      <w:r>
        <w:rPr>
          <w:rFonts w:hint="default"/>
          <w:lang w:val="en-US" w:eastAsia="zh-CN"/>
        </w:rPr>
        <w:t>（14）《国家矿山安全监察局关于印发&lt;非煤矿山建设项目安全设施重大变更范围&gt;的通知》（矿安〔2023〕147号，2023年11月14日发布）</w:t>
      </w:r>
    </w:p>
    <w:p w14:paraId="3B5336BC">
      <w:pPr>
        <w:pStyle w:val="18"/>
        <w:rPr>
          <w:rFonts w:hint="default"/>
          <w:lang w:val="en-US" w:eastAsia="zh-CN"/>
        </w:rPr>
      </w:pPr>
      <w:r>
        <w:rPr>
          <w:rFonts w:hint="default"/>
          <w:lang w:val="en-US" w:eastAsia="zh-CN"/>
        </w:rPr>
        <w:t>（15）《国家矿山安全监察局关于印发2024年矿山安全生产工作要点的通知》（矿安〔2024〕1号，2024年1月19日发布）</w:t>
      </w:r>
    </w:p>
    <w:p w14:paraId="50584D1F">
      <w:pPr>
        <w:pStyle w:val="18"/>
        <w:rPr>
          <w:rFonts w:hint="default"/>
          <w:lang w:val="en-US" w:eastAsia="zh-CN"/>
        </w:rPr>
      </w:pPr>
      <w:r>
        <w:rPr>
          <w:rFonts w:hint="default"/>
          <w:lang w:val="en-US" w:eastAsia="zh-CN"/>
        </w:rPr>
        <w:t>（16）《关于防范遏制矿山领域重特大生产安全事故的硬措施》的通知（安委〔2024〕1号）</w:t>
      </w:r>
    </w:p>
    <w:p w14:paraId="1D7DF5C3">
      <w:pPr>
        <w:pStyle w:val="18"/>
        <w:rPr>
          <w:rFonts w:hint="default"/>
          <w:lang w:val="en-US" w:eastAsia="zh-CN"/>
        </w:rPr>
      </w:pPr>
      <w:r>
        <w:rPr>
          <w:rFonts w:hint="default"/>
          <w:lang w:val="en-US" w:eastAsia="zh-CN"/>
        </w:rPr>
        <w:t>（17）《国家矿山安全监察局关于印发&lt;金属非金属矿山重大事故隐患判定标准补充情形&gt;的通知》（矿安〔2024〕41号，2024年4月23日发布）</w:t>
      </w:r>
    </w:p>
    <w:p w14:paraId="628F42FC">
      <w:pPr>
        <w:pStyle w:val="18"/>
        <w:rPr>
          <w:rFonts w:hint="default"/>
          <w:lang w:val="en-US" w:eastAsia="zh-CN"/>
        </w:rPr>
      </w:pPr>
      <w:r>
        <w:rPr>
          <w:rFonts w:hint="default"/>
          <w:lang w:val="en-US" w:eastAsia="zh-CN"/>
        </w:rPr>
        <w:t>（18）《关于印发&lt;“学铁规、明责任、硬落实、保安全 ” 专项活动方案&gt;的通知》（矿安〔2024〕72号）</w:t>
      </w:r>
    </w:p>
    <w:p w14:paraId="64C2BC7E">
      <w:pPr>
        <w:pStyle w:val="18"/>
        <w:rPr>
          <w:rFonts w:hint="default"/>
          <w:lang w:val="en-US" w:eastAsia="zh-CN"/>
        </w:rPr>
      </w:pPr>
      <w:r>
        <w:rPr>
          <w:rFonts w:hint="default"/>
          <w:lang w:val="en-US" w:eastAsia="zh-CN"/>
        </w:rPr>
        <w:t>（19）《辽宁省人民政府关于进一步加强企业安全生产工作的实施意见》（辽政发〔20</w:t>
      </w:r>
      <w:r>
        <w:rPr>
          <w:rFonts w:hint="eastAsia"/>
          <w:lang w:val="en-US" w:eastAsia="zh-CN"/>
        </w:rPr>
        <w:t>10</w:t>
      </w:r>
      <w:r>
        <w:rPr>
          <w:rFonts w:hint="default"/>
          <w:lang w:val="en-US" w:eastAsia="zh-CN"/>
        </w:rPr>
        <w:t>〕36号，2010年11月23日发布）</w:t>
      </w:r>
    </w:p>
    <w:p w14:paraId="0C38AFA3">
      <w:pPr>
        <w:pStyle w:val="18"/>
        <w:rPr>
          <w:rFonts w:hint="default"/>
          <w:lang w:val="en-US" w:eastAsia="zh-CN"/>
        </w:rPr>
      </w:pPr>
      <w:r>
        <w:rPr>
          <w:rFonts w:hint="default"/>
          <w:lang w:val="en-US" w:eastAsia="zh-CN"/>
        </w:rPr>
        <w:t>（20）《辽宁省安全生产监督管理局关于进一步规范非煤矿矿山安全生产行政许可管理工作的通知》（辽安监非煤）〔20</w:t>
      </w:r>
      <w:r>
        <w:rPr>
          <w:rFonts w:hint="eastAsia"/>
          <w:lang w:val="en-US" w:eastAsia="zh-CN"/>
        </w:rPr>
        <w:t>18</w:t>
      </w:r>
      <w:r>
        <w:rPr>
          <w:rFonts w:hint="default"/>
          <w:lang w:val="en-US" w:eastAsia="zh-CN"/>
        </w:rPr>
        <w:t>〕29号</w:t>
      </w:r>
    </w:p>
    <w:p w14:paraId="1AE47470">
      <w:pPr>
        <w:pStyle w:val="18"/>
        <w:rPr>
          <w:rFonts w:hint="default"/>
          <w:lang w:val="en-US" w:eastAsia="zh-CN"/>
        </w:rPr>
      </w:pPr>
      <w:r>
        <w:rPr>
          <w:rFonts w:hint="default"/>
          <w:lang w:val="en-US" w:eastAsia="zh-CN"/>
        </w:rPr>
        <w:t>（21）《辽宁省人民政府办公厅关于推进辽宁省矿产资源管理改革若干事项的意见》（辽政办〔202</w:t>
      </w:r>
      <w:r>
        <w:rPr>
          <w:rFonts w:hint="eastAsia"/>
          <w:lang w:val="en-US" w:eastAsia="zh-CN"/>
        </w:rPr>
        <w:t>0</w:t>
      </w:r>
      <w:r>
        <w:rPr>
          <w:rFonts w:hint="default"/>
          <w:lang w:val="en-US" w:eastAsia="zh-CN"/>
        </w:rPr>
        <w:t>〕46号）</w:t>
      </w:r>
    </w:p>
    <w:p w14:paraId="531E21B3">
      <w:pPr>
        <w:pStyle w:val="25"/>
        <w:bidi w:val="0"/>
        <w:ind w:left="720" w:leftChars="0" w:hanging="720" w:firstLineChars="0"/>
        <w:rPr>
          <w:rFonts w:hint="default"/>
          <w:lang w:val="en-US" w:eastAsia="zh-CN"/>
        </w:rPr>
      </w:pPr>
      <w:r>
        <w:rPr>
          <w:rFonts w:hint="eastAsia"/>
          <w:lang w:val="en-US" w:eastAsia="zh-CN"/>
        </w:rPr>
        <w:t>标准规范</w:t>
      </w:r>
    </w:p>
    <w:p w14:paraId="3CA95CDE">
      <w:pPr>
        <w:pStyle w:val="18"/>
        <w:bidi w:val="0"/>
        <w:rPr>
          <w:rFonts w:hint="default"/>
          <w:lang w:val="en-US" w:eastAsia="zh-CN"/>
        </w:rPr>
      </w:pPr>
      <w:r>
        <w:rPr>
          <w:rFonts w:hint="default"/>
          <w:lang w:val="en-US" w:eastAsia="zh-CN"/>
        </w:rPr>
        <w:t>（1）《金属非金属矿山安全规程》(GB16423-2020)；</w:t>
      </w:r>
    </w:p>
    <w:p w14:paraId="2BFDC6DA">
      <w:pPr>
        <w:pStyle w:val="18"/>
        <w:bidi w:val="0"/>
        <w:rPr>
          <w:rFonts w:hint="default"/>
          <w:lang w:val="en-US" w:eastAsia="zh-CN"/>
        </w:rPr>
      </w:pPr>
      <w:r>
        <w:rPr>
          <w:rFonts w:hint="default"/>
          <w:lang w:val="en-US" w:eastAsia="zh-CN"/>
        </w:rPr>
        <w:t>（2）《爆破安全规程》(GB6722-2014)；</w:t>
      </w:r>
    </w:p>
    <w:p w14:paraId="4C2249E5">
      <w:pPr>
        <w:pStyle w:val="18"/>
        <w:bidi w:val="0"/>
        <w:rPr>
          <w:rFonts w:hint="default"/>
          <w:lang w:val="en-US" w:eastAsia="zh-CN"/>
        </w:rPr>
      </w:pPr>
      <w:r>
        <w:rPr>
          <w:rFonts w:hint="default"/>
          <w:lang w:val="en-US" w:eastAsia="zh-CN"/>
        </w:rPr>
        <w:t>（3）《厂矿道路设计规范》(GBJ22-1987)；</w:t>
      </w:r>
    </w:p>
    <w:p w14:paraId="0E62C9E2">
      <w:pPr>
        <w:pStyle w:val="18"/>
        <w:bidi w:val="0"/>
        <w:rPr>
          <w:rFonts w:hint="default"/>
          <w:lang w:val="en-US" w:eastAsia="zh-CN"/>
        </w:rPr>
      </w:pPr>
      <w:r>
        <w:rPr>
          <w:rFonts w:hint="default"/>
          <w:lang w:val="en-US" w:eastAsia="zh-CN"/>
        </w:rPr>
        <w:t>（4）《企业职工伤亡事故分类》(GB6441-1986)；</w:t>
      </w:r>
    </w:p>
    <w:p w14:paraId="3530B303">
      <w:pPr>
        <w:pStyle w:val="18"/>
        <w:bidi w:val="0"/>
        <w:rPr>
          <w:rFonts w:hint="default"/>
          <w:lang w:val="en-US" w:eastAsia="zh-CN"/>
        </w:rPr>
      </w:pPr>
      <w:r>
        <w:rPr>
          <w:rFonts w:hint="default"/>
          <w:lang w:val="en-US" w:eastAsia="zh-CN"/>
        </w:rPr>
        <w:t>（5）《生产经营单位安全生产事故应急预案编制导则》(GB/T29639-2020)；</w:t>
      </w:r>
    </w:p>
    <w:p w14:paraId="0A88D179">
      <w:pPr>
        <w:pStyle w:val="18"/>
        <w:bidi w:val="0"/>
        <w:rPr>
          <w:rFonts w:hint="default"/>
          <w:lang w:val="en-US" w:eastAsia="zh-CN"/>
        </w:rPr>
      </w:pPr>
      <w:r>
        <w:rPr>
          <w:rFonts w:hint="default"/>
          <w:lang w:val="en-US" w:eastAsia="zh-CN"/>
        </w:rPr>
        <w:t>（6）《矿区水文地质工程地质勘查规范》(GB12719-2021)；</w:t>
      </w:r>
    </w:p>
    <w:p w14:paraId="499A148F">
      <w:pPr>
        <w:pStyle w:val="18"/>
        <w:bidi w:val="0"/>
        <w:rPr>
          <w:rFonts w:hint="default"/>
          <w:lang w:val="en-US" w:eastAsia="zh-CN"/>
        </w:rPr>
      </w:pPr>
      <w:r>
        <w:rPr>
          <w:rFonts w:hint="default"/>
          <w:lang w:val="en-US" w:eastAsia="zh-CN"/>
        </w:rPr>
        <w:t>（7）《爆炸危险场所安全规定》(劳部发[1995]56号)；</w:t>
      </w:r>
    </w:p>
    <w:p w14:paraId="092F6B9C">
      <w:pPr>
        <w:pStyle w:val="18"/>
        <w:bidi w:val="0"/>
        <w:rPr>
          <w:rFonts w:hint="default"/>
          <w:lang w:val="en-US" w:eastAsia="zh-CN"/>
        </w:rPr>
      </w:pPr>
      <w:r>
        <w:rPr>
          <w:rFonts w:hint="default"/>
          <w:lang w:val="en-US" w:eastAsia="zh-CN"/>
        </w:rPr>
        <w:t>（8）《非煤露天矿边坡工程技术规范》（GB 51016-2014）；</w:t>
      </w:r>
    </w:p>
    <w:p w14:paraId="3CF09B74">
      <w:pPr>
        <w:pStyle w:val="18"/>
        <w:bidi w:val="0"/>
        <w:rPr>
          <w:rFonts w:hint="default"/>
          <w:lang w:val="en-US" w:eastAsia="zh-CN"/>
        </w:rPr>
      </w:pPr>
      <w:r>
        <w:rPr>
          <w:rFonts w:hint="default"/>
          <w:lang w:val="en-US" w:eastAsia="zh-CN"/>
        </w:rPr>
        <w:t>（9）《生产设备安全卫生设计总则》(GB5083-2023)；</w:t>
      </w:r>
    </w:p>
    <w:p w14:paraId="7D60F78C">
      <w:pPr>
        <w:pStyle w:val="18"/>
        <w:bidi w:val="0"/>
        <w:rPr>
          <w:rFonts w:hint="default"/>
          <w:lang w:val="en-US" w:eastAsia="zh-CN"/>
        </w:rPr>
      </w:pPr>
      <w:r>
        <w:rPr>
          <w:rFonts w:hint="default"/>
          <w:lang w:val="en-US" w:eastAsia="zh-CN"/>
        </w:rPr>
        <w:t>（10）《机械安全防护装置固定式和活动式防护装置的设计与制造一般要求》(GB/T 8196-2018)；</w:t>
      </w:r>
    </w:p>
    <w:p w14:paraId="32BE03CB">
      <w:pPr>
        <w:pStyle w:val="18"/>
        <w:bidi w:val="0"/>
        <w:rPr>
          <w:rFonts w:hint="default"/>
          <w:lang w:val="en-US" w:eastAsia="zh-CN"/>
        </w:rPr>
      </w:pPr>
      <w:r>
        <w:rPr>
          <w:rFonts w:hint="default"/>
          <w:lang w:val="en-US" w:eastAsia="zh-CN"/>
        </w:rPr>
        <w:t>（1</w:t>
      </w:r>
      <w:r>
        <w:rPr>
          <w:rFonts w:hint="eastAsia"/>
          <w:lang w:val="en-US" w:eastAsia="zh-CN"/>
        </w:rPr>
        <w:t>1</w:t>
      </w:r>
      <w:r>
        <w:rPr>
          <w:rFonts w:hint="default"/>
          <w:lang w:val="en-US" w:eastAsia="zh-CN"/>
        </w:rPr>
        <w:t>）《工作场所有害因素职业接触限值：化学有害因素》(GBZ2.1-2019)；</w:t>
      </w:r>
    </w:p>
    <w:p w14:paraId="0826034E">
      <w:pPr>
        <w:pStyle w:val="18"/>
        <w:bidi w:val="0"/>
        <w:rPr>
          <w:rFonts w:hint="default"/>
          <w:lang w:val="en-US" w:eastAsia="zh-CN"/>
        </w:rPr>
      </w:pPr>
      <w:r>
        <w:rPr>
          <w:rFonts w:hint="default"/>
          <w:lang w:val="en-US" w:eastAsia="zh-CN"/>
        </w:rPr>
        <w:t>（1</w:t>
      </w:r>
      <w:r>
        <w:rPr>
          <w:rFonts w:hint="eastAsia"/>
          <w:lang w:val="en-US" w:eastAsia="zh-CN"/>
        </w:rPr>
        <w:t>2</w:t>
      </w:r>
      <w:r>
        <w:rPr>
          <w:rFonts w:hint="default"/>
          <w:lang w:val="en-US" w:eastAsia="zh-CN"/>
        </w:rPr>
        <w:t>）《工作场所有害因素职业接触限值：物理因素》(GBZ2.2-2007)；</w:t>
      </w:r>
    </w:p>
    <w:p w14:paraId="788FC73B">
      <w:pPr>
        <w:pStyle w:val="18"/>
        <w:bidi w:val="0"/>
        <w:rPr>
          <w:rFonts w:hint="default"/>
          <w:lang w:val="en-US" w:eastAsia="zh-CN"/>
        </w:rPr>
      </w:pPr>
      <w:r>
        <w:rPr>
          <w:rFonts w:hint="default"/>
          <w:lang w:val="en-US" w:eastAsia="zh-CN"/>
        </w:rPr>
        <w:t>（1</w:t>
      </w:r>
      <w:r>
        <w:rPr>
          <w:rFonts w:hint="eastAsia"/>
          <w:lang w:val="en-US" w:eastAsia="zh-CN"/>
        </w:rPr>
        <w:t>3</w:t>
      </w:r>
      <w:r>
        <w:rPr>
          <w:rFonts w:hint="default"/>
          <w:lang w:val="en-US" w:eastAsia="zh-CN"/>
        </w:rPr>
        <w:t>）《用电安全导则》(GB/T 13869-2017)；</w:t>
      </w:r>
    </w:p>
    <w:p w14:paraId="41DDF3AB">
      <w:pPr>
        <w:pStyle w:val="18"/>
        <w:bidi w:val="0"/>
        <w:rPr>
          <w:rFonts w:hint="default"/>
          <w:lang w:val="en-US" w:eastAsia="zh-CN"/>
        </w:rPr>
      </w:pPr>
      <w:r>
        <w:rPr>
          <w:rFonts w:hint="default"/>
          <w:lang w:val="en-US" w:eastAsia="zh-CN"/>
        </w:rPr>
        <w:t>（1</w:t>
      </w:r>
      <w:r>
        <w:rPr>
          <w:rFonts w:hint="eastAsia"/>
          <w:lang w:val="en-US" w:eastAsia="zh-CN"/>
        </w:rPr>
        <w:t>4</w:t>
      </w:r>
      <w:r>
        <w:rPr>
          <w:rFonts w:hint="default"/>
          <w:lang w:val="en-US" w:eastAsia="zh-CN"/>
        </w:rPr>
        <w:t>）《矿山安全术语》(GB/T15259-2008)；</w:t>
      </w:r>
    </w:p>
    <w:p w14:paraId="5A8C23DC">
      <w:pPr>
        <w:pStyle w:val="18"/>
        <w:bidi w:val="0"/>
        <w:rPr>
          <w:rFonts w:hint="default"/>
          <w:lang w:val="en-US" w:eastAsia="zh-CN"/>
        </w:rPr>
      </w:pPr>
      <w:r>
        <w:rPr>
          <w:rFonts w:hint="default"/>
          <w:lang w:val="en-US" w:eastAsia="zh-CN"/>
        </w:rPr>
        <w:t>（1</w:t>
      </w:r>
      <w:r>
        <w:rPr>
          <w:rFonts w:hint="eastAsia"/>
          <w:lang w:val="en-US" w:eastAsia="zh-CN"/>
        </w:rPr>
        <w:t>5</w:t>
      </w:r>
      <w:r>
        <w:rPr>
          <w:rFonts w:hint="default"/>
          <w:lang w:val="en-US" w:eastAsia="zh-CN"/>
        </w:rPr>
        <w:t>）《工业企业厂内铁路、道路运输安全规程》(GB4387-2008)；</w:t>
      </w:r>
    </w:p>
    <w:p w14:paraId="37AF0E14">
      <w:pPr>
        <w:pStyle w:val="18"/>
        <w:bidi w:val="0"/>
        <w:rPr>
          <w:rFonts w:hint="default"/>
          <w:lang w:val="en-US" w:eastAsia="zh-CN"/>
        </w:rPr>
      </w:pPr>
      <w:r>
        <w:rPr>
          <w:rFonts w:hint="default"/>
          <w:lang w:val="en-US" w:eastAsia="zh-CN"/>
        </w:rPr>
        <w:t>（</w:t>
      </w:r>
      <w:r>
        <w:rPr>
          <w:rFonts w:hint="eastAsia"/>
          <w:lang w:val="en-US" w:eastAsia="zh-CN"/>
        </w:rPr>
        <w:t>16</w:t>
      </w:r>
      <w:r>
        <w:rPr>
          <w:rFonts w:hint="default"/>
          <w:lang w:val="en-US" w:eastAsia="zh-CN"/>
        </w:rPr>
        <w:t>）《电力装置的继电保护和自动装置设计规范》(GB50062-2008)；</w:t>
      </w:r>
    </w:p>
    <w:p w14:paraId="5BA8443D">
      <w:pPr>
        <w:pStyle w:val="18"/>
        <w:bidi w:val="0"/>
        <w:rPr>
          <w:rFonts w:hint="default"/>
          <w:lang w:val="en-US" w:eastAsia="zh-CN"/>
        </w:rPr>
      </w:pPr>
      <w:r>
        <w:rPr>
          <w:rFonts w:hint="default"/>
          <w:lang w:val="en-US" w:eastAsia="zh-CN"/>
        </w:rPr>
        <w:t>（</w:t>
      </w:r>
      <w:r>
        <w:rPr>
          <w:rFonts w:hint="eastAsia"/>
          <w:lang w:val="en-US" w:eastAsia="zh-CN"/>
        </w:rPr>
        <w:t>17</w:t>
      </w:r>
      <w:r>
        <w:rPr>
          <w:rFonts w:hint="default"/>
          <w:lang w:val="en-US" w:eastAsia="zh-CN"/>
        </w:rPr>
        <w:t>）《个体防护装备配备规范 第1部分：总则》(GB 39800.1-2020)；</w:t>
      </w:r>
    </w:p>
    <w:p w14:paraId="710EAE62">
      <w:pPr>
        <w:pStyle w:val="18"/>
        <w:bidi w:val="0"/>
        <w:rPr>
          <w:rFonts w:hint="default"/>
          <w:lang w:val="en-US" w:eastAsia="zh-CN"/>
        </w:rPr>
      </w:pPr>
      <w:r>
        <w:rPr>
          <w:rFonts w:hint="default"/>
          <w:lang w:val="en-US" w:eastAsia="zh-CN"/>
        </w:rPr>
        <w:t>（</w:t>
      </w:r>
      <w:r>
        <w:rPr>
          <w:rFonts w:hint="eastAsia"/>
          <w:lang w:val="en-US" w:eastAsia="zh-CN"/>
        </w:rPr>
        <w:t>18</w:t>
      </w:r>
      <w:r>
        <w:rPr>
          <w:rFonts w:hint="default"/>
          <w:lang w:val="en-US" w:eastAsia="zh-CN"/>
        </w:rPr>
        <w:t>）《个体防护装备配备规范 第4部分：非煤矿山》(GB 39800.4-2020)；</w:t>
      </w:r>
    </w:p>
    <w:p w14:paraId="56E925BE">
      <w:pPr>
        <w:pStyle w:val="18"/>
        <w:bidi w:val="0"/>
        <w:rPr>
          <w:rFonts w:hint="default"/>
          <w:lang w:val="en-US" w:eastAsia="zh-CN"/>
        </w:rPr>
      </w:pPr>
      <w:r>
        <w:rPr>
          <w:rFonts w:hint="default"/>
          <w:lang w:val="en-US" w:eastAsia="zh-CN"/>
        </w:rPr>
        <w:t>（</w:t>
      </w:r>
      <w:r>
        <w:rPr>
          <w:rFonts w:hint="eastAsia"/>
          <w:lang w:val="en-US" w:eastAsia="zh-CN"/>
        </w:rPr>
        <w:t>19</w:t>
      </w:r>
      <w:r>
        <w:rPr>
          <w:rFonts w:hint="default"/>
          <w:lang w:val="en-US" w:eastAsia="zh-CN"/>
        </w:rPr>
        <w:t>）《安全标志及其使用导则》(GB2894-2008)；</w:t>
      </w:r>
    </w:p>
    <w:p w14:paraId="75559E10">
      <w:pPr>
        <w:pStyle w:val="18"/>
        <w:bidi w:val="0"/>
        <w:rPr>
          <w:rFonts w:hint="default"/>
          <w:lang w:val="en-US" w:eastAsia="zh-CN"/>
        </w:rPr>
      </w:pPr>
      <w:r>
        <w:rPr>
          <w:rFonts w:hint="default"/>
          <w:lang w:val="en-US" w:eastAsia="zh-CN"/>
        </w:rPr>
        <w:t>（</w:t>
      </w:r>
      <w:r>
        <w:rPr>
          <w:rFonts w:hint="eastAsia"/>
          <w:lang w:val="en-US" w:eastAsia="zh-CN"/>
        </w:rPr>
        <w:t>20</w:t>
      </w:r>
      <w:r>
        <w:rPr>
          <w:rFonts w:hint="default"/>
          <w:lang w:val="en-US" w:eastAsia="zh-CN"/>
        </w:rPr>
        <w:t>）《矿山安全标志》(GB/T14161-2008)；</w:t>
      </w:r>
    </w:p>
    <w:p w14:paraId="4A5490F4">
      <w:pPr>
        <w:pStyle w:val="18"/>
        <w:bidi w:val="0"/>
        <w:rPr>
          <w:rFonts w:hint="default"/>
          <w:lang w:val="en-US" w:eastAsia="zh-CN"/>
        </w:rPr>
      </w:pPr>
      <w:r>
        <w:rPr>
          <w:rFonts w:hint="default"/>
          <w:lang w:val="en-US" w:eastAsia="zh-CN"/>
        </w:rPr>
        <w:t>（</w:t>
      </w:r>
      <w:r>
        <w:rPr>
          <w:rFonts w:hint="eastAsia"/>
          <w:lang w:val="en-US" w:eastAsia="zh-CN"/>
        </w:rPr>
        <w:t>21</w:t>
      </w:r>
      <w:r>
        <w:rPr>
          <w:rFonts w:hint="default"/>
          <w:lang w:val="en-US" w:eastAsia="zh-CN"/>
        </w:rPr>
        <w:t>）《公路工程技术标准》(JTGB01-2014)；</w:t>
      </w:r>
    </w:p>
    <w:p w14:paraId="1C306F06">
      <w:pPr>
        <w:pStyle w:val="18"/>
        <w:bidi w:val="0"/>
        <w:rPr>
          <w:rFonts w:hint="default"/>
          <w:lang w:val="en-US" w:eastAsia="zh-CN"/>
        </w:rPr>
      </w:pPr>
      <w:r>
        <w:rPr>
          <w:rFonts w:hint="default"/>
          <w:lang w:val="en-US" w:eastAsia="zh-CN"/>
        </w:rPr>
        <w:t>（</w:t>
      </w:r>
      <w:r>
        <w:rPr>
          <w:rFonts w:hint="eastAsia"/>
          <w:lang w:val="en-US" w:eastAsia="zh-CN"/>
        </w:rPr>
        <w:t>22</w:t>
      </w:r>
      <w:r>
        <w:rPr>
          <w:rFonts w:hint="default"/>
          <w:lang w:val="en-US" w:eastAsia="zh-CN"/>
        </w:rPr>
        <w:t>）《防洪标准》(GB50201-2014)。</w:t>
      </w:r>
    </w:p>
    <w:p w14:paraId="6ABD9677">
      <w:pPr>
        <w:pStyle w:val="25"/>
        <w:bidi w:val="0"/>
        <w:ind w:left="720" w:leftChars="0" w:hanging="720" w:firstLineChars="0"/>
        <w:rPr>
          <w:rFonts w:hint="default"/>
          <w:lang w:val="en-US" w:eastAsia="zh-CN"/>
        </w:rPr>
      </w:pPr>
      <w:r>
        <w:rPr>
          <w:rFonts w:hint="eastAsia"/>
          <w:lang w:val="en-US" w:eastAsia="zh-CN"/>
        </w:rPr>
        <w:t>建设项目合法证明文件</w:t>
      </w:r>
    </w:p>
    <w:p w14:paraId="5B17B8DD">
      <w:pPr>
        <w:pStyle w:val="18"/>
        <w:rPr>
          <w:rFonts w:hint="default"/>
          <w:lang w:val="en-US" w:eastAsia="zh-CN"/>
        </w:rPr>
      </w:pPr>
      <w:r>
        <w:rPr>
          <w:rFonts w:hint="default"/>
          <w:lang w:val="en-US" w:eastAsia="zh-CN"/>
        </w:rPr>
        <w:t>（1）关于《海城市荣富耐火材料有限公司菱镁矿、滑石矿山建设项目》项目备案证明（海发改备〔202</w:t>
      </w:r>
      <w:r>
        <w:rPr>
          <w:rFonts w:hint="eastAsia"/>
          <w:lang w:val="en-US" w:eastAsia="zh-CN"/>
        </w:rPr>
        <w:t>2</w:t>
      </w:r>
      <w:r>
        <w:rPr>
          <w:rFonts w:hint="default"/>
          <w:lang w:val="en-US" w:eastAsia="zh-CN"/>
        </w:rPr>
        <w:t>〕31号）；</w:t>
      </w:r>
    </w:p>
    <w:p w14:paraId="635598D4">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（2）《采矿许可证》，证号：C</w:t>
      </w:r>
      <w:r>
        <w:rPr>
          <w:rFonts w:hint="eastAsia"/>
          <w:lang w:val="en-US" w:eastAsia="zh-CN"/>
        </w:rPr>
        <w:t>XXXXXXXXXXXXXXXXX</w:t>
      </w:r>
      <w:r>
        <w:rPr>
          <w:rFonts w:hint="default"/>
          <w:lang w:val="en-US" w:eastAsia="zh-CN"/>
        </w:rPr>
        <w:t>，辽宁省自然资源厅，有效期：2022年6月19日至2025年12月19日；</w:t>
      </w:r>
    </w:p>
    <w:p w14:paraId="46078A08">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（3）《营业执照》，统一社会信用代码：</w:t>
      </w:r>
      <w:r>
        <w:rPr>
          <w:rFonts w:hint="eastAsia"/>
          <w:lang w:val="en-US" w:eastAsia="zh-CN"/>
        </w:rPr>
        <w:t>XXXXXXXXXXXXXXXXX</w:t>
      </w:r>
      <w:r>
        <w:rPr>
          <w:rFonts w:hint="default"/>
          <w:lang w:val="en-US" w:eastAsia="zh-CN"/>
        </w:rPr>
        <w:t>，海城市市场监督管理局，2023年10月17日；</w:t>
      </w:r>
    </w:p>
    <w:p w14:paraId="752EEC49">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（4）海城市荣富耐火材料有限公司镁矿（菱镁石、滑石）露天矿山建设项目《安全设施设计》审查的批复（鞍山市应急管理局，2023年3月30日，鞍应急矿设复〔2023〕3号）；</w:t>
      </w:r>
    </w:p>
    <w:p w14:paraId="2831A9E6">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w:t>
      </w:r>
      <w:r>
        <w:rPr>
          <w:rFonts w:hint="eastAsia"/>
          <w:lang w:val="en-US" w:eastAsia="zh-CN"/>
        </w:rPr>
        <w:t>5</w:t>
      </w:r>
      <w:r>
        <w:rPr>
          <w:rFonts w:hint="default"/>
          <w:lang w:val="en-US" w:eastAsia="zh-CN"/>
        </w:rPr>
        <w:t>）海城市荣富耐火材料有限公司镁矿（菱镁石、滑石）露天矿山建设项目基建期延期的批复（鞍山市应急管理局，2024年10月30日，鞍应急矿设复〔2024〕3号）。</w:t>
      </w:r>
    </w:p>
    <w:p w14:paraId="4B74B242">
      <w:pPr>
        <w:pStyle w:val="25"/>
        <w:bidi w:val="0"/>
        <w:ind w:left="720" w:leftChars="0" w:hanging="720" w:firstLineChars="0"/>
        <w:rPr>
          <w:rFonts w:hint="default"/>
          <w:lang w:val="en-US" w:eastAsia="zh-CN"/>
        </w:rPr>
      </w:pPr>
      <w:r>
        <w:rPr>
          <w:rFonts w:hint="eastAsia"/>
          <w:lang w:val="en-US" w:eastAsia="zh-CN"/>
        </w:rPr>
        <w:t>建设项目技术资料</w:t>
      </w:r>
    </w:p>
    <w:p w14:paraId="558AAD53">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（1）《辽宁省海城市红土岭矿区荣富菱镁矿、滑石矿资源储量核实报告》，辽宁省第七地质大队有限责任公司，2020年6月；</w:t>
      </w:r>
    </w:p>
    <w:p w14:paraId="208E89B1">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（2）《〈辽宁省海城市红土岭矿区荣富菱镁矿、滑石矿资源储量核实报告〉评审意见书》，辽溪评（储）字辽[2020]016号，2020年7月28日；</w:t>
      </w:r>
    </w:p>
    <w:p w14:paraId="323115EE">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 xml:space="preserve">（3）《〈辽宁省海城市红土岭矿区荣富菱镁矿、滑石矿资源储量核实报告〉评审备案证明》，辽自然资储备字[2020]079号，2020年9月14日； </w:t>
      </w:r>
    </w:p>
    <w:p w14:paraId="1F477D12">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（4）《辽宁省海城市荣富耐火材料有限公司2021年储量年度报告》，辽宁省第五地质大队有限责任公司，2021年11月；</w:t>
      </w:r>
    </w:p>
    <w:p w14:paraId="0922961C">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（5）《〈辽宁省海城市荣富耐火材料有限公司2021年储量年度报告〉审查验收意见》，2021年12月24日；</w:t>
      </w:r>
    </w:p>
    <w:p w14:paraId="5521DCE0">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w:t>
      </w:r>
      <w:r>
        <w:rPr>
          <w:rFonts w:hint="eastAsia"/>
          <w:lang w:val="en-US" w:eastAsia="zh-CN"/>
        </w:rPr>
        <w:t>6</w:t>
      </w:r>
      <w:r>
        <w:rPr>
          <w:rFonts w:hint="default"/>
          <w:lang w:val="en-US" w:eastAsia="zh-CN"/>
        </w:rPr>
        <w:t>）《海城市荣富耐火材料有限公司镁矿（菱镁石、滑石）露天矿山建设项目可行性研究报告》，沈阳嘉纳工程技术有限公司，2022年12月；</w:t>
      </w:r>
    </w:p>
    <w:p w14:paraId="314844B5">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w:t>
      </w:r>
      <w:r>
        <w:rPr>
          <w:rFonts w:hint="eastAsia"/>
          <w:lang w:val="en-US" w:eastAsia="zh-CN"/>
        </w:rPr>
        <w:t>7</w:t>
      </w:r>
      <w:r>
        <w:rPr>
          <w:rFonts w:hint="default"/>
          <w:lang w:val="en-US" w:eastAsia="zh-CN"/>
        </w:rPr>
        <w:t>）《海城市荣富耐火材料有限公司菱镁石、滑石矿山露天矿山建设项目安全预评价报告》，辽宁力康职业卫生与安全技术咨询服务有限公司，2023年1月；</w:t>
      </w:r>
    </w:p>
    <w:p w14:paraId="44350390">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w:t>
      </w:r>
      <w:r>
        <w:rPr>
          <w:rFonts w:hint="eastAsia"/>
          <w:lang w:val="en-US" w:eastAsia="zh-CN"/>
        </w:rPr>
        <w:t>8</w:t>
      </w:r>
      <w:r>
        <w:rPr>
          <w:rFonts w:hint="default"/>
          <w:lang w:val="en-US" w:eastAsia="zh-CN"/>
        </w:rPr>
        <w:t>）《海城市荣富耐火材料有限公司菱镁石、滑石矿山露天矿山建设项目初步设计》，沈阳嘉纳工程技术有限公司，2023年1月；</w:t>
      </w:r>
    </w:p>
    <w:p w14:paraId="36EBBFE4">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w:t>
      </w:r>
      <w:r>
        <w:rPr>
          <w:rFonts w:hint="eastAsia"/>
          <w:lang w:val="en-US" w:eastAsia="zh-CN"/>
        </w:rPr>
        <w:t>9</w:t>
      </w:r>
      <w:r>
        <w:rPr>
          <w:rFonts w:hint="default"/>
          <w:lang w:val="en-US" w:eastAsia="zh-CN"/>
        </w:rPr>
        <w:t>）《海城市荣富耐火材料有限公司菱镁石、滑石矿山露天矿山建设项目安全设施设计》，沈阳嘉纳工程技术有限公司，2023年1月；</w:t>
      </w:r>
    </w:p>
    <w:p w14:paraId="6EF5D517">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w:t>
      </w:r>
      <w:r>
        <w:rPr>
          <w:rFonts w:hint="eastAsia"/>
          <w:lang w:val="en-US" w:eastAsia="zh-CN"/>
        </w:rPr>
        <w:t>10</w:t>
      </w:r>
      <w:r>
        <w:rPr>
          <w:rFonts w:hint="default"/>
          <w:lang w:val="en-US" w:eastAsia="zh-CN"/>
        </w:rPr>
        <w:t>）《海城市荣富耐火材料有限公司镁矿（菱镁石、滑石）露天矿山建设项目竣工报告》，辽宁泓远建设有限公司，2025年2月；</w:t>
      </w:r>
    </w:p>
    <w:p w14:paraId="73E37C8F">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w:t>
      </w:r>
      <w:r>
        <w:rPr>
          <w:rFonts w:hint="eastAsia"/>
          <w:lang w:val="en-US" w:eastAsia="zh-CN"/>
        </w:rPr>
        <w:t>11</w:t>
      </w:r>
      <w:r>
        <w:rPr>
          <w:rFonts w:hint="default"/>
          <w:lang w:val="en-US" w:eastAsia="zh-CN"/>
        </w:rPr>
        <w:t>）《海城市荣富耐火材料有限公司镁矿（菱镁石、滑石）露天矿山建设项目监理报告》，吉林东北亚国际工程技术集团有限公司，2025年2月；</w:t>
      </w:r>
    </w:p>
    <w:p w14:paraId="2ED01641">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w:t>
      </w:r>
      <w:r>
        <w:rPr>
          <w:rFonts w:hint="eastAsia"/>
          <w:lang w:val="en-US" w:eastAsia="zh-CN"/>
        </w:rPr>
        <w:t>12</w:t>
      </w:r>
      <w:r>
        <w:rPr>
          <w:rFonts w:hint="default"/>
          <w:lang w:val="en-US" w:eastAsia="zh-CN"/>
        </w:rPr>
        <w:t>）《海城市荣富耐火材料有限公司镁矿（菱镁矿、滑石矿）隐蔽致灾因素普查治理报告》，四川省坤运环境建设有限公司，2025年2月；</w:t>
      </w:r>
    </w:p>
    <w:p w14:paraId="2DF4D438">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w:t>
      </w:r>
      <w:r>
        <w:rPr>
          <w:rFonts w:hint="eastAsia"/>
          <w:lang w:val="en-US" w:eastAsia="zh-CN"/>
        </w:rPr>
        <w:t>13</w:t>
      </w:r>
      <w:r>
        <w:rPr>
          <w:rFonts w:hint="default"/>
          <w:lang w:val="en-US" w:eastAsia="zh-CN"/>
        </w:rPr>
        <w:t>）企业提供的有关图纸、其他有关书面资料、文件和数据等。</w:t>
      </w:r>
    </w:p>
    <w:p w14:paraId="4CF79E38">
      <w:pPr>
        <w:pStyle w:val="25"/>
        <w:bidi w:val="0"/>
        <w:ind w:left="720" w:leftChars="0" w:hanging="720" w:firstLineChars="0"/>
        <w:rPr>
          <w:rFonts w:hint="default"/>
          <w:lang w:val="en-US" w:eastAsia="zh-CN"/>
        </w:rPr>
      </w:pPr>
      <w:r>
        <w:rPr>
          <w:rFonts w:hint="eastAsia"/>
          <w:lang w:val="en-US" w:eastAsia="zh-CN"/>
        </w:rPr>
        <w:t>其他评价依据</w:t>
      </w:r>
    </w:p>
    <w:p w14:paraId="18208C3E">
      <w:pPr>
        <w:pStyle w:val="18"/>
        <w:rPr>
          <w:rFonts w:hint="default"/>
          <w:lang w:val="en-US" w:eastAsia="zh-CN"/>
        </w:rPr>
      </w:pPr>
      <w:r>
        <w:rPr>
          <w:rFonts w:hint="default"/>
          <w:lang w:val="en-US" w:eastAsia="zh-CN"/>
        </w:rPr>
        <w:t>（1）安全验收评价项目委托书；</w:t>
      </w:r>
    </w:p>
    <w:p w14:paraId="1BB90429">
      <w:pPr>
        <w:pStyle w:val="18"/>
        <w:rPr>
          <w:rFonts w:hint="default"/>
          <w:lang w:val="en-US" w:eastAsia="zh-CN"/>
        </w:rPr>
      </w:pPr>
      <w:r>
        <w:rPr>
          <w:rFonts w:hint="default"/>
          <w:lang w:val="en-US" w:eastAsia="zh-CN"/>
        </w:rPr>
        <w:t>（2）安全验收评价技术服务合同；</w:t>
      </w:r>
    </w:p>
    <w:p w14:paraId="015F7724">
      <w:pPr>
        <w:pStyle w:val="18"/>
        <w:rPr>
          <w:rFonts w:hint="default"/>
          <w:lang w:val="en-US" w:eastAsia="zh-CN"/>
        </w:rPr>
      </w:pPr>
      <w:r>
        <w:rPr>
          <w:rFonts w:hint="default"/>
          <w:lang w:val="en-US" w:eastAsia="zh-CN"/>
        </w:rPr>
        <w:t>（3）</w:t>
      </w:r>
      <w:r>
        <w:rPr>
          <w:rFonts w:hint="eastAsia" w:ascii="Times New Roman" w:hAnsi="Times New Roman" w:eastAsia="宋体" w:cs="Times New Roman"/>
          <w:sz w:val="28"/>
          <w:szCs w:val="28"/>
          <w:highlight w:val="none"/>
          <w:lang w:val="en-US" w:eastAsia="zh-CN"/>
        </w:rPr>
        <w:t>安全管理科文件</w:t>
      </w:r>
      <w:r>
        <w:rPr>
          <w:rFonts w:hint="default"/>
          <w:lang w:val="en-US" w:eastAsia="zh-CN"/>
        </w:rPr>
        <w:t>；</w:t>
      </w:r>
    </w:p>
    <w:p w14:paraId="54224E1E">
      <w:pPr>
        <w:pStyle w:val="18"/>
        <w:rPr>
          <w:rFonts w:hint="eastAsia" w:cs="Times New Roman"/>
          <w:sz w:val="28"/>
          <w:szCs w:val="28"/>
          <w:highlight w:val="none"/>
          <w:lang w:val="en-US" w:eastAsia="zh-CN"/>
        </w:rPr>
      </w:pPr>
      <w:r>
        <w:rPr>
          <w:rFonts w:hint="default"/>
          <w:lang w:val="en-US" w:eastAsia="zh-CN"/>
        </w:rPr>
        <w:t>（4）</w:t>
      </w:r>
      <w:r>
        <w:rPr>
          <w:rFonts w:hint="eastAsia" w:ascii="Times New Roman" w:hAnsi="Times New Roman" w:eastAsia="宋体" w:cs="Times New Roman"/>
          <w:sz w:val="28"/>
          <w:szCs w:val="28"/>
          <w:highlight w:val="none"/>
          <w:lang w:val="en-US" w:eastAsia="zh-CN"/>
        </w:rPr>
        <w:t>全员安全生产责任制</w:t>
      </w:r>
      <w:r>
        <w:rPr>
          <w:rFonts w:hint="eastAsia" w:cs="Times New Roman"/>
          <w:sz w:val="28"/>
          <w:szCs w:val="28"/>
          <w:highlight w:val="none"/>
          <w:lang w:val="en-US" w:eastAsia="zh-CN"/>
        </w:rPr>
        <w:t>；</w:t>
      </w:r>
    </w:p>
    <w:p w14:paraId="75662B5B">
      <w:pPr>
        <w:pStyle w:val="18"/>
        <w:rPr>
          <w:rFonts w:hint="eastAsia" w:cs="Times New Roman"/>
          <w:sz w:val="28"/>
          <w:szCs w:val="28"/>
          <w:highlight w:val="none"/>
          <w:lang w:val="en-US" w:eastAsia="zh-CN"/>
        </w:rPr>
      </w:pPr>
      <w:r>
        <w:rPr>
          <w:rFonts w:hint="default"/>
          <w:lang w:val="en-US" w:eastAsia="zh-CN"/>
        </w:rPr>
        <w:t>（</w:t>
      </w:r>
      <w:r>
        <w:rPr>
          <w:rFonts w:hint="eastAsia"/>
          <w:lang w:val="en-US" w:eastAsia="zh-CN"/>
        </w:rPr>
        <w:t>5</w:t>
      </w:r>
      <w:r>
        <w:rPr>
          <w:rFonts w:hint="default"/>
          <w:lang w:val="en-US" w:eastAsia="zh-CN"/>
        </w:rPr>
        <w:t>）</w:t>
      </w:r>
      <w:r>
        <w:rPr>
          <w:rFonts w:hint="eastAsia" w:ascii="Times New Roman" w:hAnsi="Times New Roman" w:eastAsia="宋体" w:cs="Times New Roman"/>
          <w:sz w:val="28"/>
          <w:szCs w:val="28"/>
          <w:highlight w:val="none"/>
          <w:lang w:val="en-US" w:eastAsia="zh-CN"/>
        </w:rPr>
        <w:t>安全管理规章制度、操作规程</w:t>
      </w:r>
      <w:r>
        <w:rPr>
          <w:rFonts w:hint="eastAsia" w:cs="Times New Roman"/>
          <w:sz w:val="28"/>
          <w:szCs w:val="28"/>
          <w:highlight w:val="none"/>
          <w:lang w:val="en-US" w:eastAsia="zh-CN"/>
        </w:rPr>
        <w:t>；</w:t>
      </w:r>
    </w:p>
    <w:p w14:paraId="15771F18">
      <w:pPr>
        <w:pStyle w:val="18"/>
        <w:rPr>
          <w:rFonts w:hint="eastAsia" w:cs="Times New Roman"/>
          <w:sz w:val="28"/>
          <w:szCs w:val="28"/>
          <w:highlight w:val="none"/>
          <w:lang w:val="en-US" w:eastAsia="zh-CN"/>
        </w:rPr>
      </w:pPr>
      <w:r>
        <w:rPr>
          <w:rFonts w:hint="default"/>
          <w:lang w:val="en-US" w:eastAsia="zh-CN"/>
        </w:rPr>
        <w:t>（</w:t>
      </w:r>
      <w:r>
        <w:rPr>
          <w:rFonts w:hint="eastAsia"/>
          <w:lang w:val="en-US" w:eastAsia="zh-CN"/>
        </w:rPr>
        <w:t>6</w:t>
      </w:r>
      <w:r>
        <w:rPr>
          <w:rFonts w:hint="default"/>
          <w:lang w:val="en-US" w:eastAsia="zh-CN"/>
        </w:rPr>
        <w:t>）</w:t>
      </w:r>
      <w:r>
        <w:rPr>
          <w:rFonts w:hint="eastAsia" w:cs="Times New Roman"/>
          <w:sz w:val="28"/>
          <w:szCs w:val="28"/>
          <w:highlight w:val="none"/>
          <w:lang w:val="en-US" w:eastAsia="zh-CN"/>
        </w:rPr>
        <w:t>主</w:t>
      </w:r>
      <w:r>
        <w:rPr>
          <w:rFonts w:hint="eastAsia" w:ascii="Times New Roman" w:hAnsi="Times New Roman" w:eastAsia="宋体" w:cs="Times New Roman"/>
          <w:sz w:val="28"/>
          <w:szCs w:val="28"/>
          <w:highlight w:val="none"/>
          <w:lang w:val="en-US" w:eastAsia="zh-CN"/>
        </w:rPr>
        <w:t>要负责人安全生产知识和管理能力考试证明</w:t>
      </w:r>
      <w:r>
        <w:rPr>
          <w:rFonts w:hint="eastAsia" w:cs="Times New Roman"/>
          <w:sz w:val="28"/>
          <w:szCs w:val="28"/>
          <w:highlight w:val="none"/>
          <w:lang w:val="en-US" w:eastAsia="zh-CN"/>
        </w:rPr>
        <w:t>；</w:t>
      </w:r>
    </w:p>
    <w:p w14:paraId="08828E57">
      <w:pPr>
        <w:pStyle w:val="18"/>
        <w:rPr>
          <w:rFonts w:hint="eastAsia" w:cs="Times New Roman"/>
          <w:sz w:val="28"/>
          <w:szCs w:val="28"/>
          <w:highlight w:val="none"/>
          <w:lang w:val="en-US" w:eastAsia="zh-CN"/>
        </w:rPr>
      </w:pPr>
      <w:r>
        <w:rPr>
          <w:rFonts w:hint="default"/>
          <w:lang w:val="en-US" w:eastAsia="zh-CN"/>
        </w:rPr>
        <w:t>（</w:t>
      </w:r>
      <w:r>
        <w:rPr>
          <w:rFonts w:hint="eastAsia"/>
          <w:lang w:val="en-US" w:eastAsia="zh-CN"/>
        </w:rPr>
        <w:t>7</w:t>
      </w:r>
      <w:r>
        <w:rPr>
          <w:rFonts w:hint="default"/>
          <w:lang w:val="en-US" w:eastAsia="zh-CN"/>
        </w:rPr>
        <w:t>）</w:t>
      </w:r>
      <w:r>
        <w:rPr>
          <w:rFonts w:hint="eastAsia" w:ascii="Times New Roman" w:hAnsi="Times New Roman" w:eastAsia="宋体" w:cs="Times New Roman"/>
          <w:sz w:val="28"/>
          <w:szCs w:val="28"/>
          <w:highlight w:val="none"/>
          <w:lang w:val="en-US" w:eastAsia="zh-CN"/>
        </w:rPr>
        <w:t>安全管理人员安全生产知识和管理能力考试证明</w:t>
      </w:r>
      <w:r>
        <w:rPr>
          <w:rFonts w:hint="eastAsia" w:cs="Times New Roman"/>
          <w:sz w:val="28"/>
          <w:szCs w:val="28"/>
          <w:highlight w:val="none"/>
          <w:lang w:val="en-US" w:eastAsia="zh-CN"/>
        </w:rPr>
        <w:t>；</w:t>
      </w:r>
    </w:p>
    <w:p w14:paraId="21B36A15">
      <w:pPr>
        <w:pStyle w:val="18"/>
        <w:rPr>
          <w:rFonts w:hint="eastAsia" w:ascii="Times New Roman" w:hAnsi="Times New Roman" w:eastAsia="宋体" w:cs="Times New Roman"/>
          <w:sz w:val="28"/>
          <w:szCs w:val="28"/>
          <w:highlight w:val="none"/>
          <w:lang w:val="en-US" w:eastAsia="zh-CN"/>
        </w:rPr>
      </w:pPr>
      <w:r>
        <w:rPr>
          <w:rFonts w:hint="default"/>
          <w:lang w:val="en-US" w:eastAsia="zh-CN"/>
        </w:rPr>
        <w:t>（</w:t>
      </w:r>
      <w:r>
        <w:rPr>
          <w:rFonts w:hint="eastAsia"/>
          <w:lang w:val="en-US" w:eastAsia="zh-CN"/>
        </w:rPr>
        <w:t>8</w:t>
      </w:r>
      <w:r>
        <w:rPr>
          <w:rFonts w:hint="default"/>
          <w:lang w:val="en-US" w:eastAsia="zh-CN"/>
        </w:rPr>
        <w:t>）</w:t>
      </w:r>
      <w:r>
        <w:rPr>
          <w:rFonts w:hint="eastAsia" w:ascii="Times New Roman" w:hAnsi="Times New Roman" w:eastAsia="宋体" w:cs="Times New Roman"/>
          <w:sz w:val="28"/>
          <w:szCs w:val="28"/>
          <w:highlight w:val="none"/>
          <w:lang w:val="en-US" w:eastAsia="zh-CN"/>
        </w:rPr>
        <w:t>特种作业人员资格证</w:t>
      </w:r>
      <w:r>
        <w:rPr>
          <w:rFonts w:hint="eastAsia" w:cs="Times New Roman"/>
          <w:sz w:val="28"/>
          <w:szCs w:val="28"/>
          <w:highlight w:val="none"/>
          <w:lang w:val="en-US" w:eastAsia="zh-CN"/>
        </w:rPr>
        <w:t>；</w:t>
      </w:r>
    </w:p>
    <w:p w14:paraId="29F60DDC">
      <w:pPr>
        <w:pStyle w:val="18"/>
        <w:rPr>
          <w:rFonts w:hint="eastAsia" w:ascii="Times New Roman" w:hAnsi="Times New Roman" w:eastAsia="宋体" w:cs="Times New Roman"/>
          <w:sz w:val="28"/>
          <w:szCs w:val="28"/>
          <w:highlight w:val="none"/>
          <w:lang w:val="en-US" w:eastAsia="zh-CN"/>
        </w:rPr>
      </w:pPr>
      <w:r>
        <w:rPr>
          <w:rFonts w:hint="default"/>
          <w:lang w:val="en-US" w:eastAsia="zh-CN"/>
        </w:rPr>
        <w:t>（</w:t>
      </w:r>
      <w:r>
        <w:rPr>
          <w:rFonts w:hint="eastAsia"/>
          <w:lang w:val="en-US" w:eastAsia="zh-CN"/>
        </w:rPr>
        <w:t>9</w:t>
      </w:r>
      <w:r>
        <w:rPr>
          <w:rFonts w:hint="default"/>
          <w:lang w:val="en-US" w:eastAsia="zh-CN"/>
        </w:rPr>
        <w:t>）</w:t>
      </w:r>
      <w:r>
        <w:rPr>
          <w:rFonts w:hint="eastAsia" w:ascii="Times New Roman" w:hAnsi="Times New Roman" w:eastAsia="宋体" w:cs="Times New Roman"/>
          <w:sz w:val="28"/>
          <w:szCs w:val="28"/>
          <w:highlight w:val="none"/>
          <w:lang w:val="en-US" w:eastAsia="zh-CN"/>
        </w:rPr>
        <w:t>安全生产费用提取及使用计划</w:t>
      </w:r>
      <w:r>
        <w:rPr>
          <w:rFonts w:hint="eastAsia" w:cs="Times New Roman"/>
          <w:sz w:val="28"/>
          <w:szCs w:val="28"/>
          <w:highlight w:val="none"/>
          <w:lang w:val="en-US" w:eastAsia="zh-CN"/>
        </w:rPr>
        <w:t>；</w:t>
      </w:r>
    </w:p>
    <w:p w14:paraId="41B76C8E">
      <w:pPr>
        <w:pStyle w:val="18"/>
        <w:rPr>
          <w:rFonts w:hint="eastAsia" w:cs="Times New Roman"/>
          <w:sz w:val="28"/>
          <w:szCs w:val="28"/>
          <w:highlight w:val="none"/>
          <w:lang w:val="en-US" w:eastAsia="zh-CN"/>
        </w:rPr>
      </w:pPr>
      <w:r>
        <w:rPr>
          <w:rFonts w:hint="default"/>
          <w:lang w:val="en-US" w:eastAsia="zh-CN"/>
        </w:rPr>
        <w:t>（</w:t>
      </w:r>
      <w:r>
        <w:rPr>
          <w:rFonts w:hint="eastAsia"/>
          <w:lang w:val="en-US" w:eastAsia="zh-CN"/>
        </w:rPr>
        <w:t>10</w:t>
      </w:r>
      <w:r>
        <w:rPr>
          <w:rFonts w:hint="default"/>
          <w:lang w:val="en-US" w:eastAsia="zh-CN"/>
        </w:rPr>
        <w:t>）</w:t>
      </w:r>
      <w:r>
        <w:rPr>
          <w:rFonts w:hint="eastAsia" w:ascii="Times New Roman" w:hAnsi="Times New Roman" w:eastAsia="宋体" w:cs="Times New Roman"/>
          <w:sz w:val="28"/>
          <w:szCs w:val="28"/>
          <w:highlight w:val="none"/>
          <w:lang w:val="en-US" w:eastAsia="zh-CN"/>
        </w:rPr>
        <w:t>爆破合同及爆破作业单位许可证</w:t>
      </w:r>
      <w:r>
        <w:rPr>
          <w:rFonts w:hint="eastAsia" w:cs="Times New Roman"/>
          <w:sz w:val="28"/>
          <w:szCs w:val="28"/>
          <w:highlight w:val="none"/>
          <w:lang w:val="en-US" w:eastAsia="zh-CN"/>
        </w:rPr>
        <w:t>；</w:t>
      </w:r>
    </w:p>
    <w:p w14:paraId="70711CFE">
      <w:pPr>
        <w:pStyle w:val="18"/>
        <w:rPr>
          <w:rFonts w:hint="default" w:cs="Times New Roman"/>
          <w:sz w:val="28"/>
          <w:szCs w:val="28"/>
          <w:highlight w:val="none"/>
          <w:lang w:val="en-US" w:eastAsia="zh-CN"/>
        </w:rPr>
      </w:pPr>
      <w:r>
        <w:rPr>
          <w:rFonts w:hint="eastAsia" w:cs="Times New Roman"/>
          <w:sz w:val="28"/>
          <w:szCs w:val="28"/>
          <w:highlight w:val="none"/>
          <w:lang w:val="en-US" w:eastAsia="zh-CN"/>
        </w:rPr>
        <w:t>（11）其他相关资料。</w:t>
      </w:r>
    </w:p>
    <w:p w14:paraId="6368369F">
      <w:pPr>
        <w:pStyle w:val="23"/>
        <w:bidi w:val="0"/>
        <w:ind w:left="0" w:leftChars="0" w:firstLine="0" w:firstLineChars="0"/>
        <w:rPr>
          <w:rFonts w:hint="default"/>
          <w:lang w:val="en-US" w:eastAsia="zh-CN"/>
        </w:rPr>
      </w:pPr>
      <w:bookmarkStart w:id="3" w:name="_Toc21460"/>
      <w:r>
        <w:rPr>
          <w:rFonts w:hint="eastAsia"/>
          <w:lang w:val="en-US" w:eastAsia="zh-CN"/>
        </w:rPr>
        <w:t>项目建设概述</w:t>
      </w:r>
      <w:bookmarkEnd w:id="3"/>
    </w:p>
    <w:p w14:paraId="7D106979">
      <w:pPr>
        <w:pStyle w:val="24"/>
        <w:bidi w:val="0"/>
        <w:ind w:left="0" w:leftChars="0" w:firstLine="0" w:firstLineChars="0"/>
        <w:rPr>
          <w:rFonts w:hint="default"/>
          <w:lang w:val="en-US" w:eastAsia="zh-CN"/>
        </w:rPr>
      </w:pPr>
      <w:bookmarkStart w:id="4" w:name="_Toc15087"/>
      <w:r>
        <w:rPr>
          <w:rFonts w:hint="eastAsia"/>
          <w:lang w:val="en-US" w:eastAsia="zh-CN"/>
        </w:rPr>
        <w:t>建设单位概况</w:t>
      </w:r>
      <w:bookmarkEnd w:id="4"/>
    </w:p>
    <w:p w14:paraId="19F8FE64">
      <w:pPr>
        <w:pStyle w:val="25"/>
        <w:bidi w:val="0"/>
        <w:ind w:left="720" w:leftChars="0" w:hanging="720" w:firstLineChars="0"/>
        <w:rPr>
          <w:rFonts w:hint="default"/>
          <w:lang w:val="en-US" w:eastAsia="zh-CN"/>
        </w:rPr>
      </w:pPr>
      <w:r>
        <w:rPr>
          <w:rFonts w:hint="eastAsia"/>
          <w:lang w:val="en-US" w:eastAsia="zh-CN"/>
        </w:rPr>
        <w:t>企业概况</w:t>
      </w:r>
    </w:p>
    <w:p w14:paraId="06CBCD2D">
      <w:pPr>
        <w:pStyle w:val="18"/>
        <w:rPr>
          <w:rFonts w:hint="default"/>
          <w:lang w:val="en-US" w:eastAsia="zh-CN"/>
        </w:rPr>
      </w:pPr>
      <w:r>
        <w:rPr>
          <w:rFonts w:hint="eastAsia"/>
          <w:lang w:val="en-US" w:eastAsia="zh-CN"/>
        </w:rPr>
        <w:t>（1）</w:t>
      </w:r>
      <w:r>
        <w:rPr>
          <w:rFonts w:hint="default"/>
          <w:lang w:val="en-US" w:eastAsia="zh-CN"/>
        </w:rPr>
        <w:t>《营业执照》</w:t>
      </w:r>
    </w:p>
    <w:p w14:paraId="6D74A9F9">
      <w:pPr>
        <w:pStyle w:val="18"/>
        <w:rPr>
          <w:rFonts w:hint="default"/>
          <w:lang w:val="en-US" w:eastAsia="zh-CN"/>
        </w:rPr>
      </w:pPr>
      <w:r>
        <w:rPr>
          <w:rFonts w:hint="default"/>
          <w:lang w:val="en-US" w:eastAsia="zh-CN"/>
        </w:rPr>
        <w:t>统一社会信用代码：</w:t>
      </w:r>
      <w:r>
        <w:rPr>
          <w:rFonts w:hint="eastAsia"/>
          <w:lang w:val="en-US" w:eastAsia="zh-CN"/>
        </w:rPr>
        <w:t>XXXXXXXXXXXXXXXXX；</w:t>
      </w:r>
    </w:p>
    <w:p w14:paraId="478ED369">
      <w:pPr>
        <w:pStyle w:val="18"/>
        <w:rPr>
          <w:rFonts w:hint="default"/>
          <w:lang w:val="en-US" w:eastAsia="zh-CN"/>
        </w:rPr>
      </w:pPr>
      <w:r>
        <w:rPr>
          <w:rFonts w:hint="default"/>
          <w:lang w:val="en-US" w:eastAsia="zh-CN"/>
        </w:rPr>
        <w:t>名    称：海城市荣富耐火材料有限公司</w:t>
      </w:r>
      <w:r>
        <w:rPr>
          <w:rFonts w:hint="eastAsia"/>
          <w:lang w:val="en-US" w:eastAsia="zh-CN"/>
        </w:rPr>
        <w:t>；</w:t>
      </w:r>
    </w:p>
    <w:p w14:paraId="2E5408EC">
      <w:pPr>
        <w:pStyle w:val="18"/>
        <w:rPr>
          <w:rFonts w:hint="default"/>
          <w:lang w:val="en-US" w:eastAsia="zh-CN"/>
        </w:rPr>
      </w:pPr>
      <w:r>
        <w:rPr>
          <w:rFonts w:hint="default"/>
          <w:lang w:val="en-US" w:eastAsia="zh-CN"/>
        </w:rPr>
        <w:t>类    型：有限责任公司</w:t>
      </w:r>
      <w:r>
        <w:rPr>
          <w:rFonts w:hint="eastAsia"/>
          <w:lang w:val="en-US" w:eastAsia="zh-CN"/>
        </w:rPr>
        <w:t>；</w:t>
      </w:r>
    </w:p>
    <w:p w14:paraId="1180913A">
      <w:pPr>
        <w:pStyle w:val="18"/>
        <w:rPr>
          <w:rFonts w:hint="default"/>
          <w:lang w:val="en-US" w:eastAsia="zh-CN"/>
        </w:rPr>
      </w:pPr>
      <w:r>
        <w:rPr>
          <w:rFonts w:hint="default"/>
          <w:lang w:val="en-US" w:eastAsia="zh-CN"/>
        </w:rPr>
        <w:t>法定代表人：董宝华</w:t>
      </w:r>
      <w:r>
        <w:rPr>
          <w:rFonts w:hint="eastAsia"/>
          <w:lang w:val="en-US" w:eastAsia="zh-CN"/>
        </w:rPr>
        <w:t>；</w:t>
      </w:r>
    </w:p>
    <w:p w14:paraId="14A991B0">
      <w:pPr>
        <w:pStyle w:val="18"/>
        <w:rPr>
          <w:rFonts w:hint="default"/>
          <w:lang w:val="en-US" w:eastAsia="zh-CN"/>
        </w:rPr>
      </w:pPr>
      <w:r>
        <w:rPr>
          <w:rFonts w:hint="default"/>
          <w:lang w:val="en-US" w:eastAsia="zh-CN"/>
        </w:rPr>
        <w:t>经营范围：菱镁矿、滑石；销售：镁石、镁砂、轻烧镁、滑石粉、电熔镁、钢材、喷补料（依法须经批准的项目，经相关部门批准后方可开展经营活动。）</w:t>
      </w:r>
      <w:r>
        <w:rPr>
          <w:rFonts w:hint="eastAsia"/>
          <w:lang w:val="en-US" w:eastAsia="zh-CN"/>
        </w:rPr>
        <w:t>；</w:t>
      </w:r>
    </w:p>
    <w:p w14:paraId="334EBF4B">
      <w:pPr>
        <w:pStyle w:val="18"/>
        <w:rPr>
          <w:rFonts w:hint="default"/>
          <w:lang w:val="en-US" w:eastAsia="zh-CN"/>
        </w:rPr>
      </w:pPr>
      <w:r>
        <w:rPr>
          <w:rFonts w:hint="default"/>
          <w:lang w:val="en-US" w:eastAsia="zh-CN"/>
        </w:rPr>
        <w:t>成立日期：1998年06月30日</w:t>
      </w:r>
      <w:r>
        <w:rPr>
          <w:rFonts w:hint="eastAsia"/>
          <w:lang w:val="en-US" w:eastAsia="zh-CN"/>
        </w:rPr>
        <w:t>；</w:t>
      </w:r>
    </w:p>
    <w:p w14:paraId="41843939">
      <w:pPr>
        <w:pStyle w:val="18"/>
        <w:rPr>
          <w:rFonts w:hint="default"/>
          <w:lang w:val="en-US" w:eastAsia="zh-CN"/>
        </w:rPr>
      </w:pPr>
      <w:r>
        <w:rPr>
          <w:rFonts w:hint="default"/>
          <w:lang w:val="en-US" w:eastAsia="zh-CN"/>
        </w:rPr>
        <w:t>经营住所：海城市马风镇梨树村</w:t>
      </w:r>
      <w:r>
        <w:rPr>
          <w:rFonts w:hint="eastAsia"/>
          <w:lang w:val="en-US" w:eastAsia="zh-CN"/>
        </w:rPr>
        <w:t>；</w:t>
      </w:r>
    </w:p>
    <w:p w14:paraId="2C04CD54">
      <w:pPr>
        <w:pStyle w:val="18"/>
        <w:rPr>
          <w:rFonts w:hint="default"/>
          <w:lang w:val="en-US" w:eastAsia="zh-CN"/>
        </w:rPr>
      </w:pPr>
      <w:r>
        <w:rPr>
          <w:rFonts w:hint="default"/>
          <w:lang w:val="en-US" w:eastAsia="zh-CN"/>
        </w:rPr>
        <w:t>登记机关：海城市市场监督管理局</w:t>
      </w:r>
      <w:r>
        <w:rPr>
          <w:rFonts w:hint="eastAsia"/>
          <w:lang w:val="en-US" w:eastAsia="zh-CN"/>
        </w:rPr>
        <w:t>。</w:t>
      </w:r>
    </w:p>
    <w:p w14:paraId="0308AF04">
      <w:pPr>
        <w:pStyle w:val="18"/>
        <w:rPr>
          <w:rFonts w:hint="default"/>
          <w:lang w:val="en-US" w:eastAsia="zh-CN"/>
        </w:rPr>
      </w:pPr>
      <w:r>
        <w:rPr>
          <w:rFonts w:hint="eastAsia"/>
          <w:lang w:val="en-US" w:eastAsia="zh-CN"/>
        </w:rPr>
        <w:t>（2）</w:t>
      </w:r>
      <w:r>
        <w:rPr>
          <w:rFonts w:hint="default"/>
          <w:lang w:val="en-US" w:eastAsia="zh-CN"/>
        </w:rPr>
        <w:t>《采矿许可证》</w:t>
      </w:r>
    </w:p>
    <w:p w14:paraId="7E11B8CE">
      <w:pPr>
        <w:pStyle w:val="18"/>
        <w:rPr>
          <w:rFonts w:hint="default"/>
          <w:lang w:val="en-US" w:eastAsia="zh-CN"/>
        </w:rPr>
      </w:pPr>
      <w:r>
        <w:rPr>
          <w:rFonts w:hint="default"/>
          <w:lang w:val="en-US" w:eastAsia="zh-CN"/>
        </w:rPr>
        <w:t>证    号：C</w:t>
      </w:r>
      <w:r>
        <w:rPr>
          <w:rFonts w:hint="eastAsia"/>
          <w:lang w:val="en-US" w:eastAsia="zh-CN"/>
        </w:rPr>
        <w:t>XXXXXXXXXXXXXXXXX；</w:t>
      </w:r>
    </w:p>
    <w:p w14:paraId="45178DA2">
      <w:pPr>
        <w:pStyle w:val="18"/>
        <w:rPr>
          <w:rFonts w:hint="default"/>
          <w:lang w:val="en-US" w:eastAsia="zh-CN"/>
        </w:rPr>
      </w:pPr>
      <w:r>
        <w:rPr>
          <w:rFonts w:hint="default"/>
          <w:lang w:val="en-US" w:eastAsia="zh-CN"/>
        </w:rPr>
        <w:t>采矿权人：海城市荣富耐火材料有限公司</w:t>
      </w:r>
      <w:r>
        <w:rPr>
          <w:rFonts w:hint="eastAsia"/>
          <w:lang w:val="en-US" w:eastAsia="zh-CN"/>
        </w:rPr>
        <w:t>；</w:t>
      </w:r>
    </w:p>
    <w:p w14:paraId="5C393D74">
      <w:pPr>
        <w:pStyle w:val="18"/>
        <w:rPr>
          <w:rFonts w:hint="default"/>
          <w:lang w:val="en-US" w:eastAsia="zh-CN"/>
        </w:rPr>
      </w:pPr>
      <w:r>
        <w:rPr>
          <w:rFonts w:hint="default"/>
          <w:lang w:val="en-US" w:eastAsia="zh-CN"/>
        </w:rPr>
        <w:t>地    址：海城市马风镇梨树村</w:t>
      </w:r>
      <w:r>
        <w:rPr>
          <w:rFonts w:hint="eastAsia"/>
          <w:lang w:val="en-US" w:eastAsia="zh-CN"/>
        </w:rPr>
        <w:t>；</w:t>
      </w:r>
    </w:p>
    <w:p w14:paraId="73538CA2">
      <w:pPr>
        <w:pStyle w:val="18"/>
        <w:rPr>
          <w:rFonts w:hint="default"/>
          <w:lang w:val="en-US" w:eastAsia="zh-CN"/>
        </w:rPr>
      </w:pPr>
      <w:r>
        <w:rPr>
          <w:rFonts w:hint="default"/>
          <w:lang w:val="en-US" w:eastAsia="zh-CN"/>
        </w:rPr>
        <w:t>矿山名称：海城市荣富耐火材料有限公司镁矿</w:t>
      </w:r>
      <w:r>
        <w:rPr>
          <w:rFonts w:hint="eastAsia"/>
          <w:lang w:val="en-US" w:eastAsia="zh-CN"/>
        </w:rPr>
        <w:t>；</w:t>
      </w:r>
    </w:p>
    <w:p w14:paraId="73EE7EC2">
      <w:pPr>
        <w:pStyle w:val="18"/>
        <w:rPr>
          <w:rFonts w:hint="default"/>
          <w:lang w:val="en-US" w:eastAsia="zh-CN"/>
        </w:rPr>
      </w:pPr>
      <w:r>
        <w:rPr>
          <w:rFonts w:hint="default"/>
          <w:lang w:val="en-US" w:eastAsia="zh-CN"/>
        </w:rPr>
        <w:t>经济类型：有限责任公司</w:t>
      </w:r>
      <w:r>
        <w:rPr>
          <w:rFonts w:hint="eastAsia"/>
          <w:lang w:val="en-US" w:eastAsia="zh-CN"/>
        </w:rPr>
        <w:t>；</w:t>
      </w:r>
    </w:p>
    <w:p w14:paraId="567CD4F2">
      <w:pPr>
        <w:pStyle w:val="18"/>
        <w:rPr>
          <w:rFonts w:hint="default"/>
          <w:lang w:val="en-US" w:eastAsia="zh-CN"/>
        </w:rPr>
      </w:pPr>
      <w:r>
        <w:rPr>
          <w:rFonts w:hint="default"/>
          <w:lang w:val="en-US" w:eastAsia="zh-CN"/>
        </w:rPr>
        <w:t>开采矿种：菱镁矿、滑石</w:t>
      </w:r>
      <w:r>
        <w:rPr>
          <w:rFonts w:hint="eastAsia"/>
          <w:lang w:val="en-US" w:eastAsia="zh-CN"/>
        </w:rPr>
        <w:t>；</w:t>
      </w:r>
    </w:p>
    <w:p w14:paraId="7A1FC01F">
      <w:pPr>
        <w:pStyle w:val="18"/>
        <w:rPr>
          <w:rFonts w:hint="default"/>
          <w:lang w:val="en-US" w:eastAsia="zh-CN"/>
        </w:rPr>
      </w:pPr>
      <w:r>
        <w:rPr>
          <w:rFonts w:hint="default"/>
          <w:lang w:val="en-US" w:eastAsia="zh-CN"/>
        </w:rPr>
        <w:t>开采方式：露天/地下开采</w:t>
      </w:r>
      <w:r>
        <w:rPr>
          <w:rFonts w:hint="eastAsia"/>
          <w:lang w:val="en-US" w:eastAsia="zh-CN"/>
        </w:rPr>
        <w:t>；</w:t>
      </w:r>
    </w:p>
    <w:p w14:paraId="0EE70606">
      <w:pPr>
        <w:pStyle w:val="18"/>
        <w:rPr>
          <w:rFonts w:hint="default"/>
          <w:lang w:val="en-US" w:eastAsia="zh-CN"/>
        </w:rPr>
      </w:pPr>
      <w:r>
        <w:rPr>
          <w:rFonts w:hint="default"/>
          <w:lang w:val="en-US" w:eastAsia="zh-CN"/>
        </w:rPr>
        <w:t>核准生产规模：</w:t>
      </w:r>
      <w:r>
        <w:rPr>
          <w:rFonts w:hint="eastAsia"/>
          <w:lang w:val="en-US" w:eastAsia="zh-CN"/>
        </w:rPr>
        <w:t>XXXXXXX；</w:t>
      </w:r>
    </w:p>
    <w:p w14:paraId="6D3748CB">
      <w:pPr>
        <w:pStyle w:val="18"/>
        <w:rPr>
          <w:rFonts w:hint="default"/>
          <w:lang w:val="en-US" w:eastAsia="zh-CN"/>
        </w:rPr>
      </w:pPr>
      <w:r>
        <w:rPr>
          <w:rFonts w:hint="default"/>
          <w:lang w:val="en-US" w:eastAsia="zh-CN"/>
        </w:rPr>
        <w:t>核准矿区面积：0.3908km</w:t>
      </w:r>
      <w:r>
        <w:rPr>
          <w:rFonts w:hint="default"/>
          <w:vertAlign w:val="superscript"/>
          <w:lang w:val="en-US" w:eastAsia="zh-CN"/>
        </w:rPr>
        <w:t>2</w:t>
      </w:r>
      <w:r>
        <w:rPr>
          <w:rFonts w:hint="eastAsia"/>
          <w:lang w:val="en-US" w:eastAsia="zh-CN"/>
        </w:rPr>
        <w:t>；</w:t>
      </w:r>
    </w:p>
    <w:p w14:paraId="589EBDA8">
      <w:pPr>
        <w:pStyle w:val="18"/>
        <w:rPr>
          <w:rFonts w:hint="default"/>
          <w:lang w:val="en-US" w:eastAsia="zh-CN"/>
        </w:rPr>
      </w:pPr>
      <w:r>
        <w:rPr>
          <w:rFonts w:hint="default"/>
          <w:lang w:val="en-US" w:eastAsia="zh-CN"/>
        </w:rPr>
        <w:t>核准开采标高：+320m至-70m</w:t>
      </w:r>
      <w:r>
        <w:rPr>
          <w:rFonts w:hint="eastAsia"/>
          <w:lang w:val="en-US" w:eastAsia="zh-CN"/>
        </w:rPr>
        <w:t>；</w:t>
      </w:r>
    </w:p>
    <w:p w14:paraId="0E9C4016">
      <w:pPr>
        <w:pStyle w:val="18"/>
        <w:rPr>
          <w:rFonts w:hint="default"/>
          <w:lang w:val="en-US" w:eastAsia="zh-CN"/>
        </w:rPr>
      </w:pPr>
      <w:r>
        <w:rPr>
          <w:rFonts w:hint="default"/>
          <w:lang w:val="en-US" w:eastAsia="zh-CN"/>
        </w:rPr>
        <w:t>有效期限：2022年6月19日至2025年12月19日</w:t>
      </w:r>
      <w:r>
        <w:rPr>
          <w:rFonts w:hint="eastAsia"/>
          <w:lang w:val="en-US" w:eastAsia="zh-CN"/>
        </w:rPr>
        <w:t>；</w:t>
      </w:r>
    </w:p>
    <w:p w14:paraId="5F35A98A">
      <w:pPr>
        <w:pStyle w:val="18"/>
        <w:rPr>
          <w:rFonts w:hint="eastAsia"/>
          <w:lang w:val="en-US" w:eastAsia="zh-CN"/>
        </w:rPr>
      </w:pPr>
      <w:r>
        <w:rPr>
          <w:rFonts w:hint="default"/>
          <w:lang w:val="en-US" w:eastAsia="zh-CN"/>
        </w:rPr>
        <w:t>发证机关：辽宁省自然资源厅</w:t>
      </w:r>
      <w:r>
        <w:rPr>
          <w:rFonts w:hint="eastAsia"/>
          <w:lang w:val="en-US" w:eastAsia="zh-CN"/>
        </w:rPr>
        <w:t>。</w:t>
      </w:r>
    </w:p>
    <w:p w14:paraId="648CD5BE">
      <w:pPr>
        <w:pStyle w:val="25"/>
        <w:bidi w:val="0"/>
        <w:ind w:left="720" w:leftChars="0" w:hanging="720" w:firstLineChars="0"/>
        <w:rPr>
          <w:rFonts w:hint="default"/>
          <w:lang w:val="en-US" w:eastAsia="zh-CN"/>
        </w:rPr>
      </w:pPr>
      <w:r>
        <w:rPr>
          <w:rFonts w:hint="eastAsia"/>
          <w:lang w:val="en-US" w:eastAsia="zh-CN"/>
        </w:rPr>
        <w:t>建设项目历史沿革</w:t>
      </w:r>
    </w:p>
    <w:p w14:paraId="6334167C">
      <w:pPr>
        <w:pStyle w:val="18"/>
        <w:rPr>
          <w:rFonts w:hint="default"/>
          <w:lang w:val="en-US" w:eastAsia="zh-CN"/>
        </w:rPr>
      </w:pPr>
      <w:r>
        <w:rPr>
          <w:rFonts w:hint="eastAsia"/>
          <w:lang w:val="en-US" w:eastAsia="zh-CN"/>
        </w:rPr>
        <w:t>矿山</w:t>
      </w:r>
      <w:r>
        <w:rPr>
          <w:rFonts w:hint="default"/>
          <w:lang w:val="en-US" w:eastAsia="zh-CN"/>
        </w:rPr>
        <w:t>始建于2000年，2007年海城市荣富耐火材料有限公司（北采区）与海城市东方滑镁公司（南采区）进行整合，整合后矿山名称为海城市荣富耐火材料有限公司镁矿，采矿权人为海城市荣富耐火材料有限公司。</w:t>
      </w:r>
    </w:p>
    <w:p w14:paraId="174A371F">
      <w:pPr>
        <w:pStyle w:val="18"/>
        <w:rPr>
          <w:rFonts w:hint="eastAsia"/>
          <w:lang w:val="en-US" w:eastAsia="zh-CN"/>
        </w:rPr>
      </w:pPr>
      <w:r>
        <w:rPr>
          <w:rFonts w:hint="default"/>
          <w:lang w:val="en-US" w:eastAsia="zh-CN"/>
        </w:rPr>
        <w:t>2019年</w:t>
      </w:r>
      <w:r>
        <w:rPr>
          <w:rFonts w:hint="eastAsia"/>
          <w:lang w:val="en-US" w:eastAsia="zh-CN"/>
        </w:rPr>
        <w:t>，</w:t>
      </w:r>
      <w:r>
        <w:rPr>
          <w:rFonts w:hint="default"/>
          <w:lang w:val="en-US" w:eastAsia="zh-CN"/>
        </w:rPr>
        <w:t>为了合理有效的利用矿区内的矿产资源，根据《自然资源部关于推进矿产资源管理改革若干事项的意见（试行）》（自然资规〔2019〕7号）文件要求，海城市荣富耐火材料有限公司，委托辽宁省第七地质大队有限责任公司，先后投入了槽探、钻探等地质工作，对矿区内的菱镁矿、滑石矿进行地质勘查</w:t>
      </w:r>
      <w:r>
        <w:rPr>
          <w:rFonts w:hint="eastAsia"/>
          <w:lang w:val="en-US" w:eastAsia="zh-CN"/>
        </w:rPr>
        <w:t>。2020年7月28日，辽宁溪源土地矿产资源评估有限公司组织相关专家对《辽宁省海城市红土岭矿区荣富菱镁矿、滑石矿资源储量核实报告》进行了评审，出具了《&lt;辽宁省海城市红土岭矿区荣富菱镁矿、滑石矿资源储量核实报告〉评审意见书》（辽溪评（储）字辽〔2020〕016号）。2020年9月14日，辽宁省自然资源厅以辽自然资储备字[2020]079号文对《&lt;辽宁省海城市红土岭矿区荣富菱镁矿、滑石矿资源储量核实报告&gt;评审意见书》予以备案。</w:t>
      </w:r>
    </w:p>
    <w:p w14:paraId="1EB6D5D1">
      <w:pPr>
        <w:pStyle w:val="18"/>
        <w:rPr>
          <w:rFonts w:hint="eastAsia"/>
          <w:lang w:val="en-US" w:eastAsia="zh-CN"/>
        </w:rPr>
      </w:pPr>
      <w:r>
        <w:rPr>
          <w:rFonts w:hint="default"/>
          <w:lang w:val="en-US" w:eastAsia="zh-CN"/>
        </w:rPr>
        <w:t>2022年5月，海城市荣富耐火材料有限公司委托沈阳一方正和工程技术咨询有限公司编制《海城市荣富耐火材料有限公司镁矿（菱镁矿、滑石矿）矿产资源开发利用方案》，并经过辽宁省自然资源事务服务中心审查备案</w:t>
      </w:r>
      <w:r>
        <w:rPr>
          <w:rFonts w:hint="eastAsia"/>
          <w:lang w:val="en-US" w:eastAsia="zh-CN"/>
        </w:rPr>
        <w:t>。</w:t>
      </w:r>
    </w:p>
    <w:p w14:paraId="60A41C47">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2022年10月25日，辽宁省自然资源厅下发了海城市荣富耐火材料有限公司《采矿许可证》，开采矿种菱镁矿、滑石，开采方式露天/地下开采，生产规模</w:t>
      </w:r>
      <w:r>
        <w:rPr>
          <w:rFonts w:hint="eastAsia"/>
          <w:lang w:val="en-US" w:eastAsia="zh-CN"/>
        </w:rPr>
        <w:t>XXXXXXX</w:t>
      </w:r>
      <w:r>
        <w:rPr>
          <w:rFonts w:hint="default"/>
          <w:lang w:val="en-US" w:eastAsia="zh-CN"/>
        </w:rPr>
        <w:t>，矿区面积0.3908km</w:t>
      </w:r>
      <w:r>
        <w:rPr>
          <w:rFonts w:hint="default"/>
          <w:vertAlign w:val="superscript"/>
          <w:lang w:val="en-US" w:eastAsia="zh-CN"/>
        </w:rPr>
        <w:t>2</w:t>
      </w:r>
      <w:r>
        <w:rPr>
          <w:rFonts w:hint="default"/>
          <w:lang w:val="en-US" w:eastAsia="zh-CN"/>
        </w:rPr>
        <w:t>。</w:t>
      </w:r>
    </w:p>
    <w:p w14:paraId="3DFEBF19">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2023年1月，海城市荣富耐火材料有限公司，委托沈阳嘉纳工程技术有限公司，完成了《海城市荣富耐火材料有限公司镁矿（菱镁石、滑石）露天矿山建设项目初步设计》和《海城市荣富耐火材料有限公司镁矿（菱镁石、滑石）露天矿山建设项目安全设施设计》的编制工作。经鞍山市应急管理局组织专家审查通过，并下发了《关于海城市荣富耐火材料有限公司镁矿（菱镁石、滑石）露天矿山建设项目安全设施设计的批复》(鞍应急矿设复[2023]3号)。</w:t>
      </w:r>
    </w:p>
    <w:p w14:paraId="412DBA5A">
      <w:pPr>
        <w:pStyle w:val="18"/>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建设</w:t>
      </w:r>
      <w:r>
        <w:rPr>
          <w:rFonts w:hint="default"/>
          <w:lang w:val="en-US" w:eastAsia="zh-CN"/>
        </w:rPr>
        <w:t>项目于2023年4月开工建设，于2025年2月竣工，基建期共22个月</w:t>
      </w:r>
      <w:r>
        <w:rPr>
          <w:rFonts w:hint="eastAsia"/>
          <w:lang w:val="en-US" w:eastAsia="zh-CN"/>
        </w:rPr>
        <w:t>。</w:t>
      </w:r>
      <w:r>
        <w:rPr>
          <w:rFonts w:hint="default"/>
          <w:lang w:val="en-US" w:eastAsia="zh-CN"/>
        </w:rPr>
        <w:t>企业委托辽宁泓远建设有限公司，对项目基建工程进行了施工，工程竣工后，施工单位出具了《竣工报告》；企业委托吉林东北亚国际工程技术集团有限公司，对项目基建工程进行监理，工程建设完成后，监理单位出具了《监理报告》</w:t>
      </w:r>
      <w:r>
        <w:rPr>
          <w:rFonts w:hint="eastAsia"/>
          <w:lang w:val="en-US" w:eastAsia="zh-CN"/>
        </w:rPr>
        <w:t>。</w:t>
      </w:r>
    </w:p>
    <w:p w14:paraId="7C6D0B0E">
      <w:pPr>
        <w:pStyle w:val="18"/>
        <w:keepNext w:val="0"/>
        <w:keepLines w:val="0"/>
        <w:pageBreakBefore w:val="0"/>
        <w:widowControl w:val="0"/>
        <w:kinsoku/>
        <w:wordWrap/>
        <w:overflowPunct/>
        <w:topLinePunct w:val="0"/>
        <w:autoSpaceDE/>
        <w:autoSpaceDN/>
        <w:bidi w:val="0"/>
        <w:adjustRightInd w:val="0"/>
        <w:snapToGrid w:val="0"/>
        <w:textAlignment w:val="auto"/>
        <w:rPr>
          <w:rFonts w:hint="eastAsia"/>
          <w:lang w:val="en-US" w:eastAsia="zh-CN"/>
        </w:rPr>
      </w:pPr>
      <w:r>
        <w:rPr>
          <w:rFonts w:hint="eastAsia"/>
          <w:lang w:val="en-US" w:eastAsia="zh-CN"/>
        </w:rPr>
        <w:t>项目竣工后，海城市荣富耐火材料有限公司镁矿（菱镁石、滑石）露天矿山建设项目随即进入一个月的试运转，试运转期间，安全设施运行效果良好，未发生安全生产事故。</w:t>
      </w:r>
    </w:p>
    <w:p w14:paraId="5C40C18F">
      <w:pPr>
        <w:pStyle w:val="25"/>
        <w:bidi w:val="0"/>
        <w:ind w:left="720" w:leftChars="0" w:hanging="720" w:firstLineChars="0"/>
        <w:rPr>
          <w:rFonts w:hint="default"/>
          <w:lang w:val="en-US" w:eastAsia="zh-CN"/>
        </w:rPr>
      </w:pPr>
      <w:r>
        <w:rPr>
          <w:rFonts w:hint="eastAsia"/>
          <w:lang w:val="en-US" w:eastAsia="zh-CN"/>
        </w:rPr>
        <w:t>矿山位置</w:t>
      </w:r>
    </w:p>
    <w:p w14:paraId="40646BE8">
      <w:pPr>
        <w:pStyle w:val="18"/>
        <w:rPr>
          <w:rFonts w:hint="default"/>
          <w:lang w:val="en-US" w:eastAsia="zh-CN"/>
        </w:rPr>
      </w:pPr>
      <w:r>
        <w:rPr>
          <w:rFonts w:hint="default"/>
          <w:lang w:val="en-US" w:eastAsia="zh-CN"/>
        </w:rPr>
        <w:t>海城市荣富耐火材料有限公司镁矿（菱镁矿、滑石矿）地处辽宁省海城市析木镇红土岭村郭家窑，行政隶属于海城市析木镇红土岭村管辖。</w:t>
      </w:r>
    </w:p>
    <w:p w14:paraId="6DE49130">
      <w:pPr>
        <w:pStyle w:val="18"/>
        <w:rPr>
          <w:rFonts w:hint="default"/>
          <w:lang w:val="en-US" w:eastAsia="zh-CN"/>
        </w:rPr>
      </w:pPr>
      <w:r>
        <w:rPr>
          <w:rFonts w:hint="default"/>
          <w:lang w:val="en-US" w:eastAsia="zh-CN"/>
        </w:rPr>
        <w:t>矿区位于海城市东南约130°方位，直线距离约20km处</w:t>
      </w:r>
      <w:r>
        <w:rPr>
          <w:rFonts w:hint="eastAsia"/>
          <w:lang w:val="en-US" w:eastAsia="zh-CN"/>
        </w:rPr>
        <w:t>，地理坐标为东经：</w:t>
      </w:r>
      <w:r>
        <w:rPr>
          <w:rFonts w:hint="eastAsia" w:cs="Times New Roman"/>
          <w:lang w:val="en-US" w:eastAsia="zh-CN"/>
        </w:rPr>
        <w:t>XXXXXXX</w:t>
      </w:r>
      <w:r>
        <w:rPr>
          <w:rFonts w:hint="default" w:ascii="Times New Roman" w:hAnsi="Times New Roman" w:cs="Times New Roman"/>
          <w:lang w:val="en-US" w:eastAsia="zh-CN"/>
        </w:rPr>
        <w:t>；北纬：</w:t>
      </w:r>
      <w:r>
        <w:rPr>
          <w:rFonts w:hint="eastAsia" w:cs="Times New Roman"/>
          <w:lang w:val="en-US" w:eastAsia="zh-CN"/>
        </w:rPr>
        <w:t>XXXXXXX</w:t>
      </w:r>
      <w:r>
        <w:rPr>
          <w:rFonts w:hint="eastAsia"/>
          <w:lang w:val="en-US" w:eastAsia="zh-CN"/>
        </w:rPr>
        <w:t>。</w:t>
      </w:r>
      <w:r>
        <w:rPr>
          <w:rFonts w:hint="default"/>
          <w:lang w:val="en-US" w:eastAsia="zh-CN"/>
        </w:rPr>
        <w:t>汤析线村级公路自矿区东部通过，距丹锡高速（G16）析木出入口运距约12km，另有S322、S312省级公路自矿区周边经过，交通极为方便（详见图2</w:t>
      </w:r>
      <w:r>
        <w:rPr>
          <w:rFonts w:hint="eastAsia"/>
          <w:lang w:val="en-US" w:eastAsia="zh-CN"/>
        </w:rPr>
        <w:t>.1-</w:t>
      </w:r>
      <w:r>
        <w:rPr>
          <w:rFonts w:hint="default"/>
          <w:lang w:val="en-US" w:eastAsia="zh-CN"/>
        </w:rPr>
        <w:t>1交通位置图）。</w:t>
      </w:r>
    </w:p>
    <w:p w14:paraId="4AE7AC9C">
      <w:pPr>
        <w:pStyle w:val="26"/>
        <w:keepNext w:val="0"/>
        <w:keepLines w:val="0"/>
        <w:pageBreakBefore w:val="0"/>
        <w:widowControl/>
        <w:kinsoku/>
        <w:wordWrap/>
        <w:overflowPunct/>
        <w:topLinePunct w:val="0"/>
        <w:autoSpaceDE/>
        <w:autoSpaceDN/>
        <w:bidi w:val="0"/>
        <w:adjustRightInd w:val="0"/>
        <w:snapToGrid w:val="0"/>
        <w:spacing w:before="0" w:beforeLines="0"/>
        <w:textAlignment w:val="auto"/>
        <w:rPr>
          <w:rFonts w:ascii="Times New Roman" w:hAnsi="Times New Roman" w:eastAsia="宋体" w:cs="Times New Roman"/>
          <w:caps w:val="0"/>
          <w:smallCaps w:val="0"/>
          <w:color w:val="auto"/>
          <w:kern w:val="2"/>
          <w:sz w:val="21"/>
          <w:szCs w:val="24"/>
          <w:highlight w:val="none"/>
          <w:lang w:val="en-US" w:eastAsia="zh-CN" w:bidi="ar-SA"/>
        </w:rPr>
      </w:pPr>
      <w:r>
        <w:rPr>
          <w:rFonts w:ascii="Times New Roman" w:hAnsi="Times New Roman" w:eastAsia="宋体" w:cs="Times New Roman"/>
          <w:caps w:val="0"/>
          <w:smallCaps w:val="0"/>
          <w:color w:val="auto"/>
          <w:kern w:val="2"/>
          <w:sz w:val="21"/>
          <w:szCs w:val="24"/>
          <w:highlight w:val="none"/>
          <w:lang w:val="en-US" w:eastAsia="zh-CN" w:bidi="ar-SA"/>
        </w:rPr>
        <w:drawing>
          <wp:inline distT="0" distB="0" distL="114300" distR="114300">
            <wp:extent cx="5386070" cy="7138670"/>
            <wp:effectExtent l="0" t="0" r="5080" b="50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5386070" cy="7138670"/>
                    </a:xfrm>
                    <a:prstGeom prst="rect">
                      <a:avLst/>
                    </a:prstGeom>
                    <a:noFill/>
                    <a:ln>
                      <a:noFill/>
                    </a:ln>
                  </pic:spPr>
                </pic:pic>
              </a:graphicData>
            </a:graphic>
          </wp:inline>
        </w:drawing>
      </w:r>
    </w:p>
    <w:p w14:paraId="3BF59C4B">
      <w:pPr>
        <w:spacing w:line="520" w:lineRule="exact"/>
        <w:ind w:firstLine="422"/>
        <w:jc w:val="center"/>
        <w:rPr>
          <w:rFonts w:ascii="Times New Roman" w:hAnsi="Times New Roman" w:eastAsia="宋体"/>
          <w:b/>
          <w:bCs/>
          <w:color w:val="000000"/>
          <w:sz w:val="21"/>
          <w:szCs w:val="21"/>
        </w:rPr>
      </w:pPr>
      <w:r>
        <w:rPr>
          <w:rFonts w:ascii="Times New Roman" w:hAnsi="Times New Roman" w:eastAsia="宋体"/>
          <w:b/>
          <w:bCs/>
          <w:color w:val="000000"/>
          <w:sz w:val="21"/>
          <w:szCs w:val="21"/>
        </w:rPr>
        <w:t>图</w:t>
      </w:r>
      <w:r>
        <w:rPr>
          <w:rFonts w:hint="eastAsia" w:ascii="Times New Roman" w:hAnsi="Times New Roman" w:eastAsia="宋体"/>
          <w:b/>
          <w:bCs/>
          <w:color w:val="000000"/>
          <w:sz w:val="21"/>
          <w:szCs w:val="21"/>
          <w:lang w:val="en-US" w:eastAsia="zh-CN"/>
        </w:rPr>
        <w:t>2.1</w:t>
      </w:r>
      <w:r>
        <w:rPr>
          <w:rFonts w:hint="eastAsia" w:ascii="Times New Roman" w:hAnsi="Times New Roman" w:eastAsia="宋体"/>
          <w:b/>
          <w:bCs/>
          <w:color w:val="000000"/>
          <w:sz w:val="21"/>
          <w:szCs w:val="21"/>
        </w:rPr>
        <w:t>-</w:t>
      </w:r>
      <w:r>
        <w:rPr>
          <w:rFonts w:ascii="Times New Roman" w:hAnsi="Times New Roman" w:eastAsia="宋体"/>
          <w:b/>
          <w:bCs/>
          <w:color w:val="000000"/>
          <w:sz w:val="21"/>
          <w:szCs w:val="21"/>
        </w:rPr>
        <w:t xml:space="preserve">1 </w:t>
      </w:r>
      <w:r>
        <w:rPr>
          <w:rFonts w:hint="eastAsia" w:ascii="Times New Roman" w:hAnsi="Times New Roman" w:eastAsia="宋体"/>
          <w:b/>
          <w:bCs/>
          <w:color w:val="000000"/>
          <w:sz w:val="21"/>
          <w:szCs w:val="21"/>
          <w:lang w:val="en-US" w:eastAsia="zh-CN"/>
        </w:rPr>
        <w:t xml:space="preserve"> </w:t>
      </w:r>
      <w:r>
        <w:rPr>
          <w:rFonts w:ascii="Times New Roman" w:hAnsi="Times New Roman" w:eastAsia="宋体"/>
          <w:b/>
          <w:bCs/>
          <w:color w:val="000000"/>
          <w:sz w:val="21"/>
          <w:szCs w:val="21"/>
        </w:rPr>
        <w:t>交通位置图</w:t>
      </w:r>
    </w:p>
    <w:p w14:paraId="6823C2A7">
      <w:pPr>
        <w:pStyle w:val="25"/>
        <w:bidi w:val="0"/>
        <w:ind w:left="720" w:leftChars="0" w:hanging="720" w:firstLineChars="0"/>
        <w:rPr>
          <w:rFonts w:hint="default"/>
          <w:lang w:val="en-US" w:eastAsia="zh-CN"/>
        </w:rPr>
      </w:pPr>
      <w:r>
        <w:rPr>
          <w:rFonts w:hint="eastAsia"/>
          <w:lang w:val="en-US" w:eastAsia="zh-CN"/>
        </w:rPr>
        <w:t>矿区周边环境</w:t>
      </w:r>
    </w:p>
    <w:p w14:paraId="013BDEBA">
      <w:pPr>
        <w:pStyle w:val="18"/>
        <w:rPr>
          <w:rFonts w:hint="default"/>
          <w:lang w:val="en-US" w:eastAsia="zh-CN"/>
        </w:rPr>
      </w:pPr>
      <w:r>
        <w:rPr>
          <w:rFonts w:hint="eastAsia"/>
          <w:lang w:val="en-US" w:eastAsia="zh-CN"/>
        </w:rPr>
        <w:t>1、</w:t>
      </w:r>
      <w:r>
        <w:rPr>
          <w:rFonts w:hint="default"/>
          <w:lang w:val="en-US" w:eastAsia="zh-CN"/>
        </w:rPr>
        <w:t>厂房</w:t>
      </w:r>
    </w:p>
    <w:p w14:paraId="380E3CF1">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矿区西北侧为海城市宇鑫矿产品销售有限公司，加工车间与矿界的最近距离为109m，该公司从事非金属矿及制品销售，非金属矿物制品制造，选矿，矿物洗选加工，耐火材料销售；</w:t>
      </w:r>
    </w:p>
    <w:p w14:paraId="346B4734">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矿区东北侧为海城市旭东洋矿产品有限公司，该公司一个厂房和一个库房的部分区域位于矿界内。该公司主要生产加工轻烧镁、镁砂、镁石、滑石、滑石粉及镁制品；</w:t>
      </w:r>
    </w:p>
    <w:p w14:paraId="196242FD">
      <w:pPr>
        <w:pStyle w:val="18"/>
        <w:rPr>
          <w:rFonts w:hint="default"/>
          <w:lang w:val="en-US" w:eastAsia="zh-CN"/>
        </w:rPr>
      </w:pPr>
      <w:r>
        <w:rPr>
          <w:rFonts w:hint="default"/>
          <w:lang w:val="en-US" w:eastAsia="zh-CN"/>
        </w:rPr>
        <w:t>矿区中部为海城市勇胜镁制品制造有限公司，该公司位于矿界内。该公司主要经营范围为轻烧粉、轻烧镁球、耐火材料生产。</w:t>
      </w:r>
    </w:p>
    <w:p w14:paraId="5C6EAEEC">
      <w:pPr>
        <w:pStyle w:val="18"/>
        <w:rPr>
          <w:rFonts w:hint="default"/>
          <w:lang w:val="en-US" w:eastAsia="zh-CN"/>
        </w:rPr>
      </w:pPr>
      <w:r>
        <w:rPr>
          <w:rFonts w:hint="default"/>
          <w:lang w:val="en-US" w:eastAsia="zh-CN"/>
        </w:rPr>
        <w:t>矿区东南侧为海城天泽矿业有限公司，该公司位于矿界内。该公司经营范围主要包括镁制品等。</w:t>
      </w:r>
    </w:p>
    <w:p w14:paraId="68E29203">
      <w:pPr>
        <w:pStyle w:val="18"/>
        <w:rPr>
          <w:rFonts w:hint="default"/>
          <w:lang w:val="en-US" w:eastAsia="zh-CN"/>
        </w:rPr>
      </w:pPr>
      <w:r>
        <w:rPr>
          <w:rFonts w:hint="default"/>
          <w:lang w:val="en-US" w:eastAsia="zh-CN"/>
        </w:rPr>
        <w:t>矿山与海城市宇鑫矿产品销售有限公司、海城市勇胜镁制品制造有限公司、海城天泽矿业有限公司、海城市旭东洋矿产品有限公司签订了避炮协议，各方共同做好安全警戒工作，确保相互生产安全。</w:t>
      </w:r>
    </w:p>
    <w:p w14:paraId="4019BD45">
      <w:pPr>
        <w:pStyle w:val="18"/>
        <w:rPr>
          <w:rFonts w:hint="default"/>
          <w:lang w:val="en-US" w:eastAsia="zh-CN"/>
        </w:rPr>
      </w:pPr>
      <w:r>
        <w:rPr>
          <w:rFonts w:hint="eastAsia"/>
          <w:lang w:val="en-US" w:eastAsia="zh-CN"/>
        </w:rPr>
        <w:t>2、</w:t>
      </w:r>
      <w:r>
        <w:rPr>
          <w:rFonts w:hint="default"/>
          <w:lang w:val="en-US" w:eastAsia="zh-CN"/>
        </w:rPr>
        <w:t>矿山</w:t>
      </w:r>
    </w:p>
    <w:p w14:paraId="39219658">
      <w:pPr>
        <w:pStyle w:val="18"/>
        <w:rPr>
          <w:rFonts w:hint="default"/>
          <w:lang w:val="en-US" w:eastAsia="zh-CN"/>
        </w:rPr>
      </w:pPr>
      <w:r>
        <w:rPr>
          <w:rFonts w:hint="default"/>
          <w:lang w:val="en-US" w:eastAsia="zh-CN"/>
        </w:rPr>
        <w:t>矿区西北侧10m相邻矿山为海城远东矿业有限公司菱镁矿，海城远东矿业有限公司菱镁矿露天开采境界与设计露天开采境界最近距离为320m。爆破警戒范围部分重叠，目前两家矿山签订安全互保协议书。本矿山与相邻矿山按照爆破协议进行爆破作业，可保证矿山安全。</w:t>
      </w:r>
    </w:p>
    <w:p w14:paraId="46E677EB">
      <w:pPr>
        <w:pStyle w:val="18"/>
        <w:rPr>
          <w:rFonts w:hint="default"/>
          <w:lang w:val="en-US" w:eastAsia="zh-CN"/>
        </w:rPr>
      </w:pPr>
      <w:r>
        <w:rPr>
          <w:rFonts w:hint="eastAsia"/>
          <w:lang w:val="en-US" w:eastAsia="zh-CN"/>
        </w:rPr>
        <w:t>3、</w:t>
      </w:r>
      <w:r>
        <w:rPr>
          <w:rFonts w:hint="default"/>
          <w:lang w:val="en-US" w:eastAsia="zh-CN"/>
        </w:rPr>
        <w:t>河流</w:t>
      </w:r>
    </w:p>
    <w:p w14:paraId="3743847B">
      <w:pPr>
        <w:pStyle w:val="18"/>
        <w:rPr>
          <w:rFonts w:hint="default"/>
          <w:lang w:val="en-US" w:eastAsia="zh-CN"/>
        </w:rPr>
      </w:pPr>
      <w:r>
        <w:rPr>
          <w:rFonts w:hint="default"/>
          <w:lang w:val="en-US" w:eastAsia="zh-CN"/>
        </w:rPr>
        <w:t>矿区东侧约80m为海城河，根据地质资料分析及矿山以往开采经验，未发现断层等导水构造与露天采场相沟通，且矿区水文地质条件属简单类型。</w:t>
      </w:r>
    </w:p>
    <w:p w14:paraId="38972FC0">
      <w:pPr>
        <w:pStyle w:val="18"/>
        <w:rPr>
          <w:rFonts w:hint="default"/>
          <w:lang w:val="en-US" w:eastAsia="zh-CN"/>
        </w:rPr>
      </w:pPr>
      <w:r>
        <w:rPr>
          <w:rFonts w:hint="eastAsia"/>
          <w:lang w:val="en-US" w:eastAsia="zh-CN"/>
        </w:rPr>
        <w:t>4、</w:t>
      </w:r>
      <w:r>
        <w:rPr>
          <w:rFonts w:hint="default"/>
          <w:lang w:val="en-US" w:eastAsia="zh-CN"/>
        </w:rPr>
        <w:t>村庄</w:t>
      </w:r>
    </w:p>
    <w:p w14:paraId="4EEE1782">
      <w:pPr>
        <w:pStyle w:val="18"/>
        <w:rPr>
          <w:rFonts w:hint="default"/>
          <w:lang w:val="en-US" w:eastAsia="zh-CN"/>
        </w:rPr>
      </w:pPr>
      <w:r>
        <w:rPr>
          <w:rFonts w:hint="default"/>
          <w:lang w:val="en-US" w:eastAsia="zh-CN"/>
        </w:rPr>
        <w:t>矿区南侧为麻耳峪村，露天开采终了境界距离该村最近民房为330m，位于爆破警戒范围以外。</w:t>
      </w:r>
    </w:p>
    <w:p w14:paraId="5E91B8BB">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除此之外，矿区周边300m范围内无其他建筑、居民及矿山，矿山500m范围内无高压线、公路、旅游景点和名胜古迹等需要保护的建（构）筑物，1000m范围内无铁路，输油管路。此外矿区范围内不涉及保护区、公益林和生态红线保护范围。（</w:t>
      </w:r>
      <w:r>
        <w:rPr>
          <w:rFonts w:hint="eastAsia"/>
          <w:lang w:val="en-US" w:eastAsia="zh-CN"/>
        </w:rPr>
        <w:t>详见</w:t>
      </w:r>
      <w:r>
        <w:rPr>
          <w:rFonts w:hint="default"/>
          <w:lang w:val="en-US" w:eastAsia="zh-CN"/>
        </w:rPr>
        <w:t>矿区周边环境图2</w:t>
      </w:r>
      <w:r>
        <w:rPr>
          <w:rFonts w:hint="eastAsia"/>
          <w:lang w:val="en-US" w:eastAsia="zh-CN"/>
        </w:rPr>
        <w:t>.1-2</w:t>
      </w:r>
      <w:r>
        <w:rPr>
          <w:rFonts w:hint="default"/>
          <w:lang w:val="en-US" w:eastAsia="zh-CN"/>
        </w:rPr>
        <w:t>）。</w:t>
      </w:r>
    </w:p>
    <w:p w14:paraId="54E19349">
      <w:pPr>
        <w:pStyle w:val="26"/>
        <w:bidi w:val="0"/>
      </w:pPr>
      <w:r>
        <w:rPr>
          <w:sz w:val="24"/>
        </w:rPr>
        <mc:AlternateContent>
          <mc:Choice Requires="wps">
            <w:drawing>
              <wp:anchor distT="0" distB="0" distL="114300" distR="114300" simplePos="0" relativeHeight="251662336" behindDoc="0" locked="0" layoutInCell="1" allowOverlap="1">
                <wp:simplePos x="0" y="0"/>
                <wp:positionH relativeFrom="column">
                  <wp:posOffset>3287395</wp:posOffset>
                </wp:positionH>
                <wp:positionV relativeFrom="paragraph">
                  <wp:posOffset>1242060</wp:posOffset>
                </wp:positionV>
                <wp:extent cx="752475" cy="328295"/>
                <wp:effectExtent l="77470" t="4445" r="8255" b="276860"/>
                <wp:wrapNone/>
                <wp:docPr id="24" name="矩形标注 24"/>
                <wp:cNvGraphicFramePr/>
                <a:graphic xmlns:a="http://schemas.openxmlformats.org/drawingml/2006/main">
                  <a:graphicData uri="http://schemas.microsoft.com/office/word/2010/wordprocessingShape">
                    <wps:wsp>
                      <wps:cNvSpPr/>
                      <wps:spPr>
                        <a:xfrm>
                          <a:off x="0" y="0"/>
                          <a:ext cx="752475" cy="328295"/>
                        </a:xfrm>
                        <a:prstGeom prst="wedgeRectCallout">
                          <a:avLst>
                            <a:gd name="adj1" fmla="val -57676"/>
                            <a:gd name="adj2" fmla="val 127949"/>
                          </a:avLst>
                        </a:prstGeom>
                        <a:solidFill>
                          <a:srgbClr val="FFFFFF"/>
                        </a:solidFill>
                        <a:ln w="9525" cap="flat" cmpd="sng">
                          <a:solidFill>
                            <a:srgbClr val="000000"/>
                          </a:solidFill>
                          <a:prstDash val="solid"/>
                          <a:miter/>
                          <a:headEnd type="none" w="med" len="med"/>
                          <a:tailEnd type="none" w="med" len="med"/>
                        </a:ln>
                      </wps:spPr>
                      <wps:txbx>
                        <w:txbxContent>
                          <w:p w14:paraId="6A1CEF93">
                            <w:pPr>
                              <w:rPr>
                                <w:rFonts w:hint="default" w:eastAsia="宋体"/>
                                <w:lang w:val="en-US" w:eastAsia="zh-CN"/>
                              </w:rPr>
                            </w:pPr>
                            <w:r>
                              <w:rPr>
                                <w:rFonts w:hint="eastAsia"/>
                                <w:lang w:val="en-US" w:eastAsia="zh-CN"/>
                              </w:rPr>
                              <w:t>企业厂房</w:t>
                            </w:r>
                          </w:p>
                        </w:txbxContent>
                      </wps:txbx>
                      <wps:bodyPr upright="1"/>
                    </wps:wsp>
                  </a:graphicData>
                </a:graphic>
              </wp:anchor>
            </w:drawing>
          </mc:Choice>
          <mc:Fallback>
            <w:pict>
              <v:shape id="_x0000_s1026" o:spid="_x0000_s1026" o:spt="61" type="#_x0000_t61" style="position:absolute;left:0pt;margin-left:258.85pt;margin-top:97.8pt;height:25.85pt;width:59.25pt;z-index:251662336;mso-width-relative:page;mso-height-relative:page;" fillcolor="#FFFFFF" filled="t" stroked="t" coordsize="21600,21600" o:gfxdata="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Ckx4nnZAAAACwEAAA8AAAAAAAAAAQAgAAAAIgAAAGRycy9k&#10;b3ducmV2LnhtbFBLAQIUABQAAAAIAIdO4kAajg0XOgIAAI8EAAAOAAAAAAAAAAEAIAAAACgBAABk&#10;cnMvZTJvRG9jLnhtbFBLBQYAAAAABgAGAFkBAADUBQAAAAA=&#10;" adj="-1658,38437">
                <v:fill on="t" focussize="0,0"/>
                <v:stroke color="#000000" joinstyle="miter"/>
                <v:imagedata o:title=""/>
                <o:lock v:ext="edit" aspectratio="f"/>
                <v:textbox>
                  <w:txbxContent>
                    <w:p w14:paraId="6A1CEF93">
                      <w:pPr>
                        <w:rPr>
                          <w:rFonts w:hint="default" w:eastAsia="宋体"/>
                          <w:lang w:val="en-US" w:eastAsia="zh-CN"/>
                        </w:rPr>
                      </w:pPr>
                      <w:r>
                        <w:rPr>
                          <w:rFonts w:hint="eastAsia"/>
                          <w:lang w:val="en-US" w:eastAsia="zh-CN"/>
                        </w:rPr>
                        <w:t>企业厂房</w:t>
                      </w:r>
                    </w:p>
                  </w:txbxContent>
                </v:textbox>
              </v:shape>
            </w:pict>
          </mc:Fallback>
        </mc:AlternateContent>
      </w:r>
      <w:r>
        <w:drawing>
          <wp:inline distT="0" distB="0" distL="114300" distR="114300">
            <wp:extent cx="5324475" cy="3994785"/>
            <wp:effectExtent l="0" t="0" r="9525" b="1333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7"/>
                    <a:stretch>
                      <a:fillRect/>
                    </a:stretch>
                  </pic:blipFill>
                  <pic:spPr>
                    <a:xfrm>
                      <a:off x="0" y="0"/>
                      <a:ext cx="5324475" cy="3994785"/>
                    </a:xfrm>
                    <a:prstGeom prst="rect">
                      <a:avLst/>
                    </a:prstGeom>
                    <a:noFill/>
                    <a:ln>
                      <a:noFill/>
                    </a:ln>
                  </pic:spPr>
                </pic:pic>
              </a:graphicData>
            </a:graphic>
          </wp:inline>
        </w:drawing>
      </w:r>
      <w:r>
        <w:rPr>
          <w:sz w:val="24"/>
        </w:rPr>
        <mc:AlternateContent>
          <mc:Choice Requires="wps">
            <w:drawing>
              <wp:anchor distT="0" distB="0" distL="114300" distR="114300" simplePos="0" relativeHeight="251663360" behindDoc="0" locked="0" layoutInCell="1" allowOverlap="1">
                <wp:simplePos x="0" y="0"/>
                <wp:positionH relativeFrom="column">
                  <wp:posOffset>793750</wp:posOffset>
                </wp:positionH>
                <wp:positionV relativeFrom="paragraph">
                  <wp:posOffset>925830</wp:posOffset>
                </wp:positionV>
                <wp:extent cx="752475" cy="328295"/>
                <wp:effectExtent l="77470" t="4445" r="8255" b="276860"/>
                <wp:wrapNone/>
                <wp:docPr id="25" name="矩形标注 25"/>
                <wp:cNvGraphicFramePr/>
                <a:graphic xmlns:a="http://schemas.openxmlformats.org/drawingml/2006/main">
                  <a:graphicData uri="http://schemas.microsoft.com/office/word/2010/wordprocessingShape">
                    <wps:wsp>
                      <wps:cNvSpPr/>
                      <wps:spPr>
                        <a:xfrm>
                          <a:off x="0" y="0"/>
                          <a:ext cx="752475" cy="328295"/>
                        </a:xfrm>
                        <a:prstGeom prst="wedgeRectCallout">
                          <a:avLst>
                            <a:gd name="adj1" fmla="val -57676"/>
                            <a:gd name="adj2" fmla="val 127949"/>
                          </a:avLst>
                        </a:prstGeom>
                        <a:solidFill>
                          <a:srgbClr val="FFFFFF"/>
                        </a:solidFill>
                        <a:ln w="9525" cap="flat" cmpd="sng">
                          <a:solidFill>
                            <a:srgbClr val="000000"/>
                          </a:solidFill>
                          <a:prstDash val="solid"/>
                          <a:miter/>
                          <a:headEnd type="none" w="med" len="med"/>
                          <a:tailEnd type="none" w="med" len="med"/>
                        </a:ln>
                      </wps:spPr>
                      <wps:txbx>
                        <w:txbxContent>
                          <w:p w14:paraId="21996796">
                            <w:pPr>
                              <w:rPr>
                                <w:rFonts w:hint="default" w:eastAsia="宋体"/>
                                <w:lang w:val="en-US" w:eastAsia="zh-CN"/>
                              </w:rPr>
                            </w:pPr>
                            <w:r>
                              <w:rPr>
                                <w:rFonts w:hint="eastAsia" w:eastAsia="宋体"/>
                                <w:lang w:val="en-US" w:eastAsia="zh-CN"/>
                              </w:rPr>
                              <w:t>相邻矿山</w:t>
                            </w:r>
                          </w:p>
                        </w:txbxContent>
                      </wps:txbx>
                      <wps:bodyPr upright="1"/>
                    </wps:wsp>
                  </a:graphicData>
                </a:graphic>
              </wp:anchor>
            </w:drawing>
          </mc:Choice>
          <mc:Fallback>
            <w:pict>
              <v:shape id="_x0000_s1026" o:spid="_x0000_s1026" o:spt="61" type="#_x0000_t61" style="position:absolute;left:0pt;margin-left:62.5pt;margin-top:72.9pt;height:25.85pt;width:59.25pt;z-index:251663360;mso-width-relative:page;mso-height-relative:page;" fillcolor="#FFFFFF" filled="t" stroked="t" coordsize="21600,21600" o:gfxdata="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E633ddgAAAALAQAADwAAAAAAAAABACAAAAAiAAAAZHJzL2Rv&#10;d25yZXYueG1sUEsBAhQAFAAAAAgAh07iQIgStOs6AgAAjwQAAA4AAAAAAAAAAQAgAAAAJwEAAGRy&#10;cy9lMm9Eb2MueG1sUEsFBgAAAAAGAAYAWQEAANMFAAAAAA==&#10;" adj="-1658,38437">
                <v:fill on="t" focussize="0,0"/>
                <v:stroke color="#000000" joinstyle="miter"/>
                <v:imagedata o:title=""/>
                <o:lock v:ext="edit" aspectratio="f"/>
                <v:textbox>
                  <w:txbxContent>
                    <w:p w14:paraId="21996796">
                      <w:pPr>
                        <w:rPr>
                          <w:rFonts w:hint="default" w:eastAsia="宋体"/>
                          <w:lang w:val="en-US" w:eastAsia="zh-CN"/>
                        </w:rPr>
                      </w:pPr>
                      <w:r>
                        <w:rPr>
                          <w:rFonts w:hint="eastAsia" w:eastAsia="宋体"/>
                          <w:lang w:val="en-US" w:eastAsia="zh-CN"/>
                        </w:rPr>
                        <w:t>相邻矿山</w:t>
                      </w:r>
                    </w:p>
                  </w:txbxContent>
                </v:textbox>
              </v:shape>
            </w:pict>
          </mc:Fallback>
        </mc:AlternateContent>
      </w:r>
      <w:r>
        <w:rPr>
          <w:bCs/>
        </w:rPr>
        <w:drawing>
          <wp:anchor distT="0" distB="0" distL="114300" distR="114300" simplePos="0" relativeHeight="251661312" behindDoc="0" locked="0" layoutInCell="1" allowOverlap="1">
            <wp:simplePos x="0" y="0"/>
            <wp:positionH relativeFrom="column">
              <wp:posOffset>5056505</wp:posOffset>
            </wp:positionH>
            <wp:positionV relativeFrom="paragraph">
              <wp:posOffset>113030</wp:posOffset>
            </wp:positionV>
            <wp:extent cx="254635" cy="329565"/>
            <wp:effectExtent l="0" t="0" r="4445" b="5715"/>
            <wp:wrapNone/>
            <wp:docPr id="23"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41"/>
                    <pic:cNvPicPr>
                      <a:picLocks noChangeAspect="1"/>
                    </pic:cNvPicPr>
                  </pic:nvPicPr>
                  <pic:blipFill>
                    <a:blip r:embed="rId8"/>
                    <a:stretch>
                      <a:fillRect/>
                    </a:stretch>
                  </pic:blipFill>
                  <pic:spPr>
                    <a:xfrm>
                      <a:off x="0" y="0"/>
                      <a:ext cx="254635" cy="329565"/>
                    </a:xfrm>
                    <a:prstGeom prst="rect">
                      <a:avLst/>
                    </a:prstGeom>
                    <a:noFill/>
                    <a:ln>
                      <a:noFill/>
                    </a:ln>
                  </pic:spPr>
                </pic:pic>
              </a:graphicData>
            </a:graphic>
          </wp:anchor>
        </w:drawing>
      </w:r>
      <w:r>
        <w:rPr>
          <w:sz w:val="24"/>
        </w:rPr>
        <mc:AlternateContent>
          <mc:Choice Requires="wps">
            <w:drawing>
              <wp:anchor distT="0" distB="0" distL="114300" distR="114300" simplePos="0" relativeHeight="251660288" behindDoc="0" locked="0" layoutInCell="1" allowOverlap="1">
                <wp:simplePos x="0" y="0"/>
                <wp:positionH relativeFrom="column">
                  <wp:posOffset>2581275</wp:posOffset>
                </wp:positionH>
                <wp:positionV relativeFrom="paragraph">
                  <wp:posOffset>683260</wp:posOffset>
                </wp:positionV>
                <wp:extent cx="752475" cy="328295"/>
                <wp:effectExtent l="77470" t="4445" r="8255" b="276860"/>
                <wp:wrapNone/>
                <wp:docPr id="22" name="矩形标注 22"/>
                <wp:cNvGraphicFramePr/>
                <a:graphic xmlns:a="http://schemas.openxmlformats.org/drawingml/2006/main">
                  <a:graphicData uri="http://schemas.microsoft.com/office/word/2010/wordprocessingShape">
                    <wps:wsp>
                      <wps:cNvSpPr/>
                      <wps:spPr>
                        <a:xfrm>
                          <a:off x="0" y="0"/>
                          <a:ext cx="752475" cy="328295"/>
                        </a:xfrm>
                        <a:prstGeom prst="wedgeRectCallout">
                          <a:avLst>
                            <a:gd name="adj1" fmla="val -57676"/>
                            <a:gd name="adj2" fmla="val 127949"/>
                          </a:avLst>
                        </a:prstGeom>
                        <a:solidFill>
                          <a:srgbClr val="FFFFFF"/>
                        </a:solidFill>
                        <a:ln w="9525" cap="flat" cmpd="sng">
                          <a:solidFill>
                            <a:srgbClr val="000000"/>
                          </a:solidFill>
                          <a:prstDash val="solid"/>
                          <a:miter/>
                          <a:headEnd type="none" w="med" len="med"/>
                          <a:tailEnd type="none" w="med" len="med"/>
                        </a:ln>
                      </wps:spPr>
                      <wps:txbx>
                        <w:txbxContent>
                          <w:p w14:paraId="2D15139A">
                            <w:pPr>
                              <w:rPr>
                                <w:rFonts w:hint="default" w:eastAsia="宋体"/>
                                <w:lang w:val="en-US" w:eastAsia="zh-CN"/>
                              </w:rPr>
                            </w:pPr>
                            <w:r>
                              <w:rPr>
                                <w:rFonts w:hint="eastAsia"/>
                                <w:lang w:val="en-US" w:eastAsia="zh-CN"/>
                              </w:rPr>
                              <w:t>矿界范围</w:t>
                            </w:r>
                          </w:p>
                        </w:txbxContent>
                      </wps:txbx>
                      <wps:bodyPr upright="1"/>
                    </wps:wsp>
                  </a:graphicData>
                </a:graphic>
              </wp:anchor>
            </w:drawing>
          </mc:Choice>
          <mc:Fallback>
            <w:pict>
              <v:shape id="_x0000_s1026" o:spid="_x0000_s1026" o:spt="61" type="#_x0000_t61" style="position:absolute;left:0pt;margin-left:203.25pt;margin-top:53.8pt;height:25.85pt;width:59.25pt;z-index:251660288;mso-width-relative:page;mso-height-relative:page;" fillcolor="#FFFFFF" filled="t" stroked="t" coordsize="21600,21600" o:gfxdata="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" adj="-1658,38437">
                <v:fill on="t" focussize="0,0"/>
                <v:stroke color="#000000" joinstyle="miter"/>
                <v:imagedata o:title=""/>
                <o:lock v:ext="edit" aspectratio="f"/>
                <v:textbox>
                  <w:txbxContent>
                    <w:p w14:paraId="2D15139A">
                      <w:pPr>
                        <w:rPr>
                          <w:rFonts w:hint="default" w:eastAsia="宋体"/>
                          <w:lang w:val="en-US" w:eastAsia="zh-CN"/>
                        </w:rPr>
                      </w:pPr>
                      <w:r>
                        <w:rPr>
                          <w:rFonts w:hint="eastAsia"/>
                          <w:lang w:val="en-US" w:eastAsia="zh-CN"/>
                        </w:rPr>
                        <w:t>矿界范围</w:t>
                      </w:r>
                    </w:p>
                  </w:txbxContent>
                </v:textbox>
              </v:shape>
            </w:pict>
          </mc:Fallback>
        </mc:AlternateContent>
      </w:r>
    </w:p>
    <w:p w14:paraId="1D5CDF04">
      <w:pPr>
        <w:pStyle w:val="26"/>
        <w:bidi w:val="0"/>
        <w:rPr>
          <w:rFonts w:hint="default"/>
          <w:lang w:val="en-US" w:eastAsia="zh-CN"/>
        </w:rPr>
      </w:pPr>
      <w:r>
        <w:rPr>
          <w:rFonts w:hint="default"/>
          <w:lang w:val="en-US" w:eastAsia="zh-CN"/>
        </w:rPr>
        <w:t>图2</w:t>
      </w:r>
      <w:r>
        <w:rPr>
          <w:rFonts w:hint="eastAsia"/>
          <w:lang w:val="en-US" w:eastAsia="zh-CN"/>
        </w:rPr>
        <w:t>.1-</w:t>
      </w:r>
      <w:r>
        <w:rPr>
          <w:rFonts w:hint="default"/>
          <w:lang w:val="en-US" w:eastAsia="zh-CN"/>
        </w:rPr>
        <w:t>2  矿区周边环境图</w:t>
      </w:r>
    </w:p>
    <w:p w14:paraId="07CE6B17">
      <w:pPr>
        <w:pStyle w:val="24"/>
        <w:bidi w:val="0"/>
        <w:ind w:left="0" w:leftChars="0" w:firstLine="0" w:firstLineChars="0"/>
        <w:rPr>
          <w:rFonts w:hint="default"/>
          <w:lang w:val="en-US" w:eastAsia="zh-CN"/>
        </w:rPr>
      </w:pPr>
      <w:bookmarkStart w:id="5" w:name="_Toc8646"/>
      <w:r>
        <w:rPr>
          <w:rFonts w:hint="eastAsia"/>
          <w:lang w:val="en-US" w:eastAsia="zh-CN"/>
        </w:rPr>
        <w:t>自然环境概况</w:t>
      </w:r>
      <w:bookmarkEnd w:id="5"/>
    </w:p>
    <w:p w14:paraId="7029BB62">
      <w:pPr>
        <w:pStyle w:val="18"/>
        <w:bidi w:val="0"/>
        <w:rPr>
          <w:rFonts w:hint="default"/>
          <w:lang w:val="en-US" w:eastAsia="zh-CN"/>
        </w:rPr>
      </w:pPr>
      <w:r>
        <w:rPr>
          <w:rFonts w:hint="default"/>
          <w:lang w:val="en-US" w:eastAsia="zh-CN"/>
        </w:rPr>
        <w:t>矿区地处长白山系千山山脉向南延伸部分，属构造剥蚀丘陵地貌。区内最高标高为340m，最低标高为57.4m，相对高差282.6m，山谷上陡下缓，坡度一般为18～23°，最大可达25°，山脉走向近东西方向，山势总体南西高北东低，区内基岩基本裸露，植被不发育。</w:t>
      </w:r>
    </w:p>
    <w:p w14:paraId="41BB8358">
      <w:pPr>
        <w:pStyle w:val="18"/>
        <w:bidi w:val="0"/>
        <w:rPr>
          <w:rFonts w:hint="default"/>
          <w:lang w:val="en-US" w:eastAsia="zh-CN"/>
        </w:rPr>
      </w:pPr>
      <w:r>
        <w:rPr>
          <w:rFonts w:hint="default"/>
          <w:lang w:val="en-US" w:eastAsia="zh-CN"/>
        </w:rPr>
        <w:t>矿区东部发育有太子河上源支流海城河，该河流为常年性河流，总体流向北西向，于海城市牛庄镇附近汇入太子河，最大宽度约40m，最小宽度约8m，雨季时水量较大，秋冬季水量锐减。据以往水位地质资料及本次调查，当地最低侵蚀基准面标高约52m。</w:t>
      </w:r>
    </w:p>
    <w:p w14:paraId="25029237">
      <w:pPr>
        <w:pStyle w:val="18"/>
        <w:bidi w:val="0"/>
        <w:rPr>
          <w:rFonts w:hint="default"/>
          <w:lang w:val="en-US" w:eastAsia="zh-CN"/>
        </w:rPr>
      </w:pPr>
      <w:r>
        <w:rPr>
          <w:rFonts w:hint="default"/>
          <w:lang w:val="en-US" w:eastAsia="zh-CN"/>
        </w:rPr>
        <w:t>矿区所处位置气候属于北温带湿润区大陆性季风气候，冬夏温差较大，年平均气温为8.4℃，最高气温为36.9℃（1919年8月5日），最低气温为-34.9℃（1985年1月28日）。区内年平均降水量750mm，年最大降水量的1080mm（1964年），最小降水量为343mm（1958年），日最大降水量为175mm（1985年7月20日）。</w:t>
      </w:r>
    </w:p>
    <w:p w14:paraId="71327A0A">
      <w:pPr>
        <w:pStyle w:val="18"/>
        <w:bidi w:val="0"/>
        <w:rPr>
          <w:rFonts w:hint="default"/>
          <w:lang w:val="en-US" w:eastAsia="zh-CN"/>
        </w:rPr>
      </w:pPr>
      <w:r>
        <w:rPr>
          <w:rFonts w:hint="default"/>
          <w:lang w:val="en-US" w:eastAsia="zh-CN"/>
        </w:rPr>
        <w:t>区内物产丰富，经济状况较好，农业以玉米为主，其次为水稻、高粱、大豆。矿产主要为菱镁矿、滑石矿、石灰石矿及金矿等，工业有采矿和加工业。矿区有富余的劳动力和充足的电力资源，具有较好的矿业发展条件。</w:t>
      </w:r>
    </w:p>
    <w:p w14:paraId="502932E6">
      <w:pPr>
        <w:pStyle w:val="24"/>
        <w:bidi w:val="0"/>
        <w:ind w:left="0" w:leftChars="0" w:firstLine="0" w:firstLineChars="0"/>
        <w:rPr>
          <w:rFonts w:hint="default"/>
          <w:lang w:val="en-US" w:eastAsia="zh-CN"/>
        </w:rPr>
      </w:pPr>
      <w:bookmarkStart w:id="6" w:name="_Toc26555"/>
      <w:r>
        <w:rPr>
          <w:rFonts w:hint="eastAsia"/>
          <w:lang w:val="en-US" w:eastAsia="zh-CN"/>
        </w:rPr>
        <w:t>地质概况</w:t>
      </w:r>
      <w:bookmarkEnd w:id="6"/>
    </w:p>
    <w:p w14:paraId="7BDBAF35">
      <w:pPr>
        <w:pStyle w:val="25"/>
        <w:bidi w:val="0"/>
        <w:ind w:left="720" w:leftChars="0" w:hanging="720" w:firstLineChars="0"/>
        <w:rPr>
          <w:rFonts w:hint="default"/>
          <w:lang w:val="en-US" w:eastAsia="zh-CN"/>
        </w:rPr>
      </w:pPr>
      <w:r>
        <w:rPr>
          <w:rFonts w:hint="eastAsia"/>
          <w:lang w:val="en-US" w:eastAsia="zh-CN"/>
        </w:rPr>
        <w:t>区域地质概况</w:t>
      </w:r>
    </w:p>
    <w:p w14:paraId="46298B2A">
      <w:pPr>
        <w:pStyle w:val="18"/>
        <w:rPr>
          <w:rFonts w:hint="default"/>
          <w:lang w:val="en-US" w:eastAsia="zh-CN"/>
        </w:rPr>
      </w:pPr>
      <w:r>
        <w:rPr>
          <w:rFonts w:hint="default"/>
          <w:lang w:val="en-US" w:eastAsia="zh-CN"/>
        </w:rPr>
        <w:t>矿区区域大地构造位置位于中朝准地台（Ⅰ）胶辽台隆（Ⅰ</w:t>
      </w:r>
      <w:r>
        <w:rPr>
          <w:rFonts w:hint="default"/>
          <w:vertAlign w:val="subscript"/>
          <w:lang w:val="en-US" w:eastAsia="zh-CN"/>
        </w:rPr>
        <w:t>1</w:t>
      </w:r>
      <w:r>
        <w:rPr>
          <w:rFonts w:hint="default"/>
          <w:lang w:val="en-US" w:eastAsia="zh-CN"/>
        </w:rPr>
        <w:t>）营口～宽甸抬拱（Ⅰ1</w:t>
      </w:r>
      <w:r>
        <w:rPr>
          <w:rFonts w:hint="default"/>
          <w:vertAlign w:val="superscript"/>
          <w:lang w:val="en-US" w:eastAsia="zh-CN"/>
        </w:rPr>
        <w:t>3</w:t>
      </w:r>
      <w:r>
        <w:rPr>
          <w:rFonts w:hint="default"/>
          <w:lang w:val="en-US" w:eastAsia="zh-CN"/>
        </w:rPr>
        <w:t>）凤城凸起（Ⅰ1</w:t>
      </w:r>
      <w:r>
        <w:rPr>
          <w:rFonts w:hint="default"/>
          <w:vertAlign w:val="superscript"/>
          <w:lang w:val="en-US" w:eastAsia="zh-CN"/>
        </w:rPr>
        <w:t>3-1</w:t>
      </w:r>
      <w:r>
        <w:rPr>
          <w:rFonts w:hint="default"/>
          <w:lang w:val="en-US" w:eastAsia="zh-CN"/>
        </w:rPr>
        <w:t>）英落～草河口复向斜西端北翼，铧子峪～范家堡子倒转背斜南东翼。</w:t>
      </w:r>
    </w:p>
    <w:p w14:paraId="4EC4CC70">
      <w:pPr>
        <w:pStyle w:val="18"/>
        <w:rPr>
          <w:rFonts w:hint="default"/>
          <w:lang w:val="en-US" w:eastAsia="zh-CN"/>
        </w:rPr>
      </w:pPr>
      <w:r>
        <w:rPr>
          <w:rFonts w:hint="eastAsia"/>
          <w:lang w:val="en-US" w:eastAsia="zh-CN"/>
        </w:rPr>
        <w:t>（1）</w:t>
      </w:r>
      <w:r>
        <w:rPr>
          <w:rFonts w:hint="default"/>
          <w:lang w:val="en-US" w:eastAsia="zh-CN"/>
        </w:rPr>
        <w:t>地层</w:t>
      </w:r>
    </w:p>
    <w:p w14:paraId="3369EF2E">
      <w:pPr>
        <w:pStyle w:val="18"/>
        <w:rPr>
          <w:rFonts w:hint="default"/>
          <w:lang w:val="en-US" w:eastAsia="zh-CN"/>
        </w:rPr>
      </w:pPr>
      <w:r>
        <w:rPr>
          <w:rFonts w:hint="default"/>
          <w:lang w:val="en-US" w:eastAsia="zh-CN"/>
        </w:rPr>
        <w:t>区域出露地层主要为古元古界辽河群及新生界第四系全新统。</w:t>
      </w:r>
    </w:p>
    <w:p w14:paraId="6AA2E417">
      <w:pPr>
        <w:pStyle w:val="18"/>
        <w:keepNext w:val="0"/>
        <w:keepLines w:val="0"/>
        <w:pageBreakBefore w:val="0"/>
        <w:widowControl w:val="0"/>
        <w:numPr>
          <w:ilvl w:val="0"/>
          <w:numId w:val="0"/>
        </w:numPr>
        <w:kinsoku/>
        <w:wordWrap/>
        <w:overflowPunct/>
        <w:topLinePunct w:val="0"/>
        <w:autoSpaceDE/>
        <w:autoSpaceDN/>
        <w:bidi w:val="0"/>
        <w:adjustRightInd w:val="0"/>
        <w:snapToGrid w:val="0"/>
        <w:ind w:firstLine="560" w:firstLineChars="200"/>
        <w:textAlignment w:val="auto"/>
        <w:rPr>
          <w:rFonts w:hint="eastAsia"/>
          <w:lang w:val="en-US" w:eastAsia="zh-CN"/>
        </w:rPr>
      </w:pPr>
      <w:r>
        <w:rPr>
          <w:rFonts w:hint="eastAsia" w:ascii="Times New Roman" w:hAnsi="Times New Roman" w:eastAsia="宋体" w:cstheme="minorBidi"/>
          <w:sz w:val="28"/>
          <w:szCs w:val="28"/>
          <w:lang w:val="en-US" w:eastAsia="zh-CN"/>
        </w:rPr>
        <w:t>（2）</w:t>
      </w:r>
      <w:r>
        <w:rPr>
          <w:rFonts w:hint="eastAsia"/>
          <w:lang w:val="en-US" w:eastAsia="zh-CN"/>
        </w:rPr>
        <w:t>构造</w:t>
      </w:r>
    </w:p>
    <w:p w14:paraId="60657DA8">
      <w:pPr>
        <w:pStyle w:val="18"/>
        <w:bidi w:val="0"/>
        <w:rPr>
          <w:rFonts w:hint="default"/>
          <w:lang w:val="en-US" w:eastAsia="zh-CN"/>
        </w:rPr>
      </w:pPr>
      <w:r>
        <w:rPr>
          <w:rFonts w:hint="default"/>
          <w:lang w:val="en-US" w:eastAsia="zh-CN"/>
        </w:rPr>
        <w:t>矿区位于英落～草河口复向斜西端北翼，铧子峪～范家堡子倒转背斜南东翼，区域地层总体走向北东，褶皱构造与区域构造线一致。</w:t>
      </w:r>
    </w:p>
    <w:p w14:paraId="73412A3B">
      <w:pPr>
        <w:pStyle w:val="18"/>
        <w:bidi w:val="0"/>
        <w:rPr>
          <w:rFonts w:hint="default"/>
          <w:lang w:val="en-US" w:eastAsia="zh-CN"/>
        </w:rPr>
      </w:pPr>
      <w:r>
        <w:rPr>
          <w:rFonts w:hint="default"/>
          <w:lang w:val="en-US" w:eastAsia="zh-CN"/>
        </w:rPr>
        <w:t>区域断裂构造较为发育，按方向可划分为北东向、北西向及近东西向三组，其中北东向断裂构造基本为顺层产出，为区域内最为发育的断裂构造；北西向断裂构造总体晚于北东向断裂，多切穿地层和北东向断裂，错距较大，对地层的连续性有一定的影响；近东西向断裂发育程度一般，规模较小，对地层的连续性基本没有影响。</w:t>
      </w:r>
    </w:p>
    <w:p w14:paraId="185E3D91">
      <w:pPr>
        <w:pStyle w:val="18"/>
        <w:numPr>
          <w:ilvl w:val="0"/>
          <w:numId w:val="0"/>
        </w:numPr>
        <w:bidi w:val="0"/>
        <w:ind w:firstLine="560" w:firstLineChars="200"/>
        <w:rPr>
          <w:rFonts w:hint="eastAsia"/>
          <w:lang w:val="en-US" w:eastAsia="zh-CN"/>
        </w:rPr>
      </w:pPr>
      <w:r>
        <w:rPr>
          <w:rFonts w:hint="eastAsia" w:ascii="Times New Roman" w:hAnsi="Times New Roman" w:eastAsia="宋体" w:cstheme="minorBidi"/>
          <w:sz w:val="28"/>
          <w:szCs w:val="28"/>
          <w:lang w:val="en-US" w:eastAsia="zh-CN"/>
        </w:rPr>
        <w:t>（3）</w:t>
      </w:r>
      <w:r>
        <w:rPr>
          <w:rFonts w:hint="eastAsia"/>
          <w:lang w:val="en-US" w:eastAsia="zh-CN"/>
        </w:rPr>
        <w:t>岩浆岩</w:t>
      </w:r>
    </w:p>
    <w:p w14:paraId="0FE9C67C">
      <w:pPr>
        <w:pStyle w:val="18"/>
        <w:bidi w:val="0"/>
        <w:rPr>
          <w:rFonts w:hint="default"/>
          <w:lang w:val="en-US" w:eastAsia="zh-CN"/>
        </w:rPr>
      </w:pPr>
      <w:r>
        <w:rPr>
          <w:rFonts w:hint="default"/>
          <w:lang w:val="en-US" w:eastAsia="zh-CN"/>
        </w:rPr>
        <w:t>区域岩浆岩发育程度一般，在区域内零星出露有三叠纪的黑云母花岗岩，岩石具细粒～粗粒及不等粒、半自形粒状结构、花岗结构及似斑状结构，块状构造，岩浆岩总体呈岩株状、小岩体状。另外区域内发育有中生代的花岗伟晶岩、花岗细晶岩等，多呈脉状产出。</w:t>
      </w:r>
    </w:p>
    <w:p w14:paraId="23AF36A7">
      <w:pPr>
        <w:pStyle w:val="18"/>
        <w:bidi w:val="0"/>
        <w:rPr>
          <w:rFonts w:hint="default"/>
          <w:lang w:val="en-US" w:eastAsia="zh-CN"/>
        </w:rPr>
      </w:pPr>
      <w:r>
        <w:rPr>
          <w:rFonts w:hint="eastAsia"/>
          <w:lang w:val="en-US" w:eastAsia="zh-CN"/>
        </w:rPr>
        <w:t>（4）区域矿产</w:t>
      </w:r>
    </w:p>
    <w:p w14:paraId="6F8995BD">
      <w:pPr>
        <w:pStyle w:val="18"/>
        <w:bidi w:val="0"/>
        <w:rPr>
          <w:rFonts w:hint="default"/>
          <w:lang w:val="en-US" w:eastAsia="zh-CN"/>
        </w:rPr>
      </w:pPr>
      <w:r>
        <w:rPr>
          <w:rFonts w:hint="default"/>
          <w:lang w:val="en-US" w:eastAsia="zh-CN"/>
        </w:rPr>
        <w:t>由于受到较强烈和频繁的变质作用，区域矿产资源较丰富，在辽河群变质岩地层内，发育有菱镁矿、滑石矿及白云石矿等，上述矿床均具有较明显的共性，层控特征明显。</w:t>
      </w:r>
    </w:p>
    <w:p w14:paraId="462C0AD9">
      <w:pPr>
        <w:pStyle w:val="25"/>
        <w:bidi w:val="0"/>
        <w:ind w:left="720" w:leftChars="0" w:hanging="720" w:firstLineChars="0"/>
        <w:rPr>
          <w:rFonts w:hint="default"/>
          <w:lang w:val="en-US" w:eastAsia="zh-CN"/>
        </w:rPr>
      </w:pPr>
      <w:r>
        <w:rPr>
          <w:rFonts w:hint="eastAsia"/>
          <w:lang w:val="en-US" w:eastAsia="zh-CN"/>
        </w:rPr>
        <w:t>矿区地质概况</w:t>
      </w:r>
    </w:p>
    <w:p w14:paraId="4A391431">
      <w:pPr>
        <w:pStyle w:val="18"/>
        <w:rPr>
          <w:rFonts w:hint="default"/>
          <w:lang w:val="en-US" w:eastAsia="zh-CN"/>
        </w:rPr>
      </w:pPr>
      <w:r>
        <w:rPr>
          <w:rFonts w:hint="default"/>
          <w:lang w:val="en-US" w:eastAsia="zh-CN"/>
        </w:rPr>
        <w:t>矿区区域大地构造位置位于中朝准地台（Ⅰ）胶辽台隆（Ⅰ</w:t>
      </w:r>
      <w:r>
        <w:rPr>
          <w:rFonts w:hint="default"/>
          <w:vertAlign w:val="subscript"/>
          <w:lang w:val="en-US" w:eastAsia="zh-CN"/>
        </w:rPr>
        <w:t>1</w:t>
      </w:r>
      <w:r>
        <w:rPr>
          <w:rFonts w:hint="default"/>
          <w:lang w:val="en-US" w:eastAsia="zh-CN"/>
        </w:rPr>
        <w:t>）营口～宽甸抬拱（Ⅰ</w:t>
      </w:r>
      <w:r>
        <w:rPr>
          <w:rFonts w:hint="default"/>
          <w:vertAlign w:val="subscript"/>
          <w:lang w:val="en-US" w:eastAsia="zh-CN"/>
        </w:rPr>
        <w:t>1</w:t>
      </w:r>
      <w:r>
        <w:rPr>
          <w:rFonts w:hint="default"/>
          <w:vertAlign w:val="superscript"/>
          <w:lang w:val="en-US" w:eastAsia="zh-CN"/>
        </w:rPr>
        <w:t>3</w:t>
      </w:r>
      <w:r>
        <w:rPr>
          <w:rFonts w:hint="default"/>
          <w:lang w:val="en-US" w:eastAsia="zh-CN"/>
        </w:rPr>
        <w:t>）凤城凸起（Ⅰ</w:t>
      </w:r>
      <w:r>
        <w:rPr>
          <w:rFonts w:hint="default"/>
          <w:vertAlign w:val="subscript"/>
          <w:lang w:val="en-US" w:eastAsia="zh-CN"/>
        </w:rPr>
        <w:t>1</w:t>
      </w:r>
      <w:r>
        <w:rPr>
          <w:rFonts w:hint="default"/>
          <w:vertAlign w:val="superscript"/>
          <w:lang w:val="en-US" w:eastAsia="zh-CN"/>
        </w:rPr>
        <w:t>3-1</w:t>
      </w:r>
      <w:r>
        <w:rPr>
          <w:rFonts w:hint="default"/>
          <w:lang w:val="en-US" w:eastAsia="zh-CN"/>
        </w:rPr>
        <w:t>）英落～草河口复向斜西端北翼，铧子峪～范家堡子倒转背斜南东翼。</w:t>
      </w:r>
    </w:p>
    <w:p w14:paraId="618E2293">
      <w:pPr>
        <w:pStyle w:val="18"/>
        <w:rPr>
          <w:rFonts w:hint="default"/>
          <w:lang w:val="en-US" w:eastAsia="zh-CN"/>
        </w:rPr>
      </w:pPr>
      <w:r>
        <w:rPr>
          <w:rFonts w:hint="eastAsia"/>
          <w:lang w:val="en-US" w:eastAsia="zh-CN"/>
        </w:rPr>
        <w:t>（1）</w:t>
      </w:r>
      <w:r>
        <w:rPr>
          <w:rFonts w:hint="default"/>
          <w:lang w:val="en-US" w:eastAsia="zh-CN"/>
        </w:rPr>
        <w:t>地层</w:t>
      </w:r>
    </w:p>
    <w:p w14:paraId="6A6103A2">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矿区内出露地层为古元古界辽河群大石桥组三段及新生界第四系。</w:t>
      </w:r>
    </w:p>
    <w:p w14:paraId="06EF5357">
      <w:pPr>
        <w:pStyle w:val="18"/>
        <w:numPr>
          <w:ilvl w:val="0"/>
          <w:numId w:val="0"/>
        </w:numPr>
        <w:ind w:firstLine="560" w:firstLineChars="200"/>
        <w:rPr>
          <w:rFonts w:hint="eastAsia"/>
          <w:lang w:val="en-US" w:eastAsia="zh-CN"/>
        </w:rPr>
      </w:pPr>
      <w:r>
        <w:rPr>
          <w:rFonts w:hint="eastAsia" w:ascii="Times New Roman" w:hAnsi="Times New Roman" w:eastAsia="宋体" w:cstheme="minorBidi"/>
          <w:sz w:val="28"/>
          <w:szCs w:val="28"/>
          <w:lang w:val="en-US" w:eastAsia="zh-CN"/>
        </w:rPr>
        <w:t>（2）</w:t>
      </w:r>
      <w:r>
        <w:rPr>
          <w:rFonts w:hint="eastAsia"/>
          <w:lang w:val="en-US" w:eastAsia="zh-CN"/>
        </w:rPr>
        <w:t>构造</w:t>
      </w:r>
    </w:p>
    <w:p w14:paraId="4A0D3115">
      <w:pPr>
        <w:pStyle w:val="18"/>
        <w:bidi w:val="0"/>
        <w:rPr>
          <w:rFonts w:hint="default"/>
          <w:lang w:val="en-US" w:eastAsia="zh-CN"/>
        </w:rPr>
      </w:pPr>
      <w:r>
        <w:rPr>
          <w:rFonts w:hint="eastAsia"/>
          <w:lang w:val="en-US" w:eastAsia="zh-CN"/>
        </w:rPr>
        <w:t>1、</w:t>
      </w:r>
      <w:r>
        <w:rPr>
          <w:rFonts w:hint="default"/>
          <w:lang w:val="en-US" w:eastAsia="zh-CN"/>
        </w:rPr>
        <w:t>褶皱构造</w:t>
      </w:r>
    </w:p>
    <w:p w14:paraId="686E942C">
      <w:pPr>
        <w:pStyle w:val="18"/>
        <w:bidi w:val="0"/>
        <w:rPr>
          <w:rFonts w:hint="default"/>
          <w:lang w:val="en-US" w:eastAsia="zh-CN"/>
        </w:rPr>
      </w:pPr>
      <w:r>
        <w:rPr>
          <w:rFonts w:hint="default"/>
          <w:lang w:val="en-US" w:eastAsia="zh-CN"/>
        </w:rPr>
        <w:t>矿区内地层总体呈北东走向、倾向南东的单斜构造产出，岩层倾向在155～178°之间，倾角在65～80°之间。</w:t>
      </w:r>
    </w:p>
    <w:p w14:paraId="06230447">
      <w:pPr>
        <w:pStyle w:val="18"/>
        <w:bidi w:val="0"/>
        <w:rPr>
          <w:rFonts w:hint="default"/>
          <w:lang w:val="en-US" w:eastAsia="zh-CN"/>
        </w:rPr>
      </w:pPr>
      <w:r>
        <w:rPr>
          <w:rFonts w:hint="eastAsia"/>
          <w:lang w:val="en-US" w:eastAsia="zh-CN"/>
        </w:rPr>
        <w:t>2、</w:t>
      </w:r>
      <w:r>
        <w:rPr>
          <w:rFonts w:hint="default"/>
          <w:lang w:val="en-US" w:eastAsia="zh-CN"/>
        </w:rPr>
        <w:t>断裂构造</w:t>
      </w:r>
    </w:p>
    <w:p w14:paraId="6DA98297">
      <w:pPr>
        <w:pStyle w:val="18"/>
        <w:bidi w:val="0"/>
        <w:rPr>
          <w:rFonts w:hint="default"/>
          <w:lang w:val="en-US" w:eastAsia="zh-CN"/>
        </w:rPr>
      </w:pPr>
      <w:r>
        <w:rPr>
          <w:rFonts w:hint="default"/>
          <w:lang w:val="en-US" w:eastAsia="zh-CN"/>
        </w:rPr>
        <w:t>矿区内断裂构造不发育，探采工程内仅局部见有小规模的层间断裂，对矿体的连续性没有影响。</w:t>
      </w:r>
    </w:p>
    <w:p w14:paraId="6A856376">
      <w:pPr>
        <w:pStyle w:val="18"/>
        <w:bidi w:val="0"/>
        <w:rPr>
          <w:rFonts w:hint="default"/>
          <w:lang w:val="en-US" w:eastAsia="zh-CN"/>
        </w:rPr>
      </w:pPr>
      <w:r>
        <w:rPr>
          <w:rFonts w:hint="eastAsia"/>
          <w:lang w:val="en-US" w:eastAsia="zh-CN"/>
        </w:rPr>
        <w:t>（3）</w:t>
      </w:r>
      <w:r>
        <w:rPr>
          <w:rFonts w:hint="default"/>
          <w:lang w:val="en-US" w:eastAsia="zh-CN"/>
        </w:rPr>
        <w:t>岩浆岩</w:t>
      </w:r>
    </w:p>
    <w:p w14:paraId="0EB6FD99">
      <w:pPr>
        <w:pStyle w:val="18"/>
        <w:bidi w:val="0"/>
        <w:rPr>
          <w:rFonts w:hint="default"/>
          <w:lang w:val="en-US" w:eastAsia="zh-CN"/>
        </w:rPr>
      </w:pPr>
      <w:r>
        <w:rPr>
          <w:rFonts w:hint="default"/>
          <w:lang w:val="en-US" w:eastAsia="zh-CN"/>
        </w:rPr>
        <w:t>矿区内岩浆岩不发育，经地表路线勘查和探采工程内的调查，未见岩浆岩产出。</w:t>
      </w:r>
    </w:p>
    <w:p w14:paraId="66231E20">
      <w:pPr>
        <w:pStyle w:val="25"/>
        <w:bidi w:val="0"/>
        <w:ind w:left="720" w:leftChars="0" w:hanging="720" w:firstLineChars="0"/>
        <w:rPr>
          <w:rFonts w:hint="default"/>
          <w:lang w:val="en-US" w:eastAsia="zh-CN"/>
        </w:rPr>
      </w:pPr>
      <w:r>
        <w:rPr>
          <w:rFonts w:hint="eastAsia"/>
          <w:lang w:val="en-US" w:eastAsia="zh-CN"/>
        </w:rPr>
        <w:t>矿床特征</w:t>
      </w:r>
    </w:p>
    <w:p w14:paraId="524F3045">
      <w:pPr>
        <w:pStyle w:val="18"/>
        <w:rPr>
          <w:rFonts w:hint="default"/>
          <w:lang w:val="en-US" w:eastAsia="zh-CN"/>
        </w:rPr>
      </w:pPr>
      <w:r>
        <w:rPr>
          <w:rFonts w:hint="default"/>
          <w:lang w:val="en-US" w:eastAsia="zh-CN"/>
        </w:rPr>
        <w:t>矿床赋存在古元古界辽河群大石桥组三段地层的菱镁大理岩层中，菱镁矿体及滑石矿体呈层状产出，矿体的形态、空间分布受单斜构造控制，按矿体的赋存层位、构造、岩浆岩的影响程度、形态等特征，该矿床成因属于沉积变质型菱镁、滑石矿床。</w:t>
      </w:r>
    </w:p>
    <w:p w14:paraId="52D3BB0A">
      <w:pPr>
        <w:pStyle w:val="18"/>
        <w:bidi w:val="0"/>
        <w:rPr>
          <w:rFonts w:hint="default"/>
          <w:lang w:val="en-US" w:eastAsia="zh-CN"/>
        </w:rPr>
      </w:pPr>
      <w:r>
        <w:rPr>
          <w:rFonts w:hint="default"/>
          <w:lang w:val="en-US" w:eastAsia="zh-CN"/>
        </w:rPr>
        <w:t>根据《储量核实报告》矿区内发现3条菱镁矿体，编号依次为：Mg1、Mg2、Mg3，另发现1条滑石矿体，编号为：Tc1，各矿体具体特征如下：</w:t>
      </w:r>
    </w:p>
    <w:p w14:paraId="59E70F5D">
      <w:pPr>
        <w:pStyle w:val="18"/>
        <w:numPr>
          <w:ilvl w:val="0"/>
          <w:numId w:val="0"/>
        </w:numPr>
        <w:ind w:firstLine="560" w:firstLineChars="200"/>
        <w:rPr>
          <w:rFonts w:hint="default"/>
          <w:lang w:val="en-US" w:eastAsia="zh-CN"/>
        </w:rPr>
      </w:pPr>
      <w:r>
        <w:rPr>
          <w:rFonts w:hint="default" w:ascii="Times New Roman" w:hAnsi="Times New Roman" w:eastAsia="宋体" w:cstheme="minorBidi"/>
          <w:sz w:val="28"/>
          <w:szCs w:val="28"/>
          <w:lang w:val="en-US" w:eastAsia="zh-CN"/>
        </w:rPr>
        <w:t>1、</w:t>
      </w:r>
      <w:r>
        <w:rPr>
          <w:rFonts w:hint="default"/>
          <w:lang w:val="en-US" w:eastAsia="zh-CN"/>
        </w:rPr>
        <w:t>Mg1菱镁矿体：位于矿区北部，地表出露部分由露天采坑、TC4-1、TC4-2控制，倾向延深由ZK4-80-1、ZK4-80-2、ZK4-80-3、ZK4+50-1、ZK4+50-2、ZK4+50-3、ZK5-40-1控制，地表控制长度大于850m，向西延伸至矿界以外，推测倾斜延深420m，矿体水平厚度87～144m，厚度变化系数Vm=25.11%，厚度稳定。形态呈层状，连续性较好，矿体中局部发育有少量夹石。矿体走向在60～90°之间，倾向在155～178°之间，倾角在65～80°之间，MgO平均品位44.11%、CaO平均品位1.43%、SiO2平均品位1.21%。矿体赋存标高147～-70m，埋藏深度0～217m，顶底板围岩为菱镁大理岩，局部顶板围岩为滑石片岩。</w:t>
      </w:r>
    </w:p>
    <w:p w14:paraId="4D9FAE2C">
      <w:pPr>
        <w:pStyle w:val="18"/>
        <w:bidi w:val="0"/>
        <w:rPr>
          <w:rFonts w:hint="eastAsia"/>
          <w:lang w:val="en-US" w:eastAsia="zh-CN"/>
        </w:rPr>
      </w:pPr>
      <w:r>
        <w:rPr>
          <w:rFonts w:hint="eastAsia"/>
          <w:lang w:val="en-US" w:eastAsia="zh-CN"/>
        </w:rPr>
        <w:t>2、Mg2菱镁矿体：位于矿区南部，地表出露部分由TC1、TC2、TC3、TC4-3控制，倾向延深由ZK2-1、ZK2-2、ZK3-1、ZK3-2控制，地表出露控制长度大于900m，向西延伸至矿界以外，最大推测倾斜延深225m，矿体水平厚度67～158m，厚度变化系数Vm=37.18%，厚度较为稳定，矿体形态呈层状，连续性较好，矿体中局部发育有少量夹石，夹石岩性为白云石大理岩。矿体倾向在165～178°之间，倾角在65～77°之间，MgO平均品位44.68%、CaO平均品位1.17%、SiO2平均品位1.34%。矿体赋存标高314～-70m，埋藏深度0～232m，顶底板围岩为菱镁大理岩，局部底板围岩为白云石大理岩。</w:t>
      </w:r>
    </w:p>
    <w:p w14:paraId="24994DB6">
      <w:pPr>
        <w:pStyle w:val="18"/>
        <w:bidi w:val="0"/>
        <w:rPr>
          <w:rFonts w:hint="eastAsia"/>
          <w:lang w:val="en-US" w:eastAsia="zh-CN"/>
        </w:rPr>
      </w:pPr>
      <w:r>
        <w:rPr>
          <w:rFonts w:hint="eastAsia"/>
          <w:lang w:val="en-US" w:eastAsia="zh-CN"/>
        </w:rPr>
        <w:t>3、Mg3菱镁矿体：位于Mg1菱镁主矿体南部，属于单独控制的矿体，地表出露部分由TC4-1控制，倾向延深由ZK4+50-1控制。出露控制长度30米，推测倾斜延深84米。矿体水平厚度9～19m，厚度变化系数Vm=36.42%，厚度较为稳定。矿体走向在60～90°之间，倾向在155～178°之间，倾角在65～80°之间，MgO平均品位44.08%、CaO平均品位0.89%、SiO2平均品位1.99%。矿体赋存标高79～-70m，埋藏深度0～133m，顶底板围岩为菱镁大理岩。</w:t>
      </w:r>
    </w:p>
    <w:p w14:paraId="6D923EFE">
      <w:pPr>
        <w:pStyle w:val="18"/>
        <w:bidi w:val="0"/>
        <w:rPr>
          <w:rFonts w:hint="default"/>
          <w:lang w:val="en-US" w:eastAsia="zh-CN"/>
        </w:rPr>
      </w:pPr>
      <w:r>
        <w:rPr>
          <w:rFonts w:hint="eastAsia"/>
          <w:lang w:val="en-US" w:eastAsia="zh-CN"/>
        </w:rPr>
        <w:t>4、Tc1滑石矿体：位于矿区北部，Mg1菱镁矿体的上盘，由露天采坑、TC4-1及井下-38m、-22m中段穿脉巷道控制，最大控制延长165m，推测倾斜延深125m。矿体倾向在160～170°之间，倾角在65～78°之间。水平厚度4.40～12.75m，平均水平厚度7.74m，真厚度4.00～11.55m，平均真厚度7.43m，厚度变化系数Vm=38.91%。矿体中滑石平均含量52.20%、Fe2O3平均品位0.69%、白度平均87.64%，滑石含量变化系数Vc=1.80%。矿体赋存标高94～-60m，埋藏深度0～154m，顶底板围岩为菱镁大理岩。</w:t>
      </w:r>
    </w:p>
    <w:p w14:paraId="2305C5ED">
      <w:pPr>
        <w:pStyle w:val="25"/>
        <w:bidi w:val="0"/>
        <w:ind w:left="720" w:leftChars="0" w:hanging="720" w:firstLineChars="0"/>
        <w:rPr>
          <w:rFonts w:hint="default"/>
          <w:lang w:val="en-US" w:eastAsia="zh-CN"/>
        </w:rPr>
      </w:pPr>
      <w:r>
        <w:rPr>
          <w:rFonts w:hint="eastAsia"/>
          <w:lang w:val="en-US" w:eastAsia="zh-CN"/>
        </w:rPr>
        <w:t>矿区水文地质概况</w:t>
      </w:r>
    </w:p>
    <w:p w14:paraId="599F5812">
      <w:pPr>
        <w:pStyle w:val="18"/>
        <w:numPr>
          <w:ilvl w:val="0"/>
          <w:numId w:val="0"/>
        </w:numPr>
        <w:ind w:firstLine="560" w:firstLineChars="200"/>
        <w:rPr>
          <w:rFonts w:hint="eastAsia"/>
          <w:lang w:val="en-US" w:eastAsia="zh-CN"/>
        </w:rPr>
      </w:pPr>
      <w:r>
        <w:rPr>
          <w:rFonts w:hint="eastAsia" w:ascii="Times New Roman" w:hAnsi="Times New Roman" w:eastAsia="宋体" w:cstheme="minorBidi"/>
          <w:sz w:val="28"/>
          <w:szCs w:val="28"/>
          <w:lang w:val="en-US" w:eastAsia="zh-CN"/>
        </w:rPr>
        <w:t>（1）</w:t>
      </w:r>
      <w:r>
        <w:rPr>
          <w:rFonts w:hint="eastAsia"/>
          <w:lang w:val="en-US" w:eastAsia="zh-CN"/>
        </w:rPr>
        <w:t>矿区水文地质条件现状</w:t>
      </w:r>
    </w:p>
    <w:p w14:paraId="7A323B7A">
      <w:pPr>
        <w:pStyle w:val="18"/>
        <w:bidi w:val="0"/>
        <w:rPr>
          <w:rFonts w:hint="default"/>
          <w:lang w:val="en-US" w:eastAsia="zh-CN"/>
        </w:rPr>
      </w:pPr>
      <w:r>
        <w:rPr>
          <w:rFonts w:hint="default"/>
          <w:lang w:val="en-US" w:eastAsia="zh-CN"/>
        </w:rPr>
        <w:t>矿区地处长白山系千山山脉向南延伸部分，属构造剥蚀丘陵地貌。区内最高标高为340m，最低标高为57.4m，相对高差282.6m，山谷上陡下缓，坡度一般为18～23°，最大可达25°，区内基岩基本裸露，植被不发育，地表自然泄水条件良好。</w:t>
      </w:r>
    </w:p>
    <w:p w14:paraId="512D9E2C">
      <w:pPr>
        <w:pStyle w:val="18"/>
        <w:bidi w:val="0"/>
        <w:rPr>
          <w:rFonts w:hint="default"/>
          <w:lang w:val="en-US" w:eastAsia="zh-CN"/>
        </w:rPr>
      </w:pPr>
      <w:r>
        <w:rPr>
          <w:rFonts w:hint="default"/>
          <w:lang w:val="en-US" w:eastAsia="zh-CN"/>
        </w:rPr>
        <w:t>矿区属于北温带湿润区大陆性季风气候，年平均降水量750mm，年最大降水量的1080mm（1964年），最小降水量为343mm（1958年），日最大降水量为175mm（1985年7月20日）；矿区东部发育有太子河上源支流海城河，该河流为常年性河流，雨季时水量较大，秋冬季水量锐减，矿区内除上述河流外，无其他地表水体存在。据以往水位地质资料及本次调查，当地最低侵蚀基准面标高约52m，目前矿山露天开采的最低标高为</w:t>
      </w:r>
      <w:r>
        <w:rPr>
          <w:rFonts w:hint="eastAsia"/>
          <w:lang w:val="en-US" w:eastAsia="zh-CN"/>
        </w:rPr>
        <w:t>-10</w:t>
      </w:r>
      <w:r>
        <w:rPr>
          <w:rFonts w:hint="default"/>
          <w:lang w:val="en-US" w:eastAsia="zh-CN"/>
        </w:rPr>
        <w:t>m，</w:t>
      </w:r>
      <w:r>
        <w:rPr>
          <w:rFonts w:hint="eastAsia"/>
          <w:lang w:val="en-US" w:eastAsia="zh-CN"/>
        </w:rPr>
        <w:t>开采范围</w:t>
      </w:r>
      <w:r>
        <w:rPr>
          <w:rFonts w:hint="default"/>
          <w:lang w:val="en-US" w:eastAsia="zh-CN"/>
        </w:rPr>
        <w:t>部分位于当地最低侵蚀基准面以上，部分位于当地最低侵蚀基准面以下。</w:t>
      </w:r>
    </w:p>
    <w:p w14:paraId="4754878A">
      <w:pPr>
        <w:pStyle w:val="18"/>
        <w:bidi w:val="0"/>
        <w:rPr>
          <w:rFonts w:hint="default"/>
          <w:lang w:val="en-US" w:eastAsia="zh-CN"/>
        </w:rPr>
      </w:pPr>
      <w:r>
        <w:rPr>
          <w:rFonts w:hint="eastAsia"/>
          <w:lang w:val="en-US" w:eastAsia="zh-CN"/>
        </w:rPr>
        <w:t>（2）矿区地下水类型及含水岩组的组合特征</w:t>
      </w:r>
    </w:p>
    <w:p w14:paraId="3399209D">
      <w:pPr>
        <w:pStyle w:val="18"/>
        <w:bidi w:val="0"/>
        <w:rPr>
          <w:rFonts w:hint="default"/>
          <w:lang w:val="en-US" w:eastAsia="zh-CN"/>
        </w:rPr>
      </w:pPr>
      <w:r>
        <w:rPr>
          <w:rFonts w:hint="default"/>
          <w:lang w:val="en-US" w:eastAsia="zh-CN"/>
        </w:rPr>
        <w:t>据该地区以往地质资料显示，矿区及周边的地下水有第四系松散岩类孔隙水、岩溶裂隙水和构造裂隙水三种类型。</w:t>
      </w:r>
    </w:p>
    <w:p w14:paraId="7492B43D">
      <w:pPr>
        <w:pStyle w:val="18"/>
        <w:bidi w:val="0"/>
        <w:rPr>
          <w:rFonts w:hint="default"/>
          <w:lang w:val="en-US" w:eastAsia="zh-CN"/>
        </w:rPr>
      </w:pPr>
      <w:r>
        <w:rPr>
          <w:rFonts w:hint="default"/>
          <w:lang w:val="en-US" w:eastAsia="zh-CN"/>
        </w:rPr>
        <w:t>1、第四系松散岩类孔隙水</w:t>
      </w:r>
    </w:p>
    <w:p w14:paraId="7E33EE2B">
      <w:pPr>
        <w:pStyle w:val="18"/>
        <w:bidi w:val="0"/>
        <w:rPr>
          <w:rFonts w:hint="default"/>
          <w:lang w:val="en-US" w:eastAsia="zh-CN"/>
        </w:rPr>
      </w:pPr>
      <w:r>
        <w:rPr>
          <w:rFonts w:hint="default"/>
          <w:lang w:val="en-US" w:eastAsia="zh-CN"/>
        </w:rPr>
        <w:t>该含水岩组主要由砂、砾石、泥质物质组成，层厚一般在0.2～15m，透水性较强，含水性较好，水位埋深一般在4.5m。主要接受大气降水、地表径流补给，以蒸发、渗入方式排泄，富水性中等。</w:t>
      </w:r>
    </w:p>
    <w:p w14:paraId="27D00A08">
      <w:pPr>
        <w:pStyle w:val="18"/>
        <w:bidi w:val="0"/>
        <w:rPr>
          <w:rFonts w:hint="default"/>
          <w:lang w:val="en-US" w:eastAsia="zh-CN"/>
        </w:rPr>
      </w:pPr>
      <w:r>
        <w:rPr>
          <w:rFonts w:hint="default"/>
          <w:lang w:val="en-US" w:eastAsia="zh-CN"/>
        </w:rPr>
        <w:t>2、构造裂隙水</w:t>
      </w:r>
    </w:p>
    <w:p w14:paraId="00D9994D">
      <w:pPr>
        <w:pStyle w:val="18"/>
        <w:bidi w:val="0"/>
        <w:rPr>
          <w:rFonts w:hint="default"/>
          <w:lang w:val="en-US" w:eastAsia="zh-CN"/>
        </w:rPr>
      </w:pPr>
      <w:r>
        <w:rPr>
          <w:rFonts w:hint="default"/>
          <w:lang w:val="en-US" w:eastAsia="zh-CN"/>
        </w:rPr>
        <w:t>矿区内断裂构造不发育，露天采坑内仅见有小规模的层间断裂构造，未对矿体及围岩产生破坏，也未见层间断裂构造有渗水现象，总体反映该岩组富水性弱。</w:t>
      </w:r>
    </w:p>
    <w:p w14:paraId="7F2990CE">
      <w:pPr>
        <w:pStyle w:val="18"/>
        <w:bidi w:val="0"/>
        <w:rPr>
          <w:rFonts w:hint="default"/>
          <w:lang w:val="en-US" w:eastAsia="zh-CN"/>
        </w:rPr>
      </w:pPr>
      <w:r>
        <w:rPr>
          <w:rFonts w:hint="default"/>
          <w:lang w:val="en-US" w:eastAsia="zh-CN"/>
        </w:rPr>
        <w:t>3、大理岩类岩溶裂隙水</w:t>
      </w:r>
    </w:p>
    <w:p w14:paraId="4094529B">
      <w:pPr>
        <w:pStyle w:val="18"/>
        <w:bidi w:val="0"/>
        <w:rPr>
          <w:rFonts w:hint="default"/>
          <w:lang w:val="en-US" w:eastAsia="zh-CN"/>
        </w:rPr>
      </w:pPr>
      <w:r>
        <w:rPr>
          <w:rFonts w:hint="default"/>
          <w:lang w:val="en-US" w:eastAsia="zh-CN"/>
        </w:rPr>
        <w:t>经调查，露天采坑及巷道已揭露的矿体为菱镁大理岩及白云石大理岩，岩石质地较为致密，裂隙不发育，透水性较差。现场调查未见有溶蚀现象，总体反映该岩组富水性弱。</w:t>
      </w:r>
    </w:p>
    <w:p w14:paraId="6EB26DD5">
      <w:pPr>
        <w:pStyle w:val="25"/>
        <w:bidi w:val="0"/>
        <w:ind w:left="720" w:leftChars="0" w:hanging="720" w:firstLineChars="0"/>
        <w:rPr>
          <w:rFonts w:hint="default"/>
          <w:lang w:val="en-US" w:eastAsia="zh-CN"/>
        </w:rPr>
      </w:pPr>
      <w:r>
        <w:rPr>
          <w:rFonts w:hint="eastAsia"/>
          <w:lang w:val="en-US" w:eastAsia="zh-CN"/>
        </w:rPr>
        <w:t>工程地质概况</w:t>
      </w:r>
    </w:p>
    <w:p w14:paraId="4E0268AC">
      <w:pPr>
        <w:pStyle w:val="18"/>
        <w:rPr>
          <w:rFonts w:hint="default"/>
          <w:lang w:val="en-US" w:eastAsia="zh-CN"/>
        </w:rPr>
      </w:pPr>
      <w:r>
        <w:rPr>
          <w:rFonts w:hint="default"/>
          <w:lang w:val="en-US" w:eastAsia="zh-CN"/>
        </w:rPr>
        <w:t>矿山菱镁矿开采方式为露天开采，采场内岩石岩性主要为白云岩大理石、菱镁大理岩及菱镁矿，为坚硬—半坚硬岩石，以坚硬岩石为主。矿山经多年开采，开采菱镁矿已形成一定规模采坑，开采平台岩体总体较为稳定，部分分段边坡角较陡，高差较大，存在一定安全隐患。建议矿山应做好边坡防护工作、控制段高做到安全生产。随着开采深度增加，矿体的标高低于当地侵蚀基准面，容易引发水流倒灌等灾害问题，矿山应做好采坑涌水监测，及时排水，以免发生意外。</w:t>
      </w:r>
    </w:p>
    <w:p w14:paraId="5DF884D6">
      <w:pPr>
        <w:pStyle w:val="18"/>
        <w:rPr>
          <w:rFonts w:hint="default"/>
          <w:lang w:val="en-US" w:eastAsia="zh-CN"/>
        </w:rPr>
      </w:pPr>
      <w:r>
        <w:rPr>
          <w:rFonts w:hint="default"/>
          <w:lang w:val="en-US" w:eastAsia="zh-CN"/>
        </w:rPr>
        <w:t>综合上述，矿区工程地质条件属中等型。</w:t>
      </w:r>
    </w:p>
    <w:p w14:paraId="7A150604">
      <w:pPr>
        <w:pStyle w:val="25"/>
        <w:bidi w:val="0"/>
        <w:ind w:left="720" w:leftChars="0" w:hanging="720" w:firstLineChars="0"/>
        <w:rPr>
          <w:rFonts w:hint="default"/>
          <w:lang w:val="en-US" w:eastAsia="zh-CN"/>
        </w:rPr>
      </w:pPr>
      <w:r>
        <w:rPr>
          <w:rFonts w:hint="eastAsia"/>
          <w:lang w:val="en-US" w:eastAsia="zh-CN"/>
        </w:rPr>
        <w:t>环境地质概况</w:t>
      </w:r>
    </w:p>
    <w:p w14:paraId="23AD74B8">
      <w:pPr>
        <w:pStyle w:val="18"/>
        <w:rPr>
          <w:rFonts w:hint="default"/>
          <w:lang w:val="en-US" w:eastAsia="zh-CN"/>
        </w:rPr>
      </w:pPr>
      <w:r>
        <w:rPr>
          <w:rFonts w:hint="default"/>
          <w:lang w:val="en-US" w:eastAsia="zh-CN"/>
        </w:rPr>
        <w:t>根据中国地震反应谱特征周期区划图（第四代），地震动峰值加速度0.15g，反应谱特征周期0.40s，处于Ⅶ度烈度带，是地震活动较强的地区。</w:t>
      </w:r>
    </w:p>
    <w:p w14:paraId="127DE918">
      <w:pPr>
        <w:pStyle w:val="18"/>
        <w:rPr>
          <w:rFonts w:hint="default"/>
          <w:lang w:val="en-US" w:eastAsia="zh-CN"/>
        </w:rPr>
      </w:pPr>
      <w:r>
        <w:rPr>
          <w:rFonts w:hint="default"/>
          <w:lang w:val="en-US" w:eastAsia="zh-CN"/>
        </w:rPr>
        <w:t>矿区内人为工程活动较强烈，主要表现为开采活动形成的露天采坑、井口、废石渣台、矿区简易路及地表各类生产设施等，上述人为工程活动均对本区自然地质环境及生态环境造成一定破坏，现状条件下矿山开采活动未引发相关的地质灾害。</w:t>
      </w:r>
    </w:p>
    <w:p w14:paraId="06AC44FB">
      <w:pPr>
        <w:pStyle w:val="18"/>
        <w:rPr>
          <w:rFonts w:hint="default"/>
          <w:lang w:val="en-US" w:eastAsia="zh-CN"/>
        </w:rPr>
      </w:pPr>
      <w:r>
        <w:rPr>
          <w:rFonts w:hint="default"/>
          <w:lang w:val="en-US" w:eastAsia="zh-CN"/>
        </w:rPr>
        <w:t>经调查，矿区现状条件下未发生相关地质灾害。矿区及周边地区无文物古迹及自然保护区。区内建筑物均为一般简易工房，密度不大。矿区距居民区较远，总体评价矿区环境地质条件中等。</w:t>
      </w:r>
    </w:p>
    <w:p w14:paraId="0C96E117">
      <w:pPr>
        <w:pStyle w:val="24"/>
        <w:bidi w:val="0"/>
        <w:ind w:left="0" w:leftChars="0" w:firstLine="0" w:firstLineChars="0"/>
        <w:rPr>
          <w:rFonts w:hint="default"/>
          <w:lang w:val="en-US" w:eastAsia="zh-CN"/>
        </w:rPr>
      </w:pPr>
      <w:bookmarkStart w:id="7" w:name="_Toc31132"/>
      <w:r>
        <w:rPr>
          <w:rFonts w:hint="eastAsia"/>
          <w:lang w:val="en-US" w:eastAsia="zh-CN"/>
        </w:rPr>
        <w:t>建设概况</w:t>
      </w:r>
      <w:bookmarkEnd w:id="7"/>
    </w:p>
    <w:p w14:paraId="41746B85">
      <w:pPr>
        <w:pStyle w:val="25"/>
        <w:bidi w:val="0"/>
        <w:ind w:left="720" w:leftChars="0" w:hanging="720" w:firstLineChars="0"/>
        <w:rPr>
          <w:rFonts w:hint="default"/>
          <w:lang w:val="en-US" w:eastAsia="zh-CN"/>
        </w:rPr>
      </w:pPr>
      <w:r>
        <w:rPr>
          <w:rFonts w:hint="eastAsia"/>
          <w:lang w:val="en-US" w:eastAsia="zh-CN"/>
        </w:rPr>
        <w:t>矿山开采现状</w:t>
      </w:r>
    </w:p>
    <w:p w14:paraId="194670A2">
      <w:pPr>
        <w:pStyle w:val="18"/>
        <w:rPr>
          <w:rFonts w:hint="default"/>
          <w:lang w:val="en-US" w:eastAsia="zh-CN"/>
        </w:rPr>
      </w:pPr>
      <w:r>
        <w:rPr>
          <w:rFonts w:hint="eastAsia"/>
          <w:lang w:val="en-US" w:eastAsia="zh-CN"/>
        </w:rPr>
        <w:t>（1）</w:t>
      </w:r>
      <w:r>
        <w:rPr>
          <w:rFonts w:hint="default"/>
          <w:lang w:val="en-US" w:eastAsia="zh-CN"/>
        </w:rPr>
        <w:t>原有采场情况</w:t>
      </w:r>
    </w:p>
    <w:p w14:paraId="0E4CBBB3">
      <w:pPr>
        <w:pStyle w:val="18"/>
        <w:rPr>
          <w:rFonts w:hint="default"/>
          <w:lang w:val="en-US" w:eastAsia="zh-CN"/>
        </w:rPr>
      </w:pPr>
      <w:r>
        <w:rPr>
          <w:rFonts w:hint="default"/>
          <w:lang w:val="en-US" w:eastAsia="zh-CN"/>
        </w:rPr>
        <w:t>矿山原已开采多年，原设计分为南北采区，均采用公路开拓汽车运输矿石，北采区现已经形成一个较大的露天采坑（CK1），东西长度约345m，南北宽度约240m，边坡最高约129m，坑底最低标高至17m，已经形成多个台阶，台阶高度为10m（靠帮并段后20m~40m)，台阶坡面角约为60°~70°，北采区采场为深凹露天采场，采用机械排水方式排水。</w:t>
      </w:r>
    </w:p>
    <w:p w14:paraId="37C9A2BB">
      <w:pPr>
        <w:pStyle w:val="18"/>
        <w:rPr>
          <w:rFonts w:hint="default"/>
          <w:lang w:val="en-US" w:eastAsia="zh-CN"/>
        </w:rPr>
      </w:pPr>
      <w:r>
        <w:rPr>
          <w:rFonts w:hint="default"/>
          <w:lang w:val="en-US" w:eastAsia="zh-CN"/>
        </w:rPr>
        <w:t>矿山建设以来南采区一直未进行回采，存在8处（CK2~CK9）历史民采采坑。</w:t>
      </w:r>
    </w:p>
    <w:p w14:paraId="0A9CCCF8">
      <w:pPr>
        <w:pStyle w:val="26"/>
        <w:bidi w:val="0"/>
        <w:rPr>
          <w:rFonts w:hint="default"/>
          <w:lang w:val="en-US" w:eastAsia="zh-CN"/>
        </w:rPr>
      </w:pPr>
      <w:r>
        <w:rPr>
          <w:rFonts w:hint="default"/>
          <w:lang w:val="en-US" w:eastAsia="zh-CN"/>
        </w:rPr>
        <w:t>表2</w:t>
      </w:r>
      <w:r>
        <w:rPr>
          <w:rFonts w:hint="eastAsia"/>
          <w:lang w:val="en-US" w:eastAsia="zh-CN"/>
        </w:rPr>
        <w:t>.4-1</w:t>
      </w:r>
      <w:r>
        <w:rPr>
          <w:rFonts w:hint="default"/>
          <w:lang w:val="en-US" w:eastAsia="zh-CN"/>
        </w:rPr>
        <w:t xml:space="preserve"> </w:t>
      </w:r>
      <w:r>
        <w:rPr>
          <w:rFonts w:hint="eastAsia"/>
          <w:lang w:val="en-US" w:eastAsia="zh-CN"/>
        </w:rPr>
        <w:t xml:space="preserve"> </w:t>
      </w:r>
      <w:r>
        <w:rPr>
          <w:rFonts w:hint="default"/>
          <w:lang w:val="en-US" w:eastAsia="zh-CN"/>
        </w:rPr>
        <w:t>原南北采区露天采坑情况表</w:t>
      </w:r>
    </w:p>
    <w:tbl>
      <w:tblPr>
        <w:tblStyle w:val="20"/>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15" w:type="dxa"/>
          <w:left w:w="15" w:type="dxa"/>
          <w:bottom w:w="15" w:type="dxa"/>
          <w:right w:w="15" w:type="dxa"/>
        </w:tblCellMar>
      </w:tblPr>
      <w:tblGrid>
        <w:gridCol w:w="509"/>
        <w:gridCol w:w="1171"/>
        <w:gridCol w:w="935"/>
        <w:gridCol w:w="988"/>
        <w:gridCol w:w="749"/>
        <w:gridCol w:w="935"/>
        <w:gridCol w:w="983"/>
        <w:gridCol w:w="1320"/>
        <w:gridCol w:w="746"/>
      </w:tblGrid>
      <w:tr w14:paraId="15782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10" w:hRule="atLeast"/>
          <w:jc w:val="center"/>
        </w:trPr>
        <w:tc>
          <w:tcPr>
            <w:tcW w:w="305" w:type="pct"/>
            <w:tcBorders>
              <w:top w:val="single" w:color="000000" w:sz="4" w:space="0"/>
              <w:left w:val="single" w:color="000000" w:sz="4" w:space="0"/>
              <w:bottom w:val="single" w:color="000000" w:sz="4" w:space="0"/>
              <w:right w:val="single" w:color="000000" w:sz="4" w:space="0"/>
            </w:tcBorders>
            <w:noWrap w:val="0"/>
            <w:vAlign w:val="center"/>
          </w:tcPr>
          <w:p w14:paraId="74E39955">
            <w:pPr>
              <w:pStyle w:val="27"/>
              <w:bidi w:val="0"/>
              <w:rPr>
                <w:rFonts w:hint="default"/>
                <w:sz w:val="21"/>
                <w:szCs w:val="21"/>
                <w:lang w:val="en-US" w:eastAsia="zh-CN"/>
              </w:rPr>
            </w:pPr>
            <w:r>
              <w:rPr>
                <w:rFonts w:hint="default"/>
                <w:sz w:val="21"/>
                <w:szCs w:val="21"/>
                <w:lang w:val="en-US" w:eastAsia="zh-CN"/>
              </w:rPr>
              <w:t>名称</w:t>
            </w:r>
          </w:p>
        </w:tc>
        <w:tc>
          <w:tcPr>
            <w:tcW w:w="702" w:type="pct"/>
            <w:tcBorders>
              <w:top w:val="single" w:color="000000" w:sz="4" w:space="0"/>
              <w:left w:val="single" w:color="000000" w:sz="4" w:space="0"/>
              <w:bottom w:val="single" w:color="000000" w:sz="4" w:space="0"/>
              <w:right w:val="single" w:color="000000" w:sz="4" w:space="0"/>
            </w:tcBorders>
            <w:noWrap w:val="0"/>
            <w:vAlign w:val="center"/>
          </w:tcPr>
          <w:p w14:paraId="584D8125">
            <w:pPr>
              <w:pStyle w:val="27"/>
              <w:bidi w:val="0"/>
              <w:rPr>
                <w:rFonts w:hint="default"/>
                <w:sz w:val="21"/>
                <w:szCs w:val="21"/>
                <w:lang w:val="en-US" w:eastAsia="zh-CN"/>
              </w:rPr>
            </w:pPr>
            <w:r>
              <w:rPr>
                <w:rFonts w:hint="default"/>
                <w:sz w:val="21"/>
                <w:szCs w:val="21"/>
                <w:lang w:val="en-US" w:eastAsia="zh-CN"/>
              </w:rPr>
              <w:t>长度（m）</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24352777">
            <w:pPr>
              <w:pStyle w:val="27"/>
              <w:bidi w:val="0"/>
              <w:rPr>
                <w:rFonts w:hint="default"/>
                <w:sz w:val="21"/>
                <w:szCs w:val="21"/>
                <w:lang w:val="en-US" w:eastAsia="zh-CN"/>
              </w:rPr>
            </w:pPr>
            <w:r>
              <w:rPr>
                <w:rFonts w:hint="default"/>
                <w:sz w:val="21"/>
                <w:szCs w:val="21"/>
                <w:lang w:val="en-US" w:eastAsia="zh-CN"/>
              </w:rPr>
              <w:t>宽（m）</w:t>
            </w:r>
          </w:p>
        </w:tc>
        <w:tc>
          <w:tcPr>
            <w:tcW w:w="592" w:type="pct"/>
            <w:tcBorders>
              <w:top w:val="single" w:color="000000" w:sz="4" w:space="0"/>
              <w:left w:val="single" w:color="000000" w:sz="4" w:space="0"/>
              <w:bottom w:val="single" w:color="000000" w:sz="4" w:space="0"/>
              <w:right w:val="single" w:color="000000" w:sz="4" w:space="0"/>
            </w:tcBorders>
            <w:noWrap w:val="0"/>
            <w:vAlign w:val="center"/>
          </w:tcPr>
          <w:p w14:paraId="6DFE9C40">
            <w:pPr>
              <w:pStyle w:val="27"/>
              <w:bidi w:val="0"/>
              <w:rPr>
                <w:rFonts w:hint="default"/>
                <w:sz w:val="21"/>
                <w:szCs w:val="21"/>
                <w:lang w:val="en-US" w:eastAsia="zh-CN"/>
              </w:rPr>
            </w:pPr>
            <w:r>
              <w:rPr>
                <w:rFonts w:hint="default"/>
                <w:sz w:val="21"/>
                <w:szCs w:val="21"/>
                <w:lang w:val="en-US" w:eastAsia="zh-CN"/>
              </w:rPr>
              <w:t>采场</w:t>
            </w:r>
          </w:p>
          <w:p w14:paraId="65D4655E">
            <w:pPr>
              <w:pStyle w:val="27"/>
              <w:bidi w:val="0"/>
              <w:rPr>
                <w:rFonts w:hint="default"/>
                <w:sz w:val="21"/>
                <w:szCs w:val="21"/>
                <w:lang w:val="en-US" w:eastAsia="zh-CN"/>
              </w:rPr>
            </w:pPr>
            <w:r>
              <w:rPr>
                <w:rFonts w:hint="default"/>
                <w:sz w:val="21"/>
                <w:szCs w:val="21"/>
                <w:lang w:val="en-US" w:eastAsia="zh-CN"/>
              </w:rPr>
              <w:t>最高标高</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14:paraId="2156DF40">
            <w:pPr>
              <w:pStyle w:val="27"/>
              <w:bidi w:val="0"/>
              <w:rPr>
                <w:rFonts w:hint="default"/>
                <w:sz w:val="21"/>
                <w:szCs w:val="21"/>
                <w:lang w:val="en-US" w:eastAsia="zh-CN"/>
              </w:rPr>
            </w:pPr>
            <w:r>
              <w:rPr>
                <w:rFonts w:hint="default"/>
                <w:sz w:val="21"/>
                <w:szCs w:val="21"/>
                <w:lang w:val="en-US" w:eastAsia="zh-CN"/>
              </w:rPr>
              <w:t>采场</w:t>
            </w:r>
          </w:p>
          <w:p w14:paraId="6BC1EC98">
            <w:pPr>
              <w:pStyle w:val="27"/>
              <w:bidi w:val="0"/>
              <w:rPr>
                <w:rFonts w:hint="default"/>
                <w:sz w:val="21"/>
                <w:szCs w:val="21"/>
                <w:lang w:val="en-US" w:eastAsia="zh-CN"/>
              </w:rPr>
            </w:pPr>
            <w:r>
              <w:rPr>
                <w:rFonts w:hint="default"/>
                <w:sz w:val="21"/>
                <w:szCs w:val="21"/>
                <w:lang w:val="en-US" w:eastAsia="zh-CN"/>
              </w:rPr>
              <w:t>底标高</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00BC368E">
            <w:pPr>
              <w:pStyle w:val="27"/>
              <w:bidi w:val="0"/>
              <w:rPr>
                <w:rFonts w:hint="default"/>
                <w:sz w:val="21"/>
                <w:szCs w:val="21"/>
                <w:lang w:val="en-US" w:eastAsia="zh-CN"/>
              </w:rPr>
            </w:pPr>
            <w:r>
              <w:rPr>
                <w:rFonts w:hint="default"/>
                <w:sz w:val="21"/>
                <w:szCs w:val="21"/>
                <w:lang w:val="en-US" w:eastAsia="zh-CN"/>
              </w:rPr>
              <w:t>深（m）</w:t>
            </w:r>
          </w:p>
        </w:tc>
        <w:tc>
          <w:tcPr>
            <w:tcW w:w="589" w:type="pct"/>
            <w:tcBorders>
              <w:top w:val="single" w:color="000000" w:sz="4" w:space="0"/>
              <w:left w:val="single" w:color="000000" w:sz="4" w:space="0"/>
              <w:bottom w:val="single" w:color="000000" w:sz="4" w:space="0"/>
              <w:right w:val="single" w:color="000000" w:sz="4" w:space="0"/>
            </w:tcBorders>
            <w:noWrap w:val="0"/>
            <w:vAlign w:val="center"/>
          </w:tcPr>
          <w:p w14:paraId="6572A177">
            <w:pPr>
              <w:pStyle w:val="27"/>
              <w:bidi w:val="0"/>
              <w:rPr>
                <w:rFonts w:hint="default"/>
                <w:sz w:val="21"/>
                <w:szCs w:val="21"/>
                <w:lang w:val="en-US" w:eastAsia="zh-CN"/>
              </w:rPr>
            </w:pPr>
            <w:r>
              <w:rPr>
                <w:rFonts w:hint="default"/>
                <w:sz w:val="21"/>
                <w:szCs w:val="21"/>
                <w:lang w:val="en-US" w:eastAsia="zh-CN"/>
              </w:rPr>
              <w:t>台阶个数</w:t>
            </w:r>
          </w:p>
        </w:tc>
        <w:tc>
          <w:tcPr>
            <w:tcW w:w="791" w:type="pct"/>
            <w:tcBorders>
              <w:top w:val="single" w:color="000000" w:sz="4" w:space="0"/>
              <w:left w:val="single" w:color="000000" w:sz="4" w:space="0"/>
              <w:bottom w:val="single" w:color="000000" w:sz="4" w:space="0"/>
              <w:right w:val="single" w:color="000000" w:sz="4" w:space="0"/>
            </w:tcBorders>
            <w:noWrap w:val="0"/>
            <w:vAlign w:val="center"/>
          </w:tcPr>
          <w:p w14:paraId="1736513E">
            <w:pPr>
              <w:pStyle w:val="27"/>
              <w:bidi w:val="0"/>
              <w:rPr>
                <w:rFonts w:hint="default"/>
                <w:sz w:val="21"/>
                <w:szCs w:val="21"/>
                <w:lang w:val="en-US" w:eastAsia="zh-CN"/>
              </w:rPr>
            </w:pPr>
            <w:r>
              <w:rPr>
                <w:rFonts w:hint="default"/>
                <w:sz w:val="21"/>
                <w:szCs w:val="21"/>
                <w:lang w:val="en-US" w:eastAsia="zh-CN"/>
              </w:rPr>
              <w:t>边坡角（°）</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14:paraId="59EC2CA5">
            <w:pPr>
              <w:pStyle w:val="27"/>
              <w:bidi w:val="0"/>
              <w:rPr>
                <w:rFonts w:hint="default"/>
                <w:sz w:val="21"/>
                <w:szCs w:val="21"/>
                <w:lang w:val="en-US" w:eastAsia="zh-CN"/>
              </w:rPr>
            </w:pPr>
            <w:r>
              <w:rPr>
                <w:rFonts w:hint="default"/>
                <w:sz w:val="21"/>
                <w:szCs w:val="21"/>
                <w:lang w:val="en-US" w:eastAsia="zh-CN"/>
              </w:rPr>
              <w:t>备注</w:t>
            </w:r>
          </w:p>
        </w:tc>
      </w:tr>
      <w:tr w14:paraId="3CF3B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jc w:val="center"/>
        </w:trPr>
        <w:tc>
          <w:tcPr>
            <w:tcW w:w="305" w:type="pct"/>
            <w:tcBorders>
              <w:top w:val="single" w:color="000000" w:sz="4" w:space="0"/>
              <w:left w:val="single" w:color="000000" w:sz="4" w:space="0"/>
              <w:bottom w:val="single" w:color="000000" w:sz="4" w:space="0"/>
              <w:right w:val="single" w:color="000000" w:sz="4" w:space="0"/>
            </w:tcBorders>
            <w:noWrap w:val="0"/>
            <w:vAlign w:val="center"/>
          </w:tcPr>
          <w:p w14:paraId="4D7843CC">
            <w:pPr>
              <w:pStyle w:val="27"/>
              <w:bidi w:val="0"/>
              <w:rPr>
                <w:rFonts w:hint="default"/>
                <w:sz w:val="21"/>
                <w:szCs w:val="21"/>
                <w:lang w:val="en-US" w:eastAsia="zh-CN"/>
              </w:rPr>
            </w:pPr>
            <w:r>
              <w:rPr>
                <w:rFonts w:hint="default"/>
                <w:sz w:val="21"/>
                <w:szCs w:val="21"/>
                <w:lang w:val="en-US" w:eastAsia="zh-CN"/>
              </w:rPr>
              <w:t>CK1</w:t>
            </w:r>
          </w:p>
        </w:tc>
        <w:tc>
          <w:tcPr>
            <w:tcW w:w="702" w:type="pct"/>
            <w:tcBorders>
              <w:top w:val="single" w:color="000000" w:sz="4" w:space="0"/>
              <w:left w:val="single" w:color="000000" w:sz="4" w:space="0"/>
              <w:bottom w:val="single" w:color="000000" w:sz="4" w:space="0"/>
              <w:right w:val="single" w:color="000000" w:sz="4" w:space="0"/>
            </w:tcBorders>
            <w:noWrap w:val="0"/>
            <w:vAlign w:val="center"/>
          </w:tcPr>
          <w:p w14:paraId="3CD883A2">
            <w:pPr>
              <w:pStyle w:val="27"/>
              <w:bidi w:val="0"/>
              <w:rPr>
                <w:rFonts w:hint="default"/>
                <w:sz w:val="21"/>
                <w:szCs w:val="21"/>
                <w:lang w:val="en-US" w:eastAsia="zh-CN"/>
              </w:rPr>
            </w:pPr>
            <w:r>
              <w:rPr>
                <w:rFonts w:hint="default"/>
                <w:sz w:val="21"/>
                <w:szCs w:val="21"/>
                <w:lang w:val="en-US" w:eastAsia="zh-CN"/>
              </w:rPr>
              <w:t>345</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7B9B5503">
            <w:pPr>
              <w:pStyle w:val="27"/>
              <w:bidi w:val="0"/>
              <w:rPr>
                <w:rFonts w:hint="default"/>
                <w:sz w:val="21"/>
                <w:szCs w:val="21"/>
                <w:lang w:val="en-US" w:eastAsia="zh-CN"/>
              </w:rPr>
            </w:pPr>
            <w:r>
              <w:rPr>
                <w:rFonts w:hint="default"/>
                <w:sz w:val="21"/>
                <w:szCs w:val="21"/>
                <w:lang w:val="en-US" w:eastAsia="zh-CN"/>
              </w:rPr>
              <w:t>240</w:t>
            </w:r>
          </w:p>
        </w:tc>
        <w:tc>
          <w:tcPr>
            <w:tcW w:w="592" w:type="pct"/>
            <w:tcBorders>
              <w:top w:val="single" w:color="000000" w:sz="4" w:space="0"/>
              <w:left w:val="single" w:color="000000" w:sz="4" w:space="0"/>
              <w:bottom w:val="single" w:color="000000" w:sz="4" w:space="0"/>
              <w:right w:val="single" w:color="000000" w:sz="4" w:space="0"/>
            </w:tcBorders>
            <w:noWrap w:val="0"/>
            <w:vAlign w:val="center"/>
          </w:tcPr>
          <w:p w14:paraId="4C6F8989">
            <w:pPr>
              <w:pStyle w:val="27"/>
              <w:bidi w:val="0"/>
              <w:rPr>
                <w:rFonts w:hint="default"/>
                <w:sz w:val="21"/>
                <w:szCs w:val="21"/>
                <w:lang w:val="en-US" w:eastAsia="zh-CN"/>
              </w:rPr>
            </w:pPr>
            <w:r>
              <w:rPr>
                <w:rFonts w:hint="default"/>
                <w:sz w:val="21"/>
                <w:szCs w:val="21"/>
                <w:lang w:val="en-US" w:eastAsia="zh-CN"/>
              </w:rPr>
              <w:t>146</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14:paraId="6CEDBEEC">
            <w:pPr>
              <w:pStyle w:val="27"/>
              <w:bidi w:val="0"/>
              <w:rPr>
                <w:rFonts w:hint="default"/>
                <w:sz w:val="21"/>
                <w:szCs w:val="21"/>
                <w:lang w:val="en-US" w:eastAsia="zh-CN"/>
              </w:rPr>
            </w:pPr>
            <w:r>
              <w:rPr>
                <w:rFonts w:hint="default"/>
                <w:sz w:val="21"/>
                <w:szCs w:val="21"/>
                <w:lang w:val="en-US" w:eastAsia="zh-CN"/>
              </w:rPr>
              <w:t>17.53</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220F22BB">
            <w:pPr>
              <w:pStyle w:val="27"/>
              <w:bidi w:val="0"/>
              <w:rPr>
                <w:rFonts w:hint="default"/>
                <w:sz w:val="21"/>
                <w:szCs w:val="21"/>
                <w:lang w:val="en-US" w:eastAsia="zh-CN"/>
              </w:rPr>
            </w:pPr>
            <w:r>
              <w:rPr>
                <w:rFonts w:hint="default"/>
                <w:sz w:val="21"/>
                <w:szCs w:val="21"/>
                <w:lang w:val="en-US" w:eastAsia="zh-CN"/>
              </w:rPr>
              <w:t>128.47</w:t>
            </w:r>
          </w:p>
        </w:tc>
        <w:tc>
          <w:tcPr>
            <w:tcW w:w="589" w:type="pct"/>
            <w:tcBorders>
              <w:top w:val="single" w:color="000000" w:sz="4" w:space="0"/>
              <w:left w:val="single" w:color="000000" w:sz="4" w:space="0"/>
              <w:bottom w:val="single" w:color="000000" w:sz="4" w:space="0"/>
              <w:right w:val="single" w:color="000000" w:sz="4" w:space="0"/>
            </w:tcBorders>
            <w:noWrap w:val="0"/>
            <w:vAlign w:val="center"/>
          </w:tcPr>
          <w:p w14:paraId="74FEE337">
            <w:pPr>
              <w:pStyle w:val="27"/>
              <w:bidi w:val="0"/>
              <w:rPr>
                <w:rFonts w:hint="default"/>
                <w:sz w:val="21"/>
                <w:szCs w:val="21"/>
                <w:lang w:val="en-US" w:eastAsia="zh-CN"/>
              </w:rPr>
            </w:pPr>
            <w:r>
              <w:rPr>
                <w:rFonts w:hint="default"/>
                <w:sz w:val="21"/>
                <w:szCs w:val="21"/>
                <w:lang w:val="en-US" w:eastAsia="zh-CN"/>
              </w:rPr>
              <w:t>10</w:t>
            </w:r>
          </w:p>
        </w:tc>
        <w:tc>
          <w:tcPr>
            <w:tcW w:w="791" w:type="pct"/>
            <w:tcBorders>
              <w:top w:val="single" w:color="000000" w:sz="4" w:space="0"/>
              <w:left w:val="single" w:color="000000" w:sz="4" w:space="0"/>
              <w:bottom w:val="single" w:color="000000" w:sz="4" w:space="0"/>
              <w:right w:val="single" w:color="000000" w:sz="4" w:space="0"/>
            </w:tcBorders>
            <w:noWrap w:val="0"/>
            <w:vAlign w:val="center"/>
          </w:tcPr>
          <w:p w14:paraId="5E740778">
            <w:pPr>
              <w:pStyle w:val="27"/>
              <w:bidi w:val="0"/>
              <w:rPr>
                <w:rFonts w:hint="default"/>
                <w:sz w:val="21"/>
                <w:szCs w:val="21"/>
                <w:lang w:val="en-US" w:eastAsia="zh-CN"/>
              </w:rPr>
            </w:pPr>
            <w:r>
              <w:rPr>
                <w:rFonts w:hint="default"/>
                <w:sz w:val="21"/>
                <w:szCs w:val="21"/>
                <w:lang w:val="en-US" w:eastAsia="zh-CN"/>
              </w:rPr>
              <w:t>44</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14:paraId="46497DF6">
            <w:pPr>
              <w:pStyle w:val="27"/>
              <w:bidi w:val="0"/>
              <w:rPr>
                <w:rFonts w:hint="default"/>
                <w:sz w:val="21"/>
                <w:szCs w:val="21"/>
                <w:lang w:val="en-US" w:eastAsia="zh-CN"/>
              </w:rPr>
            </w:pPr>
            <w:r>
              <w:rPr>
                <w:rFonts w:hint="default"/>
                <w:sz w:val="21"/>
                <w:szCs w:val="21"/>
                <w:lang w:val="en-US" w:eastAsia="zh-CN"/>
              </w:rPr>
              <w:t>北采区</w:t>
            </w:r>
          </w:p>
        </w:tc>
      </w:tr>
      <w:tr w14:paraId="02846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jc w:val="center"/>
        </w:trPr>
        <w:tc>
          <w:tcPr>
            <w:tcW w:w="305" w:type="pct"/>
            <w:tcBorders>
              <w:top w:val="single" w:color="000000" w:sz="4" w:space="0"/>
              <w:left w:val="single" w:color="000000" w:sz="4" w:space="0"/>
              <w:bottom w:val="single" w:color="000000" w:sz="4" w:space="0"/>
              <w:right w:val="single" w:color="000000" w:sz="4" w:space="0"/>
            </w:tcBorders>
            <w:noWrap w:val="0"/>
            <w:vAlign w:val="center"/>
          </w:tcPr>
          <w:p w14:paraId="4D6D09DC">
            <w:pPr>
              <w:pStyle w:val="27"/>
              <w:bidi w:val="0"/>
              <w:rPr>
                <w:rFonts w:hint="default"/>
                <w:sz w:val="21"/>
                <w:szCs w:val="21"/>
                <w:lang w:val="en-US" w:eastAsia="zh-CN"/>
              </w:rPr>
            </w:pPr>
            <w:r>
              <w:rPr>
                <w:rFonts w:hint="default"/>
                <w:sz w:val="21"/>
                <w:szCs w:val="21"/>
                <w:lang w:val="en-US" w:eastAsia="zh-CN"/>
              </w:rPr>
              <w:t>CK2</w:t>
            </w:r>
          </w:p>
        </w:tc>
        <w:tc>
          <w:tcPr>
            <w:tcW w:w="702" w:type="pct"/>
            <w:tcBorders>
              <w:top w:val="single" w:color="000000" w:sz="4" w:space="0"/>
              <w:left w:val="single" w:color="000000" w:sz="4" w:space="0"/>
              <w:bottom w:val="single" w:color="000000" w:sz="4" w:space="0"/>
              <w:right w:val="single" w:color="000000" w:sz="4" w:space="0"/>
            </w:tcBorders>
            <w:noWrap w:val="0"/>
            <w:vAlign w:val="center"/>
          </w:tcPr>
          <w:p w14:paraId="651C7743">
            <w:pPr>
              <w:pStyle w:val="27"/>
              <w:bidi w:val="0"/>
              <w:rPr>
                <w:rFonts w:hint="default"/>
                <w:sz w:val="21"/>
                <w:szCs w:val="21"/>
                <w:lang w:val="en-US" w:eastAsia="zh-CN"/>
              </w:rPr>
            </w:pPr>
            <w:r>
              <w:rPr>
                <w:rFonts w:hint="default"/>
                <w:sz w:val="21"/>
                <w:szCs w:val="21"/>
                <w:lang w:val="en-US" w:eastAsia="zh-CN"/>
              </w:rPr>
              <w:t>195</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5BCC1D23">
            <w:pPr>
              <w:pStyle w:val="27"/>
              <w:bidi w:val="0"/>
              <w:rPr>
                <w:rFonts w:hint="default"/>
                <w:sz w:val="21"/>
                <w:szCs w:val="21"/>
                <w:lang w:val="en-US" w:eastAsia="zh-CN"/>
              </w:rPr>
            </w:pPr>
            <w:r>
              <w:rPr>
                <w:rFonts w:hint="default"/>
                <w:sz w:val="21"/>
                <w:szCs w:val="21"/>
                <w:lang w:val="en-US" w:eastAsia="zh-CN"/>
              </w:rPr>
              <w:t>120</w:t>
            </w:r>
          </w:p>
        </w:tc>
        <w:tc>
          <w:tcPr>
            <w:tcW w:w="592" w:type="pct"/>
            <w:tcBorders>
              <w:top w:val="single" w:color="000000" w:sz="4" w:space="0"/>
              <w:left w:val="single" w:color="000000" w:sz="4" w:space="0"/>
              <w:bottom w:val="single" w:color="000000" w:sz="4" w:space="0"/>
              <w:right w:val="single" w:color="000000" w:sz="4" w:space="0"/>
            </w:tcBorders>
            <w:noWrap w:val="0"/>
            <w:vAlign w:val="center"/>
          </w:tcPr>
          <w:p w14:paraId="2C0F467A">
            <w:pPr>
              <w:pStyle w:val="27"/>
              <w:bidi w:val="0"/>
              <w:rPr>
                <w:rFonts w:hint="default"/>
                <w:sz w:val="21"/>
                <w:szCs w:val="21"/>
                <w:lang w:val="en-US" w:eastAsia="zh-CN"/>
              </w:rPr>
            </w:pPr>
            <w:r>
              <w:rPr>
                <w:rFonts w:hint="default"/>
                <w:sz w:val="21"/>
                <w:szCs w:val="21"/>
                <w:lang w:val="en-US" w:eastAsia="zh-CN"/>
              </w:rPr>
              <w:t>172.24</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14:paraId="4E6A2CDA">
            <w:pPr>
              <w:pStyle w:val="27"/>
              <w:bidi w:val="0"/>
              <w:rPr>
                <w:rFonts w:hint="default"/>
                <w:sz w:val="21"/>
                <w:szCs w:val="21"/>
                <w:lang w:val="en-US" w:eastAsia="zh-CN"/>
              </w:rPr>
            </w:pPr>
            <w:r>
              <w:rPr>
                <w:rFonts w:hint="default"/>
                <w:sz w:val="21"/>
                <w:szCs w:val="21"/>
                <w:lang w:val="en-US" w:eastAsia="zh-CN"/>
              </w:rPr>
              <w:t>118.79</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216A31F6">
            <w:pPr>
              <w:pStyle w:val="27"/>
              <w:bidi w:val="0"/>
              <w:rPr>
                <w:rFonts w:hint="default"/>
                <w:sz w:val="21"/>
                <w:szCs w:val="21"/>
                <w:lang w:val="en-US" w:eastAsia="zh-CN"/>
              </w:rPr>
            </w:pPr>
            <w:r>
              <w:rPr>
                <w:rFonts w:hint="default"/>
                <w:sz w:val="21"/>
                <w:szCs w:val="21"/>
                <w:lang w:val="en-US" w:eastAsia="zh-CN"/>
              </w:rPr>
              <w:t>53.45</w:t>
            </w:r>
          </w:p>
        </w:tc>
        <w:tc>
          <w:tcPr>
            <w:tcW w:w="589" w:type="pct"/>
            <w:tcBorders>
              <w:top w:val="single" w:color="000000" w:sz="4" w:space="0"/>
              <w:left w:val="single" w:color="000000" w:sz="4" w:space="0"/>
              <w:bottom w:val="single" w:color="000000" w:sz="4" w:space="0"/>
              <w:right w:val="single" w:color="000000" w:sz="4" w:space="0"/>
            </w:tcBorders>
            <w:noWrap w:val="0"/>
            <w:vAlign w:val="center"/>
          </w:tcPr>
          <w:p w14:paraId="1EEDD4F7">
            <w:pPr>
              <w:pStyle w:val="27"/>
              <w:bidi w:val="0"/>
              <w:rPr>
                <w:rFonts w:hint="default"/>
                <w:sz w:val="21"/>
                <w:szCs w:val="21"/>
                <w:lang w:val="en-US" w:eastAsia="zh-CN"/>
              </w:rPr>
            </w:pPr>
            <w:r>
              <w:rPr>
                <w:rFonts w:hint="default"/>
                <w:sz w:val="21"/>
                <w:szCs w:val="21"/>
                <w:lang w:val="en-US" w:eastAsia="zh-CN"/>
              </w:rPr>
              <w:t>4</w:t>
            </w:r>
          </w:p>
        </w:tc>
        <w:tc>
          <w:tcPr>
            <w:tcW w:w="791" w:type="pct"/>
            <w:tcBorders>
              <w:top w:val="single" w:color="000000" w:sz="4" w:space="0"/>
              <w:left w:val="single" w:color="000000" w:sz="4" w:space="0"/>
              <w:bottom w:val="single" w:color="000000" w:sz="4" w:space="0"/>
              <w:right w:val="single" w:color="000000" w:sz="4" w:space="0"/>
            </w:tcBorders>
            <w:noWrap w:val="0"/>
            <w:vAlign w:val="center"/>
          </w:tcPr>
          <w:p w14:paraId="3A1E3F83">
            <w:pPr>
              <w:pStyle w:val="27"/>
              <w:bidi w:val="0"/>
              <w:rPr>
                <w:rFonts w:hint="default"/>
                <w:sz w:val="21"/>
                <w:szCs w:val="21"/>
                <w:lang w:val="en-US" w:eastAsia="zh-CN"/>
              </w:rPr>
            </w:pPr>
            <w:r>
              <w:rPr>
                <w:rFonts w:hint="default"/>
                <w:sz w:val="21"/>
                <w:szCs w:val="21"/>
                <w:lang w:val="en-US" w:eastAsia="zh-CN"/>
              </w:rPr>
              <w:t>46</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14:paraId="418B3590">
            <w:pPr>
              <w:pStyle w:val="27"/>
              <w:bidi w:val="0"/>
              <w:rPr>
                <w:rFonts w:hint="default"/>
                <w:sz w:val="21"/>
                <w:szCs w:val="21"/>
                <w:lang w:val="en-US" w:eastAsia="zh-CN"/>
              </w:rPr>
            </w:pPr>
            <w:r>
              <w:rPr>
                <w:rFonts w:hint="default"/>
                <w:sz w:val="21"/>
                <w:szCs w:val="21"/>
                <w:lang w:val="en-US" w:eastAsia="zh-CN"/>
              </w:rPr>
              <w:t>南采区</w:t>
            </w:r>
          </w:p>
        </w:tc>
      </w:tr>
      <w:tr w14:paraId="53431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jc w:val="center"/>
        </w:trPr>
        <w:tc>
          <w:tcPr>
            <w:tcW w:w="305" w:type="pct"/>
            <w:tcBorders>
              <w:top w:val="single" w:color="000000" w:sz="4" w:space="0"/>
              <w:left w:val="single" w:color="000000" w:sz="4" w:space="0"/>
              <w:bottom w:val="single" w:color="000000" w:sz="4" w:space="0"/>
              <w:right w:val="single" w:color="000000" w:sz="4" w:space="0"/>
            </w:tcBorders>
            <w:noWrap w:val="0"/>
            <w:vAlign w:val="center"/>
          </w:tcPr>
          <w:p w14:paraId="3B3C2FCE">
            <w:pPr>
              <w:pStyle w:val="27"/>
              <w:bidi w:val="0"/>
              <w:rPr>
                <w:rFonts w:hint="default"/>
                <w:sz w:val="21"/>
                <w:szCs w:val="21"/>
                <w:lang w:val="en-US" w:eastAsia="zh-CN"/>
              </w:rPr>
            </w:pPr>
            <w:r>
              <w:rPr>
                <w:rFonts w:hint="default"/>
                <w:sz w:val="21"/>
                <w:szCs w:val="21"/>
                <w:lang w:val="en-US" w:eastAsia="zh-CN"/>
              </w:rPr>
              <w:t>CK3</w:t>
            </w:r>
          </w:p>
        </w:tc>
        <w:tc>
          <w:tcPr>
            <w:tcW w:w="702" w:type="pct"/>
            <w:tcBorders>
              <w:top w:val="single" w:color="000000" w:sz="4" w:space="0"/>
              <w:left w:val="single" w:color="000000" w:sz="4" w:space="0"/>
              <w:bottom w:val="single" w:color="000000" w:sz="4" w:space="0"/>
              <w:right w:val="single" w:color="000000" w:sz="4" w:space="0"/>
            </w:tcBorders>
            <w:noWrap w:val="0"/>
            <w:vAlign w:val="center"/>
          </w:tcPr>
          <w:p w14:paraId="15205BAF">
            <w:pPr>
              <w:pStyle w:val="27"/>
              <w:bidi w:val="0"/>
              <w:rPr>
                <w:rFonts w:hint="default"/>
                <w:sz w:val="21"/>
                <w:szCs w:val="21"/>
                <w:lang w:val="en-US" w:eastAsia="zh-CN"/>
              </w:rPr>
            </w:pPr>
            <w:r>
              <w:rPr>
                <w:rFonts w:hint="default"/>
                <w:sz w:val="21"/>
                <w:szCs w:val="21"/>
                <w:lang w:val="en-US" w:eastAsia="zh-CN"/>
              </w:rPr>
              <w:t>60</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09CE9FCF">
            <w:pPr>
              <w:pStyle w:val="27"/>
              <w:bidi w:val="0"/>
              <w:rPr>
                <w:rFonts w:hint="default"/>
                <w:sz w:val="21"/>
                <w:szCs w:val="21"/>
                <w:lang w:val="en-US" w:eastAsia="zh-CN"/>
              </w:rPr>
            </w:pPr>
            <w:r>
              <w:rPr>
                <w:rFonts w:hint="default"/>
                <w:sz w:val="21"/>
                <w:szCs w:val="21"/>
                <w:lang w:val="en-US" w:eastAsia="zh-CN"/>
              </w:rPr>
              <w:t>40</w:t>
            </w:r>
          </w:p>
        </w:tc>
        <w:tc>
          <w:tcPr>
            <w:tcW w:w="592" w:type="pct"/>
            <w:tcBorders>
              <w:top w:val="single" w:color="000000" w:sz="4" w:space="0"/>
              <w:left w:val="single" w:color="000000" w:sz="4" w:space="0"/>
              <w:bottom w:val="single" w:color="000000" w:sz="4" w:space="0"/>
              <w:right w:val="single" w:color="000000" w:sz="4" w:space="0"/>
            </w:tcBorders>
            <w:noWrap w:val="0"/>
            <w:vAlign w:val="center"/>
          </w:tcPr>
          <w:p w14:paraId="3C914160">
            <w:pPr>
              <w:pStyle w:val="27"/>
              <w:bidi w:val="0"/>
              <w:rPr>
                <w:rFonts w:hint="default"/>
                <w:sz w:val="21"/>
                <w:szCs w:val="21"/>
                <w:lang w:val="en-US" w:eastAsia="zh-CN"/>
              </w:rPr>
            </w:pPr>
            <w:r>
              <w:rPr>
                <w:rFonts w:hint="default"/>
                <w:sz w:val="21"/>
                <w:szCs w:val="21"/>
                <w:lang w:val="en-US" w:eastAsia="zh-CN"/>
              </w:rPr>
              <w:t>278.9</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14:paraId="15ADF8EC">
            <w:pPr>
              <w:pStyle w:val="27"/>
              <w:bidi w:val="0"/>
              <w:rPr>
                <w:rFonts w:hint="default"/>
                <w:sz w:val="21"/>
                <w:szCs w:val="21"/>
                <w:lang w:val="en-US" w:eastAsia="zh-CN"/>
              </w:rPr>
            </w:pPr>
            <w:r>
              <w:rPr>
                <w:rFonts w:hint="default"/>
                <w:sz w:val="21"/>
                <w:szCs w:val="21"/>
                <w:lang w:val="en-US" w:eastAsia="zh-CN"/>
              </w:rPr>
              <w:t>238.4</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21EAB3F8">
            <w:pPr>
              <w:pStyle w:val="27"/>
              <w:bidi w:val="0"/>
              <w:rPr>
                <w:rFonts w:hint="default"/>
                <w:sz w:val="21"/>
                <w:szCs w:val="21"/>
                <w:lang w:val="en-US" w:eastAsia="zh-CN"/>
              </w:rPr>
            </w:pPr>
            <w:r>
              <w:rPr>
                <w:rFonts w:hint="default"/>
                <w:sz w:val="21"/>
                <w:szCs w:val="21"/>
                <w:lang w:val="en-US" w:eastAsia="zh-CN"/>
              </w:rPr>
              <w:t>40.5</w:t>
            </w:r>
          </w:p>
        </w:tc>
        <w:tc>
          <w:tcPr>
            <w:tcW w:w="589" w:type="pct"/>
            <w:tcBorders>
              <w:top w:val="single" w:color="000000" w:sz="4" w:space="0"/>
              <w:left w:val="single" w:color="000000" w:sz="4" w:space="0"/>
              <w:bottom w:val="single" w:color="000000" w:sz="4" w:space="0"/>
              <w:right w:val="single" w:color="000000" w:sz="4" w:space="0"/>
            </w:tcBorders>
            <w:noWrap w:val="0"/>
            <w:vAlign w:val="center"/>
          </w:tcPr>
          <w:p w14:paraId="2CB3D6E1">
            <w:pPr>
              <w:pStyle w:val="27"/>
              <w:bidi w:val="0"/>
              <w:rPr>
                <w:rFonts w:hint="default"/>
                <w:sz w:val="21"/>
                <w:szCs w:val="21"/>
                <w:lang w:val="en-US" w:eastAsia="zh-CN"/>
              </w:rPr>
            </w:pPr>
            <w:r>
              <w:rPr>
                <w:rFonts w:hint="default"/>
                <w:sz w:val="21"/>
                <w:szCs w:val="21"/>
                <w:lang w:val="en-US" w:eastAsia="zh-CN"/>
              </w:rPr>
              <w:t>2</w:t>
            </w:r>
          </w:p>
        </w:tc>
        <w:tc>
          <w:tcPr>
            <w:tcW w:w="791" w:type="pct"/>
            <w:tcBorders>
              <w:top w:val="single" w:color="000000" w:sz="4" w:space="0"/>
              <w:left w:val="single" w:color="000000" w:sz="4" w:space="0"/>
              <w:bottom w:val="single" w:color="000000" w:sz="4" w:space="0"/>
              <w:right w:val="single" w:color="000000" w:sz="4" w:space="0"/>
            </w:tcBorders>
            <w:noWrap w:val="0"/>
            <w:vAlign w:val="center"/>
          </w:tcPr>
          <w:p w14:paraId="2ECB09D4">
            <w:pPr>
              <w:pStyle w:val="27"/>
              <w:bidi w:val="0"/>
              <w:rPr>
                <w:rFonts w:hint="default"/>
                <w:sz w:val="21"/>
                <w:szCs w:val="21"/>
                <w:lang w:val="en-US" w:eastAsia="zh-CN"/>
              </w:rPr>
            </w:pPr>
            <w:r>
              <w:rPr>
                <w:rFonts w:hint="default"/>
                <w:sz w:val="21"/>
                <w:szCs w:val="21"/>
                <w:lang w:val="en-US" w:eastAsia="zh-CN"/>
              </w:rPr>
              <w:t>45</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14:paraId="7B430E5C">
            <w:pPr>
              <w:pStyle w:val="27"/>
              <w:bidi w:val="0"/>
              <w:rPr>
                <w:rFonts w:hint="default"/>
                <w:sz w:val="21"/>
                <w:szCs w:val="21"/>
                <w:lang w:val="en-US" w:eastAsia="zh-CN"/>
              </w:rPr>
            </w:pPr>
            <w:r>
              <w:rPr>
                <w:rFonts w:hint="default"/>
                <w:sz w:val="21"/>
                <w:szCs w:val="21"/>
                <w:lang w:val="en-US" w:eastAsia="zh-CN"/>
              </w:rPr>
              <w:t>南采区</w:t>
            </w:r>
          </w:p>
        </w:tc>
      </w:tr>
      <w:tr w14:paraId="4E680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jc w:val="center"/>
        </w:trPr>
        <w:tc>
          <w:tcPr>
            <w:tcW w:w="305" w:type="pct"/>
            <w:tcBorders>
              <w:top w:val="single" w:color="000000" w:sz="4" w:space="0"/>
              <w:left w:val="single" w:color="000000" w:sz="4" w:space="0"/>
              <w:bottom w:val="single" w:color="000000" w:sz="4" w:space="0"/>
              <w:right w:val="single" w:color="000000" w:sz="4" w:space="0"/>
            </w:tcBorders>
            <w:noWrap w:val="0"/>
            <w:vAlign w:val="center"/>
          </w:tcPr>
          <w:p w14:paraId="6EABCB36">
            <w:pPr>
              <w:pStyle w:val="27"/>
              <w:bidi w:val="0"/>
              <w:rPr>
                <w:rFonts w:hint="default"/>
                <w:sz w:val="21"/>
                <w:szCs w:val="21"/>
                <w:lang w:val="en-US" w:eastAsia="zh-CN"/>
              </w:rPr>
            </w:pPr>
            <w:r>
              <w:rPr>
                <w:rFonts w:hint="default"/>
                <w:sz w:val="21"/>
                <w:szCs w:val="21"/>
                <w:lang w:val="en-US" w:eastAsia="zh-CN"/>
              </w:rPr>
              <w:t>CK4</w:t>
            </w:r>
          </w:p>
        </w:tc>
        <w:tc>
          <w:tcPr>
            <w:tcW w:w="702" w:type="pct"/>
            <w:tcBorders>
              <w:top w:val="single" w:color="000000" w:sz="4" w:space="0"/>
              <w:left w:val="single" w:color="000000" w:sz="4" w:space="0"/>
              <w:bottom w:val="single" w:color="000000" w:sz="4" w:space="0"/>
              <w:right w:val="single" w:color="000000" w:sz="4" w:space="0"/>
            </w:tcBorders>
            <w:noWrap w:val="0"/>
            <w:vAlign w:val="center"/>
          </w:tcPr>
          <w:p w14:paraId="41B3A7E5">
            <w:pPr>
              <w:pStyle w:val="27"/>
              <w:bidi w:val="0"/>
              <w:rPr>
                <w:rFonts w:hint="default"/>
                <w:sz w:val="21"/>
                <w:szCs w:val="21"/>
                <w:lang w:val="en-US" w:eastAsia="zh-CN"/>
              </w:rPr>
            </w:pPr>
            <w:r>
              <w:rPr>
                <w:rFonts w:hint="default"/>
                <w:sz w:val="21"/>
                <w:szCs w:val="21"/>
                <w:lang w:val="en-US" w:eastAsia="zh-CN"/>
              </w:rPr>
              <w:t>70</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75F93D03">
            <w:pPr>
              <w:pStyle w:val="27"/>
              <w:bidi w:val="0"/>
              <w:rPr>
                <w:rFonts w:hint="default"/>
                <w:sz w:val="21"/>
                <w:szCs w:val="21"/>
                <w:lang w:val="en-US" w:eastAsia="zh-CN"/>
              </w:rPr>
            </w:pPr>
            <w:r>
              <w:rPr>
                <w:rFonts w:hint="default"/>
                <w:sz w:val="21"/>
                <w:szCs w:val="21"/>
                <w:lang w:val="en-US" w:eastAsia="zh-CN"/>
              </w:rPr>
              <w:t>60</w:t>
            </w:r>
          </w:p>
        </w:tc>
        <w:tc>
          <w:tcPr>
            <w:tcW w:w="592" w:type="pct"/>
            <w:tcBorders>
              <w:top w:val="single" w:color="000000" w:sz="4" w:space="0"/>
              <w:left w:val="single" w:color="000000" w:sz="4" w:space="0"/>
              <w:bottom w:val="single" w:color="000000" w:sz="4" w:space="0"/>
              <w:right w:val="single" w:color="000000" w:sz="4" w:space="0"/>
            </w:tcBorders>
            <w:noWrap w:val="0"/>
            <w:vAlign w:val="center"/>
          </w:tcPr>
          <w:p w14:paraId="522E3ED0">
            <w:pPr>
              <w:pStyle w:val="27"/>
              <w:bidi w:val="0"/>
              <w:rPr>
                <w:rFonts w:hint="default"/>
                <w:sz w:val="21"/>
                <w:szCs w:val="21"/>
                <w:lang w:val="en-US" w:eastAsia="zh-CN"/>
              </w:rPr>
            </w:pPr>
            <w:r>
              <w:rPr>
                <w:rFonts w:hint="default"/>
                <w:sz w:val="21"/>
                <w:szCs w:val="21"/>
                <w:lang w:val="en-US" w:eastAsia="zh-CN"/>
              </w:rPr>
              <w:t>216.5</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14:paraId="6025C352">
            <w:pPr>
              <w:pStyle w:val="27"/>
              <w:bidi w:val="0"/>
              <w:rPr>
                <w:rFonts w:hint="default"/>
                <w:sz w:val="21"/>
                <w:szCs w:val="21"/>
                <w:lang w:val="en-US" w:eastAsia="zh-CN"/>
              </w:rPr>
            </w:pPr>
            <w:r>
              <w:rPr>
                <w:rFonts w:hint="default"/>
                <w:sz w:val="21"/>
                <w:szCs w:val="21"/>
                <w:lang w:val="en-US" w:eastAsia="zh-CN"/>
              </w:rPr>
              <w:t>190.7</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7F41A04A">
            <w:pPr>
              <w:pStyle w:val="27"/>
              <w:bidi w:val="0"/>
              <w:rPr>
                <w:rFonts w:hint="default"/>
                <w:sz w:val="21"/>
                <w:szCs w:val="21"/>
                <w:lang w:val="en-US" w:eastAsia="zh-CN"/>
              </w:rPr>
            </w:pPr>
            <w:r>
              <w:rPr>
                <w:rFonts w:hint="default"/>
                <w:sz w:val="21"/>
                <w:szCs w:val="21"/>
                <w:lang w:val="en-US" w:eastAsia="zh-CN"/>
              </w:rPr>
              <w:t>25.8</w:t>
            </w:r>
          </w:p>
        </w:tc>
        <w:tc>
          <w:tcPr>
            <w:tcW w:w="589" w:type="pct"/>
            <w:tcBorders>
              <w:top w:val="single" w:color="000000" w:sz="4" w:space="0"/>
              <w:left w:val="single" w:color="000000" w:sz="4" w:space="0"/>
              <w:bottom w:val="single" w:color="000000" w:sz="4" w:space="0"/>
              <w:right w:val="single" w:color="000000" w:sz="4" w:space="0"/>
            </w:tcBorders>
            <w:noWrap w:val="0"/>
            <w:vAlign w:val="center"/>
          </w:tcPr>
          <w:p w14:paraId="3604F9B7">
            <w:pPr>
              <w:pStyle w:val="27"/>
              <w:bidi w:val="0"/>
              <w:rPr>
                <w:rFonts w:hint="default"/>
                <w:sz w:val="21"/>
                <w:szCs w:val="21"/>
                <w:lang w:val="en-US" w:eastAsia="zh-CN"/>
              </w:rPr>
            </w:pPr>
            <w:r>
              <w:rPr>
                <w:rFonts w:hint="default"/>
                <w:sz w:val="21"/>
                <w:szCs w:val="21"/>
                <w:lang w:val="en-US" w:eastAsia="zh-CN"/>
              </w:rPr>
              <w:t>2</w:t>
            </w:r>
          </w:p>
        </w:tc>
        <w:tc>
          <w:tcPr>
            <w:tcW w:w="791" w:type="pct"/>
            <w:tcBorders>
              <w:top w:val="single" w:color="000000" w:sz="4" w:space="0"/>
              <w:left w:val="single" w:color="000000" w:sz="4" w:space="0"/>
              <w:bottom w:val="single" w:color="000000" w:sz="4" w:space="0"/>
              <w:right w:val="single" w:color="000000" w:sz="4" w:space="0"/>
            </w:tcBorders>
            <w:noWrap w:val="0"/>
            <w:vAlign w:val="center"/>
          </w:tcPr>
          <w:p w14:paraId="49198F71">
            <w:pPr>
              <w:pStyle w:val="27"/>
              <w:bidi w:val="0"/>
              <w:rPr>
                <w:rFonts w:hint="default"/>
                <w:sz w:val="21"/>
                <w:szCs w:val="21"/>
                <w:lang w:val="en-US" w:eastAsia="zh-CN"/>
              </w:rPr>
            </w:pPr>
            <w:r>
              <w:rPr>
                <w:rFonts w:hint="default"/>
                <w:sz w:val="21"/>
                <w:szCs w:val="21"/>
                <w:lang w:val="en-US" w:eastAsia="zh-CN"/>
              </w:rPr>
              <w:t>45</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14:paraId="4D7A36FD">
            <w:pPr>
              <w:pStyle w:val="27"/>
              <w:bidi w:val="0"/>
              <w:rPr>
                <w:rFonts w:hint="default"/>
                <w:sz w:val="21"/>
                <w:szCs w:val="21"/>
                <w:lang w:val="en-US" w:eastAsia="zh-CN"/>
              </w:rPr>
            </w:pPr>
            <w:r>
              <w:rPr>
                <w:rFonts w:hint="default"/>
                <w:sz w:val="21"/>
                <w:szCs w:val="21"/>
                <w:lang w:val="en-US" w:eastAsia="zh-CN"/>
              </w:rPr>
              <w:t>南采区</w:t>
            </w:r>
          </w:p>
        </w:tc>
      </w:tr>
      <w:tr w14:paraId="15F2D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jc w:val="center"/>
        </w:trPr>
        <w:tc>
          <w:tcPr>
            <w:tcW w:w="305" w:type="pct"/>
            <w:tcBorders>
              <w:top w:val="single" w:color="000000" w:sz="4" w:space="0"/>
              <w:left w:val="single" w:color="000000" w:sz="4" w:space="0"/>
              <w:bottom w:val="single" w:color="000000" w:sz="4" w:space="0"/>
              <w:right w:val="single" w:color="000000" w:sz="4" w:space="0"/>
            </w:tcBorders>
            <w:noWrap w:val="0"/>
            <w:vAlign w:val="center"/>
          </w:tcPr>
          <w:p w14:paraId="024D34CE">
            <w:pPr>
              <w:pStyle w:val="27"/>
              <w:bidi w:val="0"/>
              <w:rPr>
                <w:rFonts w:hint="default"/>
                <w:sz w:val="21"/>
                <w:szCs w:val="21"/>
                <w:lang w:val="en-US" w:eastAsia="zh-CN"/>
              </w:rPr>
            </w:pPr>
            <w:r>
              <w:rPr>
                <w:rFonts w:hint="default"/>
                <w:sz w:val="21"/>
                <w:szCs w:val="21"/>
                <w:lang w:val="en-US" w:eastAsia="zh-CN"/>
              </w:rPr>
              <w:t>CK5</w:t>
            </w:r>
          </w:p>
        </w:tc>
        <w:tc>
          <w:tcPr>
            <w:tcW w:w="702" w:type="pct"/>
            <w:tcBorders>
              <w:top w:val="single" w:color="000000" w:sz="4" w:space="0"/>
              <w:left w:val="single" w:color="000000" w:sz="4" w:space="0"/>
              <w:bottom w:val="single" w:color="000000" w:sz="4" w:space="0"/>
              <w:right w:val="single" w:color="000000" w:sz="4" w:space="0"/>
            </w:tcBorders>
            <w:noWrap w:val="0"/>
            <w:vAlign w:val="center"/>
          </w:tcPr>
          <w:p w14:paraId="44D8D0D7">
            <w:pPr>
              <w:pStyle w:val="27"/>
              <w:bidi w:val="0"/>
              <w:rPr>
                <w:rFonts w:hint="default"/>
                <w:sz w:val="21"/>
                <w:szCs w:val="21"/>
                <w:lang w:val="en-US" w:eastAsia="zh-CN"/>
              </w:rPr>
            </w:pPr>
            <w:r>
              <w:rPr>
                <w:rFonts w:hint="default"/>
                <w:sz w:val="21"/>
                <w:szCs w:val="21"/>
                <w:lang w:val="en-US" w:eastAsia="zh-CN"/>
              </w:rPr>
              <w:t>55</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73A30322">
            <w:pPr>
              <w:pStyle w:val="27"/>
              <w:bidi w:val="0"/>
              <w:rPr>
                <w:rFonts w:hint="default"/>
                <w:sz w:val="21"/>
                <w:szCs w:val="21"/>
                <w:lang w:val="en-US" w:eastAsia="zh-CN"/>
              </w:rPr>
            </w:pPr>
            <w:r>
              <w:rPr>
                <w:rFonts w:hint="default"/>
                <w:sz w:val="21"/>
                <w:szCs w:val="21"/>
                <w:lang w:val="en-US" w:eastAsia="zh-CN"/>
              </w:rPr>
              <w:t>40</w:t>
            </w:r>
          </w:p>
        </w:tc>
        <w:tc>
          <w:tcPr>
            <w:tcW w:w="592" w:type="pct"/>
            <w:tcBorders>
              <w:top w:val="single" w:color="000000" w:sz="4" w:space="0"/>
              <w:left w:val="single" w:color="000000" w:sz="4" w:space="0"/>
              <w:bottom w:val="single" w:color="000000" w:sz="4" w:space="0"/>
              <w:right w:val="single" w:color="000000" w:sz="4" w:space="0"/>
            </w:tcBorders>
            <w:noWrap w:val="0"/>
            <w:vAlign w:val="center"/>
          </w:tcPr>
          <w:p w14:paraId="1E9B7034">
            <w:pPr>
              <w:pStyle w:val="27"/>
              <w:bidi w:val="0"/>
              <w:rPr>
                <w:rFonts w:hint="default"/>
                <w:sz w:val="21"/>
                <w:szCs w:val="21"/>
                <w:lang w:val="en-US" w:eastAsia="zh-CN"/>
              </w:rPr>
            </w:pPr>
            <w:r>
              <w:rPr>
                <w:rFonts w:hint="default"/>
                <w:sz w:val="21"/>
                <w:szCs w:val="21"/>
                <w:lang w:val="en-US" w:eastAsia="zh-CN"/>
              </w:rPr>
              <w:t>201.8</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14:paraId="0A32AB05">
            <w:pPr>
              <w:pStyle w:val="27"/>
              <w:bidi w:val="0"/>
              <w:rPr>
                <w:rFonts w:hint="default"/>
                <w:sz w:val="21"/>
                <w:szCs w:val="21"/>
                <w:lang w:val="en-US" w:eastAsia="zh-CN"/>
              </w:rPr>
            </w:pPr>
            <w:r>
              <w:rPr>
                <w:rFonts w:hint="default"/>
                <w:sz w:val="21"/>
                <w:szCs w:val="21"/>
                <w:lang w:val="en-US" w:eastAsia="zh-CN"/>
              </w:rPr>
              <w:t>187.2</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631F5D1A">
            <w:pPr>
              <w:pStyle w:val="27"/>
              <w:bidi w:val="0"/>
              <w:rPr>
                <w:rFonts w:hint="default"/>
                <w:sz w:val="21"/>
                <w:szCs w:val="21"/>
                <w:lang w:val="en-US" w:eastAsia="zh-CN"/>
              </w:rPr>
            </w:pPr>
            <w:r>
              <w:rPr>
                <w:rFonts w:hint="default"/>
                <w:sz w:val="21"/>
                <w:szCs w:val="21"/>
                <w:lang w:val="en-US" w:eastAsia="zh-CN"/>
              </w:rPr>
              <w:t>14.6</w:t>
            </w:r>
          </w:p>
        </w:tc>
        <w:tc>
          <w:tcPr>
            <w:tcW w:w="589" w:type="pct"/>
            <w:tcBorders>
              <w:top w:val="single" w:color="000000" w:sz="4" w:space="0"/>
              <w:left w:val="single" w:color="000000" w:sz="4" w:space="0"/>
              <w:bottom w:val="single" w:color="000000" w:sz="4" w:space="0"/>
              <w:right w:val="single" w:color="000000" w:sz="4" w:space="0"/>
            </w:tcBorders>
            <w:noWrap w:val="0"/>
            <w:vAlign w:val="center"/>
          </w:tcPr>
          <w:p w14:paraId="3BF56780">
            <w:pPr>
              <w:pStyle w:val="27"/>
              <w:bidi w:val="0"/>
              <w:rPr>
                <w:rFonts w:hint="default"/>
                <w:sz w:val="21"/>
                <w:szCs w:val="21"/>
                <w:lang w:val="en-US" w:eastAsia="zh-CN"/>
              </w:rPr>
            </w:pPr>
            <w:r>
              <w:rPr>
                <w:rFonts w:hint="default"/>
                <w:sz w:val="21"/>
                <w:szCs w:val="21"/>
                <w:lang w:val="en-US" w:eastAsia="zh-CN"/>
              </w:rPr>
              <w:t>1</w:t>
            </w:r>
          </w:p>
        </w:tc>
        <w:tc>
          <w:tcPr>
            <w:tcW w:w="791" w:type="pct"/>
            <w:tcBorders>
              <w:top w:val="single" w:color="000000" w:sz="4" w:space="0"/>
              <w:left w:val="single" w:color="000000" w:sz="4" w:space="0"/>
              <w:bottom w:val="single" w:color="000000" w:sz="4" w:space="0"/>
              <w:right w:val="single" w:color="000000" w:sz="4" w:space="0"/>
            </w:tcBorders>
            <w:noWrap w:val="0"/>
            <w:vAlign w:val="center"/>
          </w:tcPr>
          <w:p w14:paraId="1FE86BB7">
            <w:pPr>
              <w:pStyle w:val="27"/>
              <w:bidi w:val="0"/>
              <w:rPr>
                <w:rFonts w:hint="default"/>
                <w:sz w:val="21"/>
                <w:szCs w:val="21"/>
                <w:lang w:val="en-US" w:eastAsia="zh-CN"/>
              </w:rPr>
            </w:pPr>
            <w:r>
              <w:rPr>
                <w:rFonts w:hint="default"/>
                <w:sz w:val="21"/>
                <w:szCs w:val="21"/>
                <w:lang w:val="en-US" w:eastAsia="zh-CN"/>
              </w:rPr>
              <w:t>55</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14:paraId="1CD661B7">
            <w:pPr>
              <w:pStyle w:val="27"/>
              <w:bidi w:val="0"/>
              <w:rPr>
                <w:rFonts w:hint="default"/>
                <w:sz w:val="21"/>
                <w:szCs w:val="21"/>
                <w:lang w:val="en-US" w:eastAsia="zh-CN"/>
              </w:rPr>
            </w:pPr>
            <w:r>
              <w:rPr>
                <w:rFonts w:hint="default"/>
                <w:sz w:val="21"/>
                <w:szCs w:val="21"/>
                <w:lang w:val="en-US" w:eastAsia="zh-CN"/>
              </w:rPr>
              <w:t>南采区</w:t>
            </w:r>
          </w:p>
        </w:tc>
      </w:tr>
      <w:tr w14:paraId="330C6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jc w:val="center"/>
        </w:trPr>
        <w:tc>
          <w:tcPr>
            <w:tcW w:w="305" w:type="pct"/>
            <w:tcBorders>
              <w:top w:val="single" w:color="000000" w:sz="4" w:space="0"/>
              <w:left w:val="single" w:color="000000" w:sz="4" w:space="0"/>
              <w:bottom w:val="single" w:color="000000" w:sz="4" w:space="0"/>
              <w:right w:val="single" w:color="000000" w:sz="4" w:space="0"/>
            </w:tcBorders>
            <w:noWrap w:val="0"/>
            <w:vAlign w:val="center"/>
          </w:tcPr>
          <w:p w14:paraId="4F2CDA5F">
            <w:pPr>
              <w:pStyle w:val="27"/>
              <w:bidi w:val="0"/>
              <w:rPr>
                <w:rFonts w:hint="default"/>
                <w:sz w:val="21"/>
                <w:szCs w:val="21"/>
                <w:lang w:val="en-US" w:eastAsia="zh-CN"/>
              </w:rPr>
            </w:pPr>
            <w:r>
              <w:rPr>
                <w:rFonts w:hint="default"/>
                <w:sz w:val="21"/>
                <w:szCs w:val="21"/>
                <w:lang w:val="en-US" w:eastAsia="zh-CN"/>
              </w:rPr>
              <w:t>CK6</w:t>
            </w:r>
          </w:p>
        </w:tc>
        <w:tc>
          <w:tcPr>
            <w:tcW w:w="702" w:type="pct"/>
            <w:tcBorders>
              <w:top w:val="single" w:color="000000" w:sz="4" w:space="0"/>
              <w:left w:val="single" w:color="000000" w:sz="4" w:space="0"/>
              <w:bottom w:val="single" w:color="000000" w:sz="4" w:space="0"/>
              <w:right w:val="single" w:color="000000" w:sz="4" w:space="0"/>
            </w:tcBorders>
            <w:noWrap w:val="0"/>
            <w:vAlign w:val="center"/>
          </w:tcPr>
          <w:p w14:paraId="11A7C86D">
            <w:pPr>
              <w:pStyle w:val="27"/>
              <w:bidi w:val="0"/>
              <w:rPr>
                <w:rFonts w:hint="default"/>
                <w:sz w:val="21"/>
                <w:szCs w:val="21"/>
                <w:lang w:val="en-US" w:eastAsia="zh-CN"/>
              </w:rPr>
            </w:pPr>
            <w:r>
              <w:rPr>
                <w:rFonts w:hint="default"/>
                <w:sz w:val="21"/>
                <w:szCs w:val="21"/>
                <w:lang w:val="en-US" w:eastAsia="zh-CN"/>
              </w:rPr>
              <w:t>20</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544BFD83">
            <w:pPr>
              <w:pStyle w:val="27"/>
              <w:bidi w:val="0"/>
              <w:rPr>
                <w:rFonts w:hint="default"/>
                <w:sz w:val="21"/>
                <w:szCs w:val="21"/>
                <w:lang w:val="en-US" w:eastAsia="zh-CN"/>
              </w:rPr>
            </w:pPr>
            <w:r>
              <w:rPr>
                <w:rFonts w:hint="default"/>
                <w:sz w:val="21"/>
                <w:szCs w:val="21"/>
                <w:lang w:val="en-US" w:eastAsia="zh-CN"/>
              </w:rPr>
              <w:t>20</w:t>
            </w:r>
          </w:p>
        </w:tc>
        <w:tc>
          <w:tcPr>
            <w:tcW w:w="592" w:type="pct"/>
            <w:tcBorders>
              <w:top w:val="single" w:color="000000" w:sz="4" w:space="0"/>
              <w:left w:val="single" w:color="000000" w:sz="4" w:space="0"/>
              <w:bottom w:val="single" w:color="000000" w:sz="4" w:space="0"/>
              <w:right w:val="single" w:color="000000" w:sz="4" w:space="0"/>
            </w:tcBorders>
            <w:noWrap w:val="0"/>
            <w:vAlign w:val="center"/>
          </w:tcPr>
          <w:p w14:paraId="03F50D5D">
            <w:pPr>
              <w:pStyle w:val="27"/>
              <w:bidi w:val="0"/>
              <w:rPr>
                <w:rFonts w:hint="default"/>
                <w:sz w:val="21"/>
                <w:szCs w:val="21"/>
                <w:lang w:val="en-US" w:eastAsia="zh-CN"/>
              </w:rPr>
            </w:pPr>
            <w:r>
              <w:rPr>
                <w:rFonts w:hint="default"/>
                <w:sz w:val="21"/>
                <w:szCs w:val="21"/>
                <w:lang w:val="en-US" w:eastAsia="zh-CN"/>
              </w:rPr>
              <w:t>151.8</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14:paraId="5EE8E19A">
            <w:pPr>
              <w:pStyle w:val="27"/>
              <w:bidi w:val="0"/>
              <w:rPr>
                <w:rFonts w:hint="default"/>
                <w:sz w:val="21"/>
                <w:szCs w:val="21"/>
                <w:lang w:val="en-US" w:eastAsia="zh-CN"/>
              </w:rPr>
            </w:pPr>
            <w:r>
              <w:rPr>
                <w:rFonts w:hint="default"/>
                <w:sz w:val="21"/>
                <w:szCs w:val="21"/>
                <w:lang w:val="en-US" w:eastAsia="zh-CN"/>
              </w:rPr>
              <w:t>149.6</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14BE332D">
            <w:pPr>
              <w:pStyle w:val="27"/>
              <w:bidi w:val="0"/>
              <w:rPr>
                <w:rFonts w:hint="default"/>
                <w:sz w:val="21"/>
                <w:szCs w:val="21"/>
                <w:lang w:val="en-US" w:eastAsia="zh-CN"/>
              </w:rPr>
            </w:pPr>
            <w:r>
              <w:rPr>
                <w:rFonts w:hint="default"/>
                <w:sz w:val="21"/>
                <w:szCs w:val="21"/>
                <w:lang w:val="en-US" w:eastAsia="zh-CN"/>
              </w:rPr>
              <w:t>2.2</w:t>
            </w:r>
          </w:p>
        </w:tc>
        <w:tc>
          <w:tcPr>
            <w:tcW w:w="589" w:type="pct"/>
            <w:tcBorders>
              <w:top w:val="single" w:color="000000" w:sz="4" w:space="0"/>
              <w:left w:val="single" w:color="000000" w:sz="4" w:space="0"/>
              <w:bottom w:val="single" w:color="000000" w:sz="4" w:space="0"/>
              <w:right w:val="single" w:color="000000" w:sz="4" w:space="0"/>
            </w:tcBorders>
            <w:noWrap w:val="0"/>
            <w:vAlign w:val="center"/>
          </w:tcPr>
          <w:p w14:paraId="6CE3D8DB">
            <w:pPr>
              <w:pStyle w:val="27"/>
              <w:bidi w:val="0"/>
              <w:rPr>
                <w:rFonts w:hint="default"/>
                <w:sz w:val="21"/>
                <w:szCs w:val="21"/>
                <w:lang w:val="en-US" w:eastAsia="zh-CN"/>
              </w:rPr>
            </w:pPr>
            <w:r>
              <w:rPr>
                <w:rFonts w:hint="default"/>
                <w:sz w:val="21"/>
                <w:szCs w:val="21"/>
                <w:lang w:val="en-US" w:eastAsia="zh-CN"/>
              </w:rPr>
              <w:t>1</w:t>
            </w:r>
          </w:p>
        </w:tc>
        <w:tc>
          <w:tcPr>
            <w:tcW w:w="791" w:type="pct"/>
            <w:tcBorders>
              <w:top w:val="single" w:color="000000" w:sz="4" w:space="0"/>
              <w:left w:val="single" w:color="000000" w:sz="4" w:space="0"/>
              <w:bottom w:val="single" w:color="000000" w:sz="4" w:space="0"/>
              <w:right w:val="single" w:color="000000" w:sz="4" w:space="0"/>
            </w:tcBorders>
            <w:noWrap w:val="0"/>
            <w:vAlign w:val="center"/>
          </w:tcPr>
          <w:p w14:paraId="748C8E21">
            <w:pPr>
              <w:pStyle w:val="27"/>
              <w:bidi w:val="0"/>
              <w:rPr>
                <w:rFonts w:hint="default"/>
                <w:sz w:val="21"/>
                <w:szCs w:val="21"/>
                <w:lang w:val="en-US" w:eastAsia="zh-CN"/>
              </w:rPr>
            </w:pPr>
            <w:r>
              <w:rPr>
                <w:rFonts w:hint="default"/>
                <w:sz w:val="21"/>
                <w:szCs w:val="21"/>
                <w:lang w:val="en-US" w:eastAsia="zh-CN"/>
              </w:rPr>
              <w:t>55</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14:paraId="65F6B00F">
            <w:pPr>
              <w:pStyle w:val="27"/>
              <w:bidi w:val="0"/>
              <w:rPr>
                <w:rFonts w:hint="default"/>
                <w:sz w:val="21"/>
                <w:szCs w:val="21"/>
                <w:lang w:val="en-US" w:eastAsia="zh-CN"/>
              </w:rPr>
            </w:pPr>
            <w:r>
              <w:rPr>
                <w:rFonts w:hint="default"/>
                <w:sz w:val="21"/>
                <w:szCs w:val="21"/>
                <w:lang w:val="en-US" w:eastAsia="zh-CN"/>
              </w:rPr>
              <w:t>南采区</w:t>
            </w:r>
          </w:p>
        </w:tc>
      </w:tr>
      <w:tr w14:paraId="535EB0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jc w:val="center"/>
        </w:trPr>
        <w:tc>
          <w:tcPr>
            <w:tcW w:w="305" w:type="pct"/>
            <w:tcBorders>
              <w:top w:val="single" w:color="000000" w:sz="4" w:space="0"/>
              <w:left w:val="single" w:color="000000" w:sz="4" w:space="0"/>
              <w:bottom w:val="single" w:color="000000" w:sz="4" w:space="0"/>
              <w:right w:val="single" w:color="000000" w:sz="4" w:space="0"/>
            </w:tcBorders>
            <w:noWrap w:val="0"/>
            <w:vAlign w:val="center"/>
          </w:tcPr>
          <w:p w14:paraId="27BF6CB6">
            <w:pPr>
              <w:pStyle w:val="27"/>
              <w:bidi w:val="0"/>
              <w:rPr>
                <w:rFonts w:hint="default"/>
                <w:sz w:val="21"/>
                <w:szCs w:val="21"/>
                <w:lang w:val="en-US" w:eastAsia="zh-CN"/>
              </w:rPr>
            </w:pPr>
            <w:r>
              <w:rPr>
                <w:rFonts w:hint="default"/>
                <w:sz w:val="21"/>
                <w:szCs w:val="21"/>
                <w:lang w:val="en-US" w:eastAsia="zh-CN"/>
              </w:rPr>
              <w:t>CK7</w:t>
            </w:r>
          </w:p>
        </w:tc>
        <w:tc>
          <w:tcPr>
            <w:tcW w:w="702" w:type="pct"/>
            <w:tcBorders>
              <w:top w:val="single" w:color="000000" w:sz="4" w:space="0"/>
              <w:left w:val="single" w:color="000000" w:sz="4" w:space="0"/>
              <w:bottom w:val="single" w:color="000000" w:sz="4" w:space="0"/>
              <w:right w:val="single" w:color="000000" w:sz="4" w:space="0"/>
            </w:tcBorders>
            <w:noWrap w:val="0"/>
            <w:vAlign w:val="center"/>
          </w:tcPr>
          <w:p w14:paraId="7FCBED31">
            <w:pPr>
              <w:pStyle w:val="27"/>
              <w:bidi w:val="0"/>
              <w:rPr>
                <w:rFonts w:hint="default"/>
                <w:sz w:val="21"/>
                <w:szCs w:val="21"/>
                <w:lang w:val="en-US" w:eastAsia="zh-CN"/>
              </w:rPr>
            </w:pPr>
            <w:r>
              <w:rPr>
                <w:rFonts w:hint="default"/>
                <w:sz w:val="21"/>
                <w:szCs w:val="21"/>
                <w:lang w:val="en-US" w:eastAsia="zh-CN"/>
              </w:rPr>
              <w:t>35</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56D5D7F4">
            <w:pPr>
              <w:pStyle w:val="27"/>
              <w:bidi w:val="0"/>
              <w:rPr>
                <w:rFonts w:hint="default"/>
                <w:sz w:val="21"/>
                <w:szCs w:val="21"/>
                <w:lang w:val="en-US" w:eastAsia="zh-CN"/>
              </w:rPr>
            </w:pPr>
            <w:r>
              <w:rPr>
                <w:rFonts w:hint="default"/>
                <w:sz w:val="21"/>
                <w:szCs w:val="21"/>
                <w:lang w:val="en-US" w:eastAsia="zh-CN"/>
              </w:rPr>
              <w:t>30</w:t>
            </w:r>
          </w:p>
        </w:tc>
        <w:tc>
          <w:tcPr>
            <w:tcW w:w="592" w:type="pct"/>
            <w:tcBorders>
              <w:top w:val="single" w:color="000000" w:sz="4" w:space="0"/>
              <w:left w:val="single" w:color="000000" w:sz="4" w:space="0"/>
              <w:bottom w:val="single" w:color="000000" w:sz="4" w:space="0"/>
              <w:right w:val="single" w:color="000000" w:sz="4" w:space="0"/>
            </w:tcBorders>
            <w:noWrap w:val="0"/>
            <w:vAlign w:val="center"/>
          </w:tcPr>
          <w:p w14:paraId="27E33136">
            <w:pPr>
              <w:pStyle w:val="27"/>
              <w:bidi w:val="0"/>
              <w:rPr>
                <w:rFonts w:hint="default"/>
                <w:sz w:val="21"/>
                <w:szCs w:val="21"/>
                <w:lang w:val="en-US" w:eastAsia="zh-CN"/>
              </w:rPr>
            </w:pPr>
            <w:r>
              <w:rPr>
                <w:rFonts w:hint="default"/>
                <w:sz w:val="21"/>
                <w:szCs w:val="21"/>
                <w:lang w:val="en-US" w:eastAsia="zh-CN"/>
              </w:rPr>
              <w:t>165.3</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14:paraId="72DA2175">
            <w:pPr>
              <w:pStyle w:val="27"/>
              <w:bidi w:val="0"/>
              <w:rPr>
                <w:rFonts w:hint="default"/>
                <w:sz w:val="21"/>
                <w:szCs w:val="21"/>
                <w:lang w:val="en-US" w:eastAsia="zh-CN"/>
              </w:rPr>
            </w:pPr>
            <w:r>
              <w:rPr>
                <w:rFonts w:hint="default"/>
                <w:sz w:val="21"/>
                <w:szCs w:val="21"/>
                <w:lang w:val="en-US" w:eastAsia="zh-CN"/>
              </w:rPr>
              <w:t>149</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05A4D072">
            <w:pPr>
              <w:pStyle w:val="27"/>
              <w:bidi w:val="0"/>
              <w:rPr>
                <w:rFonts w:hint="default"/>
                <w:sz w:val="21"/>
                <w:szCs w:val="21"/>
                <w:lang w:val="en-US" w:eastAsia="zh-CN"/>
              </w:rPr>
            </w:pPr>
            <w:r>
              <w:rPr>
                <w:rFonts w:hint="default"/>
                <w:sz w:val="21"/>
                <w:szCs w:val="21"/>
                <w:lang w:val="en-US" w:eastAsia="zh-CN"/>
              </w:rPr>
              <w:t>16.3</w:t>
            </w:r>
          </w:p>
        </w:tc>
        <w:tc>
          <w:tcPr>
            <w:tcW w:w="589" w:type="pct"/>
            <w:tcBorders>
              <w:top w:val="single" w:color="000000" w:sz="4" w:space="0"/>
              <w:left w:val="single" w:color="000000" w:sz="4" w:space="0"/>
              <w:bottom w:val="single" w:color="000000" w:sz="4" w:space="0"/>
              <w:right w:val="single" w:color="000000" w:sz="4" w:space="0"/>
            </w:tcBorders>
            <w:noWrap w:val="0"/>
            <w:vAlign w:val="center"/>
          </w:tcPr>
          <w:p w14:paraId="3B872F77">
            <w:pPr>
              <w:pStyle w:val="27"/>
              <w:bidi w:val="0"/>
              <w:rPr>
                <w:rFonts w:hint="default"/>
                <w:sz w:val="21"/>
                <w:szCs w:val="21"/>
                <w:lang w:val="en-US" w:eastAsia="zh-CN"/>
              </w:rPr>
            </w:pPr>
            <w:r>
              <w:rPr>
                <w:rFonts w:hint="default"/>
                <w:sz w:val="21"/>
                <w:szCs w:val="21"/>
                <w:lang w:val="en-US" w:eastAsia="zh-CN"/>
              </w:rPr>
              <w:t>1</w:t>
            </w:r>
          </w:p>
        </w:tc>
        <w:tc>
          <w:tcPr>
            <w:tcW w:w="791" w:type="pct"/>
            <w:tcBorders>
              <w:top w:val="single" w:color="000000" w:sz="4" w:space="0"/>
              <w:left w:val="single" w:color="000000" w:sz="4" w:space="0"/>
              <w:bottom w:val="single" w:color="000000" w:sz="4" w:space="0"/>
              <w:right w:val="single" w:color="000000" w:sz="4" w:space="0"/>
            </w:tcBorders>
            <w:noWrap w:val="0"/>
            <w:vAlign w:val="center"/>
          </w:tcPr>
          <w:p w14:paraId="04C59039">
            <w:pPr>
              <w:pStyle w:val="27"/>
              <w:bidi w:val="0"/>
              <w:rPr>
                <w:rFonts w:hint="default"/>
                <w:sz w:val="21"/>
                <w:szCs w:val="21"/>
                <w:lang w:val="en-US" w:eastAsia="zh-CN"/>
              </w:rPr>
            </w:pPr>
            <w:r>
              <w:rPr>
                <w:rFonts w:hint="default"/>
                <w:sz w:val="21"/>
                <w:szCs w:val="21"/>
                <w:lang w:val="en-US" w:eastAsia="zh-CN"/>
              </w:rPr>
              <w:t>55</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14:paraId="2F20D8FA">
            <w:pPr>
              <w:pStyle w:val="27"/>
              <w:bidi w:val="0"/>
              <w:rPr>
                <w:rFonts w:hint="default"/>
                <w:sz w:val="21"/>
                <w:szCs w:val="21"/>
                <w:lang w:val="en-US" w:eastAsia="zh-CN"/>
              </w:rPr>
            </w:pPr>
            <w:r>
              <w:rPr>
                <w:rFonts w:hint="default"/>
                <w:sz w:val="21"/>
                <w:szCs w:val="21"/>
                <w:lang w:val="en-US" w:eastAsia="zh-CN"/>
              </w:rPr>
              <w:t>南采区</w:t>
            </w:r>
          </w:p>
        </w:tc>
      </w:tr>
      <w:tr w14:paraId="337ABE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jc w:val="center"/>
        </w:trPr>
        <w:tc>
          <w:tcPr>
            <w:tcW w:w="305" w:type="pct"/>
            <w:tcBorders>
              <w:top w:val="single" w:color="000000" w:sz="4" w:space="0"/>
              <w:left w:val="single" w:color="000000" w:sz="4" w:space="0"/>
              <w:bottom w:val="single" w:color="000000" w:sz="4" w:space="0"/>
              <w:right w:val="single" w:color="000000" w:sz="4" w:space="0"/>
            </w:tcBorders>
            <w:noWrap w:val="0"/>
            <w:vAlign w:val="center"/>
          </w:tcPr>
          <w:p w14:paraId="5EE8F747">
            <w:pPr>
              <w:pStyle w:val="27"/>
              <w:bidi w:val="0"/>
              <w:rPr>
                <w:rFonts w:hint="default"/>
                <w:sz w:val="21"/>
                <w:szCs w:val="21"/>
                <w:lang w:val="en-US" w:eastAsia="zh-CN"/>
              </w:rPr>
            </w:pPr>
            <w:r>
              <w:rPr>
                <w:rFonts w:hint="default"/>
                <w:sz w:val="21"/>
                <w:szCs w:val="21"/>
                <w:lang w:val="en-US" w:eastAsia="zh-CN"/>
              </w:rPr>
              <w:t>CK8</w:t>
            </w:r>
          </w:p>
        </w:tc>
        <w:tc>
          <w:tcPr>
            <w:tcW w:w="702" w:type="pct"/>
            <w:tcBorders>
              <w:top w:val="single" w:color="000000" w:sz="4" w:space="0"/>
              <w:left w:val="single" w:color="000000" w:sz="4" w:space="0"/>
              <w:bottom w:val="single" w:color="000000" w:sz="4" w:space="0"/>
              <w:right w:val="single" w:color="000000" w:sz="4" w:space="0"/>
            </w:tcBorders>
            <w:noWrap w:val="0"/>
            <w:vAlign w:val="center"/>
          </w:tcPr>
          <w:p w14:paraId="2930CFEC">
            <w:pPr>
              <w:pStyle w:val="27"/>
              <w:bidi w:val="0"/>
              <w:rPr>
                <w:rFonts w:hint="default"/>
                <w:sz w:val="21"/>
                <w:szCs w:val="21"/>
                <w:lang w:val="en-US" w:eastAsia="zh-CN"/>
              </w:rPr>
            </w:pPr>
            <w:r>
              <w:rPr>
                <w:rFonts w:hint="default"/>
                <w:sz w:val="21"/>
                <w:szCs w:val="21"/>
                <w:lang w:val="en-US" w:eastAsia="zh-CN"/>
              </w:rPr>
              <w:t>60</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1BB9CF22">
            <w:pPr>
              <w:pStyle w:val="27"/>
              <w:bidi w:val="0"/>
              <w:rPr>
                <w:rFonts w:hint="default"/>
                <w:sz w:val="21"/>
                <w:szCs w:val="21"/>
                <w:lang w:val="en-US" w:eastAsia="zh-CN"/>
              </w:rPr>
            </w:pPr>
            <w:r>
              <w:rPr>
                <w:rFonts w:hint="default"/>
                <w:sz w:val="21"/>
                <w:szCs w:val="21"/>
                <w:lang w:val="en-US" w:eastAsia="zh-CN"/>
              </w:rPr>
              <w:t>40</w:t>
            </w:r>
          </w:p>
        </w:tc>
        <w:tc>
          <w:tcPr>
            <w:tcW w:w="592" w:type="pct"/>
            <w:tcBorders>
              <w:top w:val="single" w:color="000000" w:sz="4" w:space="0"/>
              <w:left w:val="single" w:color="000000" w:sz="4" w:space="0"/>
              <w:bottom w:val="single" w:color="000000" w:sz="4" w:space="0"/>
              <w:right w:val="single" w:color="000000" w:sz="4" w:space="0"/>
            </w:tcBorders>
            <w:noWrap w:val="0"/>
            <w:vAlign w:val="center"/>
          </w:tcPr>
          <w:p w14:paraId="1465D650">
            <w:pPr>
              <w:pStyle w:val="27"/>
              <w:bidi w:val="0"/>
              <w:rPr>
                <w:rFonts w:hint="default"/>
                <w:sz w:val="21"/>
                <w:szCs w:val="21"/>
                <w:lang w:val="en-US" w:eastAsia="zh-CN"/>
              </w:rPr>
            </w:pPr>
            <w:r>
              <w:rPr>
                <w:rFonts w:hint="default"/>
                <w:sz w:val="21"/>
                <w:szCs w:val="21"/>
                <w:lang w:val="en-US" w:eastAsia="zh-CN"/>
              </w:rPr>
              <w:t>163.4</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14:paraId="14CAC31E">
            <w:pPr>
              <w:pStyle w:val="27"/>
              <w:bidi w:val="0"/>
              <w:rPr>
                <w:rFonts w:hint="default"/>
                <w:sz w:val="21"/>
                <w:szCs w:val="21"/>
                <w:lang w:val="en-US" w:eastAsia="zh-CN"/>
              </w:rPr>
            </w:pPr>
            <w:r>
              <w:rPr>
                <w:rFonts w:hint="default"/>
                <w:sz w:val="21"/>
                <w:szCs w:val="21"/>
                <w:lang w:val="en-US" w:eastAsia="zh-CN"/>
              </w:rPr>
              <w:t>147.5</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47DCF1EE">
            <w:pPr>
              <w:pStyle w:val="27"/>
              <w:bidi w:val="0"/>
              <w:rPr>
                <w:rFonts w:hint="default"/>
                <w:sz w:val="21"/>
                <w:szCs w:val="21"/>
                <w:lang w:val="en-US" w:eastAsia="zh-CN"/>
              </w:rPr>
            </w:pPr>
            <w:r>
              <w:rPr>
                <w:rFonts w:hint="default"/>
                <w:sz w:val="21"/>
                <w:szCs w:val="21"/>
                <w:lang w:val="en-US" w:eastAsia="zh-CN"/>
              </w:rPr>
              <w:t>15.9</w:t>
            </w:r>
          </w:p>
        </w:tc>
        <w:tc>
          <w:tcPr>
            <w:tcW w:w="589" w:type="pct"/>
            <w:tcBorders>
              <w:top w:val="single" w:color="000000" w:sz="4" w:space="0"/>
              <w:left w:val="single" w:color="000000" w:sz="4" w:space="0"/>
              <w:bottom w:val="single" w:color="000000" w:sz="4" w:space="0"/>
              <w:right w:val="single" w:color="000000" w:sz="4" w:space="0"/>
            </w:tcBorders>
            <w:noWrap w:val="0"/>
            <w:vAlign w:val="center"/>
          </w:tcPr>
          <w:p w14:paraId="50195753">
            <w:pPr>
              <w:pStyle w:val="27"/>
              <w:bidi w:val="0"/>
              <w:rPr>
                <w:rFonts w:hint="default"/>
                <w:sz w:val="21"/>
                <w:szCs w:val="21"/>
                <w:lang w:val="en-US" w:eastAsia="zh-CN"/>
              </w:rPr>
            </w:pPr>
            <w:r>
              <w:rPr>
                <w:rFonts w:hint="default"/>
                <w:sz w:val="21"/>
                <w:szCs w:val="21"/>
                <w:lang w:val="en-US" w:eastAsia="zh-CN"/>
              </w:rPr>
              <w:t>1</w:t>
            </w:r>
          </w:p>
        </w:tc>
        <w:tc>
          <w:tcPr>
            <w:tcW w:w="791" w:type="pct"/>
            <w:tcBorders>
              <w:top w:val="single" w:color="000000" w:sz="4" w:space="0"/>
              <w:left w:val="single" w:color="000000" w:sz="4" w:space="0"/>
              <w:bottom w:val="single" w:color="000000" w:sz="4" w:space="0"/>
              <w:right w:val="single" w:color="000000" w:sz="4" w:space="0"/>
            </w:tcBorders>
            <w:noWrap w:val="0"/>
            <w:vAlign w:val="center"/>
          </w:tcPr>
          <w:p w14:paraId="6CB4990C">
            <w:pPr>
              <w:pStyle w:val="27"/>
              <w:bidi w:val="0"/>
              <w:rPr>
                <w:rFonts w:hint="default"/>
                <w:sz w:val="21"/>
                <w:szCs w:val="21"/>
                <w:lang w:val="en-US" w:eastAsia="zh-CN"/>
              </w:rPr>
            </w:pPr>
            <w:r>
              <w:rPr>
                <w:rFonts w:hint="default"/>
                <w:sz w:val="21"/>
                <w:szCs w:val="21"/>
                <w:lang w:val="en-US" w:eastAsia="zh-CN"/>
              </w:rPr>
              <w:t>45</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14:paraId="0DCC4F1C">
            <w:pPr>
              <w:pStyle w:val="27"/>
              <w:bidi w:val="0"/>
              <w:rPr>
                <w:rFonts w:hint="default"/>
                <w:sz w:val="21"/>
                <w:szCs w:val="21"/>
                <w:lang w:val="en-US" w:eastAsia="zh-CN"/>
              </w:rPr>
            </w:pPr>
            <w:r>
              <w:rPr>
                <w:rFonts w:hint="default"/>
                <w:sz w:val="21"/>
                <w:szCs w:val="21"/>
                <w:lang w:val="en-US" w:eastAsia="zh-CN"/>
              </w:rPr>
              <w:t>南采区</w:t>
            </w:r>
          </w:p>
        </w:tc>
      </w:tr>
      <w:tr w14:paraId="12C2D3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5" w:hRule="atLeast"/>
          <w:jc w:val="center"/>
        </w:trPr>
        <w:tc>
          <w:tcPr>
            <w:tcW w:w="305" w:type="pct"/>
            <w:tcBorders>
              <w:top w:val="single" w:color="000000" w:sz="4" w:space="0"/>
              <w:left w:val="single" w:color="000000" w:sz="4" w:space="0"/>
              <w:bottom w:val="single" w:color="000000" w:sz="4" w:space="0"/>
              <w:right w:val="single" w:color="000000" w:sz="4" w:space="0"/>
            </w:tcBorders>
            <w:noWrap w:val="0"/>
            <w:vAlign w:val="center"/>
          </w:tcPr>
          <w:p w14:paraId="18E2F831">
            <w:pPr>
              <w:pStyle w:val="27"/>
              <w:bidi w:val="0"/>
              <w:rPr>
                <w:rFonts w:hint="default"/>
                <w:sz w:val="21"/>
                <w:szCs w:val="21"/>
                <w:lang w:val="en-US" w:eastAsia="zh-CN"/>
              </w:rPr>
            </w:pPr>
            <w:r>
              <w:rPr>
                <w:rFonts w:hint="default"/>
                <w:sz w:val="21"/>
                <w:szCs w:val="21"/>
                <w:lang w:val="en-US" w:eastAsia="zh-CN"/>
              </w:rPr>
              <w:t>CK9</w:t>
            </w:r>
          </w:p>
        </w:tc>
        <w:tc>
          <w:tcPr>
            <w:tcW w:w="702" w:type="pct"/>
            <w:tcBorders>
              <w:top w:val="single" w:color="000000" w:sz="4" w:space="0"/>
              <w:left w:val="single" w:color="000000" w:sz="4" w:space="0"/>
              <w:bottom w:val="single" w:color="000000" w:sz="4" w:space="0"/>
              <w:right w:val="single" w:color="000000" w:sz="4" w:space="0"/>
            </w:tcBorders>
            <w:noWrap w:val="0"/>
            <w:vAlign w:val="center"/>
          </w:tcPr>
          <w:p w14:paraId="319EEC0E">
            <w:pPr>
              <w:pStyle w:val="27"/>
              <w:bidi w:val="0"/>
              <w:rPr>
                <w:rFonts w:hint="default"/>
                <w:sz w:val="21"/>
                <w:szCs w:val="21"/>
                <w:lang w:val="en-US" w:eastAsia="zh-CN"/>
              </w:rPr>
            </w:pPr>
            <w:r>
              <w:rPr>
                <w:rFonts w:hint="default"/>
                <w:sz w:val="21"/>
                <w:szCs w:val="21"/>
                <w:lang w:val="en-US" w:eastAsia="zh-CN"/>
              </w:rPr>
              <w:t>85</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3E1A2BDC">
            <w:pPr>
              <w:pStyle w:val="27"/>
              <w:bidi w:val="0"/>
              <w:rPr>
                <w:rFonts w:hint="default"/>
                <w:sz w:val="21"/>
                <w:szCs w:val="21"/>
                <w:lang w:val="en-US" w:eastAsia="zh-CN"/>
              </w:rPr>
            </w:pPr>
            <w:r>
              <w:rPr>
                <w:rFonts w:hint="default"/>
                <w:sz w:val="21"/>
                <w:szCs w:val="21"/>
                <w:lang w:val="en-US" w:eastAsia="zh-CN"/>
              </w:rPr>
              <w:t>45</w:t>
            </w:r>
          </w:p>
        </w:tc>
        <w:tc>
          <w:tcPr>
            <w:tcW w:w="592" w:type="pct"/>
            <w:tcBorders>
              <w:top w:val="single" w:color="000000" w:sz="4" w:space="0"/>
              <w:left w:val="single" w:color="000000" w:sz="4" w:space="0"/>
              <w:bottom w:val="single" w:color="000000" w:sz="4" w:space="0"/>
              <w:right w:val="single" w:color="000000" w:sz="4" w:space="0"/>
            </w:tcBorders>
            <w:noWrap w:val="0"/>
            <w:vAlign w:val="center"/>
          </w:tcPr>
          <w:p w14:paraId="0DC889C8">
            <w:pPr>
              <w:pStyle w:val="27"/>
              <w:bidi w:val="0"/>
              <w:rPr>
                <w:rFonts w:hint="default"/>
                <w:sz w:val="21"/>
                <w:szCs w:val="21"/>
                <w:lang w:val="en-US" w:eastAsia="zh-CN"/>
              </w:rPr>
            </w:pPr>
            <w:r>
              <w:rPr>
                <w:rFonts w:hint="default"/>
                <w:sz w:val="21"/>
                <w:szCs w:val="21"/>
                <w:lang w:val="en-US" w:eastAsia="zh-CN"/>
              </w:rPr>
              <w:t>88.12</w:t>
            </w:r>
          </w:p>
        </w:tc>
        <w:tc>
          <w:tcPr>
            <w:tcW w:w="449" w:type="pct"/>
            <w:tcBorders>
              <w:top w:val="single" w:color="000000" w:sz="4" w:space="0"/>
              <w:left w:val="single" w:color="000000" w:sz="4" w:space="0"/>
              <w:bottom w:val="single" w:color="000000" w:sz="4" w:space="0"/>
              <w:right w:val="single" w:color="000000" w:sz="4" w:space="0"/>
            </w:tcBorders>
            <w:noWrap w:val="0"/>
            <w:vAlign w:val="center"/>
          </w:tcPr>
          <w:p w14:paraId="289CF451">
            <w:pPr>
              <w:pStyle w:val="27"/>
              <w:bidi w:val="0"/>
              <w:rPr>
                <w:rFonts w:hint="default"/>
                <w:sz w:val="21"/>
                <w:szCs w:val="21"/>
                <w:lang w:val="en-US" w:eastAsia="zh-CN"/>
              </w:rPr>
            </w:pPr>
            <w:r>
              <w:rPr>
                <w:rFonts w:hint="default"/>
                <w:sz w:val="21"/>
                <w:szCs w:val="21"/>
                <w:lang w:val="en-US" w:eastAsia="zh-CN"/>
              </w:rPr>
              <w:t>82.40</w:t>
            </w:r>
          </w:p>
        </w:tc>
        <w:tc>
          <w:tcPr>
            <w:tcW w:w="560" w:type="pct"/>
            <w:tcBorders>
              <w:top w:val="single" w:color="000000" w:sz="4" w:space="0"/>
              <w:left w:val="single" w:color="000000" w:sz="4" w:space="0"/>
              <w:bottom w:val="single" w:color="000000" w:sz="4" w:space="0"/>
              <w:right w:val="single" w:color="000000" w:sz="4" w:space="0"/>
            </w:tcBorders>
            <w:noWrap w:val="0"/>
            <w:vAlign w:val="center"/>
          </w:tcPr>
          <w:p w14:paraId="152AEE18">
            <w:pPr>
              <w:pStyle w:val="27"/>
              <w:bidi w:val="0"/>
              <w:rPr>
                <w:rFonts w:hint="default"/>
                <w:sz w:val="21"/>
                <w:szCs w:val="21"/>
                <w:lang w:val="en-US" w:eastAsia="zh-CN"/>
              </w:rPr>
            </w:pPr>
            <w:r>
              <w:rPr>
                <w:rFonts w:hint="default"/>
                <w:sz w:val="21"/>
                <w:szCs w:val="21"/>
                <w:lang w:val="en-US" w:eastAsia="zh-CN"/>
              </w:rPr>
              <w:t>5.72</w:t>
            </w:r>
          </w:p>
        </w:tc>
        <w:tc>
          <w:tcPr>
            <w:tcW w:w="589" w:type="pct"/>
            <w:tcBorders>
              <w:top w:val="single" w:color="000000" w:sz="4" w:space="0"/>
              <w:left w:val="single" w:color="000000" w:sz="4" w:space="0"/>
              <w:bottom w:val="single" w:color="000000" w:sz="4" w:space="0"/>
              <w:right w:val="single" w:color="000000" w:sz="4" w:space="0"/>
            </w:tcBorders>
            <w:noWrap w:val="0"/>
            <w:vAlign w:val="center"/>
          </w:tcPr>
          <w:p w14:paraId="763FE03D">
            <w:pPr>
              <w:pStyle w:val="27"/>
              <w:bidi w:val="0"/>
              <w:rPr>
                <w:rFonts w:hint="default"/>
                <w:sz w:val="21"/>
                <w:szCs w:val="21"/>
                <w:lang w:val="en-US" w:eastAsia="zh-CN"/>
              </w:rPr>
            </w:pPr>
            <w:r>
              <w:rPr>
                <w:rFonts w:hint="default"/>
                <w:sz w:val="21"/>
                <w:szCs w:val="21"/>
                <w:lang w:val="en-US" w:eastAsia="zh-CN"/>
              </w:rPr>
              <w:t>1</w:t>
            </w:r>
          </w:p>
        </w:tc>
        <w:tc>
          <w:tcPr>
            <w:tcW w:w="791" w:type="pct"/>
            <w:tcBorders>
              <w:top w:val="single" w:color="000000" w:sz="4" w:space="0"/>
              <w:left w:val="single" w:color="000000" w:sz="4" w:space="0"/>
              <w:bottom w:val="single" w:color="000000" w:sz="4" w:space="0"/>
              <w:right w:val="single" w:color="000000" w:sz="4" w:space="0"/>
            </w:tcBorders>
            <w:noWrap w:val="0"/>
            <w:vAlign w:val="center"/>
          </w:tcPr>
          <w:p w14:paraId="118B11C0">
            <w:pPr>
              <w:pStyle w:val="27"/>
              <w:bidi w:val="0"/>
              <w:rPr>
                <w:rFonts w:hint="default"/>
                <w:sz w:val="21"/>
                <w:szCs w:val="21"/>
                <w:lang w:val="en-US" w:eastAsia="zh-CN"/>
              </w:rPr>
            </w:pPr>
            <w:r>
              <w:rPr>
                <w:rFonts w:hint="default"/>
                <w:sz w:val="21"/>
                <w:szCs w:val="21"/>
                <w:lang w:val="en-US" w:eastAsia="zh-CN"/>
              </w:rPr>
              <w:t>45</w:t>
            </w:r>
          </w:p>
        </w:tc>
        <w:tc>
          <w:tcPr>
            <w:tcW w:w="447" w:type="pct"/>
            <w:tcBorders>
              <w:top w:val="single" w:color="000000" w:sz="4" w:space="0"/>
              <w:left w:val="single" w:color="000000" w:sz="4" w:space="0"/>
              <w:bottom w:val="single" w:color="000000" w:sz="4" w:space="0"/>
              <w:right w:val="single" w:color="000000" w:sz="4" w:space="0"/>
            </w:tcBorders>
            <w:noWrap w:val="0"/>
            <w:vAlign w:val="center"/>
          </w:tcPr>
          <w:p w14:paraId="4A7A5752">
            <w:pPr>
              <w:pStyle w:val="27"/>
              <w:bidi w:val="0"/>
              <w:rPr>
                <w:rFonts w:hint="default"/>
                <w:sz w:val="21"/>
                <w:szCs w:val="21"/>
                <w:lang w:val="en-US" w:eastAsia="zh-CN"/>
              </w:rPr>
            </w:pPr>
            <w:r>
              <w:rPr>
                <w:rFonts w:hint="default"/>
                <w:sz w:val="21"/>
                <w:szCs w:val="21"/>
                <w:lang w:val="en-US" w:eastAsia="zh-CN"/>
              </w:rPr>
              <w:t>南采区</w:t>
            </w:r>
          </w:p>
        </w:tc>
      </w:tr>
    </w:tbl>
    <w:p w14:paraId="1F6B8D5A">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default"/>
          <w:lang w:val="en-US" w:eastAsia="zh-CN"/>
        </w:rPr>
        <w:t>矿区内以往地下开采过程中，在地表形成了1处竖井和1处斜井（回风井），深部现有两处盲竖井，形成了-60m、-38m、-22m三个水平中段，2021年储量核实至今，矿山没有进行过地下开采活动，地表井口均已封闭。</w:t>
      </w:r>
    </w:p>
    <w:p w14:paraId="1A1C55F8">
      <w:pPr>
        <w:pStyle w:val="18"/>
        <w:rPr>
          <w:rFonts w:hint="default"/>
          <w:lang w:val="en-US" w:eastAsia="zh-CN"/>
        </w:rPr>
      </w:pPr>
      <w:r>
        <w:rPr>
          <w:rFonts w:hint="default"/>
          <w:lang w:val="en-US" w:eastAsia="zh-CN"/>
        </w:rPr>
        <w:t>竖井SJ：井口标高54m，井底标高13m，井深41m，圆形断面，净直径Φ=3.6m。</w:t>
      </w:r>
    </w:p>
    <w:p w14:paraId="531B0F15">
      <w:pPr>
        <w:pStyle w:val="18"/>
        <w:rPr>
          <w:rFonts w:hint="default"/>
          <w:lang w:val="en-US" w:eastAsia="zh-CN"/>
        </w:rPr>
      </w:pPr>
      <w:r>
        <w:rPr>
          <w:rFonts w:hint="default"/>
          <w:lang w:val="en-US" w:eastAsia="zh-CN"/>
        </w:rPr>
        <w:t>盲竖井1：井口标高23m，井底标高-32m，井深55m，圆形断面，净直径Φ=3.6m。</w:t>
      </w:r>
    </w:p>
    <w:p w14:paraId="742D599D">
      <w:pPr>
        <w:pStyle w:val="18"/>
        <w:rPr>
          <w:rFonts w:hint="default"/>
          <w:lang w:val="en-US" w:eastAsia="zh-CN"/>
        </w:rPr>
      </w:pPr>
      <w:r>
        <w:rPr>
          <w:rFonts w:hint="default"/>
          <w:lang w:val="en-US" w:eastAsia="zh-CN"/>
        </w:rPr>
        <w:t>盲竖井2：井口标高-22m，井底标高-70m，井深48m，圆形断面，净直径Φ=3.6m。</w:t>
      </w:r>
    </w:p>
    <w:p w14:paraId="6F0ED7CD">
      <w:pPr>
        <w:pStyle w:val="18"/>
        <w:rPr>
          <w:rFonts w:hint="default"/>
          <w:lang w:val="en-US" w:eastAsia="zh-CN"/>
        </w:rPr>
      </w:pPr>
      <w:r>
        <w:rPr>
          <w:rFonts w:hint="default"/>
          <w:lang w:val="en-US" w:eastAsia="zh-CN"/>
        </w:rPr>
        <w:t>回风井：井口标高70.7m，井底标高-38m，斜长114m，坡度73°。三心拱断面，尺寸为2.3m×2.5m。</w:t>
      </w:r>
    </w:p>
    <w:p w14:paraId="5066BD9A">
      <w:pPr>
        <w:pStyle w:val="18"/>
        <w:rPr>
          <w:rFonts w:hint="default"/>
          <w:lang w:val="en-US" w:eastAsia="zh-CN"/>
        </w:rPr>
      </w:pPr>
      <w:r>
        <w:rPr>
          <w:rFonts w:hint="default"/>
          <w:lang w:val="en-US" w:eastAsia="zh-CN"/>
        </w:rPr>
        <w:t>矿山</w:t>
      </w:r>
      <w:r>
        <w:rPr>
          <w:rFonts w:hint="eastAsia"/>
          <w:lang w:val="en-US" w:eastAsia="zh-CN"/>
        </w:rPr>
        <w:t>总</w:t>
      </w:r>
      <w:r>
        <w:rPr>
          <w:rFonts w:hint="default"/>
          <w:lang w:val="en-US" w:eastAsia="zh-CN"/>
        </w:rPr>
        <w:t>共动用菱镁矿资源量1118.51千吨，回采率约95%，损失率5%。</w:t>
      </w:r>
      <w:r>
        <w:rPr>
          <w:rFonts w:hint="eastAsia"/>
          <w:lang w:val="en-US" w:eastAsia="zh-CN"/>
        </w:rPr>
        <w:t>矿山开采</w:t>
      </w:r>
      <w:r>
        <w:rPr>
          <w:rFonts w:hint="default"/>
          <w:lang w:val="en-US" w:eastAsia="zh-CN"/>
        </w:rPr>
        <w:t>至今，一直在北采区内进行露天开采活动，开采对象为Mg1号菱镁矿体，Mg2号菱镁矿体及滑石矿体未动用。</w:t>
      </w:r>
    </w:p>
    <w:p w14:paraId="22754650">
      <w:pPr>
        <w:pStyle w:val="18"/>
        <w:rPr>
          <w:rFonts w:hint="eastAsia"/>
          <w:lang w:val="en-US" w:eastAsia="zh-CN"/>
        </w:rPr>
      </w:pPr>
      <w:r>
        <w:rPr>
          <w:rFonts w:hint="eastAsia"/>
          <w:lang w:val="en-US" w:eastAsia="zh-CN"/>
        </w:rPr>
        <w:t>根据四川省坤运环境建设有限公司2025年2月编制提交的《海城市荣富耐火材料有限公司镁矿（菱镁矿、滑石矿）隐蔽致灾因素普查治理报告》：</w:t>
      </w:r>
    </w:p>
    <w:p w14:paraId="26C43B2A">
      <w:pPr>
        <w:pStyle w:val="18"/>
        <w:rPr>
          <w:rFonts w:hint="eastAsia"/>
          <w:lang w:val="en-US" w:eastAsia="zh-CN"/>
        </w:rPr>
      </w:pPr>
      <w:r>
        <w:rPr>
          <w:rFonts w:hint="eastAsia"/>
          <w:lang w:val="en-US" w:eastAsia="zh-CN"/>
        </w:rPr>
        <w:t>1、资料分析叙述为：井下仅施工了部分开拓工程，未进行回采作业，井下未形成采空区。</w:t>
      </w:r>
    </w:p>
    <w:p w14:paraId="6521E6F0">
      <w:pPr>
        <w:pStyle w:val="18"/>
        <w:rPr>
          <w:rFonts w:hint="default"/>
          <w:lang w:val="en-US" w:eastAsia="zh-CN"/>
        </w:rPr>
      </w:pPr>
      <w:r>
        <w:rPr>
          <w:rFonts w:hint="eastAsia"/>
          <w:lang w:val="en-US" w:eastAsia="zh-CN"/>
        </w:rPr>
        <w:t>2、物探普查成果叙述为：1剖面控制范围内未发现明显的地下大规模采空区特征；2剖面控制范围内未发现明显的地下大规模采空区特征；3</w:t>
      </w:r>
      <w:r>
        <w:rPr>
          <w:rFonts w:hint="default" w:ascii="Times New Roman" w:hAnsi="Times New Roman" w:eastAsia="宋体" w:cs="Times New Roman"/>
          <w:color w:val="auto"/>
          <w:kern w:val="1"/>
          <w:sz w:val="28"/>
          <w:szCs w:val="28"/>
          <w:lang w:val="en-US" w:eastAsia="zh-CN"/>
        </w:rPr>
        <w:t>剖面控制范围内未发现明显的地下大规模采空区特征</w:t>
      </w:r>
      <w:r>
        <w:rPr>
          <w:rFonts w:hint="eastAsia" w:eastAsia="宋体" w:cs="Times New Roman"/>
          <w:color w:val="auto"/>
          <w:kern w:val="1"/>
          <w:sz w:val="28"/>
          <w:szCs w:val="28"/>
          <w:lang w:val="en-US" w:eastAsia="zh-CN"/>
        </w:rPr>
        <w:t>。</w:t>
      </w:r>
    </w:p>
    <w:p w14:paraId="4815471C">
      <w:pPr>
        <w:pStyle w:val="18"/>
        <w:rPr>
          <w:rFonts w:hint="default"/>
          <w:lang w:val="en-US" w:eastAsia="zh-CN"/>
        </w:rPr>
      </w:pPr>
      <w:r>
        <w:rPr>
          <w:rFonts w:hint="default"/>
          <w:lang w:val="en-US" w:eastAsia="zh-CN"/>
        </w:rPr>
        <w:t>（2）高陡边坡</w:t>
      </w:r>
      <w:r>
        <w:rPr>
          <w:rFonts w:hint="eastAsia"/>
          <w:lang w:val="en-US" w:eastAsia="zh-CN"/>
        </w:rPr>
        <w:t>现状</w:t>
      </w:r>
    </w:p>
    <w:p w14:paraId="4F522599">
      <w:pPr>
        <w:pStyle w:val="18"/>
        <w:rPr>
          <w:rFonts w:hint="default"/>
          <w:lang w:val="en-US" w:eastAsia="zh-CN"/>
        </w:rPr>
      </w:pPr>
      <w:r>
        <w:rPr>
          <w:rFonts w:hint="default"/>
          <w:lang w:val="en-US" w:eastAsia="zh-CN"/>
        </w:rPr>
        <w:t>由于历史原因，北采区西南侧存在一处高36m的边坡（+115m~+141m），该处边坡位于西侧矿界边缘，若进行整改，会动用矿界外土地和资源。2023年4月7日，由海城市人民政府常务会议决定，由马风镇政府负责，委托有资质单位编制排险方案，并经专家论证，委托企业进行隐患整改，由市自然资源局、市财政局、市应急局、市公安局、生态环境局海城分局、市矿产品整治办、辽宁菱镁矿业有限公司等部门协调配合，对排险过程和产生的矿产品依法依规进行处理。目前企业在+110m以上已剥离出一个安全平台，平台宽度为13.5m，部分区域已进行复垦植被，并在靠近平台外侧边缘设置一处</w:t>
      </w:r>
      <w:r>
        <w:rPr>
          <w:rFonts w:hint="eastAsia"/>
          <w:lang w:val="en-US" w:eastAsia="zh-CN"/>
        </w:rPr>
        <w:t>滚石</w:t>
      </w:r>
      <w:r>
        <w:rPr>
          <w:rFonts w:hint="default"/>
          <w:lang w:val="en-US" w:eastAsia="zh-CN"/>
        </w:rPr>
        <w:t>挡墙，尺寸：1.5m×2m×2.5m，40m长</w:t>
      </w:r>
      <w:r>
        <w:rPr>
          <w:rFonts w:hint="eastAsia"/>
          <w:lang w:val="en-US" w:eastAsia="zh-CN"/>
        </w:rPr>
        <w:t>，基建工程量0.04万m</w:t>
      </w:r>
      <w:r>
        <w:rPr>
          <w:rFonts w:hint="eastAsia"/>
          <w:vertAlign w:val="superscript"/>
          <w:lang w:val="en-US" w:eastAsia="zh-CN"/>
        </w:rPr>
        <w:t>3</w:t>
      </w:r>
      <w:r>
        <w:rPr>
          <w:rFonts w:hint="default"/>
          <w:lang w:val="en-US" w:eastAsia="zh-CN"/>
        </w:rPr>
        <w:t>，块石堆砌，石笼捆扎，阻挡上部浮石滚落，防止下部工作台阶的人员和设备收到伤害。</w:t>
      </w:r>
    </w:p>
    <w:p w14:paraId="2A0B66B4">
      <w:pPr>
        <w:pStyle w:val="18"/>
        <w:rPr>
          <w:rFonts w:hint="eastAsia"/>
          <w:lang w:val="en-US" w:eastAsia="zh-CN"/>
        </w:rPr>
      </w:pPr>
      <w:r>
        <w:rPr>
          <w:rFonts w:hint="eastAsia"/>
          <w:lang w:val="en-US" w:eastAsia="zh-CN"/>
        </w:rPr>
        <w:t>（3）周边环境现状</w:t>
      </w:r>
    </w:p>
    <w:p w14:paraId="6809A150">
      <w:pPr>
        <w:pStyle w:val="18"/>
        <w:rPr>
          <w:rFonts w:hint="default"/>
          <w:lang w:val="en-US" w:eastAsia="zh-CN"/>
        </w:rPr>
      </w:pPr>
      <w:r>
        <w:rPr>
          <w:rFonts w:hint="default"/>
          <w:lang w:val="en-US" w:eastAsia="zh-CN"/>
        </w:rPr>
        <w:t>矿区西北侧为海城市宇鑫矿产品销售有限公司，加工车间与矿界的最近距离为109m</w:t>
      </w:r>
      <w:r>
        <w:rPr>
          <w:rFonts w:hint="eastAsia"/>
          <w:lang w:val="en-US" w:eastAsia="zh-CN"/>
        </w:rPr>
        <w:t>；</w:t>
      </w:r>
      <w:r>
        <w:rPr>
          <w:rFonts w:hint="default"/>
          <w:lang w:val="en-US" w:eastAsia="zh-CN"/>
        </w:rPr>
        <w:t>东北侧为海城市旭东洋矿产品有限公司，该公司一个厂房和一个库房的部分区域位于矿界内</w:t>
      </w:r>
      <w:r>
        <w:rPr>
          <w:rFonts w:hint="eastAsia"/>
          <w:lang w:val="en-US" w:eastAsia="zh-CN"/>
        </w:rPr>
        <w:t>；</w:t>
      </w:r>
      <w:r>
        <w:rPr>
          <w:rFonts w:hint="default"/>
          <w:lang w:val="en-US" w:eastAsia="zh-CN"/>
        </w:rPr>
        <w:t>中部为海城市勇胜镁制品制造有限公司，该公司位于矿界内。</w:t>
      </w:r>
      <w:r>
        <w:rPr>
          <w:rFonts w:hint="eastAsia"/>
          <w:lang w:val="en-US" w:eastAsia="zh-CN"/>
        </w:rPr>
        <w:t>；</w:t>
      </w:r>
      <w:r>
        <w:rPr>
          <w:rFonts w:hint="default"/>
          <w:lang w:val="en-US" w:eastAsia="zh-CN"/>
        </w:rPr>
        <w:t>东南侧为海城天泽矿业有限公司，该公司位于矿界内。该公司经营范围主要包括镁制品等。</w:t>
      </w:r>
    </w:p>
    <w:p w14:paraId="5374B178">
      <w:pPr>
        <w:pStyle w:val="18"/>
        <w:rPr>
          <w:rFonts w:hint="eastAsia"/>
          <w:lang w:val="en-US" w:eastAsia="zh-CN"/>
        </w:rPr>
      </w:pPr>
      <w:r>
        <w:rPr>
          <w:rFonts w:hint="eastAsia"/>
          <w:lang w:val="en-US" w:eastAsia="zh-CN"/>
        </w:rPr>
        <w:t>按照《辽宁省人民政府办公厅关于推进菱镁产业可持续发展的意见》《辽宁省菱镁矿浮选及镁砂行业产能置换办法》和鞍山市工信局下发的《鞍山市菱镁矿浮选及镁砂行业产能置换实施细则（试行）》（鞍工信[2021]113号）要求，海城市荣富耐火材料有限公司现制定产能置换方案。</w:t>
      </w:r>
    </w:p>
    <w:p w14:paraId="71C3E053">
      <w:pPr>
        <w:pStyle w:val="26"/>
        <w:bidi w:val="0"/>
        <w:rPr>
          <w:rFonts w:hint="default"/>
          <w:lang w:val="en-US" w:eastAsia="zh-CN"/>
        </w:rPr>
      </w:pPr>
      <w:r>
        <w:rPr>
          <w:rFonts w:hint="eastAsia"/>
          <w:lang w:val="en-US" w:eastAsia="zh-CN"/>
        </w:rPr>
        <w:t>表2.4-2  置换产能方案</w:t>
      </w:r>
    </w:p>
    <w:tbl>
      <w:tblPr>
        <w:tblStyle w:val="20"/>
        <w:tblW w:w="9292" w:type="dxa"/>
        <w:jc w:val="center"/>
        <w:tblLayout w:type="fixed"/>
        <w:tblCellMar>
          <w:top w:w="0" w:type="dxa"/>
          <w:left w:w="108" w:type="dxa"/>
          <w:bottom w:w="0" w:type="dxa"/>
          <w:right w:w="108" w:type="dxa"/>
        </w:tblCellMar>
      </w:tblPr>
      <w:tblGrid>
        <w:gridCol w:w="527"/>
        <w:gridCol w:w="1748"/>
        <w:gridCol w:w="1272"/>
        <w:gridCol w:w="1332"/>
        <w:gridCol w:w="1404"/>
        <w:gridCol w:w="1176"/>
        <w:gridCol w:w="1152"/>
        <w:gridCol w:w="681"/>
      </w:tblGrid>
      <w:tr w14:paraId="750405A2">
        <w:tblPrEx>
          <w:tblCellMar>
            <w:top w:w="0" w:type="dxa"/>
            <w:left w:w="108" w:type="dxa"/>
            <w:bottom w:w="0" w:type="dxa"/>
            <w:right w:w="108" w:type="dxa"/>
          </w:tblCellMar>
        </w:tblPrEx>
        <w:trPr>
          <w:trHeight w:val="340" w:hRule="atLeast"/>
          <w:jc w:val="center"/>
        </w:trPr>
        <w:tc>
          <w:tcPr>
            <w:tcW w:w="9292" w:type="dxa"/>
            <w:gridSpan w:val="8"/>
            <w:tcBorders>
              <w:top w:val="single" w:color="auto" w:sz="4" w:space="0"/>
              <w:left w:val="single" w:color="auto" w:sz="4" w:space="0"/>
              <w:bottom w:val="single" w:color="auto" w:sz="4" w:space="0"/>
              <w:right w:val="single" w:color="auto" w:sz="4" w:space="0"/>
            </w:tcBorders>
            <w:noWrap/>
            <w:vAlign w:val="center"/>
          </w:tcPr>
          <w:p w14:paraId="525C3A97">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建设项目情况</w:t>
            </w:r>
          </w:p>
        </w:tc>
      </w:tr>
      <w:tr w14:paraId="31FB5687">
        <w:tblPrEx>
          <w:tblCellMar>
            <w:top w:w="0" w:type="dxa"/>
            <w:left w:w="108" w:type="dxa"/>
            <w:bottom w:w="0" w:type="dxa"/>
            <w:right w:w="108" w:type="dxa"/>
          </w:tblCellMar>
        </w:tblPrEx>
        <w:trPr>
          <w:trHeight w:val="340" w:hRule="atLeast"/>
          <w:jc w:val="center"/>
        </w:trPr>
        <w:tc>
          <w:tcPr>
            <w:tcW w:w="2275" w:type="dxa"/>
            <w:gridSpan w:val="2"/>
            <w:tcBorders>
              <w:top w:val="single" w:color="auto" w:sz="4" w:space="0"/>
              <w:left w:val="single" w:color="auto" w:sz="4" w:space="0"/>
              <w:bottom w:val="single" w:color="auto" w:sz="4" w:space="0"/>
              <w:right w:val="single" w:color="auto" w:sz="4" w:space="0"/>
            </w:tcBorders>
            <w:noWrap/>
            <w:vAlign w:val="center"/>
          </w:tcPr>
          <w:p w14:paraId="07A44B4E">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企业名称</w:t>
            </w:r>
          </w:p>
        </w:tc>
        <w:tc>
          <w:tcPr>
            <w:tcW w:w="1272" w:type="dxa"/>
            <w:tcBorders>
              <w:top w:val="nil"/>
              <w:left w:val="nil"/>
              <w:bottom w:val="single" w:color="auto" w:sz="4" w:space="0"/>
              <w:right w:val="single" w:color="auto" w:sz="4" w:space="0"/>
            </w:tcBorders>
            <w:noWrap/>
            <w:vAlign w:val="center"/>
          </w:tcPr>
          <w:p w14:paraId="44096F50">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建设地点</w:t>
            </w:r>
          </w:p>
        </w:tc>
        <w:tc>
          <w:tcPr>
            <w:tcW w:w="1332" w:type="dxa"/>
            <w:tcBorders>
              <w:top w:val="nil"/>
              <w:left w:val="nil"/>
              <w:bottom w:val="single" w:color="auto" w:sz="4" w:space="0"/>
              <w:right w:val="single" w:color="auto" w:sz="4" w:space="0"/>
            </w:tcBorders>
            <w:noWrap w:val="0"/>
            <w:vAlign w:val="center"/>
          </w:tcPr>
          <w:p w14:paraId="178B8580">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设备名称、型号及数量</w:t>
            </w:r>
          </w:p>
        </w:tc>
        <w:tc>
          <w:tcPr>
            <w:tcW w:w="1404" w:type="dxa"/>
            <w:tcBorders>
              <w:top w:val="nil"/>
              <w:left w:val="nil"/>
              <w:bottom w:val="single" w:color="auto" w:sz="4" w:space="0"/>
              <w:right w:val="single" w:color="auto" w:sz="4" w:space="0"/>
            </w:tcBorders>
            <w:noWrap w:val="0"/>
            <w:vAlign w:val="center"/>
          </w:tcPr>
          <w:p w14:paraId="00967A35">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核定产能（万吨/年）</w:t>
            </w:r>
          </w:p>
        </w:tc>
        <w:tc>
          <w:tcPr>
            <w:tcW w:w="1176" w:type="dxa"/>
            <w:tcBorders>
              <w:top w:val="nil"/>
              <w:left w:val="nil"/>
              <w:bottom w:val="single" w:color="auto" w:sz="4" w:space="0"/>
              <w:right w:val="single" w:color="auto" w:sz="4" w:space="0"/>
            </w:tcBorders>
            <w:noWrap w:val="0"/>
            <w:vAlign w:val="center"/>
          </w:tcPr>
          <w:p w14:paraId="31E5CC00">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拟开工</w:t>
            </w:r>
          </w:p>
          <w:p w14:paraId="2EADF302">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时间</w:t>
            </w:r>
          </w:p>
        </w:tc>
        <w:tc>
          <w:tcPr>
            <w:tcW w:w="1152" w:type="dxa"/>
            <w:tcBorders>
              <w:top w:val="nil"/>
              <w:left w:val="nil"/>
              <w:bottom w:val="single" w:color="auto" w:sz="4" w:space="0"/>
              <w:right w:val="single" w:color="auto" w:sz="4" w:space="0"/>
            </w:tcBorders>
            <w:noWrap w:val="0"/>
            <w:vAlign w:val="center"/>
          </w:tcPr>
          <w:p w14:paraId="41C9E720">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拟投产</w:t>
            </w:r>
          </w:p>
          <w:p w14:paraId="3DB599EA">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时间</w:t>
            </w:r>
          </w:p>
        </w:tc>
        <w:tc>
          <w:tcPr>
            <w:tcW w:w="681" w:type="dxa"/>
            <w:tcBorders>
              <w:top w:val="nil"/>
              <w:left w:val="nil"/>
              <w:bottom w:val="single" w:color="auto" w:sz="4" w:space="0"/>
              <w:right w:val="single" w:color="auto" w:sz="4" w:space="0"/>
            </w:tcBorders>
            <w:noWrap/>
            <w:vAlign w:val="center"/>
          </w:tcPr>
          <w:p w14:paraId="3146E015">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置换</w:t>
            </w:r>
          </w:p>
          <w:p w14:paraId="52F14E6D">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比例</w:t>
            </w:r>
          </w:p>
        </w:tc>
      </w:tr>
      <w:tr w14:paraId="410BE7D6">
        <w:tblPrEx>
          <w:tblCellMar>
            <w:top w:w="0" w:type="dxa"/>
            <w:left w:w="108" w:type="dxa"/>
            <w:bottom w:w="0" w:type="dxa"/>
            <w:right w:w="108" w:type="dxa"/>
          </w:tblCellMar>
        </w:tblPrEx>
        <w:trPr>
          <w:trHeight w:val="340" w:hRule="atLeast"/>
          <w:jc w:val="center"/>
        </w:trPr>
        <w:tc>
          <w:tcPr>
            <w:tcW w:w="2275" w:type="dxa"/>
            <w:gridSpan w:val="2"/>
            <w:tcBorders>
              <w:top w:val="single" w:color="auto" w:sz="4" w:space="0"/>
              <w:left w:val="single" w:color="auto" w:sz="4" w:space="0"/>
              <w:bottom w:val="single" w:color="auto" w:sz="4" w:space="0"/>
              <w:right w:val="single" w:color="auto" w:sz="4" w:space="0"/>
            </w:tcBorders>
            <w:noWrap/>
            <w:vAlign w:val="center"/>
          </w:tcPr>
          <w:p w14:paraId="245A5137">
            <w:pPr>
              <w:pStyle w:val="27"/>
              <w:keepNext w:val="0"/>
              <w:keepLines w:val="0"/>
              <w:pageBreakBefore w:val="0"/>
              <w:widowControl w:val="0"/>
              <w:kinsoku/>
              <w:wordWrap/>
              <w:overflowPunct/>
              <w:topLinePunct w:val="0"/>
              <w:autoSpaceDE/>
              <w:autoSpaceDN/>
              <w:bidi w:val="0"/>
              <w:adjustRightInd w:val="0"/>
              <w:snapToGrid w:val="0"/>
              <w:textAlignment w:val="auto"/>
              <w:rPr>
                <w:rFonts w:hint="default"/>
                <w:sz w:val="21"/>
                <w:szCs w:val="21"/>
                <w:lang w:val="en-US" w:eastAsia="zh-CN"/>
              </w:rPr>
            </w:pPr>
            <w:r>
              <w:rPr>
                <w:rFonts w:hint="eastAsia"/>
                <w:sz w:val="21"/>
                <w:szCs w:val="21"/>
                <w:lang w:val="en-US" w:eastAsia="zh-CN"/>
              </w:rPr>
              <w:t>海城市荣富耐火材料有限公司</w:t>
            </w:r>
          </w:p>
        </w:tc>
        <w:tc>
          <w:tcPr>
            <w:tcW w:w="1272" w:type="dxa"/>
            <w:tcBorders>
              <w:top w:val="nil"/>
              <w:left w:val="nil"/>
              <w:bottom w:val="single" w:color="auto" w:sz="4" w:space="0"/>
              <w:right w:val="single" w:color="auto" w:sz="4" w:space="0"/>
            </w:tcBorders>
            <w:noWrap/>
            <w:vAlign w:val="center"/>
          </w:tcPr>
          <w:p w14:paraId="2C722090">
            <w:pPr>
              <w:pStyle w:val="27"/>
              <w:keepNext w:val="0"/>
              <w:keepLines w:val="0"/>
              <w:pageBreakBefore w:val="0"/>
              <w:widowControl w:val="0"/>
              <w:kinsoku/>
              <w:wordWrap/>
              <w:overflowPunct/>
              <w:topLinePunct w:val="0"/>
              <w:autoSpaceDE/>
              <w:autoSpaceDN/>
              <w:bidi w:val="0"/>
              <w:adjustRightInd w:val="0"/>
              <w:snapToGrid w:val="0"/>
              <w:textAlignment w:val="auto"/>
              <w:rPr>
                <w:rFonts w:hint="default"/>
                <w:sz w:val="21"/>
                <w:szCs w:val="21"/>
                <w:lang w:val="en-US" w:eastAsia="zh-CN"/>
              </w:rPr>
            </w:pPr>
            <w:r>
              <w:rPr>
                <w:rFonts w:hint="eastAsia"/>
                <w:sz w:val="21"/>
                <w:szCs w:val="21"/>
                <w:lang w:val="en-US" w:eastAsia="zh-CN"/>
              </w:rPr>
              <w:t>海城市马风镇梨树村</w:t>
            </w:r>
          </w:p>
        </w:tc>
        <w:tc>
          <w:tcPr>
            <w:tcW w:w="1332" w:type="dxa"/>
            <w:tcBorders>
              <w:top w:val="nil"/>
              <w:left w:val="nil"/>
              <w:bottom w:val="single" w:color="auto" w:sz="4" w:space="0"/>
              <w:right w:val="single" w:color="auto" w:sz="4" w:space="0"/>
            </w:tcBorders>
            <w:noWrap/>
            <w:vAlign w:val="center"/>
          </w:tcPr>
          <w:p w14:paraId="563D9306">
            <w:pPr>
              <w:pStyle w:val="27"/>
              <w:keepNext w:val="0"/>
              <w:keepLines w:val="0"/>
              <w:pageBreakBefore w:val="0"/>
              <w:widowControl w:val="0"/>
              <w:kinsoku/>
              <w:wordWrap/>
              <w:overflowPunct/>
              <w:topLinePunct w:val="0"/>
              <w:autoSpaceDE/>
              <w:autoSpaceDN/>
              <w:bidi w:val="0"/>
              <w:adjustRightInd w:val="0"/>
              <w:snapToGrid w:val="0"/>
              <w:textAlignment w:val="auto"/>
              <w:rPr>
                <w:rFonts w:hint="default"/>
                <w:sz w:val="21"/>
                <w:szCs w:val="21"/>
                <w:lang w:val="en-US" w:eastAsia="zh-CN"/>
              </w:rPr>
            </w:pPr>
            <w:r>
              <w:rPr>
                <w:rFonts w:hint="eastAsia"/>
                <w:sz w:val="21"/>
                <w:szCs w:val="21"/>
                <w:lang w:val="en-US" w:eastAsia="zh-CN"/>
              </w:rPr>
              <w:t>悬浮炉1座</w:t>
            </w:r>
          </w:p>
        </w:tc>
        <w:tc>
          <w:tcPr>
            <w:tcW w:w="1404" w:type="dxa"/>
            <w:tcBorders>
              <w:top w:val="nil"/>
              <w:left w:val="nil"/>
              <w:bottom w:val="single" w:color="auto" w:sz="4" w:space="0"/>
              <w:right w:val="single" w:color="auto" w:sz="4" w:space="0"/>
            </w:tcBorders>
            <w:noWrap/>
            <w:vAlign w:val="center"/>
          </w:tcPr>
          <w:p w14:paraId="7B3DEE80">
            <w:pPr>
              <w:pStyle w:val="27"/>
              <w:keepNext w:val="0"/>
              <w:keepLines w:val="0"/>
              <w:pageBreakBefore w:val="0"/>
              <w:widowControl w:val="0"/>
              <w:kinsoku/>
              <w:wordWrap/>
              <w:overflowPunct/>
              <w:topLinePunct w:val="0"/>
              <w:autoSpaceDE/>
              <w:autoSpaceDN/>
              <w:bidi w:val="0"/>
              <w:adjustRightInd w:val="0"/>
              <w:snapToGrid w:val="0"/>
              <w:textAlignment w:val="auto"/>
              <w:rPr>
                <w:rFonts w:hint="default"/>
                <w:sz w:val="21"/>
                <w:szCs w:val="21"/>
                <w:lang w:val="en-US" w:eastAsia="zh-CN"/>
              </w:rPr>
            </w:pPr>
            <w:r>
              <w:rPr>
                <w:rFonts w:hint="eastAsia"/>
                <w:sz w:val="21"/>
                <w:szCs w:val="21"/>
                <w:lang w:val="en-US" w:eastAsia="zh-CN"/>
              </w:rPr>
              <w:t>11.67</w:t>
            </w:r>
          </w:p>
        </w:tc>
        <w:tc>
          <w:tcPr>
            <w:tcW w:w="1176" w:type="dxa"/>
            <w:tcBorders>
              <w:top w:val="nil"/>
              <w:left w:val="nil"/>
              <w:bottom w:val="single" w:color="auto" w:sz="4" w:space="0"/>
              <w:right w:val="single" w:color="auto" w:sz="4" w:space="0"/>
            </w:tcBorders>
            <w:noWrap/>
            <w:vAlign w:val="center"/>
          </w:tcPr>
          <w:p w14:paraId="1B78D2C0">
            <w:pPr>
              <w:pStyle w:val="27"/>
              <w:keepNext w:val="0"/>
              <w:keepLines w:val="0"/>
              <w:pageBreakBefore w:val="0"/>
              <w:widowControl w:val="0"/>
              <w:kinsoku/>
              <w:wordWrap/>
              <w:overflowPunct/>
              <w:topLinePunct w:val="0"/>
              <w:autoSpaceDE/>
              <w:autoSpaceDN/>
              <w:bidi w:val="0"/>
              <w:adjustRightInd w:val="0"/>
              <w:snapToGrid w:val="0"/>
              <w:textAlignment w:val="auto"/>
              <w:rPr>
                <w:rFonts w:hint="default"/>
                <w:sz w:val="21"/>
                <w:szCs w:val="21"/>
                <w:lang w:val="en-US" w:eastAsia="zh-CN"/>
              </w:rPr>
            </w:pPr>
            <w:r>
              <w:rPr>
                <w:rFonts w:hint="eastAsia"/>
                <w:sz w:val="21"/>
                <w:szCs w:val="21"/>
                <w:lang w:val="en-US" w:eastAsia="zh-CN"/>
              </w:rPr>
              <w:t>2024年1月</w:t>
            </w:r>
          </w:p>
        </w:tc>
        <w:tc>
          <w:tcPr>
            <w:tcW w:w="1152" w:type="dxa"/>
            <w:tcBorders>
              <w:top w:val="nil"/>
              <w:left w:val="nil"/>
              <w:bottom w:val="single" w:color="auto" w:sz="4" w:space="0"/>
              <w:right w:val="single" w:color="auto" w:sz="4" w:space="0"/>
            </w:tcBorders>
            <w:noWrap/>
            <w:vAlign w:val="center"/>
          </w:tcPr>
          <w:p w14:paraId="2A153052">
            <w:pPr>
              <w:pStyle w:val="27"/>
              <w:keepNext w:val="0"/>
              <w:keepLines w:val="0"/>
              <w:pageBreakBefore w:val="0"/>
              <w:widowControl w:val="0"/>
              <w:kinsoku/>
              <w:wordWrap/>
              <w:overflowPunct/>
              <w:topLinePunct w:val="0"/>
              <w:autoSpaceDE/>
              <w:autoSpaceDN/>
              <w:bidi w:val="0"/>
              <w:adjustRightInd w:val="0"/>
              <w:snapToGrid w:val="0"/>
              <w:textAlignment w:val="auto"/>
              <w:rPr>
                <w:rFonts w:hint="default"/>
                <w:sz w:val="21"/>
                <w:szCs w:val="21"/>
                <w:lang w:val="en-US" w:eastAsia="zh-CN"/>
              </w:rPr>
            </w:pPr>
            <w:r>
              <w:rPr>
                <w:rFonts w:hint="eastAsia"/>
                <w:sz w:val="21"/>
                <w:szCs w:val="21"/>
                <w:lang w:val="en-US" w:eastAsia="zh-CN"/>
              </w:rPr>
              <w:t>2025年6月</w:t>
            </w:r>
          </w:p>
        </w:tc>
        <w:tc>
          <w:tcPr>
            <w:tcW w:w="681" w:type="dxa"/>
            <w:tcBorders>
              <w:top w:val="nil"/>
              <w:left w:val="nil"/>
              <w:bottom w:val="single" w:color="auto" w:sz="4" w:space="0"/>
              <w:right w:val="single" w:color="auto" w:sz="4" w:space="0"/>
            </w:tcBorders>
            <w:noWrap/>
            <w:vAlign w:val="center"/>
          </w:tcPr>
          <w:p w14:paraId="109C7E4C">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rFonts w:hint="eastAsia"/>
                <w:sz w:val="21"/>
                <w:szCs w:val="21"/>
              </w:rPr>
              <w:t>1.2:1</w:t>
            </w:r>
          </w:p>
        </w:tc>
      </w:tr>
      <w:tr w14:paraId="593F635E">
        <w:tblPrEx>
          <w:tblCellMar>
            <w:top w:w="0" w:type="dxa"/>
            <w:left w:w="108" w:type="dxa"/>
            <w:bottom w:w="0" w:type="dxa"/>
            <w:right w:w="108" w:type="dxa"/>
          </w:tblCellMar>
        </w:tblPrEx>
        <w:trPr>
          <w:trHeight w:val="340" w:hRule="atLeast"/>
          <w:jc w:val="center"/>
        </w:trPr>
        <w:tc>
          <w:tcPr>
            <w:tcW w:w="9292" w:type="dxa"/>
            <w:gridSpan w:val="8"/>
            <w:tcBorders>
              <w:top w:val="single" w:color="auto" w:sz="4" w:space="0"/>
              <w:left w:val="single" w:color="auto" w:sz="4" w:space="0"/>
              <w:bottom w:val="single" w:color="auto" w:sz="4" w:space="0"/>
              <w:right w:val="single" w:color="auto" w:sz="4" w:space="0"/>
            </w:tcBorders>
            <w:noWrap/>
            <w:vAlign w:val="center"/>
          </w:tcPr>
          <w:p w14:paraId="67D4DE0B">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退出产能情况</w:t>
            </w:r>
          </w:p>
        </w:tc>
      </w:tr>
      <w:tr w14:paraId="7BB750E1">
        <w:tblPrEx>
          <w:tblCellMar>
            <w:top w:w="0" w:type="dxa"/>
            <w:left w:w="108" w:type="dxa"/>
            <w:bottom w:w="0" w:type="dxa"/>
            <w:right w:w="108" w:type="dxa"/>
          </w:tblCellMar>
        </w:tblPrEx>
        <w:trPr>
          <w:trHeight w:val="340" w:hRule="atLeast"/>
          <w:jc w:val="center"/>
        </w:trPr>
        <w:tc>
          <w:tcPr>
            <w:tcW w:w="527" w:type="dxa"/>
            <w:tcBorders>
              <w:top w:val="nil"/>
              <w:left w:val="single" w:color="auto" w:sz="4" w:space="0"/>
              <w:bottom w:val="single" w:color="auto" w:sz="4" w:space="0"/>
              <w:right w:val="single" w:color="auto" w:sz="4" w:space="0"/>
            </w:tcBorders>
            <w:noWrap/>
            <w:vAlign w:val="center"/>
          </w:tcPr>
          <w:p w14:paraId="48427F84">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序号</w:t>
            </w:r>
          </w:p>
        </w:tc>
        <w:tc>
          <w:tcPr>
            <w:tcW w:w="1748" w:type="dxa"/>
            <w:tcBorders>
              <w:top w:val="nil"/>
              <w:left w:val="nil"/>
              <w:bottom w:val="single" w:color="auto" w:sz="4" w:space="0"/>
              <w:right w:val="single" w:color="auto" w:sz="4" w:space="0"/>
            </w:tcBorders>
            <w:noWrap/>
            <w:vAlign w:val="center"/>
          </w:tcPr>
          <w:p w14:paraId="02670C4E">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企业名称</w:t>
            </w:r>
          </w:p>
        </w:tc>
        <w:tc>
          <w:tcPr>
            <w:tcW w:w="1272" w:type="dxa"/>
            <w:tcBorders>
              <w:top w:val="nil"/>
              <w:left w:val="nil"/>
              <w:bottom w:val="single" w:color="auto" w:sz="4" w:space="0"/>
              <w:right w:val="single" w:color="auto" w:sz="4" w:space="0"/>
            </w:tcBorders>
            <w:noWrap/>
            <w:vAlign w:val="center"/>
          </w:tcPr>
          <w:p w14:paraId="55077C49">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建设地点</w:t>
            </w:r>
          </w:p>
        </w:tc>
        <w:tc>
          <w:tcPr>
            <w:tcW w:w="1332" w:type="dxa"/>
            <w:tcBorders>
              <w:top w:val="nil"/>
              <w:left w:val="nil"/>
              <w:bottom w:val="single" w:color="auto" w:sz="4" w:space="0"/>
              <w:right w:val="single" w:color="auto" w:sz="4" w:space="0"/>
            </w:tcBorders>
            <w:noWrap w:val="0"/>
            <w:vAlign w:val="center"/>
          </w:tcPr>
          <w:p w14:paraId="4F129278">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设备名称、型号及数量</w:t>
            </w:r>
          </w:p>
        </w:tc>
        <w:tc>
          <w:tcPr>
            <w:tcW w:w="1404" w:type="dxa"/>
            <w:tcBorders>
              <w:top w:val="nil"/>
              <w:left w:val="nil"/>
              <w:bottom w:val="single" w:color="auto" w:sz="4" w:space="0"/>
              <w:right w:val="single" w:color="auto" w:sz="4" w:space="0"/>
            </w:tcBorders>
            <w:noWrap w:val="0"/>
            <w:vAlign w:val="center"/>
          </w:tcPr>
          <w:p w14:paraId="64BE9A3E">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核定产能（万吨/年）</w:t>
            </w:r>
          </w:p>
        </w:tc>
        <w:tc>
          <w:tcPr>
            <w:tcW w:w="1176" w:type="dxa"/>
            <w:tcBorders>
              <w:top w:val="nil"/>
              <w:left w:val="nil"/>
              <w:bottom w:val="single" w:color="auto" w:sz="4" w:space="0"/>
              <w:right w:val="single" w:color="auto" w:sz="4" w:space="0"/>
            </w:tcBorders>
            <w:noWrap w:val="0"/>
            <w:vAlign w:val="center"/>
          </w:tcPr>
          <w:p w14:paraId="62E9B752">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启动拆除时间</w:t>
            </w:r>
          </w:p>
        </w:tc>
        <w:tc>
          <w:tcPr>
            <w:tcW w:w="1152" w:type="dxa"/>
            <w:tcBorders>
              <w:top w:val="nil"/>
              <w:left w:val="nil"/>
              <w:bottom w:val="single" w:color="auto" w:sz="4" w:space="0"/>
              <w:right w:val="single" w:color="auto" w:sz="4" w:space="0"/>
            </w:tcBorders>
            <w:noWrap w:val="0"/>
            <w:vAlign w:val="center"/>
          </w:tcPr>
          <w:p w14:paraId="078646E8">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拆除到位时间</w:t>
            </w:r>
          </w:p>
        </w:tc>
        <w:tc>
          <w:tcPr>
            <w:tcW w:w="681" w:type="dxa"/>
            <w:tcBorders>
              <w:top w:val="nil"/>
              <w:left w:val="nil"/>
              <w:bottom w:val="single" w:color="auto" w:sz="4" w:space="0"/>
              <w:right w:val="single" w:color="auto" w:sz="4" w:space="0"/>
            </w:tcBorders>
            <w:noWrap w:val="0"/>
            <w:vAlign w:val="center"/>
          </w:tcPr>
          <w:p w14:paraId="06D5AB00">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备注</w:t>
            </w:r>
          </w:p>
        </w:tc>
      </w:tr>
      <w:tr w14:paraId="70151722">
        <w:tblPrEx>
          <w:tblCellMar>
            <w:top w:w="0" w:type="dxa"/>
            <w:left w:w="108" w:type="dxa"/>
            <w:bottom w:w="0" w:type="dxa"/>
            <w:right w:w="108" w:type="dxa"/>
          </w:tblCellMar>
        </w:tblPrEx>
        <w:trPr>
          <w:trHeight w:val="340" w:hRule="atLeast"/>
          <w:jc w:val="center"/>
        </w:trPr>
        <w:tc>
          <w:tcPr>
            <w:tcW w:w="527" w:type="dxa"/>
            <w:tcBorders>
              <w:top w:val="nil"/>
              <w:left w:val="single" w:color="auto" w:sz="4" w:space="0"/>
              <w:bottom w:val="single" w:color="auto" w:sz="4" w:space="0"/>
              <w:right w:val="single" w:color="auto" w:sz="4" w:space="0"/>
            </w:tcBorders>
            <w:noWrap/>
            <w:vAlign w:val="center"/>
          </w:tcPr>
          <w:p w14:paraId="6087A491">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r>
              <w:rPr>
                <w:sz w:val="21"/>
                <w:szCs w:val="21"/>
              </w:rPr>
              <w:t>1</w:t>
            </w:r>
          </w:p>
        </w:tc>
        <w:tc>
          <w:tcPr>
            <w:tcW w:w="1748" w:type="dxa"/>
            <w:tcBorders>
              <w:top w:val="nil"/>
              <w:left w:val="nil"/>
              <w:bottom w:val="single" w:color="auto" w:sz="4" w:space="0"/>
              <w:right w:val="single" w:color="auto" w:sz="4" w:space="0"/>
            </w:tcBorders>
            <w:noWrap/>
            <w:vAlign w:val="center"/>
          </w:tcPr>
          <w:p w14:paraId="26C6F4C5">
            <w:pPr>
              <w:pStyle w:val="27"/>
              <w:keepNext w:val="0"/>
              <w:keepLines w:val="0"/>
              <w:pageBreakBefore w:val="0"/>
              <w:widowControl w:val="0"/>
              <w:kinsoku/>
              <w:wordWrap/>
              <w:overflowPunct/>
              <w:topLinePunct w:val="0"/>
              <w:autoSpaceDE/>
              <w:autoSpaceDN/>
              <w:bidi w:val="0"/>
              <w:adjustRightInd w:val="0"/>
              <w:snapToGrid w:val="0"/>
              <w:textAlignment w:val="auto"/>
              <w:rPr>
                <w:rFonts w:hint="default"/>
                <w:sz w:val="21"/>
                <w:szCs w:val="21"/>
                <w:lang w:val="en-US" w:eastAsia="zh-CN"/>
              </w:rPr>
            </w:pPr>
            <w:r>
              <w:rPr>
                <w:rFonts w:hint="eastAsia"/>
                <w:sz w:val="21"/>
                <w:szCs w:val="21"/>
                <w:lang w:val="en-US" w:eastAsia="zh-CN"/>
              </w:rPr>
              <w:t>海城市荣富耐火材料有限公司</w:t>
            </w:r>
          </w:p>
        </w:tc>
        <w:tc>
          <w:tcPr>
            <w:tcW w:w="1272" w:type="dxa"/>
            <w:tcBorders>
              <w:top w:val="nil"/>
              <w:left w:val="nil"/>
              <w:bottom w:val="single" w:color="auto" w:sz="4" w:space="0"/>
              <w:right w:val="single" w:color="auto" w:sz="4" w:space="0"/>
            </w:tcBorders>
            <w:noWrap/>
            <w:vAlign w:val="center"/>
          </w:tcPr>
          <w:p w14:paraId="53859FC6">
            <w:pPr>
              <w:pStyle w:val="27"/>
              <w:keepNext w:val="0"/>
              <w:keepLines w:val="0"/>
              <w:pageBreakBefore w:val="0"/>
              <w:widowControl w:val="0"/>
              <w:kinsoku/>
              <w:wordWrap/>
              <w:overflowPunct/>
              <w:topLinePunct w:val="0"/>
              <w:autoSpaceDE/>
              <w:autoSpaceDN/>
              <w:bidi w:val="0"/>
              <w:adjustRightInd w:val="0"/>
              <w:snapToGrid w:val="0"/>
              <w:textAlignment w:val="auto"/>
              <w:rPr>
                <w:rFonts w:hint="default"/>
                <w:sz w:val="21"/>
                <w:szCs w:val="21"/>
                <w:lang w:val="en-US" w:eastAsia="zh-CN"/>
              </w:rPr>
            </w:pPr>
            <w:r>
              <w:rPr>
                <w:rFonts w:hint="eastAsia"/>
                <w:sz w:val="21"/>
                <w:szCs w:val="21"/>
                <w:lang w:val="en-US" w:eastAsia="zh-CN"/>
              </w:rPr>
              <w:t>海城市马风镇梨树村</w:t>
            </w:r>
          </w:p>
        </w:tc>
        <w:tc>
          <w:tcPr>
            <w:tcW w:w="1332" w:type="dxa"/>
            <w:tcBorders>
              <w:top w:val="nil"/>
              <w:left w:val="nil"/>
              <w:bottom w:val="single" w:color="auto" w:sz="4" w:space="0"/>
              <w:right w:val="single" w:color="auto" w:sz="4" w:space="0"/>
            </w:tcBorders>
            <w:noWrap/>
            <w:vAlign w:val="center"/>
          </w:tcPr>
          <w:p w14:paraId="2C69447F">
            <w:pPr>
              <w:pStyle w:val="27"/>
              <w:keepNext w:val="0"/>
              <w:keepLines w:val="0"/>
              <w:pageBreakBefore w:val="0"/>
              <w:widowControl w:val="0"/>
              <w:kinsoku/>
              <w:wordWrap/>
              <w:overflowPunct/>
              <w:topLinePunct w:val="0"/>
              <w:autoSpaceDE/>
              <w:autoSpaceDN/>
              <w:bidi w:val="0"/>
              <w:adjustRightInd w:val="0"/>
              <w:snapToGrid w:val="0"/>
              <w:textAlignment w:val="auto"/>
              <w:rPr>
                <w:rFonts w:hint="default"/>
                <w:sz w:val="21"/>
                <w:szCs w:val="21"/>
                <w:lang w:val="en-US" w:eastAsia="zh-CN"/>
              </w:rPr>
            </w:pPr>
            <w:r>
              <w:rPr>
                <w:rFonts w:hint="eastAsia"/>
                <w:sz w:val="21"/>
                <w:szCs w:val="21"/>
                <w:lang w:val="en-US" w:eastAsia="zh-CN"/>
              </w:rPr>
              <w:t>轻烧反射窑8座</w:t>
            </w:r>
          </w:p>
        </w:tc>
        <w:tc>
          <w:tcPr>
            <w:tcW w:w="1404" w:type="dxa"/>
            <w:tcBorders>
              <w:top w:val="nil"/>
              <w:left w:val="nil"/>
              <w:bottom w:val="single" w:color="auto" w:sz="4" w:space="0"/>
              <w:right w:val="single" w:color="auto" w:sz="4" w:space="0"/>
            </w:tcBorders>
            <w:noWrap/>
            <w:vAlign w:val="center"/>
          </w:tcPr>
          <w:p w14:paraId="42C457A9">
            <w:pPr>
              <w:pStyle w:val="27"/>
              <w:keepNext w:val="0"/>
              <w:keepLines w:val="0"/>
              <w:pageBreakBefore w:val="0"/>
              <w:widowControl w:val="0"/>
              <w:kinsoku/>
              <w:wordWrap/>
              <w:overflowPunct/>
              <w:topLinePunct w:val="0"/>
              <w:autoSpaceDE/>
              <w:autoSpaceDN/>
              <w:bidi w:val="0"/>
              <w:adjustRightInd w:val="0"/>
              <w:snapToGrid w:val="0"/>
              <w:textAlignment w:val="auto"/>
              <w:rPr>
                <w:rFonts w:hint="default"/>
                <w:sz w:val="21"/>
                <w:szCs w:val="21"/>
                <w:lang w:val="en-US" w:eastAsia="zh-CN"/>
              </w:rPr>
            </w:pPr>
            <w:r>
              <w:rPr>
                <w:rFonts w:hint="eastAsia"/>
                <w:sz w:val="21"/>
                <w:szCs w:val="21"/>
                <w:lang w:val="en-US" w:eastAsia="zh-CN"/>
              </w:rPr>
              <w:t>14</w:t>
            </w:r>
          </w:p>
        </w:tc>
        <w:tc>
          <w:tcPr>
            <w:tcW w:w="1176" w:type="dxa"/>
            <w:tcBorders>
              <w:top w:val="nil"/>
              <w:left w:val="nil"/>
              <w:bottom w:val="single" w:color="auto" w:sz="4" w:space="0"/>
              <w:right w:val="single" w:color="auto" w:sz="4" w:space="0"/>
            </w:tcBorders>
            <w:noWrap/>
            <w:vAlign w:val="center"/>
          </w:tcPr>
          <w:p w14:paraId="0AA93F3C">
            <w:pPr>
              <w:pStyle w:val="27"/>
              <w:keepNext w:val="0"/>
              <w:keepLines w:val="0"/>
              <w:pageBreakBefore w:val="0"/>
              <w:widowControl w:val="0"/>
              <w:kinsoku/>
              <w:wordWrap/>
              <w:overflowPunct/>
              <w:topLinePunct w:val="0"/>
              <w:autoSpaceDE/>
              <w:autoSpaceDN/>
              <w:bidi w:val="0"/>
              <w:adjustRightInd w:val="0"/>
              <w:snapToGrid w:val="0"/>
              <w:textAlignment w:val="auto"/>
              <w:rPr>
                <w:rFonts w:hint="default"/>
                <w:sz w:val="21"/>
                <w:szCs w:val="21"/>
                <w:lang w:val="en-US" w:eastAsia="zh-CN"/>
              </w:rPr>
            </w:pPr>
            <w:r>
              <w:rPr>
                <w:rFonts w:hint="eastAsia"/>
                <w:sz w:val="21"/>
                <w:szCs w:val="21"/>
                <w:lang w:val="en-US" w:eastAsia="zh-CN"/>
              </w:rPr>
              <w:t>2025年10月31日</w:t>
            </w:r>
          </w:p>
        </w:tc>
        <w:tc>
          <w:tcPr>
            <w:tcW w:w="1152" w:type="dxa"/>
            <w:tcBorders>
              <w:top w:val="nil"/>
              <w:left w:val="nil"/>
              <w:bottom w:val="single" w:color="auto" w:sz="4" w:space="0"/>
              <w:right w:val="single" w:color="auto" w:sz="4" w:space="0"/>
            </w:tcBorders>
            <w:noWrap/>
            <w:vAlign w:val="center"/>
          </w:tcPr>
          <w:p w14:paraId="23E95EB4">
            <w:pPr>
              <w:pStyle w:val="27"/>
              <w:keepNext w:val="0"/>
              <w:keepLines w:val="0"/>
              <w:pageBreakBefore w:val="0"/>
              <w:widowControl w:val="0"/>
              <w:kinsoku/>
              <w:wordWrap/>
              <w:overflowPunct/>
              <w:topLinePunct w:val="0"/>
              <w:autoSpaceDE/>
              <w:autoSpaceDN/>
              <w:bidi w:val="0"/>
              <w:adjustRightInd w:val="0"/>
              <w:snapToGrid w:val="0"/>
              <w:textAlignment w:val="auto"/>
              <w:rPr>
                <w:rFonts w:hint="eastAsia"/>
                <w:sz w:val="21"/>
                <w:szCs w:val="21"/>
                <w:lang w:val="en-US" w:eastAsia="zh-CN"/>
              </w:rPr>
            </w:pPr>
            <w:r>
              <w:rPr>
                <w:rFonts w:hint="eastAsia"/>
                <w:sz w:val="21"/>
                <w:szCs w:val="21"/>
                <w:lang w:val="en-US" w:eastAsia="zh-CN"/>
              </w:rPr>
              <w:t>2025年12月31日</w:t>
            </w:r>
          </w:p>
        </w:tc>
        <w:tc>
          <w:tcPr>
            <w:tcW w:w="681" w:type="dxa"/>
            <w:tcBorders>
              <w:top w:val="nil"/>
              <w:left w:val="nil"/>
              <w:bottom w:val="single" w:color="auto" w:sz="4" w:space="0"/>
              <w:right w:val="single" w:color="auto" w:sz="4" w:space="0"/>
            </w:tcBorders>
            <w:noWrap/>
            <w:vAlign w:val="center"/>
          </w:tcPr>
          <w:p w14:paraId="40C161A1">
            <w:pPr>
              <w:pStyle w:val="27"/>
              <w:keepNext w:val="0"/>
              <w:keepLines w:val="0"/>
              <w:pageBreakBefore w:val="0"/>
              <w:widowControl w:val="0"/>
              <w:kinsoku/>
              <w:wordWrap/>
              <w:overflowPunct/>
              <w:topLinePunct w:val="0"/>
              <w:autoSpaceDE/>
              <w:autoSpaceDN/>
              <w:bidi w:val="0"/>
              <w:adjustRightInd w:val="0"/>
              <w:snapToGrid w:val="0"/>
              <w:textAlignment w:val="auto"/>
              <w:rPr>
                <w:sz w:val="21"/>
                <w:szCs w:val="21"/>
              </w:rPr>
            </w:pPr>
          </w:p>
        </w:tc>
      </w:tr>
    </w:tbl>
    <w:p w14:paraId="31E6E9D0">
      <w:pPr>
        <w:pStyle w:val="18"/>
        <w:rPr>
          <w:rFonts w:hint="default"/>
          <w:lang w:val="en-US" w:eastAsia="zh-CN"/>
        </w:rPr>
      </w:pPr>
    </w:p>
    <w:p w14:paraId="458F6764">
      <w:pPr>
        <w:pStyle w:val="18"/>
        <w:numPr>
          <w:ilvl w:val="0"/>
          <w:numId w:val="0"/>
        </w:numPr>
        <w:ind w:firstLine="560" w:firstLineChars="200"/>
        <w:rPr>
          <w:rFonts w:hint="eastAsia"/>
          <w:lang w:val="en-US" w:eastAsia="zh-CN"/>
        </w:rPr>
      </w:pPr>
      <w:r>
        <w:rPr>
          <w:rFonts w:hint="eastAsia" w:ascii="Times New Roman" w:hAnsi="Times New Roman" w:eastAsia="宋体" w:cstheme="minorBidi"/>
          <w:sz w:val="28"/>
          <w:szCs w:val="28"/>
          <w:lang w:val="en-US" w:eastAsia="zh-CN"/>
        </w:rPr>
        <w:t>（</w:t>
      </w:r>
      <w:r>
        <w:rPr>
          <w:rFonts w:hint="eastAsia" w:cstheme="minorBidi"/>
          <w:sz w:val="28"/>
          <w:szCs w:val="28"/>
          <w:lang w:val="en-US" w:eastAsia="zh-CN"/>
        </w:rPr>
        <w:t>4</w:t>
      </w:r>
      <w:r>
        <w:rPr>
          <w:rFonts w:hint="eastAsia" w:ascii="Times New Roman" w:hAnsi="Times New Roman" w:eastAsia="宋体" w:cstheme="minorBidi"/>
          <w:sz w:val="28"/>
          <w:szCs w:val="28"/>
          <w:lang w:val="en-US" w:eastAsia="zh-CN"/>
        </w:rPr>
        <w:t>）</w:t>
      </w:r>
      <w:r>
        <w:rPr>
          <w:rFonts w:hint="eastAsia"/>
          <w:lang w:val="en-US" w:eastAsia="zh-CN"/>
        </w:rPr>
        <w:t>利用工程</w:t>
      </w:r>
    </w:p>
    <w:p w14:paraId="3A1906EC">
      <w:pPr>
        <w:pStyle w:val="18"/>
        <w:bidi w:val="0"/>
        <w:rPr>
          <w:rFonts w:hint="default"/>
          <w:lang w:val="en-US" w:eastAsia="zh-CN"/>
        </w:rPr>
      </w:pPr>
      <w:r>
        <w:rPr>
          <w:rFonts w:hint="default"/>
          <w:lang w:val="en-US" w:eastAsia="zh-CN"/>
        </w:rPr>
        <w:t>根据矿山现状，运输线路尽量布置在水文地质、工程地质较好的地段，矿山运输线路总出入沟布置在矿区东侧，利用外部村路为外部运输道路。利用矿区原有的山坡道路，修筑由底部工作平台通向顶部生产台阶的上山道路，用于潜孔钻和挖掘机上山作业使用。</w:t>
      </w:r>
    </w:p>
    <w:p w14:paraId="4C314840">
      <w:pPr>
        <w:pStyle w:val="18"/>
        <w:numPr>
          <w:ilvl w:val="0"/>
          <w:numId w:val="0"/>
        </w:numPr>
        <w:bidi w:val="0"/>
        <w:ind w:firstLine="560" w:firstLineChars="200"/>
        <w:rPr>
          <w:rFonts w:hint="eastAsia"/>
          <w:lang w:val="en-US" w:eastAsia="zh-CN"/>
        </w:rPr>
      </w:pPr>
      <w:r>
        <w:rPr>
          <w:rFonts w:hint="eastAsia" w:ascii="Times New Roman" w:hAnsi="Times New Roman" w:eastAsia="宋体" w:cstheme="minorBidi"/>
          <w:sz w:val="28"/>
          <w:szCs w:val="28"/>
          <w:lang w:val="en-US" w:eastAsia="zh-CN"/>
        </w:rPr>
        <w:t>（</w:t>
      </w:r>
      <w:r>
        <w:rPr>
          <w:rFonts w:hint="eastAsia" w:cstheme="minorBidi"/>
          <w:sz w:val="28"/>
          <w:szCs w:val="28"/>
          <w:lang w:val="en-US" w:eastAsia="zh-CN"/>
        </w:rPr>
        <w:t>5</w:t>
      </w:r>
      <w:r>
        <w:rPr>
          <w:rFonts w:hint="eastAsia" w:ascii="Times New Roman" w:hAnsi="Times New Roman" w:eastAsia="宋体" w:cstheme="minorBidi"/>
          <w:sz w:val="28"/>
          <w:szCs w:val="28"/>
          <w:lang w:val="en-US" w:eastAsia="zh-CN"/>
        </w:rPr>
        <w:t>）</w:t>
      </w:r>
      <w:r>
        <w:rPr>
          <w:rFonts w:hint="eastAsia"/>
          <w:lang w:val="en-US" w:eastAsia="zh-CN"/>
        </w:rPr>
        <w:t>矿山现状</w:t>
      </w:r>
    </w:p>
    <w:p w14:paraId="38F30476">
      <w:pPr>
        <w:pStyle w:val="18"/>
        <w:bidi w:val="0"/>
        <w:rPr>
          <w:rFonts w:hint="default"/>
          <w:lang w:val="en-US" w:eastAsia="zh-CN"/>
        </w:rPr>
      </w:pPr>
      <w:r>
        <w:rPr>
          <w:rFonts w:hint="default"/>
          <w:lang w:val="en-US" w:eastAsia="zh-CN"/>
        </w:rPr>
        <w:t>矿山开采方式为露天开采，开采矿种为菱镁矿、滑石。开采方式，采用公路开拓、汽车运输方案，自上而下分台阶式开采。露天开采使用KQL-100B型潜孔钻机钻孔，中深孔爆破，爆破后的矿岩集中用挖掘机装车、汽车运输。</w:t>
      </w:r>
    </w:p>
    <w:p w14:paraId="2CAB2E31">
      <w:pPr>
        <w:pStyle w:val="18"/>
        <w:bidi w:val="0"/>
        <w:rPr>
          <w:rFonts w:hint="default"/>
          <w:lang w:val="en-US" w:eastAsia="zh-CN"/>
        </w:rPr>
      </w:pPr>
      <w:r>
        <w:rPr>
          <w:rFonts w:hint="default"/>
          <w:lang w:val="en-US" w:eastAsia="zh-CN"/>
        </w:rPr>
        <w:t>由于南采区地面林地征占手续未能办理，露天矿区现状主要开采北采区，现状共形成2个生产台阶，分别为+110m生产台阶、+100m</w:t>
      </w:r>
      <w:r>
        <w:rPr>
          <w:rFonts w:hint="eastAsia"/>
          <w:lang w:val="en-US" w:eastAsia="zh-CN"/>
        </w:rPr>
        <w:t>作业</w:t>
      </w:r>
      <w:r>
        <w:rPr>
          <w:rFonts w:hint="default"/>
          <w:lang w:val="en-US" w:eastAsia="zh-CN"/>
        </w:rPr>
        <w:t>台阶，台阶高度为10m，安全平台宽度9m，工作台阶坡面角为39~51°，边坡角为42°。在采区+80m水平形成工作平台，主要进行矿岩的装载和运输，下部旧采坑，通过隐患治理，形成6个台阶，留设安全平台宽度为6~15m，台阶坡面角为29~50°。现状北采区已形成山坡露天采场和凹陷露天采场，并设置了安全警示标志、警戒围栏等安全设施。</w:t>
      </w:r>
    </w:p>
    <w:p w14:paraId="0099549B">
      <w:pPr>
        <w:pStyle w:val="25"/>
        <w:bidi w:val="0"/>
        <w:ind w:left="720" w:leftChars="0" w:hanging="720" w:firstLineChars="0"/>
        <w:rPr>
          <w:rFonts w:hint="default"/>
          <w:lang w:val="en-US" w:eastAsia="zh-CN"/>
        </w:rPr>
      </w:pPr>
      <w:r>
        <w:rPr>
          <w:rFonts w:hint="eastAsia"/>
          <w:lang w:val="en-US" w:eastAsia="zh-CN"/>
        </w:rPr>
        <w:t>总平面布置</w:t>
      </w:r>
    </w:p>
    <w:p w14:paraId="6DD5D067">
      <w:pPr>
        <w:pStyle w:val="18"/>
        <w:rPr>
          <w:rFonts w:hint="default"/>
          <w:lang w:val="en-US" w:eastAsia="zh-CN"/>
        </w:rPr>
      </w:pPr>
      <w:r>
        <w:rPr>
          <w:rFonts w:hint="eastAsia"/>
          <w:lang w:val="en-US" w:eastAsia="zh-CN"/>
        </w:rPr>
        <w:t>（1）</w:t>
      </w:r>
      <w:r>
        <w:rPr>
          <w:rFonts w:hint="default"/>
          <w:lang w:val="en-US" w:eastAsia="zh-CN"/>
        </w:rPr>
        <w:t>工业场地</w:t>
      </w:r>
    </w:p>
    <w:p w14:paraId="6568BD32">
      <w:pPr>
        <w:pStyle w:val="18"/>
        <w:rPr>
          <w:rFonts w:hint="default"/>
          <w:lang w:val="en-US" w:eastAsia="zh-CN"/>
        </w:rPr>
      </w:pPr>
      <w:r>
        <w:rPr>
          <w:rFonts w:hint="eastAsia"/>
          <w:lang w:val="en-US" w:eastAsia="zh-CN"/>
        </w:rPr>
        <w:t>1、</w:t>
      </w:r>
      <w:r>
        <w:rPr>
          <w:rFonts w:hint="default"/>
          <w:lang w:val="en-US" w:eastAsia="zh-CN"/>
        </w:rPr>
        <w:t>设计情况</w:t>
      </w:r>
    </w:p>
    <w:p w14:paraId="16D26804">
      <w:pPr>
        <w:pStyle w:val="18"/>
        <w:rPr>
          <w:rFonts w:hint="default"/>
          <w:lang w:val="en-US" w:eastAsia="zh-CN"/>
        </w:rPr>
      </w:pPr>
      <w:r>
        <w:rPr>
          <w:rFonts w:hint="default"/>
          <w:lang w:val="en-US" w:eastAsia="zh-CN"/>
        </w:rPr>
        <w:t>《初步设计》确定工业场地位于矿区东侧，标高为56~58m。（历史最高洪水位52m）工业场地主要包括办公室、仓库、机修厂地等。</w:t>
      </w:r>
    </w:p>
    <w:p w14:paraId="21BE45BD">
      <w:pPr>
        <w:pStyle w:val="18"/>
        <w:rPr>
          <w:rFonts w:hint="default"/>
          <w:lang w:val="en-US" w:eastAsia="zh-CN"/>
        </w:rPr>
      </w:pPr>
      <w:r>
        <w:rPr>
          <w:rFonts w:hint="default"/>
          <w:lang w:val="en-US" w:eastAsia="zh-CN"/>
        </w:rPr>
        <w:t>矿区用油由油罐车运送，剩余油量反回到当地供销商，做到矿区不存放易燃易爆等危险源。</w:t>
      </w:r>
    </w:p>
    <w:p w14:paraId="3B8E83F4">
      <w:pPr>
        <w:pStyle w:val="18"/>
        <w:rPr>
          <w:rFonts w:hint="default"/>
          <w:lang w:val="en-US" w:eastAsia="zh-CN"/>
        </w:rPr>
      </w:pPr>
      <w:r>
        <w:rPr>
          <w:rFonts w:hint="default"/>
          <w:lang w:val="en-US" w:eastAsia="zh-CN"/>
        </w:rPr>
        <w:t>爆破器材由当地民爆公司统一配送，不单独设置炸药库。</w:t>
      </w:r>
    </w:p>
    <w:p w14:paraId="1491C0E0">
      <w:pPr>
        <w:pStyle w:val="18"/>
        <w:rPr>
          <w:rFonts w:hint="default"/>
          <w:lang w:val="en-US" w:eastAsia="zh-CN"/>
        </w:rPr>
      </w:pPr>
      <w:r>
        <w:rPr>
          <w:rFonts w:hint="default"/>
          <w:lang w:val="en-US" w:eastAsia="zh-CN"/>
        </w:rPr>
        <w:t>矿山不设置排土场，矿山已与鞍山君畅建筑工程有限公司签订废石废渣清运协议书，剥离物少量用于维护修缮挡墙及运输道路，其余均外卖。矿山设置临时储料场，废石销售淡季时储存与临时储料场。</w:t>
      </w:r>
    </w:p>
    <w:p w14:paraId="47F09936">
      <w:pPr>
        <w:pStyle w:val="18"/>
        <w:numPr>
          <w:ilvl w:val="0"/>
          <w:numId w:val="0"/>
        </w:numPr>
        <w:ind w:firstLine="560" w:firstLineChars="200"/>
        <w:rPr>
          <w:rFonts w:hint="eastAsia"/>
          <w:lang w:val="en-US" w:eastAsia="zh-CN"/>
        </w:rPr>
      </w:pPr>
      <w:r>
        <w:rPr>
          <w:rFonts w:hint="eastAsia" w:ascii="Times New Roman" w:hAnsi="Times New Roman" w:eastAsia="宋体" w:cstheme="minorBidi"/>
          <w:sz w:val="28"/>
          <w:szCs w:val="28"/>
          <w:lang w:val="en-US" w:eastAsia="zh-CN"/>
        </w:rPr>
        <w:t>2、</w:t>
      </w:r>
      <w:r>
        <w:rPr>
          <w:rFonts w:hint="eastAsia"/>
          <w:lang w:val="en-US" w:eastAsia="zh-CN"/>
        </w:rPr>
        <w:t>建设情况</w:t>
      </w:r>
    </w:p>
    <w:p w14:paraId="59040A02">
      <w:pPr>
        <w:pStyle w:val="18"/>
        <w:bidi w:val="0"/>
        <w:rPr>
          <w:rFonts w:hint="default"/>
          <w:lang w:val="en-US" w:eastAsia="zh-CN"/>
        </w:rPr>
      </w:pPr>
      <w:r>
        <w:rPr>
          <w:rFonts w:hint="default"/>
          <w:lang w:val="en-US" w:eastAsia="zh-CN"/>
        </w:rPr>
        <w:t>经现场踏勘，矿山目前处于</w:t>
      </w:r>
      <w:r>
        <w:rPr>
          <w:rFonts w:hint="eastAsia"/>
          <w:lang w:val="en-US" w:eastAsia="zh-CN"/>
        </w:rPr>
        <w:t>试运行期间</w:t>
      </w:r>
      <w:r>
        <w:rPr>
          <w:rFonts w:hint="default"/>
          <w:lang w:val="en-US" w:eastAsia="zh-CN"/>
        </w:rPr>
        <w:t>，利用矿区原有东侧+56m标高处的工业场地，主要包括办公室、休息室、食堂、仓库及机修车间。</w:t>
      </w:r>
      <w:r>
        <w:rPr>
          <w:rFonts w:hint="eastAsia"/>
          <w:lang w:val="en-US" w:eastAsia="zh-CN"/>
        </w:rPr>
        <w:t>矿山在露天采场上部境界外</w:t>
      </w:r>
      <w:r>
        <w:rPr>
          <w:rFonts w:hint="default"/>
          <w:lang w:val="en-US" w:eastAsia="zh-CN"/>
        </w:rPr>
        <w:t>边界安全护栏</w:t>
      </w:r>
      <w:r>
        <w:rPr>
          <w:rFonts w:hint="eastAsia"/>
          <w:lang w:val="en-US" w:eastAsia="zh-CN"/>
        </w:rPr>
        <w:t>。</w:t>
      </w:r>
    </w:p>
    <w:p w14:paraId="34E9DC17">
      <w:pPr>
        <w:pStyle w:val="18"/>
        <w:bidi w:val="0"/>
        <w:rPr>
          <w:rFonts w:hint="default"/>
          <w:lang w:val="en-US" w:eastAsia="zh-CN"/>
        </w:rPr>
      </w:pPr>
      <w:r>
        <w:rPr>
          <w:rFonts w:hint="eastAsia"/>
          <w:lang w:val="en-US" w:eastAsia="zh-CN"/>
        </w:rPr>
        <w:t>矿山原已开采多年，北采区现已经形成一个较大的露天采坑，故基建期间</w:t>
      </w:r>
      <w:r>
        <w:rPr>
          <w:rFonts w:hint="default"/>
          <w:lang w:val="en-US" w:eastAsia="zh-CN"/>
        </w:rPr>
        <w:t>剥离量较少，部分用于平整场地和修建道路，矿山剥离的表土能够用于矿山复垦</w:t>
      </w:r>
      <w:r>
        <w:rPr>
          <w:rFonts w:hint="eastAsia"/>
          <w:lang w:val="en-US" w:eastAsia="zh-CN"/>
        </w:rPr>
        <w:t>。另外，矿山在80m铲装运输水平设置设置临时堆土场，用于废石堆放</w:t>
      </w:r>
      <w:r>
        <w:rPr>
          <w:rFonts w:hint="default"/>
          <w:lang w:val="en-US" w:eastAsia="zh-CN"/>
        </w:rPr>
        <w:t>。</w:t>
      </w:r>
    </w:p>
    <w:p w14:paraId="4783028A">
      <w:pPr>
        <w:pStyle w:val="18"/>
        <w:bidi w:val="0"/>
        <w:rPr>
          <w:rFonts w:hint="default"/>
          <w:lang w:val="en-US" w:eastAsia="zh-CN"/>
        </w:rPr>
      </w:pPr>
      <w:r>
        <w:rPr>
          <w:rFonts w:hint="default"/>
          <w:lang w:val="en-US" w:eastAsia="zh-CN"/>
        </w:rPr>
        <w:t>矿区不设置炸药库，民爆器材由民爆公司统一领用和清退。</w:t>
      </w:r>
    </w:p>
    <w:p w14:paraId="19EF1A04">
      <w:pPr>
        <w:pStyle w:val="18"/>
        <w:bidi w:val="0"/>
        <w:rPr>
          <w:rFonts w:hint="default"/>
          <w:lang w:val="en-US" w:eastAsia="zh-CN"/>
        </w:rPr>
      </w:pPr>
      <w:r>
        <w:rPr>
          <w:rFonts w:hint="default"/>
          <w:lang w:val="en-US" w:eastAsia="zh-CN"/>
        </w:rPr>
        <w:t>矿区用油采用当地供应商的油罐车加注，不存放易燃易爆等危险品。</w:t>
      </w:r>
    </w:p>
    <w:p w14:paraId="12E6B0A8">
      <w:pPr>
        <w:pStyle w:val="18"/>
        <w:numPr>
          <w:ilvl w:val="0"/>
          <w:numId w:val="0"/>
        </w:numPr>
        <w:bidi w:val="0"/>
        <w:ind w:firstLine="560" w:firstLineChars="200"/>
        <w:rPr>
          <w:rFonts w:hint="eastAsia"/>
          <w:lang w:val="en-US" w:eastAsia="zh-CN"/>
        </w:rPr>
      </w:pPr>
      <w:r>
        <w:rPr>
          <w:rFonts w:hint="eastAsia" w:ascii="Times New Roman" w:hAnsi="Times New Roman" w:eastAsia="宋体" w:cstheme="minorBidi"/>
          <w:sz w:val="28"/>
          <w:szCs w:val="28"/>
          <w:lang w:val="en-US" w:eastAsia="zh-CN"/>
        </w:rPr>
        <w:t>（2）</w:t>
      </w:r>
      <w:r>
        <w:rPr>
          <w:rFonts w:hint="eastAsia"/>
          <w:lang w:val="en-US" w:eastAsia="zh-CN"/>
        </w:rPr>
        <w:t>矿山道路</w:t>
      </w:r>
    </w:p>
    <w:p w14:paraId="2E63A513">
      <w:pPr>
        <w:pStyle w:val="18"/>
        <w:bidi w:val="0"/>
        <w:rPr>
          <w:rFonts w:hint="default"/>
          <w:lang w:val="en-US" w:eastAsia="zh-CN"/>
        </w:rPr>
      </w:pPr>
      <w:r>
        <w:rPr>
          <w:rFonts w:hint="eastAsia"/>
          <w:lang w:val="en-US" w:eastAsia="zh-CN"/>
        </w:rPr>
        <w:t>1、设计情况</w:t>
      </w:r>
    </w:p>
    <w:p w14:paraId="32471896">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根据《初步设计》，矿山现有开拓运输方案，考虑尽量利用原有运输设备，减少基建投资，设计采用公路开拓汽车运输方案。</w:t>
      </w:r>
    </w:p>
    <w:p w14:paraId="5E93D4ED">
      <w:pPr>
        <w:pStyle w:val="18"/>
        <w:bidi w:val="0"/>
        <w:rPr>
          <w:rFonts w:hint="default"/>
          <w:lang w:val="en-US" w:eastAsia="zh-CN"/>
        </w:rPr>
      </w:pPr>
      <w:r>
        <w:rPr>
          <w:rFonts w:hint="default"/>
          <w:lang w:val="en-US" w:eastAsia="zh-CN"/>
        </w:rPr>
        <w:t>根据矿体的赋存条件，地表地形特点及运输矿石和排弃废石的走向等综合考虑，矿区北部露天采矿场总出入沟设在57m水平标高（历史最高洪水位52m），露天采场在57m水平以上为山坡露天，在57m水平标高以下为深凹露天。矿区南部底标高为90m，90m标高以上均为山坡露天。</w:t>
      </w:r>
    </w:p>
    <w:p w14:paraId="424BC153">
      <w:pPr>
        <w:pStyle w:val="18"/>
        <w:bidi w:val="0"/>
        <w:rPr>
          <w:rFonts w:hint="default"/>
          <w:lang w:val="en-US" w:eastAsia="zh-CN"/>
        </w:rPr>
      </w:pPr>
      <w:r>
        <w:rPr>
          <w:rFonts w:hint="default"/>
          <w:lang w:val="en-US" w:eastAsia="zh-CN"/>
        </w:rPr>
        <w:t>通过境界内各工作水平的道路与境界外公路道路，把露天采场内外，矿山内外相互连通起来，使之成为完整的公路运输系统。</w:t>
      </w:r>
    </w:p>
    <w:p w14:paraId="3994B51B">
      <w:pPr>
        <w:pStyle w:val="18"/>
        <w:bidi w:val="0"/>
        <w:rPr>
          <w:rFonts w:hint="default"/>
          <w:lang w:val="en-US" w:eastAsia="zh-CN"/>
        </w:rPr>
      </w:pPr>
      <w:r>
        <w:rPr>
          <w:rFonts w:hint="default"/>
          <w:lang w:val="en-US" w:eastAsia="zh-CN"/>
        </w:rPr>
        <w:t>露天矿采场境界内与境界外主干线公路行车路面宽度双车道8m，支线单车道4.5m，道路纵向限制坡度为8%，最小曲线半径为15m，主干线为Ⅲ级道路。</w:t>
      </w:r>
    </w:p>
    <w:p w14:paraId="6FB8EF10">
      <w:pPr>
        <w:pStyle w:val="18"/>
        <w:bidi w:val="0"/>
        <w:rPr>
          <w:rFonts w:hint="default"/>
          <w:lang w:val="en-US" w:eastAsia="zh-CN"/>
        </w:rPr>
      </w:pPr>
      <w:r>
        <w:rPr>
          <w:rFonts w:hint="default"/>
          <w:lang w:val="en-US" w:eastAsia="zh-CN"/>
        </w:rPr>
        <w:t>矿区内固定公路为碎石路面，移动线路为简易路面。为了保证路面的平整，应经常碾压维护，以改善行车条件，减少机械及轮胎磨损消耗，延长运输设备的使用寿命。采矿场内临时道路，须经推土机整平清理和碾压成路后方可行车。</w:t>
      </w:r>
    </w:p>
    <w:p w14:paraId="07CDDE75">
      <w:pPr>
        <w:pStyle w:val="18"/>
        <w:bidi w:val="0"/>
        <w:rPr>
          <w:rFonts w:hint="default"/>
          <w:lang w:val="en-US" w:eastAsia="zh-CN"/>
        </w:rPr>
      </w:pPr>
      <w:r>
        <w:rPr>
          <w:rFonts w:hint="eastAsia"/>
          <w:lang w:val="en-US" w:eastAsia="zh-CN"/>
        </w:rPr>
        <w:t>①矿石运输</w:t>
      </w:r>
    </w:p>
    <w:p w14:paraId="70B96B76">
      <w:pPr>
        <w:pStyle w:val="18"/>
        <w:bidi w:val="0"/>
        <w:rPr>
          <w:rFonts w:hint="default"/>
          <w:lang w:val="en-US" w:eastAsia="zh-CN"/>
        </w:rPr>
      </w:pPr>
      <w:r>
        <w:rPr>
          <w:rFonts w:hint="default"/>
          <w:lang w:val="en-US" w:eastAsia="zh-CN"/>
        </w:rPr>
        <w:t>山坡露天开采时境界内的矿石重车下坡经57m水平标高出入口运至境界外，再经境界圈外的公路运至矿石堆场。采场转入深凹露天时，矿石运输由自卸汽车沿采场内固定线路重车上坡经57m水平出入口接境界圈外的固定公路，将矿石运输至临时储料场。</w:t>
      </w:r>
    </w:p>
    <w:p w14:paraId="1BBB3FB4">
      <w:pPr>
        <w:pStyle w:val="18"/>
        <w:bidi w:val="0"/>
        <w:rPr>
          <w:rFonts w:hint="default"/>
          <w:lang w:val="en-US" w:eastAsia="zh-CN"/>
        </w:rPr>
      </w:pPr>
      <w:r>
        <w:rPr>
          <w:rFonts w:hint="eastAsia"/>
          <w:lang w:val="en-US" w:eastAsia="zh-CN"/>
        </w:rPr>
        <w:t>②岩石运输</w:t>
      </w:r>
    </w:p>
    <w:p w14:paraId="0EAF829B">
      <w:pPr>
        <w:pStyle w:val="18"/>
        <w:bidi w:val="0"/>
        <w:rPr>
          <w:rFonts w:hint="default"/>
          <w:lang w:val="en-US" w:eastAsia="zh-CN"/>
        </w:rPr>
      </w:pPr>
      <w:r>
        <w:rPr>
          <w:rFonts w:hint="default"/>
          <w:lang w:val="en-US" w:eastAsia="zh-CN"/>
        </w:rPr>
        <w:t>露天采场在57m标高以上时为山坡露天，此时各水平台阶的岩石沿地形等高线由自卸汽车重车下坡，经境界内移动线路直进式运输至境界外，再由境界外半固定线路运输至碎石加工厂外卖（海城市荣富耐火材料厂与鞍山君畅建筑工程有限公司签订了废石、废渣清运协议书）。当露天采场转入深凹露天时，岩石运输沿固定线路下至各个作业水平，经自卸汽车重车上坡将各个水平台阶的岩石运至碎石加工厂外卖或运至临时储料场。</w:t>
      </w:r>
    </w:p>
    <w:p w14:paraId="4D6D26AB">
      <w:pPr>
        <w:pStyle w:val="18"/>
        <w:bidi w:val="0"/>
        <w:rPr>
          <w:rFonts w:hint="default"/>
          <w:lang w:val="en-US" w:eastAsia="zh-CN"/>
        </w:rPr>
      </w:pPr>
      <w:r>
        <w:rPr>
          <w:rFonts w:hint="eastAsia"/>
          <w:lang w:val="en-US" w:eastAsia="zh-CN"/>
        </w:rPr>
        <w:t>2、建设情况</w:t>
      </w:r>
    </w:p>
    <w:p w14:paraId="1850CFEA">
      <w:pPr>
        <w:pStyle w:val="18"/>
        <w:bidi w:val="0"/>
        <w:rPr>
          <w:rFonts w:hint="default"/>
          <w:lang w:val="en-US" w:eastAsia="zh-CN"/>
        </w:rPr>
      </w:pPr>
      <w:r>
        <w:rPr>
          <w:rFonts w:hint="default"/>
          <w:lang w:val="en-US" w:eastAsia="zh-CN"/>
        </w:rPr>
        <w:t>矿山采用公路开拓、汽车运输方案，道路等级为Ⅲ级，碎石铺路，双车道路面宽度8m，单车道路面宽度4.5m，最大纵向坡度为8%，最小回转曲线半径为15m。外部运输道路主要依靠位于矿区外东侧的村级公路。运输道路平整且设置限速等安全警示标志。矿岩采用18台20t自卸卡车进行运输，可以满足矿山生产能力需要。在运输道路外侧设置车挡安全设施，车挡为梯形，底宽1.</w:t>
      </w:r>
      <w:r>
        <w:rPr>
          <w:rFonts w:hint="eastAsia"/>
          <w:lang w:val="en-US" w:eastAsia="zh-CN"/>
        </w:rPr>
        <w:t>1</w:t>
      </w:r>
      <w:r>
        <w:rPr>
          <w:rFonts w:hint="default"/>
          <w:lang w:val="en-US" w:eastAsia="zh-CN"/>
        </w:rPr>
        <w:t>m、顶宽</w:t>
      </w:r>
      <w:r>
        <w:rPr>
          <w:rFonts w:hint="eastAsia"/>
          <w:lang w:val="en-US" w:eastAsia="zh-CN"/>
        </w:rPr>
        <w:t>0.5</w:t>
      </w:r>
      <w:r>
        <w:rPr>
          <w:rFonts w:hint="default"/>
          <w:lang w:val="en-US" w:eastAsia="zh-CN"/>
        </w:rPr>
        <w:t>m、高度为</w:t>
      </w:r>
      <w:r>
        <w:rPr>
          <w:rFonts w:hint="eastAsia"/>
          <w:lang w:val="en-US" w:eastAsia="zh-CN"/>
        </w:rPr>
        <w:t>0.7</w:t>
      </w:r>
      <w:r>
        <w:rPr>
          <w:rFonts w:hint="default"/>
          <w:lang w:val="en-US" w:eastAsia="zh-CN"/>
        </w:rPr>
        <w:t>m。</w:t>
      </w:r>
    </w:p>
    <w:p w14:paraId="47A0F452">
      <w:pPr>
        <w:pStyle w:val="25"/>
        <w:bidi w:val="0"/>
        <w:ind w:left="720" w:leftChars="0" w:hanging="720" w:firstLineChars="0"/>
        <w:rPr>
          <w:rFonts w:hint="default"/>
          <w:lang w:val="en-US" w:eastAsia="zh-CN"/>
        </w:rPr>
      </w:pPr>
      <w:r>
        <w:rPr>
          <w:rFonts w:hint="eastAsia"/>
          <w:lang w:val="en-US" w:eastAsia="zh-CN"/>
        </w:rPr>
        <w:t>开采范围</w:t>
      </w:r>
    </w:p>
    <w:p w14:paraId="4C49C9EF">
      <w:pPr>
        <w:pStyle w:val="18"/>
        <w:bidi w:val="0"/>
        <w:rPr>
          <w:rFonts w:hint="default"/>
          <w:lang w:val="en-US" w:eastAsia="zh-CN"/>
        </w:rPr>
      </w:pPr>
      <w:r>
        <w:rPr>
          <w:rFonts w:hint="eastAsia"/>
          <w:lang w:val="en-US" w:eastAsia="zh-CN"/>
        </w:rPr>
        <w:t>（1）设计情况</w:t>
      </w:r>
    </w:p>
    <w:p w14:paraId="5DA0B954">
      <w:pPr>
        <w:pStyle w:val="18"/>
        <w:bidi w:val="0"/>
        <w:rPr>
          <w:rFonts w:hint="default"/>
          <w:lang w:val="en-US" w:eastAsia="zh-CN"/>
        </w:rPr>
      </w:pPr>
      <w:r>
        <w:rPr>
          <w:rFonts w:hint="eastAsia"/>
          <w:lang w:val="en-US" w:eastAsia="zh-CN"/>
        </w:rPr>
        <w:t>1、开采范围</w:t>
      </w:r>
    </w:p>
    <w:p w14:paraId="6E47FC5C">
      <w:pPr>
        <w:pStyle w:val="18"/>
        <w:rPr>
          <w:rFonts w:hint="default"/>
          <w:lang w:val="en-US" w:eastAsia="zh-CN"/>
        </w:rPr>
      </w:pPr>
      <w:r>
        <w:rPr>
          <w:rFonts w:hint="default"/>
          <w:lang w:val="en-US" w:eastAsia="zh-CN"/>
        </w:rPr>
        <w:t>根据《初步设计》，设计进行分两期开采，矿区范围内设置1套露天生产系统，一期开采Mg1、Mg3菱镁矿体和滑石矿体-30m以上资源；二期开采Mg2矿体。首先开采一期，待一期开采结束后，再开采二期，两期工程均采用露天开采。</w:t>
      </w:r>
    </w:p>
    <w:p w14:paraId="671C8C85">
      <w:pPr>
        <w:pStyle w:val="18"/>
        <w:rPr>
          <w:rFonts w:hint="default"/>
          <w:lang w:val="en-US" w:eastAsia="zh-CN"/>
        </w:rPr>
      </w:pPr>
      <w:r>
        <w:rPr>
          <w:rFonts w:hint="default"/>
          <w:lang w:val="en-US" w:eastAsia="zh-CN"/>
        </w:rPr>
        <w:t>设计露天开采境界内的北采区为一期工程，主要开采Mg1、Mg3菱镁矿体和滑石矿体-30m以上资源；南采区为二期工程，主要开采Mg2矿体。</w:t>
      </w:r>
    </w:p>
    <w:p w14:paraId="7CBA5771">
      <w:pPr>
        <w:pStyle w:val="18"/>
        <w:rPr>
          <w:rFonts w:hint="default"/>
          <w:lang w:val="en-US" w:eastAsia="zh-CN"/>
        </w:rPr>
      </w:pPr>
      <w:r>
        <w:rPr>
          <w:rFonts w:hint="default"/>
          <w:lang w:val="en-US" w:eastAsia="zh-CN"/>
        </w:rPr>
        <w:t>设计开采范围由8个拐点圈定，设计开采区域面积0.3504km²，开采顺序为先开采一期工程，即北采区，北采区开采范围为110～-30m，开采深度140m；然后开采二期工程，即南采区，南采区开采范围为250m～110m，开采深度140m。</w:t>
      </w:r>
      <w:r>
        <w:rPr>
          <w:rFonts w:hint="eastAsia"/>
          <w:lang w:val="en-US" w:eastAsia="zh-CN"/>
        </w:rPr>
        <w:t>矿区范围拐点坐标见表2.4</w:t>
      </w:r>
      <w:r>
        <w:rPr>
          <w:rFonts w:hint="default"/>
          <w:lang w:val="en-US" w:eastAsia="zh-CN"/>
        </w:rPr>
        <w:t>-</w:t>
      </w:r>
      <w:r>
        <w:rPr>
          <w:rFonts w:hint="eastAsia"/>
          <w:lang w:val="en-US" w:eastAsia="zh-CN"/>
        </w:rPr>
        <w:t>3。</w:t>
      </w:r>
    </w:p>
    <w:p w14:paraId="54C81115">
      <w:pPr>
        <w:pStyle w:val="26"/>
        <w:bidi w:val="0"/>
      </w:pPr>
      <w:r>
        <w:t>表</w:t>
      </w:r>
      <w:r>
        <w:rPr>
          <w:rFonts w:hint="eastAsia"/>
          <w:lang w:val="en-US" w:eastAsia="zh-CN"/>
        </w:rPr>
        <w:t>2</w:t>
      </w:r>
      <w:r>
        <w:t>.</w:t>
      </w:r>
      <w:r>
        <w:rPr>
          <w:rFonts w:hint="eastAsia"/>
          <w:lang w:val="en-US" w:eastAsia="zh-CN"/>
        </w:rPr>
        <w:t>4</w:t>
      </w:r>
      <w:r>
        <w:t>-</w:t>
      </w:r>
      <w:r>
        <w:rPr>
          <w:rFonts w:hint="eastAsia"/>
          <w:lang w:val="en-US" w:eastAsia="zh-CN"/>
        </w:rPr>
        <w:t xml:space="preserve">3 </w:t>
      </w:r>
      <w:r>
        <w:t xml:space="preserve"> 设计</w:t>
      </w:r>
      <w:r>
        <w:rPr>
          <w:rFonts w:hint="eastAsia"/>
          <w:lang w:val="en-US" w:eastAsia="zh-CN"/>
        </w:rPr>
        <w:t>开采</w:t>
      </w:r>
      <w:r>
        <w:t>范围拐点坐标</w:t>
      </w:r>
      <w:r>
        <w:rPr>
          <w:rFonts w:hint="eastAsia"/>
        </w:rPr>
        <w:t>表</w:t>
      </w:r>
    </w:p>
    <w:p w14:paraId="13EEB051">
      <w:pPr>
        <w:pStyle w:val="18"/>
        <w:bidi w:val="0"/>
        <w:rPr>
          <w:rFonts w:hint="eastAsia"/>
          <w:lang w:val="en-US" w:eastAsia="zh-CN"/>
        </w:rPr>
      </w:pPr>
    </w:p>
    <w:p w14:paraId="2455145C">
      <w:pPr>
        <w:pStyle w:val="18"/>
        <w:bidi w:val="0"/>
        <w:rPr>
          <w:rFonts w:hint="default"/>
          <w:lang w:val="en-US" w:eastAsia="zh-CN"/>
        </w:rPr>
      </w:pPr>
      <w:r>
        <w:rPr>
          <w:rFonts w:hint="eastAsia"/>
          <w:lang w:val="en-US" w:eastAsia="zh-CN"/>
        </w:rPr>
        <w:t>2、开采顺序</w:t>
      </w:r>
    </w:p>
    <w:p w14:paraId="738C067E">
      <w:pPr>
        <w:pStyle w:val="18"/>
        <w:bidi w:val="0"/>
        <w:rPr>
          <w:rFonts w:hint="default"/>
          <w:lang w:val="en-US" w:eastAsia="zh-CN"/>
        </w:rPr>
      </w:pPr>
      <w:r>
        <w:rPr>
          <w:rFonts w:hint="default"/>
          <w:lang w:val="en-US" w:eastAsia="zh-CN"/>
        </w:rPr>
        <w:t>采用自上而下台阶式开采方式，即挖掘机装车、汽车运输，自上而下分台阶开采的回采工艺。从境界内最高水平至开采底盘逐层设开采台阶，采用纵向采剥、水平装车、回返式采装运输。</w:t>
      </w:r>
    </w:p>
    <w:p w14:paraId="2316D05B">
      <w:pPr>
        <w:pStyle w:val="18"/>
        <w:bidi w:val="0"/>
        <w:rPr>
          <w:rFonts w:hint="default"/>
          <w:lang w:val="en-US" w:eastAsia="zh-CN"/>
        </w:rPr>
      </w:pPr>
      <w:r>
        <w:rPr>
          <w:rFonts w:hint="eastAsia"/>
          <w:lang w:val="en-US" w:eastAsia="zh-CN"/>
        </w:rPr>
        <w:t>3、开采方式</w:t>
      </w:r>
    </w:p>
    <w:p w14:paraId="5899638D">
      <w:pPr>
        <w:pStyle w:val="18"/>
        <w:bidi w:val="0"/>
        <w:rPr>
          <w:rFonts w:hint="default"/>
          <w:lang w:val="en-US" w:eastAsia="zh-CN"/>
        </w:rPr>
      </w:pPr>
      <w:r>
        <w:rPr>
          <w:rFonts w:hint="default"/>
          <w:lang w:val="en-US" w:eastAsia="zh-CN"/>
        </w:rPr>
        <w:t>根据矿山剥采比，海城市荣富耐火材料有限公司菱镁矿、滑石采用露天开采方式，公路开拓、汽车运输开采方式。</w:t>
      </w:r>
    </w:p>
    <w:p w14:paraId="4BEF3F11">
      <w:pPr>
        <w:pStyle w:val="18"/>
        <w:numPr>
          <w:ilvl w:val="0"/>
          <w:numId w:val="0"/>
        </w:numPr>
        <w:bidi w:val="0"/>
        <w:ind w:firstLine="560" w:firstLineChars="200"/>
        <w:rPr>
          <w:rFonts w:hint="eastAsia"/>
          <w:lang w:val="en-US" w:eastAsia="zh-CN"/>
        </w:rPr>
      </w:pPr>
      <w:r>
        <w:rPr>
          <w:rFonts w:hint="eastAsia" w:ascii="Times New Roman" w:hAnsi="Times New Roman" w:eastAsia="宋体" w:cstheme="minorBidi"/>
          <w:sz w:val="28"/>
          <w:szCs w:val="28"/>
          <w:lang w:val="en-US" w:eastAsia="zh-CN"/>
        </w:rPr>
        <w:t>（2）</w:t>
      </w:r>
      <w:r>
        <w:rPr>
          <w:rFonts w:hint="eastAsia"/>
          <w:lang w:val="en-US" w:eastAsia="zh-CN"/>
        </w:rPr>
        <w:t>建设情况</w:t>
      </w:r>
    </w:p>
    <w:p w14:paraId="28076019">
      <w:pPr>
        <w:pStyle w:val="18"/>
        <w:bidi w:val="0"/>
        <w:rPr>
          <w:rFonts w:hint="default"/>
          <w:lang w:val="en-US" w:eastAsia="zh-CN"/>
        </w:rPr>
      </w:pPr>
      <w:r>
        <w:rPr>
          <w:rFonts w:hint="default"/>
          <w:lang w:val="en-US" w:eastAsia="zh-CN"/>
        </w:rPr>
        <w:t>根据矿区地形、岩石力学性质及矿床赋存条件、开采技术条件及现有机械设备情况，开采方式：矿山目前采用山坡露天至上而下分台阶方式开采。</w:t>
      </w:r>
    </w:p>
    <w:p w14:paraId="061177C0">
      <w:pPr>
        <w:pStyle w:val="18"/>
        <w:bidi w:val="0"/>
        <w:rPr>
          <w:rFonts w:hint="default"/>
          <w:lang w:val="en-US" w:eastAsia="zh-CN"/>
        </w:rPr>
      </w:pPr>
      <w:r>
        <w:rPr>
          <w:rFonts w:hint="eastAsia"/>
          <w:lang w:val="en-US" w:eastAsia="zh-CN"/>
        </w:rPr>
        <w:t>1、</w:t>
      </w:r>
      <w:r>
        <w:rPr>
          <w:rFonts w:hint="default"/>
          <w:lang w:val="en-US" w:eastAsia="zh-CN"/>
        </w:rPr>
        <w:t>开采范围</w:t>
      </w:r>
    </w:p>
    <w:p w14:paraId="0C2185DB">
      <w:pPr>
        <w:pStyle w:val="18"/>
        <w:bidi w:val="0"/>
        <w:rPr>
          <w:rFonts w:hint="default"/>
          <w:lang w:val="en-US" w:eastAsia="zh-CN"/>
        </w:rPr>
      </w:pPr>
      <w:r>
        <w:rPr>
          <w:rFonts w:hint="default"/>
          <w:lang w:val="en-US" w:eastAsia="zh-CN"/>
        </w:rPr>
        <w:t>矿山以矿界4和8号拐点划分南北采区分界线，北采区由1、2、3、4、8号拐点圈定。根据《安全设施设计》，北采区为一期工程，采场顶部标高110m，采场底部标高-30m，开采深度140m。</w:t>
      </w:r>
    </w:p>
    <w:p w14:paraId="5370EA50">
      <w:pPr>
        <w:pStyle w:val="18"/>
        <w:bidi w:val="0"/>
        <w:rPr>
          <w:rFonts w:hint="default"/>
          <w:lang w:val="en-US" w:eastAsia="zh-CN"/>
        </w:rPr>
      </w:pPr>
      <w:r>
        <w:rPr>
          <w:rFonts w:hint="default"/>
          <w:lang w:val="en-US" w:eastAsia="zh-CN"/>
        </w:rPr>
        <w:t>因此，</w:t>
      </w:r>
      <w:r>
        <w:rPr>
          <w:rFonts w:hint="eastAsia"/>
          <w:lang w:val="en-US" w:eastAsia="zh-CN"/>
        </w:rPr>
        <w:t>矿山现开采</w:t>
      </w:r>
      <w:r>
        <w:rPr>
          <w:rFonts w:hint="default"/>
          <w:lang w:val="en-US" w:eastAsia="zh-CN"/>
        </w:rPr>
        <w:t>范围为北采区范围，平面由5个拐点圈定，深度由北采区顶部标高+110m至北采区底部采标高-30m，开采深度140m</w:t>
      </w:r>
      <w:r>
        <w:rPr>
          <w:rFonts w:hint="eastAsia"/>
          <w:lang w:val="en-US" w:eastAsia="zh-CN"/>
        </w:rPr>
        <w:t>，</w:t>
      </w:r>
      <w:r>
        <w:rPr>
          <w:rFonts w:hint="default"/>
          <w:lang w:val="en-US" w:eastAsia="zh-CN"/>
        </w:rPr>
        <w:t>面积为0.1506km</w:t>
      </w:r>
      <w:r>
        <w:rPr>
          <w:rFonts w:hint="default"/>
          <w:vertAlign w:val="superscript"/>
          <w:lang w:val="en-US" w:eastAsia="zh-CN"/>
        </w:rPr>
        <w:t>2</w:t>
      </w:r>
      <w:r>
        <w:rPr>
          <w:rFonts w:hint="default"/>
          <w:lang w:val="en-US" w:eastAsia="zh-CN"/>
        </w:rPr>
        <w:t>，拐点坐标见表</w:t>
      </w:r>
      <w:r>
        <w:rPr>
          <w:rFonts w:hint="eastAsia"/>
          <w:lang w:val="en-US" w:eastAsia="zh-CN"/>
        </w:rPr>
        <w:t>2</w:t>
      </w:r>
      <w:r>
        <w:rPr>
          <w:rFonts w:hint="default"/>
          <w:lang w:val="en-US" w:eastAsia="zh-CN"/>
        </w:rPr>
        <w:t>.</w:t>
      </w:r>
      <w:r>
        <w:rPr>
          <w:rFonts w:hint="eastAsia"/>
          <w:lang w:val="en-US" w:eastAsia="zh-CN"/>
        </w:rPr>
        <w:t>4</w:t>
      </w:r>
      <w:r>
        <w:rPr>
          <w:rFonts w:hint="default"/>
          <w:lang w:val="en-US" w:eastAsia="zh-CN"/>
        </w:rPr>
        <w:t>-</w:t>
      </w:r>
      <w:r>
        <w:rPr>
          <w:rFonts w:hint="eastAsia"/>
          <w:lang w:val="en-US" w:eastAsia="zh-CN"/>
        </w:rPr>
        <w:t>4</w:t>
      </w:r>
      <w:r>
        <w:rPr>
          <w:rFonts w:hint="default"/>
          <w:lang w:val="en-US" w:eastAsia="zh-CN"/>
        </w:rPr>
        <w:t>。</w:t>
      </w:r>
    </w:p>
    <w:p w14:paraId="312F5484">
      <w:pPr>
        <w:pStyle w:val="26"/>
        <w:bidi w:val="0"/>
      </w:pPr>
      <w:r>
        <w:t>表</w:t>
      </w:r>
      <w:r>
        <w:rPr>
          <w:rFonts w:hint="eastAsia"/>
          <w:lang w:val="en-US" w:eastAsia="zh-CN"/>
        </w:rPr>
        <w:t>2.4</w:t>
      </w:r>
      <w:r>
        <w:t>-</w:t>
      </w:r>
      <w:r>
        <w:rPr>
          <w:rFonts w:hint="eastAsia"/>
          <w:lang w:val="en-US" w:eastAsia="zh-CN"/>
        </w:rPr>
        <w:t xml:space="preserve">4 </w:t>
      </w:r>
      <w:r>
        <w:t xml:space="preserve"> </w:t>
      </w:r>
      <w:r>
        <w:rPr>
          <w:rFonts w:hint="eastAsia"/>
          <w:lang w:val="en-US" w:eastAsia="zh-CN"/>
        </w:rPr>
        <w:t>现状开采</w:t>
      </w:r>
      <w:r>
        <w:t>范围拐点坐标</w:t>
      </w:r>
    </w:p>
    <w:p w14:paraId="408A94B4">
      <w:pPr>
        <w:pStyle w:val="18"/>
        <w:numPr>
          <w:ilvl w:val="0"/>
          <w:numId w:val="0"/>
        </w:numPr>
        <w:bidi w:val="0"/>
        <w:ind w:firstLine="560" w:firstLineChars="200"/>
        <w:rPr>
          <w:rFonts w:hint="eastAsia"/>
          <w:lang w:val="en-US" w:eastAsia="zh-CN"/>
        </w:rPr>
      </w:pPr>
      <w:r>
        <w:rPr>
          <w:rFonts w:hint="eastAsia" w:ascii="Times New Roman" w:hAnsi="Times New Roman" w:eastAsia="宋体" w:cstheme="minorBidi"/>
          <w:sz w:val="28"/>
          <w:szCs w:val="28"/>
          <w:lang w:val="en-US" w:eastAsia="zh-CN"/>
        </w:rPr>
        <w:t>2、</w:t>
      </w:r>
      <w:r>
        <w:rPr>
          <w:rFonts w:hint="eastAsia"/>
          <w:lang w:val="en-US" w:eastAsia="zh-CN"/>
        </w:rPr>
        <w:t>开采顺序</w:t>
      </w:r>
    </w:p>
    <w:p w14:paraId="212ED427">
      <w:pPr>
        <w:pStyle w:val="18"/>
        <w:bidi w:val="0"/>
        <w:rPr>
          <w:rFonts w:hint="default"/>
          <w:lang w:val="en-US" w:eastAsia="zh-CN"/>
        </w:rPr>
      </w:pPr>
      <w:r>
        <w:rPr>
          <w:rFonts w:hint="default"/>
          <w:lang w:val="en-US" w:eastAsia="zh-CN"/>
        </w:rPr>
        <w:t>露天采场采用自上而下分台阶的开采顺序。</w:t>
      </w:r>
    </w:p>
    <w:p w14:paraId="4C5C860B">
      <w:pPr>
        <w:pStyle w:val="18"/>
        <w:bidi w:val="0"/>
        <w:rPr>
          <w:rFonts w:hint="default"/>
          <w:lang w:val="en-US" w:eastAsia="zh-CN"/>
        </w:rPr>
      </w:pPr>
      <w:r>
        <w:rPr>
          <w:rFonts w:hint="eastAsia"/>
          <w:lang w:val="en-US" w:eastAsia="zh-CN"/>
        </w:rPr>
        <w:t>3、开采方式</w:t>
      </w:r>
    </w:p>
    <w:p w14:paraId="41FC74C2">
      <w:pPr>
        <w:pStyle w:val="18"/>
        <w:bidi w:val="0"/>
        <w:rPr>
          <w:rFonts w:hint="default"/>
          <w:lang w:val="en-US" w:eastAsia="zh-CN"/>
        </w:rPr>
      </w:pPr>
      <w:r>
        <w:rPr>
          <w:rFonts w:hint="default"/>
          <w:lang w:val="en-US" w:eastAsia="zh-CN"/>
        </w:rPr>
        <w:t>本项目采用露天开采，可采用大型设备，由于机械化程度高，生产作业条件好，所以劳动生产率高，安全性好。</w:t>
      </w:r>
    </w:p>
    <w:p w14:paraId="6919E59D">
      <w:pPr>
        <w:pStyle w:val="25"/>
        <w:bidi w:val="0"/>
        <w:ind w:left="720" w:leftChars="0" w:hanging="720" w:firstLineChars="0"/>
        <w:rPr>
          <w:rFonts w:hint="default"/>
          <w:lang w:val="en-US" w:eastAsia="zh-CN"/>
        </w:rPr>
      </w:pPr>
      <w:r>
        <w:rPr>
          <w:rFonts w:hint="eastAsia"/>
          <w:lang w:val="en-US" w:eastAsia="zh-CN"/>
        </w:rPr>
        <w:t>生产规模及工作制度</w:t>
      </w:r>
    </w:p>
    <w:p w14:paraId="0E4C6825">
      <w:pPr>
        <w:pStyle w:val="18"/>
        <w:rPr>
          <w:rFonts w:hint="eastAsia"/>
          <w:lang w:val="en-US" w:eastAsia="zh-CN"/>
        </w:rPr>
      </w:pPr>
      <w:r>
        <w:rPr>
          <w:rFonts w:hint="eastAsia"/>
          <w:lang w:val="en-US" w:eastAsia="zh-CN"/>
        </w:rPr>
        <w:t>（1）地质储量及范围</w:t>
      </w:r>
    </w:p>
    <w:p w14:paraId="457403D4">
      <w:pPr>
        <w:pStyle w:val="18"/>
        <w:rPr>
          <w:rFonts w:hint="eastAsia"/>
          <w:lang w:val="en-US" w:eastAsia="zh-CN"/>
        </w:rPr>
      </w:pPr>
      <w:r>
        <w:rPr>
          <w:rFonts w:hint="eastAsia"/>
          <w:lang w:val="en-US" w:eastAsia="zh-CN"/>
        </w:rPr>
        <w:t>辽宁溪源土地矿产资源评估有限公司对《辽宁省海城市荣富耐火材料有限公司2021年储量年度报告》予以评审，并出具了《〈辽宁省海城市荣富耐火材料有限公司2021年储量年度报告〉审查验收意见》，截止2021年9月26日，矿山保有菱镁矿3021.069万吨，其中控制储量（KZ）1169.165万吨，推断资源量（TD）1851.904万吨；矿山保有滑石矿（TD）30.045万吨。</w:t>
      </w:r>
    </w:p>
    <w:p w14:paraId="33A23807">
      <w:pPr>
        <w:pStyle w:val="18"/>
        <w:numPr>
          <w:ilvl w:val="0"/>
          <w:numId w:val="0"/>
        </w:numPr>
        <w:ind w:firstLine="560" w:firstLineChars="200"/>
        <w:rPr>
          <w:rFonts w:hint="eastAsia"/>
          <w:lang w:val="en-US" w:eastAsia="zh-CN"/>
        </w:rPr>
      </w:pPr>
      <w:r>
        <w:rPr>
          <w:rFonts w:hint="eastAsia" w:ascii="Times New Roman" w:hAnsi="Times New Roman" w:eastAsia="宋体" w:cstheme="minorBidi"/>
          <w:sz w:val="28"/>
          <w:szCs w:val="28"/>
          <w:lang w:val="en-US" w:eastAsia="zh-CN"/>
        </w:rPr>
        <w:t>（2）</w:t>
      </w:r>
      <w:r>
        <w:rPr>
          <w:rFonts w:hint="eastAsia"/>
          <w:lang w:val="en-US" w:eastAsia="zh-CN"/>
        </w:rPr>
        <w:t>设计利用储量</w:t>
      </w:r>
    </w:p>
    <w:p w14:paraId="52123003">
      <w:pPr>
        <w:pStyle w:val="18"/>
        <w:bidi w:val="0"/>
        <w:rPr>
          <w:rFonts w:hint="default"/>
          <w:lang w:val="en-US" w:eastAsia="zh-CN"/>
        </w:rPr>
      </w:pPr>
      <w:r>
        <w:rPr>
          <w:rFonts w:hint="eastAsia"/>
          <w:lang w:val="en-US" w:eastAsia="zh-CN"/>
        </w:rPr>
        <w:t>根据</w:t>
      </w:r>
      <w:r>
        <w:rPr>
          <w:rFonts w:hint="default"/>
          <w:lang w:val="en-US" w:eastAsia="zh-CN"/>
        </w:rPr>
        <w:t>《初步设计》，露天境界圈定菱镁矿储量为1577.533万吨，其中控制资源量691.733万吨，推断资源量885.8万，设计菱镁资源量占总资源量的52.22%。境界圈定滑石矿资源量12.5万吨，占滑石总资源量的41.6%。</w:t>
      </w:r>
    </w:p>
    <w:p w14:paraId="16CF0CA6">
      <w:pPr>
        <w:pStyle w:val="18"/>
        <w:bidi w:val="0"/>
        <w:rPr>
          <w:rFonts w:hint="default"/>
          <w:lang w:val="en-US" w:eastAsia="zh-CN"/>
        </w:rPr>
      </w:pPr>
      <w:r>
        <w:rPr>
          <w:rFonts w:hint="default"/>
          <w:lang w:val="en-US" w:eastAsia="zh-CN"/>
        </w:rPr>
        <w:t>菱镁矿按品级划分：Ⅱ级品35.12万吨，Ⅲ级品1410.643万吨，Ⅳ级品131.77万吨。滑石矿12.5万吨全部为Ⅲ级品。</w:t>
      </w:r>
    </w:p>
    <w:p w14:paraId="491B2610">
      <w:pPr>
        <w:pStyle w:val="18"/>
        <w:bidi w:val="0"/>
        <w:rPr>
          <w:rFonts w:hint="default"/>
          <w:lang w:val="en-US" w:eastAsia="zh-CN"/>
        </w:rPr>
      </w:pPr>
      <w:r>
        <w:rPr>
          <w:rFonts w:hint="default"/>
          <w:lang w:val="en-US" w:eastAsia="zh-CN"/>
        </w:rPr>
        <w:t>综上，菱镁矿和滑石矿设计利用资源量合计为1590.033万吨。</w:t>
      </w:r>
    </w:p>
    <w:p w14:paraId="74EDBB32">
      <w:pPr>
        <w:pStyle w:val="18"/>
        <w:bidi w:val="0"/>
        <w:rPr>
          <w:rFonts w:hint="default"/>
          <w:lang w:val="en-US" w:eastAsia="zh-CN"/>
        </w:rPr>
      </w:pPr>
      <w:r>
        <w:rPr>
          <w:rFonts w:hint="default"/>
          <w:lang w:val="en-US" w:eastAsia="zh-CN"/>
        </w:rPr>
        <w:t>Mg1矿体最低开采标高为-60m，Mg2矿体最低开采标高为90m、Mg3矿体最低开采标高为-10m。滑石矿最低开采标高为-15m。</w:t>
      </w:r>
    </w:p>
    <w:p w14:paraId="4341C788">
      <w:pPr>
        <w:pStyle w:val="18"/>
        <w:bidi w:val="0"/>
        <w:rPr>
          <w:rFonts w:hint="default"/>
          <w:lang w:val="en-US" w:eastAsia="zh-CN"/>
        </w:rPr>
      </w:pPr>
      <w:r>
        <w:rPr>
          <w:rFonts w:hint="eastAsia"/>
          <w:lang w:val="en-US" w:eastAsia="zh-CN"/>
        </w:rPr>
        <w:t>矿山</w:t>
      </w:r>
      <w:r>
        <w:rPr>
          <w:rFonts w:hint="default"/>
          <w:lang w:val="en-US" w:eastAsia="zh-CN"/>
        </w:rPr>
        <w:t>设计露天境界以外的Mg1、Mg2、Mg3、滑石矿体，暂不开采，设计利用储量为1590.033万t，剩余资源储量为1443.536万t，做为后期矿山开采的备采资源量。</w:t>
      </w:r>
    </w:p>
    <w:p w14:paraId="2655EC25">
      <w:pPr>
        <w:pStyle w:val="18"/>
        <w:bidi w:val="0"/>
        <w:rPr>
          <w:rFonts w:hint="default"/>
          <w:lang w:val="en-US" w:eastAsia="zh-CN"/>
        </w:rPr>
      </w:pPr>
      <w:r>
        <w:rPr>
          <w:rFonts w:hint="eastAsia"/>
          <w:lang w:val="en-US" w:eastAsia="zh-CN"/>
        </w:rPr>
        <w:t>（3）</w:t>
      </w:r>
      <w:r>
        <w:rPr>
          <w:rFonts w:hint="default"/>
          <w:lang w:val="en-US" w:eastAsia="zh-CN"/>
        </w:rPr>
        <w:t>矿山生产规模、服务年限、产品方案</w:t>
      </w:r>
    </w:p>
    <w:p w14:paraId="6559C3F9">
      <w:pPr>
        <w:pStyle w:val="18"/>
        <w:bidi w:val="0"/>
        <w:rPr>
          <w:rFonts w:hint="default"/>
          <w:lang w:val="en-US" w:eastAsia="zh-CN"/>
        </w:rPr>
      </w:pPr>
      <w:r>
        <w:rPr>
          <w:rFonts w:hint="default"/>
          <w:lang w:val="en-US" w:eastAsia="zh-CN"/>
        </w:rPr>
        <w:t>确定矿山生产能力为年产菱镁矿、滑石</w:t>
      </w:r>
      <w:r>
        <w:rPr>
          <w:rFonts w:hint="eastAsia"/>
          <w:lang w:val="en-US" w:eastAsia="zh-CN"/>
        </w:rPr>
        <w:t>XXXXXXX</w:t>
      </w:r>
      <w:r>
        <w:rPr>
          <w:rFonts w:hint="default"/>
          <w:lang w:val="en-US" w:eastAsia="zh-CN"/>
        </w:rPr>
        <w:t>。根据设计利用资源量以及生产规模，确定矿山服务年限为50a，产品方案为菱镁矿、滑石矿原矿。</w:t>
      </w:r>
    </w:p>
    <w:p w14:paraId="6621ADD8">
      <w:pPr>
        <w:pStyle w:val="18"/>
        <w:numPr>
          <w:ilvl w:val="0"/>
          <w:numId w:val="0"/>
        </w:numPr>
        <w:bidi w:val="0"/>
        <w:ind w:firstLine="560" w:firstLineChars="200"/>
        <w:rPr>
          <w:rFonts w:hint="eastAsia"/>
          <w:lang w:val="en-US" w:eastAsia="zh-CN"/>
        </w:rPr>
      </w:pPr>
      <w:r>
        <w:rPr>
          <w:rFonts w:hint="eastAsia" w:ascii="Times New Roman" w:hAnsi="Times New Roman" w:eastAsia="宋体" w:cstheme="minorBidi"/>
          <w:sz w:val="28"/>
          <w:szCs w:val="28"/>
          <w:lang w:val="en-US" w:eastAsia="zh-CN"/>
        </w:rPr>
        <w:t>（4）</w:t>
      </w:r>
      <w:r>
        <w:rPr>
          <w:rFonts w:hint="eastAsia"/>
          <w:lang w:val="en-US" w:eastAsia="zh-CN"/>
        </w:rPr>
        <w:t>工作制度</w:t>
      </w:r>
    </w:p>
    <w:p w14:paraId="024FC7D7">
      <w:pPr>
        <w:pStyle w:val="18"/>
        <w:bidi w:val="0"/>
        <w:rPr>
          <w:rFonts w:hint="default"/>
          <w:lang w:val="en-US" w:eastAsia="zh-CN"/>
        </w:rPr>
      </w:pPr>
      <w:r>
        <w:rPr>
          <w:rFonts w:hint="default"/>
          <w:lang w:val="en-US" w:eastAsia="zh-CN"/>
        </w:rPr>
        <w:t>采剥作业采用间断工作制，年工作330天，每天工作1班，每班8小时。</w:t>
      </w:r>
    </w:p>
    <w:p w14:paraId="1A1F3E61">
      <w:pPr>
        <w:pStyle w:val="25"/>
        <w:bidi w:val="0"/>
        <w:ind w:left="720" w:leftChars="0" w:hanging="720" w:firstLineChars="0"/>
        <w:rPr>
          <w:rFonts w:hint="default"/>
          <w:lang w:val="en-US" w:eastAsia="zh-CN"/>
        </w:rPr>
      </w:pPr>
      <w:r>
        <w:rPr>
          <w:rFonts w:hint="eastAsia"/>
          <w:lang w:val="en-US" w:eastAsia="zh-CN"/>
        </w:rPr>
        <w:t>采矿方法</w:t>
      </w:r>
    </w:p>
    <w:p w14:paraId="4BA2AA9B">
      <w:pPr>
        <w:pStyle w:val="18"/>
        <w:numPr>
          <w:ilvl w:val="0"/>
          <w:numId w:val="0"/>
        </w:numPr>
        <w:ind w:firstLine="560" w:firstLineChars="200"/>
        <w:rPr>
          <w:rFonts w:hint="default"/>
          <w:lang w:val="en-US" w:eastAsia="zh-CN"/>
        </w:rPr>
      </w:pPr>
      <w:r>
        <w:rPr>
          <w:rFonts w:hint="default" w:ascii="Times New Roman" w:hAnsi="Times New Roman" w:eastAsia="宋体" w:cstheme="minorBidi"/>
          <w:sz w:val="28"/>
          <w:szCs w:val="28"/>
          <w:lang w:val="en-US" w:eastAsia="zh-CN"/>
        </w:rPr>
        <w:t>（1）</w:t>
      </w:r>
      <w:r>
        <w:rPr>
          <w:rFonts w:hint="default"/>
          <w:lang w:val="en-US" w:eastAsia="zh-CN"/>
        </w:rPr>
        <w:t>露天开采境界</w:t>
      </w:r>
    </w:p>
    <w:p w14:paraId="17DBA021">
      <w:pPr>
        <w:pStyle w:val="18"/>
        <w:bidi w:val="0"/>
      </w:pPr>
      <w:r>
        <w:rPr>
          <w:rFonts w:hint="eastAsia"/>
          <w:lang w:val="en-US" w:eastAsia="zh-CN"/>
        </w:rPr>
        <w:t>根据《安全设施设计》中露天采场参数表，</w:t>
      </w:r>
      <w:r>
        <w:t>采场露天开采境界参数如下表。</w:t>
      </w:r>
    </w:p>
    <w:p w14:paraId="706DB3DF">
      <w:pPr>
        <w:pStyle w:val="26"/>
        <w:bidi w:val="0"/>
      </w:pPr>
      <w:r>
        <w:t>表2</w:t>
      </w:r>
      <w:r>
        <w:rPr>
          <w:rFonts w:hint="eastAsia"/>
          <w:lang w:val="en-US" w:eastAsia="zh-CN"/>
        </w:rPr>
        <w:t>.</w:t>
      </w:r>
      <w:r>
        <w:t>4-</w:t>
      </w:r>
      <w:r>
        <w:rPr>
          <w:rFonts w:hint="eastAsia"/>
          <w:lang w:val="en-US" w:eastAsia="zh-CN"/>
        </w:rPr>
        <w:t>5  北采区</w:t>
      </w:r>
      <w:r>
        <w:t>采场露天开采境界参数表</w:t>
      </w:r>
    </w:p>
    <w:tbl>
      <w:tblPr>
        <w:tblStyle w:val="20"/>
        <w:tblW w:w="836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16"/>
        <w:gridCol w:w="2957"/>
        <w:gridCol w:w="930"/>
        <w:gridCol w:w="3465"/>
      </w:tblGrid>
      <w:tr w14:paraId="00D6B9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1" w:hRule="exact"/>
          <w:jc w:val="center"/>
        </w:trPr>
        <w:tc>
          <w:tcPr>
            <w:tcW w:w="1016" w:type="dxa"/>
            <w:noWrap w:val="0"/>
            <w:tcMar>
              <w:left w:w="28" w:type="dxa"/>
              <w:right w:w="28" w:type="dxa"/>
            </w:tcMar>
            <w:vAlign w:val="center"/>
          </w:tcPr>
          <w:p w14:paraId="4394C463">
            <w:pPr>
              <w:adjustRightInd w:val="0"/>
              <w:snapToGrid w:val="0"/>
              <w:spacing w:line="240" w:lineRule="auto"/>
              <w:ind w:firstLine="0" w:firstLineChars="0"/>
              <w:jc w:val="center"/>
              <w:rPr>
                <w:rFonts w:ascii="Times New Roman" w:hAnsi="Times New Roman" w:eastAsia="宋体" w:cs="Times New Roman"/>
                <w:caps w:val="0"/>
                <w:smallCaps w:val="0"/>
                <w:color w:val="auto"/>
                <w:sz w:val="28"/>
                <w:szCs w:val="20"/>
                <w:highlight w:val="none"/>
              </w:rPr>
            </w:pPr>
            <w:r>
              <w:rPr>
                <w:rFonts w:ascii="Times New Roman" w:hAnsi="Times New Roman" w:eastAsia="宋体" w:cs="Times New Roman"/>
                <w:caps w:val="0"/>
                <w:smallCaps w:val="0"/>
                <w:snapToGrid w:val="0"/>
                <w:color w:val="auto"/>
                <w:sz w:val="24"/>
                <w:szCs w:val="20"/>
                <w:highlight w:val="none"/>
              </w:rPr>
              <w:t>序号</w:t>
            </w:r>
          </w:p>
        </w:tc>
        <w:tc>
          <w:tcPr>
            <w:tcW w:w="2957" w:type="dxa"/>
            <w:noWrap w:val="0"/>
            <w:tcMar>
              <w:left w:w="28" w:type="dxa"/>
              <w:right w:w="28" w:type="dxa"/>
            </w:tcMar>
            <w:vAlign w:val="center"/>
          </w:tcPr>
          <w:p w14:paraId="035CB8B8">
            <w:pPr>
              <w:adjustRightInd w:val="0"/>
              <w:snapToGrid w:val="0"/>
              <w:spacing w:line="240" w:lineRule="auto"/>
              <w:ind w:firstLine="0" w:firstLineChars="0"/>
              <w:jc w:val="center"/>
              <w:rPr>
                <w:rFonts w:ascii="Times New Roman" w:hAnsi="Times New Roman" w:eastAsia="宋体" w:cs="Times New Roman"/>
                <w:caps w:val="0"/>
                <w:smallCaps w:val="0"/>
                <w:color w:val="auto"/>
                <w:sz w:val="28"/>
                <w:szCs w:val="20"/>
                <w:highlight w:val="none"/>
              </w:rPr>
            </w:pPr>
            <w:r>
              <w:rPr>
                <w:rFonts w:ascii="Times New Roman" w:hAnsi="Times New Roman" w:eastAsia="宋体" w:cs="Times New Roman"/>
                <w:caps w:val="0"/>
                <w:smallCaps w:val="0"/>
                <w:snapToGrid w:val="0"/>
                <w:color w:val="auto"/>
                <w:sz w:val="24"/>
                <w:szCs w:val="20"/>
                <w:highlight w:val="none"/>
              </w:rPr>
              <w:t>项目名称</w:t>
            </w:r>
          </w:p>
        </w:tc>
        <w:tc>
          <w:tcPr>
            <w:tcW w:w="930" w:type="dxa"/>
            <w:noWrap w:val="0"/>
            <w:tcMar>
              <w:left w:w="28" w:type="dxa"/>
              <w:right w:w="28" w:type="dxa"/>
            </w:tcMar>
            <w:vAlign w:val="center"/>
          </w:tcPr>
          <w:p w14:paraId="692F5034">
            <w:pPr>
              <w:adjustRightInd w:val="0"/>
              <w:snapToGrid w:val="0"/>
              <w:spacing w:line="240" w:lineRule="auto"/>
              <w:ind w:firstLine="0" w:firstLineChars="0"/>
              <w:jc w:val="center"/>
              <w:rPr>
                <w:rFonts w:ascii="Times New Roman" w:hAnsi="Times New Roman" w:eastAsia="宋体" w:cs="Times New Roman"/>
                <w:caps w:val="0"/>
                <w:smallCaps w:val="0"/>
                <w:color w:val="auto"/>
                <w:sz w:val="28"/>
                <w:szCs w:val="20"/>
                <w:highlight w:val="none"/>
              </w:rPr>
            </w:pPr>
            <w:r>
              <w:rPr>
                <w:rFonts w:ascii="Times New Roman" w:hAnsi="Times New Roman" w:eastAsia="宋体" w:cs="Times New Roman"/>
                <w:caps w:val="0"/>
                <w:smallCaps w:val="0"/>
                <w:snapToGrid w:val="0"/>
                <w:color w:val="auto"/>
                <w:sz w:val="24"/>
                <w:szCs w:val="20"/>
                <w:highlight w:val="none"/>
              </w:rPr>
              <w:t>单位</w:t>
            </w:r>
          </w:p>
        </w:tc>
        <w:tc>
          <w:tcPr>
            <w:tcW w:w="3465" w:type="dxa"/>
            <w:noWrap w:val="0"/>
            <w:tcMar>
              <w:left w:w="28" w:type="dxa"/>
              <w:right w:w="28" w:type="dxa"/>
            </w:tcMar>
            <w:vAlign w:val="center"/>
          </w:tcPr>
          <w:p w14:paraId="3F10FB4F">
            <w:pPr>
              <w:adjustRightInd w:val="0"/>
              <w:snapToGrid w:val="0"/>
              <w:spacing w:line="240" w:lineRule="auto"/>
              <w:ind w:firstLine="0" w:firstLineChars="0"/>
              <w:jc w:val="center"/>
              <w:rPr>
                <w:rFonts w:ascii="Times New Roman" w:hAnsi="Times New Roman" w:eastAsia="宋体" w:cs="Times New Roman"/>
                <w:caps w:val="0"/>
                <w:smallCaps w:val="0"/>
                <w:color w:val="auto"/>
                <w:sz w:val="28"/>
                <w:szCs w:val="20"/>
                <w:highlight w:val="none"/>
              </w:rPr>
            </w:pPr>
            <w:r>
              <w:rPr>
                <w:rFonts w:ascii="Times New Roman" w:hAnsi="Times New Roman" w:eastAsia="宋体" w:cs="Times New Roman"/>
                <w:caps w:val="0"/>
                <w:smallCaps w:val="0"/>
                <w:snapToGrid w:val="0"/>
                <w:color w:val="auto"/>
                <w:sz w:val="24"/>
                <w:szCs w:val="20"/>
                <w:highlight w:val="none"/>
              </w:rPr>
              <w:t>露天采场</w:t>
            </w:r>
          </w:p>
        </w:tc>
      </w:tr>
      <w:tr w14:paraId="32F9873B">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8368" w:type="dxa"/>
            <w:gridSpan w:val="4"/>
            <w:noWrap w:val="0"/>
            <w:tcMar>
              <w:left w:w="28" w:type="dxa"/>
              <w:right w:w="28" w:type="dxa"/>
            </w:tcMar>
            <w:vAlign w:val="center"/>
          </w:tcPr>
          <w:p w14:paraId="7E218B24">
            <w:pPr>
              <w:adjustRightInd w:val="0"/>
              <w:snapToGrid w:val="0"/>
              <w:spacing w:line="240" w:lineRule="auto"/>
              <w:ind w:firstLine="0" w:firstLineChars="0"/>
              <w:jc w:val="center"/>
              <w:rPr>
                <w:rFonts w:hint="default" w:ascii="Times New Roman" w:hAnsi="Times New Roman" w:eastAsia="宋体" w:cs="Times New Roman"/>
                <w:caps w:val="0"/>
                <w:smallCaps w:val="0"/>
                <w:snapToGrid w:val="0"/>
                <w:color w:val="auto"/>
                <w:sz w:val="24"/>
                <w:szCs w:val="20"/>
                <w:highlight w:val="none"/>
                <w:lang w:val="en-US" w:eastAsia="zh-CN"/>
              </w:rPr>
            </w:pPr>
            <w:r>
              <w:rPr>
                <w:rFonts w:hint="eastAsia" w:ascii="Times New Roman" w:hAnsi="Times New Roman" w:eastAsia="宋体" w:cs="Times New Roman"/>
                <w:caps w:val="0"/>
                <w:smallCaps w:val="0"/>
                <w:snapToGrid w:val="0"/>
                <w:color w:val="auto"/>
                <w:sz w:val="24"/>
                <w:szCs w:val="20"/>
                <w:highlight w:val="none"/>
                <w:lang w:val="en-US" w:eastAsia="zh-CN"/>
              </w:rPr>
              <w:t>一期工程</w:t>
            </w:r>
          </w:p>
        </w:tc>
      </w:tr>
      <w:tr w14:paraId="3123D2A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1016" w:type="dxa"/>
            <w:noWrap w:val="0"/>
            <w:vAlign w:val="center"/>
          </w:tcPr>
          <w:p w14:paraId="1F9F887D">
            <w:pPr>
              <w:adjustRightInd w:val="0"/>
              <w:snapToGrid w:val="0"/>
              <w:spacing w:line="240" w:lineRule="auto"/>
              <w:ind w:firstLine="0" w:firstLineChars="0"/>
              <w:jc w:val="center"/>
              <w:rPr>
                <w:rFonts w:ascii="Times New Roman" w:hAnsi="Times New Roman" w:eastAsia="宋体" w:cs="Times New Roman"/>
                <w:caps w:val="0"/>
                <w:smallCaps w:val="0"/>
                <w:color w:val="auto"/>
                <w:sz w:val="28"/>
                <w:szCs w:val="20"/>
                <w:highlight w:val="none"/>
              </w:rPr>
            </w:pPr>
            <w:r>
              <w:rPr>
                <w:rFonts w:ascii="Times New Roman" w:hAnsi="Times New Roman" w:eastAsia="宋体" w:cs="Times New Roman"/>
                <w:caps w:val="0"/>
                <w:smallCaps w:val="0"/>
                <w:snapToGrid w:val="0"/>
                <w:color w:val="auto"/>
                <w:sz w:val="24"/>
                <w:szCs w:val="20"/>
                <w:highlight w:val="none"/>
              </w:rPr>
              <w:t>1</w:t>
            </w:r>
          </w:p>
        </w:tc>
        <w:tc>
          <w:tcPr>
            <w:tcW w:w="2957" w:type="dxa"/>
            <w:noWrap w:val="0"/>
            <w:vAlign w:val="center"/>
          </w:tcPr>
          <w:p w14:paraId="02AEBA87">
            <w:pPr>
              <w:adjustRightInd w:val="0"/>
              <w:snapToGrid w:val="0"/>
              <w:spacing w:line="240" w:lineRule="auto"/>
              <w:ind w:firstLine="0" w:firstLineChars="0"/>
              <w:rPr>
                <w:rFonts w:hint="eastAsia" w:ascii="Times New Roman" w:hAnsi="Times New Roman" w:eastAsia="宋体" w:cs="Times New Roman"/>
                <w:caps w:val="0"/>
                <w:smallCaps w:val="0"/>
                <w:color w:val="auto"/>
                <w:sz w:val="28"/>
                <w:szCs w:val="20"/>
                <w:highlight w:val="none"/>
                <w:lang w:eastAsia="zh-CN"/>
              </w:rPr>
            </w:pPr>
            <w:r>
              <w:rPr>
                <w:rFonts w:ascii="Times New Roman" w:hAnsi="Times New Roman" w:eastAsia="宋体" w:cs="Times New Roman"/>
                <w:caps w:val="0"/>
                <w:smallCaps w:val="0"/>
                <w:snapToGrid w:val="0"/>
                <w:color w:val="auto"/>
                <w:sz w:val="24"/>
                <w:szCs w:val="20"/>
                <w:highlight w:val="none"/>
              </w:rPr>
              <w:t>采场上部尺寸</w:t>
            </w:r>
            <w:r>
              <w:rPr>
                <w:rFonts w:hint="eastAsia" w:ascii="Times New Roman" w:hAnsi="Times New Roman" w:eastAsia="宋体" w:cs="Times New Roman"/>
                <w:caps w:val="0"/>
                <w:smallCaps w:val="0"/>
                <w:snapToGrid w:val="0"/>
                <w:color w:val="auto"/>
                <w:sz w:val="24"/>
                <w:szCs w:val="20"/>
                <w:highlight w:val="none"/>
                <w:lang w:eastAsia="zh-CN"/>
              </w:rPr>
              <w:t>（</w:t>
            </w:r>
            <w:r>
              <w:rPr>
                <w:rFonts w:hint="eastAsia" w:ascii="Times New Roman" w:hAnsi="Times New Roman" w:eastAsia="宋体" w:cs="Times New Roman"/>
                <w:caps w:val="0"/>
                <w:smallCaps w:val="0"/>
                <w:snapToGrid w:val="0"/>
                <w:color w:val="auto"/>
                <w:sz w:val="24"/>
                <w:szCs w:val="20"/>
                <w:highlight w:val="none"/>
                <w:lang w:val="en-US" w:eastAsia="zh-CN"/>
              </w:rPr>
              <w:t>北采区</w:t>
            </w:r>
            <w:r>
              <w:rPr>
                <w:rFonts w:hint="eastAsia" w:ascii="Times New Roman" w:hAnsi="Times New Roman" w:eastAsia="宋体" w:cs="Times New Roman"/>
                <w:caps w:val="0"/>
                <w:smallCaps w:val="0"/>
                <w:snapToGrid w:val="0"/>
                <w:color w:val="auto"/>
                <w:sz w:val="24"/>
                <w:szCs w:val="20"/>
                <w:highlight w:val="none"/>
                <w:lang w:eastAsia="zh-CN"/>
              </w:rPr>
              <w:t>）</w:t>
            </w:r>
          </w:p>
        </w:tc>
        <w:tc>
          <w:tcPr>
            <w:tcW w:w="930" w:type="dxa"/>
            <w:noWrap w:val="0"/>
            <w:vAlign w:val="center"/>
          </w:tcPr>
          <w:p w14:paraId="09A62134">
            <w:pPr>
              <w:adjustRightInd w:val="0"/>
              <w:snapToGrid w:val="0"/>
              <w:spacing w:line="240" w:lineRule="auto"/>
              <w:ind w:firstLine="0" w:firstLineChars="0"/>
              <w:jc w:val="both"/>
              <w:rPr>
                <w:rFonts w:ascii="Times New Roman" w:hAnsi="Times New Roman" w:eastAsia="宋体" w:cs="Times New Roman"/>
                <w:caps w:val="0"/>
                <w:smallCaps w:val="0"/>
                <w:color w:val="auto"/>
                <w:sz w:val="28"/>
                <w:szCs w:val="20"/>
                <w:highlight w:val="none"/>
              </w:rPr>
            </w:pPr>
            <w:r>
              <w:rPr>
                <w:rFonts w:ascii="Times New Roman" w:hAnsi="Times New Roman" w:eastAsia="宋体" w:cs="Times New Roman"/>
                <w:caps w:val="0"/>
                <w:smallCaps w:val="0"/>
                <w:snapToGrid w:val="0"/>
                <w:color w:val="auto"/>
                <w:sz w:val="24"/>
                <w:szCs w:val="20"/>
                <w:highlight w:val="none"/>
              </w:rPr>
              <w:t>m×m</w:t>
            </w:r>
          </w:p>
        </w:tc>
        <w:tc>
          <w:tcPr>
            <w:tcW w:w="3465" w:type="dxa"/>
            <w:noWrap w:val="0"/>
            <w:vAlign w:val="center"/>
          </w:tcPr>
          <w:p w14:paraId="27FF4D0C">
            <w:pPr>
              <w:adjustRightInd w:val="0"/>
              <w:snapToGrid w:val="0"/>
              <w:spacing w:line="240" w:lineRule="auto"/>
              <w:ind w:firstLine="0" w:firstLineChars="0"/>
              <w:rPr>
                <w:rFonts w:hint="default" w:ascii="Times New Roman" w:hAnsi="Times New Roman" w:eastAsia="宋体" w:cs="Times New Roman"/>
                <w:caps w:val="0"/>
                <w:smallCaps w:val="0"/>
                <w:snapToGrid w:val="0"/>
                <w:color w:val="auto"/>
                <w:sz w:val="24"/>
                <w:szCs w:val="20"/>
                <w:highlight w:val="none"/>
                <w:lang w:val="en-US" w:eastAsia="zh-CN"/>
              </w:rPr>
            </w:pPr>
            <w:r>
              <w:rPr>
                <w:rFonts w:hint="eastAsia" w:ascii="Times New Roman" w:hAnsi="Times New Roman" w:eastAsia="宋体" w:cs="Times New Roman"/>
                <w:caps w:val="0"/>
                <w:smallCaps w:val="0"/>
                <w:snapToGrid w:val="0"/>
                <w:color w:val="auto"/>
                <w:sz w:val="24"/>
                <w:szCs w:val="20"/>
                <w:highlight w:val="none"/>
                <w:lang w:val="en-US" w:eastAsia="zh-CN"/>
              </w:rPr>
              <w:t>448</w:t>
            </w:r>
            <w:r>
              <w:rPr>
                <w:rFonts w:ascii="Times New Roman" w:hAnsi="Times New Roman" w:eastAsia="宋体" w:cs="Times New Roman"/>
                <w:caps w:val="0"/>
                <w:smallCaps w:val="0"/>
                <w:snapToGrid w:val="0"/>
                <w:color w:val="auto"/>
                <w:sz w:val="24"/>
                <w:szCs w:val="20"/>
                <w:highlight w:val="none"/>
              </w:rPr>
              <w:t>×</w:t>
            </w:r>
            <w:r>
              <w:rPr>
                <w:rFonts w:hint="eastAsia" w:ascii="Times New Roman" w:hAnsi="Times New Roman" w:eastAsia="宋体" w:cs="Times New Roman"/>
                <w:caps w:val="0"/>
                <w:smallCaps w:val="0"/>
                <w:snapToGrid w:val="0"/>
                <w:color w:val="auto"/>
                <w:sz w:val="24"/>
                <w:szCs w:val="20"/>
                <w:highlight w:val="none"/>
                <w:lang w:val="en-US" w:eastAsia="zh-CN"/>
              </w:rPr>
              <w:t>365</w:t>
            </w:r>
          </w:p>
        </w:tc>
      </w:tr>
      <w:tr w14:paraId="6862D51C">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1016" w:type="dxa"/>
            <w:noWrap w:val="0"/>
            <w:vAlign w:val="center"/>
          </w:tcPr>
          <w:p w14:paraId="58DEA288">
            <w:pPr>
              <w:adjustRightInd w:val="0"/>
              <w:snapToGrid w:val="0"/>
              <w:spacing w:line="240" w:lineRule="auto"/>
              <w:ind w:firstLine="0" w:firstLineChars="0"/>
              <w:jc w:val="center"/>
              <w:rPr>
                <w:rFonts w:ascii="Times New Roman" w:hAnsi="Times New Roman" w:eastAsia="宋体" w:cs="Times New Roman"/>
                <w:caps w:val="0"/>
                <w:smallCaps w:val="0"/>
                <w:color w:val="auto"/>
                <w:sz w:val="28"/>
                <w:szCs w:val="20"/>
                <w:highlight w:val="none"/>
              </w:rPr>
            </w:pPr>
            <w:r>
              <w:rPr>
                <w:rFonts w:ascii="Times New Roman" w:hAnsi="Times New Roman" w:eastAsia="宋体" w:cs="Times New Roman"/>
                <w:caps w:val="0"/>
                <w:smallCaps w:val="0"/>
                <w:snapToGrid w:val="0"/>
                <w:color w:val="auto"/>
                <w:sz w:val="24"/>
                <w:szCs w:val="20"/>
                <w:highlight w:val="none"/>
              </w:rPr>
              <w:t>2</w:t>
            </w:r>
          </w:p>
        </w:tc>
        <w:tc>
          <w:tcPr>
            <w:tcW w:w="2957" w:type="dxa"/>
            <w:noWrap w:val="0"/>
            <w:vAlign w:val="center"/>
          </w:tcPr>
          <w:p w14:paraId="223D3ECB">
            <w:pPr>
              <w:adjustRightInd w:val="0"/>
              <w:snapToGrid w:val="0"/>
              <w:spacing w:line="240" w:lineRule="auto"/>
              <w:ind w:firstLine="0" w:firstLineChars="0"/>
              <w:rPr>
                <w:rFonts w:ascii="Times New Roman" w:hAnsi="Times New Roman" w:eastAsia="宋体" w:cs="Times New Roman"/>
                <w:caps w:val="0"/>
                <w:smallCaps w:val="0"/>
                <w:color w:val="auto"/>
                <w:sz w:val="28"/>
                <w:szCs w:val="20"/>
                <w:highlight w:val="none"/>
              </w:rPr>
            </w:pPr>
            <w:r>
              <w:rPr>
                <w:rFonts w:ascii="Times New Roman" w:hAnsi="Times New Roman" w:eastAsia="宋体" w:cs="Times New Roman"/>
                <w:caps w:val="0"/>
                <w:smallCaps w:val="0"/>
                <w:snapToGrid w:val="0"/>
                <w:color w:val="auto"/>
                <w:sz w:val="24"/>
                <w:szCs w:val="20"/>
                <w:highlight w:val="none"/>
              </w:rPr>
              <w:t>采场底部尺寸</w:t>
            </w:r>
            <w:r>
              <w:rPr>
                <w:rFonts w:hint="eastAsia" w:ascii="Times New Roman" w:hAnsi="Times New Roman" w:eastAsia="宋体" w:cs="Times New Roman"/>
                <w:caps w:val="0"/>
                <w:smallCaps w:val="0"/>
                <w:snapToGrid w:val="0"/>
                <w:color w:val="auto"/>
                <w:sz w:val="24"/>
                <w:szCs w:val="20"/>
                <w:highlight w:val="none"/>
                <w:lang w:eastAsia="zh-CN"/>
              </w:rPr>
              <w:t>（</w:t>
            </w:r>
            <w:r>
              <w:rPr>
                <w:rFonts w:hint="eastAsia" w:ascii="Times New Roman" w:hAnsi="Times New Roman" w:eastAsia="宋体" w:cs="Times New Roman"/>
                <w:caps w:val="0"/>
                <w:smallCaps w:val="0"/>
                <w:snapToGrid w:val="0"/>
                <w:color w:val="auto"/>
                <w:sz w:val="24"/>
                <w:szCs w:val="20"/>
                <w:highlight w:val="none"/>
                <w:lang w:val="en-US" w:eastAsia="zh-CN"/>
              </w:rPr>
              <w:t>北采区</w:t>
            </w:r>
            <w:r>
              <w:rPr>
                <w:rFonts w:hint="eastAsia" w:ascii="Times New Roman" w:hAnsi="Times New Roman" w:eastAsia="宋体" w:cs="Times New Roman"/>
                <w:caps w:val="0"/>
                <w:smallCaps w:val="0"/>
                <w:snapToGrid w:val="0"/>
                <w:color w:val="auto"/>
                <w:sz w:val="24"/>
                <w:szCs w:val="20"/>
                <w:highlight w:val="none"/>
                <w:lang w:eastAsia="zh-CN"/>
              </w:rPr>
              <w:t>）</w:t>
            </w:r>
          </w:p>
        </w:tc>
        <w:tc>
          <w:tcPr>
            <w:tcW w:w="930" w:type="dxa"/>
            <w:noWrap w:val="0"/>
            <w:vAlign w:val="center"/>
          </w:tcPr>
          <w:p w14:paraId="5545859A">
            <w:pPr>
              <w:adjustRightInd w:val="0"/>
              <w:snapToGrid w:val="0"/>
              <w:spacing w:line="240" w:lineRule="auto"/>
              <w:ind w:firstLine="0" w:firstLineChars="0"/>
              <w:jc w:val="both"/>
              <w:rPr>
                <w:rFonts w:ascii="Times New Roman" w:hAnsi="Times New Roman" w:eastAsia="宋体" w:cs="Times New Roman"/>
                <w:caps w:val="0"/>
                <w:smallCaps w:val="0"/>
                <w:color w:val="auto"/>
                <w:sz w:val="28"/>
                <w:szCs w:val="20"/>
                <w:highlight w:val="none"/>
              </w:rPr>
            </w:pPr>
            <w:r>
              <w:rPr>
                <w:rFonts w:ascii="Times New Roman" w:hAnsi="Times New Roman" w:eastAsia="宋体" w:cs="Times New Roman"/>
                <w:caps w:val="0"/>
                <w:smallCaps w:val="0"/>
                <w:snapToGrid w:val="0"/>
                <w:color w:val="auto"/>
                <w:sz w:val="24"/>
                <w:szCs w:val="20"/>
                <w:highlight w:val="none"/>
              </w:rPr>
              <w:t>m×m</w:t>
            </w:r>
          </w:p>
        </w:tc>
        <w:tc>
          <w:tcPr>
            <w:tcW w:w="3465" w:type="dxa"/>
            <w:noWrap w:val="0"/>
            <w:vAlign w:val="center"/>
          </w:tcPr>
          <w:p w14:paraId="06943873">
            <w:pPr>
              <w:adjustRightInd w:val="0"/>
              <w:snapToGrid w:val="0"/>
              <w:spacing w:line="240" w:lineRule="auto"/>
              <w:ind w:firstLine="0" w:firstLineChars="0"/>
              <w:rPr>
                <w:rFonts w:hint="default" w:ascii="Times New Roman" w:hAnsi="Times New Roman" w:eastAsia="宋体" w:cs="Times New Roman"/>
                <w:caps w:val="0"/>
                <w:smallCaps w:val="0"/>
                <w:snapToGrid w:val="0"/>
                <w:color w:val="auto"/>
                <w:sz w:val="24"/>
                <w:szCs w:val="20"/>
                <w:highlight w:val="none"/>
                <w:lang w:val="en-US" w:eastAsia="zh-CN"/>
              </w:rPr>
            </w:pPr>
            <w:r>
              <w:rPr>
                <w:rFonts w:hint="eastAsia" w:ascii="Times New Roman" w:hAnsi="Times New Roman" w:eastAsia="宋体" w:cs="Times New Roman"/>
                <w:caps w:val="0"/>
                <w:smallCaps w:val="0"/>
                <w:snapToGrid w:val="0"/>
                <w:color w:val="auto"/>
                <w:sz w:val="24"/>
                <w:szCs w:val="20"/>
                <w:highlight w:val="none"/>
                <w:lang w:val="en-US" w:eastAsia="zh-CN"/>
              </w:rPr>
              <w:t>217</w:t>
            </w:r>
            <w:r>
              <w:rPr>
                <w:rFonts w:ascii="Times New Roman" w:hAnsi="Times New Roman" w:eastAsia="宋体" w:cs="Times New Roman"/>
                <w:caps w:val="0"/>
                <w:smallCaps w:val="0"/>
                <w:snapToGrid w:val="0"/>
                <w:color w:val="auto"/>
                <w:sz w:val="24"/>
                <w:szCs w:val="20"/>
                <w:highlight w:val="none"/>
              </w:rPr>
              <w:t>×</w:t>
            </w:r>
            <w:r>
              <w:rPr>
                <w:rFonts w:hint="eastAsia" w:ascii="Times New Roman" w:hAnsi="Times New Roman" w:eastAsia="宋体" w:cs="Times New Roman"/>
                <w:caps w:val="0"/>
                <w:smallCaps w:val="0"/>
                <w:snapToGrid w:val="0"/>
                <w:color w:val="auto"/>
                <w:sz w:val="24"/>
                <w:szCs w:val="20"/>
                <w:highlight w:val="none"/>
                <w:lang w:val="en-US" w:eastAsia="zh-CN"/>
              </w:rPr>
              <w:t>158</w:t>
            </w:r>
          </w:p>
        </w:tc>
      </w:tr>
      <w:tr w14:paraId="61FBAA0E">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1016" w:type="dxa"/>
            <w:shd w:val="clear" w:color="auto" w:fill="auto"/>
            <w:noWrap w:val="0"/>
            <w:vAlign w:val="center"/>
          </w:tcPr>
          <w:p w14:paraId="71156D6E">
            <w:pPr>
              <w:adjustRightInd w:val="0"/>
              <w:snapToGrid w:val="0"/>
              <w:spacing w:line="240" w:lineRule="auto"/>
              <w:ind w:firstLine="0" w:firstLineChars="0"/>
              <w:jc w:val="center"/>
              <w:rPr>
                <w:rFonts w:hint="eastAsia" w:ascii="Times New Roman" w:hAnsi="Times New Roman" w:eastAsia="宋体" w:cs="Times New Roman"/>
                <w:caps w:val="0"/>
                <w:smallCaps w:val="0"/>
                <w:snapToGrid w:val="0"/>
                <w:color w:val="auto"/>
                <w:kern w:val="2"/>
                <w:sz w:val="24"/>
                <w:szCs w:val="20"/>
                <w:highlight w:val="none"/>
                <w:lang w:val="en-US" w:eastAsia="zh-CN"/>
              </w:rPr>
            </w:pPr>
            <w:r>
              <w:rPr>
                <w:rFonts w:hint="eastAsia" w:ascii="Times New Roman" w:hAnsi="Times New Roman" w:eastAsia="宋体" w:cs="Times New Roman"/>
                <w:caps w:val="0"/>
                <w:smallCaps w:val="0"/>
                <w:snapToGrid w:val="0"/>
                <w:color w:val="auto"/>
                <w:sz w:val="24"/>
                <w:szCs w:val="20"/>
                <w:highlight w:val="none"/>
                <w:lang w:val="en-US" w:eastAsia="zh-CN"/>
              </w:rPr>
              <w:t>3</w:t>
            </w:r>
          </w:p>
        </w:tc>
        <w:tc>
          <w:tcPr>
            <w:tcW w:w="2957" w:type="dxa"/>
            <w:shd w:val="clear" w:color="auto" w:fill="auto"/>
            <w:noWrap w:val="0"/>
            <w:vAlign w:val="center"/>
          </w:tcPr>
          <w:p w14:paraId="22796549">
            <w:pPr>
              <w:adjustRightInd w:val="0"/>
              <w:snapToGrid w:val="0"/>
              <w:spacing w:line="240" w:lineRule="auto"/>
              <w:ind w:firstLine="0" w:firstLineChars="0"/>
              <w:jc w:val="both"/>
              <w:rPr>
                <w:rFonts w:ascii="Times New Roman" w:hAnsi="Times New Roman" w:eastAsia="宋体" w:cs="Times New Roman"/>
                <w:caps w:val="0"/>
                <w:smallCaps w:val="0"/>
                <w:color w:val="auto"/>
                <w:kern w:val="2"/>
                <w:sz w:val="28"/>
                <w:szCs w:val="20"/>
                <w:highlight w:val="none"/>
                <w:lang w:val="en-US" w:eastAsia="zh-CN"/>
              </w:rPr>
            </w:pPr>
            <w:r>
              <w:rPr>
                <w:rFonts w:ascii="Times New Roman" w:hAnsi="Times New Roman" w:eastAsia="宋体" w:cs="Times New Roman"/>
                <w:caps w:val="0"/>
                <w:smallCaps w:val="0"/>
                <w:snapToGrid w:val="0"/>
                <w:color w:val="auto"/>
                <w:sz w:val="24"/>
                <w:szCs w:val="20"/>
                <w:highlight w:val="none"/>
              </w:rPr>
              <w:t>采场顶部标高</w:t>
            </w:r>
            <w:r>
              <w:rPr>
                <w:rFonts w:hint="eastAsia" w:ascii="Times New Roman" w:hAnsi="Times New Roman" w:eastAsia="宋体" w:cs="Times New Roman"/>
                <w:caps w:val="0"/>
                <w:smallCaps w:val="0"/>
                <w:snapToGrid w:val="0"/>
                <w:color w:val="auto"/>
                <w:sz w:val="24"/>
                <w:szCs w:val="20"/>
                <w:highlight w:val="none"/>
                <w:lang w:eastAsia="zh-CN"/>
              </w:rPr>
              <w:t>（</w:t>
            </w:r>
            <w:r>
              <w:rPr>
                <w:rFonts w:hint="eastAsia" w:ascii="Times New Roman" w:hAnsi="Times New Roman" w:eastAsia="宋体" w:cs="Times New Roman"/>
                <w:caps w:val="0"/>
                <w:smallCaps w:val="0"/>
                <w:snapToGrid w:val="0"/>
                <w:color w:val="auto"/>
                <w:sz w:val="24"/>
                <w:szCs w:val="20"/>
                <w:highlight w:val="none"/>
                <w:lang w:val="en-US" w:eastAsia="zh-CN"/>
              </w:rPr>
              <w:t>北采区</w:t>
            </w:r>
            <w:r>
              <w:rPr>
                <w:rFonts w:hint="eastAsia" w:ascii="Times New Roman" w:hAnsi="Times New Roman" w:eastAsia="宋体" w:cs="Times New Roman"/>
                <w:caps w:val="0"/>
                <w:smallCaps w:val="0"/>
                <w:snapToGrid w:val="0"/>
                <w:color w:val="auto"/>
                <w:sz w:val="24"/>
                <w:szCs w:val="20"/>
                <w:highlight w:val="none"/>
                <w:lang w:eastAsia="zh-CN"/>
              </w:rPr>
              <w:t>）</w:t>
            </w:r>
          </w:p>
        </w:tc>
        <w:tc>
          <w:tcPr>
            <w:tcW w:w="930" w:type="dxa"/>
            <w:shd w:val="clear" w:color="auto" w:fill="auto"/>
            <w:noWrap w:val="0"/>
            <w:vAlign w:val="center"/>
          </w:tcPr>
          <w:p w14:paraId="71BDF853">
            <w:pPr>
              <w:adjustRightInd w:val="0"/>
              <w:snapToGrid w:val="0"/>
              <w:spacing w:line="240" w:lineRule="auto"/>
              <w:ind w:firstLine="0" w:firstLineChars="0"/>
              <w:jc w:val="both"/>
              <w:rPr>
                <w:rFonts w:ascii="Times New Roman" w:hAnsi="Times New Roman" w:eastAsia="宋体" w:cs="Times New Roman"/>
                <w:caps w:val="0"/>
                <w:smallCaps w:val="0"/>
                <w:color w:val="auto"/>
                <w:kern w:val="2"/>
                <w:sz w:val="28"/>
                <w:szCs w:val="20"/>
                <w:highlight w:val="none"/>
                <w:lang w:val="en-US" w:eastAsia="zh-CN"/>
              </w:rPr>
            </w:pPr>
            <w:r>
              <w:rPr>
                <w:rFonts w:ascii="Times New Roman" w:hAnsi="Times New Roman" w:eastAsia="宋体" w:cs="Times New Roman"/>
                <w:caps w:val="0"/>
                <w:smallCaps w:val="0"/>
                <w:snapToGrid w:val="0"/>
                <w:color w:val="auto"/>
                <w:sz w:val="24"/>
                <w:szCs w:val="20"/>
                <w:highlight w:val="none"/>
              </w:rPr>
              <w:t>m</w:t>
            </w:r>
          </w:p>
        </w:tc>
        <w:tc>
          <w:tcPr>
            <w:tcW w:w="3465" w:type="dxa"/>
            <w:shd w:val="clear" w:color="auto" w:fill="auto"/>
            <w:noWrap w:val="0"/>
            <w:vAlign w:val="center"/>
          </w:tcPr>
          <w:p w14:paraId="4FCC195F">
            <w:pPr>
              <w:adjustRightInd w:val="0"/>
              <w:snapToGrid w:val="0"/>
              <w:spacing w:line="240" w:lineRule="auto"/>
              <w:ind w:firstLine="0" w:firstLineChars="0"/>
              <w:rPr>
                <w:rFonts w:hint="eastAsia" w:ascii="Times New Roman" w:hAnsi="Times New Roman" w:eastAsia="宋体" w:cs="Times New Roman"/>
                <w:caps w:val="0"/>
                <w:smallCaps w:val="0"/>
                <w:snapToGrid w:val="0"/>
                <w:color w:val="auto"/>
                <w:kern w:val="2"/>
                <w:sz w:val="24"/>
                <w:szCs w:val="20"/>
                <w:highlight w:val="none"/>
                <w:lang w:val="en-US" w:eastAsia="zh-CN"/>
              </w:rPr>
            </w:pPr>
            <w:r>
              <w:rPr>
                <w:rFonts w:hint="eastAsia" w:ascii="Times New Roman" w:hAnsi="Times New Roman" w:eastAsia="宋体" w:cs="Times New Roman"/>
                <w:caps w:val="0"/>
                <w:smallCaps w:val="0"/>
                <w:snapToGrid w:val="0"/>
                <w:color w:val="auto"/>
                <w:sz w:val="24"/>
                <w:szCs w:val="20"/>
                <w:highlight w:val="none"/>
                <w:lang w:val="en-US" w:eastAsia="zh-CN"/>
              </w:rPr>
              <w:t>110</w:t>
            </w:r>
          </w:p>
        </w:tc>
      </w:tr>
      <w:tr w14:paraId="7E908D1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1016" w:type="dxa"/>
            <w:shd w:val="clear" w:color="auto" w:fill="auto"/>
            <w:noWrap w:val="0"/>
            <w:vAlign w:val="center"/>
          </w:tcPr>
          <w:p w14:paraId="6A7B1853">
            <w:pPr>
              <w:adjustRightInd w:val="0"/>
              <w:snapToGrid w:val="0"/>
              <w:spacing w:line="240" w:lineRule="auto"/>
              <w:ind w:firstLine="0" w:firstLineChars="0"/>
              <w:jc w:val="center"/>
              <w:rPr>
                <w:rFonts w:hint="default" w:ascii="Times New Roman" w:hAnsi="Times New Roman" w:eastAsia="宋体" w:cs="Times New Roman"/>
                <w:caps w:val="0"/>
                <w:smallCaps w:val="0"/>
                <w:snapToGrid w:val="0"/>
                <w:color w:val="auto"/>
                <w:kern w:val="2"/>
                <w:sz w:val="24"/>
                <w:szCs w:val="20"/>
                <w:highlight w:val="none"/>
                <w:lang w:val="en-US" w:eastAsia="zh-CN"/>
              </w:rPr>
            </w:pPr>
            <w:r>
              <w:rPr>
                <w:rFonts w:hint="eastAsia" w:ascii="Times New Roman" w:hAnsi="Times New Roman" w:eastAsia="宋体" w:cs="Times New Roman"/>
                <w:caps w:val="0"/>
                <w:smallCaps w:val="0"/>
                <w:snapToGrid w:val="0"/>
                <w:color w:val="auto"/>
                <w:sz w:val="24"/>
                <w:szCs w:val="20"/>
                <w:highlight w:val="none"/>
                <w:lang w:val="en-US" w:eastAsia="zh-CN"/>
              </w:rPr>
              <w:t>4</w:t>
            </w:r>
          </w:p>
        </w:tc>
        <w:tc>
          <w:tcPr>
            <w:tcW w:w="2957" w:type="dxa"/>
            <w:shd w:val="clear" w:color="auto" w:fill="auto"/>
            <w:noWrap w:val="0"/>
            <w:vAlign w:val="center"/>
          </w:tcPr>
          <w:p w14:paraId="10D26AAE">
            <w:pPr>
              <w:adjustRightInd w:val="0"/>
              <w:snapToGrid w:val="0"/>
              <w:spacing w:line="240" w:lineRule="auto"/>
              <w:ind w:firstLine="0" w:firstLineChars="0"/>
              <w:jc w:val="both"/>
              <w:rPr>
                <w:rFonts w:ascii="Times New Roman" w:hAnsi="Times New Roman" w:eastAsia="宋体" w:cs="Times New Roman"/>
                <w:caps w:val="0"/>
                <w:smallCaps w:val="0"/>
                <w:color w:val="auto"/>
                <w:kern w:val="2"/>
                <w:sz w:val="28"/>
                <w:szCs w:val="20"/>
                <w:highlight w:val="none"/>
                <w:lang w:val="en-US" w:eastAsia="zh-CN"/>
              </w:rPr>
            </w:pPr>
            <w:r>
              <w:rPr>
                <w:rFonts w:ascii="Times New Roman" w:hAnsi="Times New Roman" w:eastAsia="宋体" w:cs="Times New Roman"/>
                <w:caps w:val="0"/>
                <w:smallCaps w:val="0"/>
                <w:snapToGrid w:val="0"/>
                <w:color w:val="auto"/>
                <w:sz w:val="24"/>
                <w:szCs w:val="20"/>
                <w:highlight w:val="none"/>
              </w:rPr>
              <w:t>采场底部标高</w:t>
            </w:r>
            <w:r>
              <w:rPr>
                <w:rFonts w:hint="eastAsia" w:ascii="Times New Roman" w:hAnsi="Times New Roman" w:eastAsia="宋体" w:cs="Times New Roman"/>
                <w:caps w:val="0"/>
                <w:smallCaps w:val="0"/>
                <w:snapToGrid w:val="0"/>
                <w:color w:val="auto"/>
                <w:sz w:val="24"/>
                <w:szCs w:val="20"/>
                <w:highlight w:val="none"/>
                <w:lang w:eastAsia="zh-CN"/>
              </w:rPr>
              <w:t>（</w:t>
            </w:r>
            <w:r>
              <w:rPr>
                <w:rFonts w:hint="eastAsia" w:ascii="Times New Roman" w:hAnsi="Times New Roman" w:eastAsia="宋体" w:cs="Times New Roman"/>
                <w:caps w:val="0"/>
                <w:smallCaps w:val="0"/>
                <w:snapToGrid w:val="0"/>
                <w:color w:val="auto"/>
                <w:sz w:val="24"/>
                <w:szCs w:val="20"/>
                <w:highlight w:val="none"/>
                <w:lang w:val="en-US" w:eastAsia="zh-CN"/>
              </w:rPr>
              <w:t>北采区</w:t>
            </w:r>
            <w:r>
              <w:rPr>
                <w:rFonts w:hint="eastAsia" w:ascii="Times New Roman" w:hAnsi="Times New Roman" w:eastAsia="宋体" w:cs="Times New Roman"/>
                <w:caps w:val="0"/>
                <w:smallCaps w:val="0"/>
                <w:snapToGrid w:val="0"/>
                <w:color w:val="auto"/>
                <w:sz w:val="24"/>
                <w:szCs w:val="20"/>
                <w:highlight w:val="none"/>
                <w:lang w:eastAsia="zh-CN"/>
              </w:rPr>
              <w:t>）</w:t>
            </w:r>
          </w:p>
        </w:tc>
        <w:tc>
          <w:tcPr>
            <w:tcW w:w="930" w:type="dxa"/>
            <w:shd w:val="clear" w:color="auto" w:fill="auto"/>
            <w:noWrap w:val="0"/>
            <w:vAlign w:val="center"/>
          </w:tcPr>
          <w:p w14:paraId="2B3ECB4A">
            <w:pPr>
              <w:adjustRightInd w:val="0"/>
              <w:snapToGrid w:val="0"/>
              <w:spacing w:line="240" w:lineRule="auto"/>
              <w:ind w:firstLine="0" w:firstLineChars="0"/>
              <w:jc w:val="both"/>
              <w:rPr>
                <w:rFonts w:ascii="Times New Roman" w:hAnsi="Times New Roman" w:eastAsia="宋体" w:cs="Times New Roman"/>
                <w:caps w:val="0"/>
                <w:smallCaps w:val="0"/>
                <w:color w:val="auto"/>
                <w:kern w:val="2"/>
                <w:sz w:val="28"/>
                <w:szCs w:val="20"/>
                <w:highlight w:val="none"/>
                <w:lang w:val="en-US" w:eastAsia="zh-CN"/>
              </w:rPr>
            </w:pPr>
            <w:r>
              <w:rPr>
                <w:rFonts w:ascii="Times New Roman" w:hAnsi="Times New Roman" w:eastAsia="宋体" w:cs="Times New Roman"/>
                <w:caps w:val="0"/>
                <w:smallCaps w:val="0"/>
                <w:snapToGrid w:val="0"/>
                <w:color w:val="auto"/>
                <w:sz w:val="24"/>
                <w:szCs w:val="20"/>
                <w:highlight w:val="none"/>
              </w:rPr>
              <w:t>m</w:t>
            </w:r>
          </w:p>
        </w:tc>
        <w:tc>
          <w:tcPr>
            <w:tcW w:w="3465" w:type="dxa"/>
            <w:shd w:val="clear" w:color="auto" w:fill="auto"/>
            <w:noWrap w:val="0"/>
            <w:vAlign w:val="center"/>
          </w:tcPr>
          <w:p w14:paraId="20352184">
            <w:pPr>
              <w:adjustRightInd w:val="0"/>
              <w:snapToGrid w:val="0"/>
              <w:spacing w:line="240" w:lineRule="auto"/>
              <w:ind w:firstLine="0" w:firstLineChars="0"/>
              <w:rPr>
                <w:rFonts w:hint="eastAsia" w:ascii="Times New Roman" w:hAnsi="Times New Roman" w:eastAsia="宋体" w:cs="Times New Roman"/>
                <w:caps w:val="0"/>
                <w:smallCaps w:val="0"/>
                <w:snapToGrid w:val="0"/>
                <w:color w:val="auto"/>
                <w:kern w:val="2"/>
                <w:sz w:val="24"/>
                <w:szCs w:val="20"/>
                <w:highlight w:val="none"/>
                <w:lang w:val="en-US" w:eastAsia="zh-CN"/>
              </w:rPr>
            </w:pPr>
            <w:r>
              <w:rPr>
                <w:rFonts w:hint="eastAsia" w:ascii="Times New Roman" w:hAnsi="Times New Roman" w:eastAsia="宋体" w:cs="Times New Roman"/>
                <w:caps w:val="0"/>
                <w:smallCaps w:val="0"/>
                <w:snapToGrid w:val="0"/>
                <w:color w:val="auto"/>
                <w:sz w:val="24"/>
                <w:szCs w:val="20"/>
                <w:highlight w:val="none"/>
                <w:lang w:val="en-US" w:eastAsia="zh-CN"/>
              </w:rPr>
              <w:t>-30</w:t>
            </w:r>
          </w:p>
        </w:tc>
      </w:tr>
      <w:tr w14:paraId="54401C1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69" w:hRule="exact"/>
          <w:jc w:val="center"/>
        </w:trPr>
        <w:tc>
          <w:tcPr>
            <w:tcW w:w="1016" w:type="dxa"/>
            <w:noWrap w:val="0"/>
            <w:vAlign w:val="center"/>
          </w:tcPr>
          <w:p w14:paraId="5EC39518">
            <w:pPr>
              <w:adjustRightInd w:val="0"/>
              <w:snapToGrid w:val="0"/>
              <w:spacing w:line="240" w:lineRule="auto"/>
              <w:ind w:firstLine="0" w:firstLineChars="0"/>
              <w:jc w:val="center"/>
              <w:rPr>
                <w:rFonts w:hint="eastAsia" w:ascii="Times New Roman" w:hAnsi="Times New Roman" w:eastAsia="宋体" w:cs="Times New Roman"/>
                <w:caps w:val="0"/>
                <w:smallCaps w:val="0"/>
                <w:snapToGrid w:val="0"/>
                <w:color w:val="auto"/>
                <w:sz w:val="24"/>
                <w:szCs w:val="20"/>
                <w:highlight w:val="none"/>
                <w:lang w:val="en-US" w:eastAsia="zh-CN"/>
              </w:rPr>
            </w:pPr>
            <w:r>
              <w:rPr>
                <w:rFonts w:hint="eastAsia" w:ascii="Times New Roman" w:hAnsi="Times New Roman" w:eastAsia="宋体" w:cs="Times New Roman"/>
                <w:caps w:val="0"/>
                <w:smallCaps w:val="0"/>
                <w:snapToGrid w:val="0"/>
                <w:color w:val="auto"/>
                <w:sz w:val="24"/>
                <w:szCs w:val="20"/>
                <w:highlight w:val="none"/>
                <w:lang w:val="en-US" w:eastAsia="zh-CN"/>
              </w:rPr>
              <w:t>5</w:t>
            </w:r>
          </w:p>
        </w:tc>
        <w:tc>
          <w:tcPr>
            <w:tcW w:w="2957" w:type="dxa"/>
            <w:shd w:val="clear" w:color="auto" w:fill="auto"/>
            <w:noWrap w:val="0"/>
            <w:vAlign w:val="center"/>
          </w:tcPr>
          <w:p w14:paraId="42678DCC">
            <w:pPr>
              <w:adjustRightInd w:val="0"/>
              <w:snapToGrid w:val="0"/>
              <w:spacing w:line="240" w:lineRule="auto"/>
              <w:ind w:firstLine="0" w:firstLineChars="0"/>
              <w:jc w:val="both"/>
              <w:rPr>
                <w:rFonts w:ascii="Times New Roman" w:hAnsi="Times New Roman" w:eastAsia="宋体" w:cs="Times New Roman"/>
                <w:caps w:val="0"/>
                <w:smallCaps w:val="0"/>
                <w:color w:val="auto"/>
                <w:kern w:val="2"/>
                <w:sz w:val="28"/>
                <w:szCs w:val="20"/>
                <w:highlight w:val="none"/>
                <w:lang w:val="en-US" w:eastAsia="zh-CN"/>
              </w:rPr>
            </w:pPr>
            <w:r>
              <w:rPr>
                <w:rFonts w:ascii="Times New Roman" w:hAnsi="Times New Roman" w:eastAsia="宋体" w:cs="Times New Roman"/>
                <w:caps w:val="0"/>
                <w:smallCaps w:val="0"/>
                <w:snapToGrid w:val="0"/>
                <w:color w:val="auto"/>
                <w:sz w:val="24"/>
                <w:szCs w:val="20"/>
                <w:highlight w:val="none"/>
              </w:rPr>
              <w:t>露天开采深度</w:t>
            </w:r>
            <w:r>
              <w:rPr>
                <w:rFonts w:hint="eastAsia" w:ascii="Times New Roman" w:hAnsi="Times New Roman" w:eastAsia="宋体" w:cs="Times New Roman"/>
                <w:caps w:val="0"/>
                <w:smallCaps w:val="0"/>
                <w:snapToGrid w:val="0"/>
                <w:color w:val="auto"/>
                <w:sz w:val="24"/>
                <w:szCs w:val="20"/>
                <w:highlight w:val="none"/>
                <w:lang w:eastAsia="zh-CN"/>
              </w:rPr>
              <w:t>（</w:t>
            </w:r>
            <w:r>
              <w:rPr>
                <w:rFonts w:hint="eastAsia" w:ascii="Times New Roman" w:hAnsi="Times New Roman" w:eastAsia="宋体" w:cs="Times New Roman"/>
                <w:caps w:val="0"/>
                <w:smallCaps w:val="0"/>
                <w:snapToGrid w:val="0"/>
                <w:color w:val="auto"/>
                <w:sz w:val="24"/>
                <w:szCs w:val="20"/>
                <w:highlight w:val="none"/>
                <w:lang w:val="en-US" w:eastAsia="zh-CN"/>
              </w:rPr>
              <w:t>北采区</w:t>
            </w:r>
            <w:r>
              <w:rPr>
                <w:rFonts w:hint="eastAsia" w:ascii="Times New Roman" w:hAnsi="Times New Roman" w:eastAsia="宋体" w:cs="Times New Roman"/>
                <w:caps w:val="0"/>
                <w:smallCaps w:val="0"/>
                <w:snapToGrid w:val="0"/>
                <w:color w:val="auto"/>
                <w:sz w:val="24"/>
                <w:szCs w:val="20"/>
                <w:highlight w:val="none"/>
                <w:lang w:eastAsia="zh-CN"/>
              </w:rPr>
              <w:t>）</w:t>
            </w:r>
          </w:p>
        </w:tc>
        <w:tc>
          <w:tcPr>
            <w:tcW w:w="930" w:type="dxa"/>
            <w:shd w:val="clear" w:color="auto" w:fill="auto"/>
            <w:noWrap w:val="0"/>
            <w:vAlign w:val="center"/>
          </w:tcPr>
          <w:p w14:paraId="04129E51">
            <w:pPr>
              <w:adjustRightInd w:val="0"/>
              <w:snapToGrid w:val="0"/>
              <w:spacing w:line="240" w:lineRule="auto"/>
              <w:ind w:firstLine="0" w:firstLineChars="0"/>
              <w:jc w:val="both"/>
              <w:rPr>
                <w:rFonts w:ascii="Times New Roman" w:hAnsi="Times New Roman" w:eastAsia="宋体" w:cs="Times New Roman"/>
                <w:caps w:val="0"/>
                <w:smallCaps w:val="0"/>
                <w:color w:val="auto"/>
                <w:kern w:val="2"/>
                <w:sz w:val="28"/>
                <w:szCs w:val="20"/>
                <w:highlight w:val="none"/>
                <w:lang w:val="en-US" w:eastAsia="zh-CN"/>
              </w:rPr>
            </w:pPr>
            <w:r>
              <w:rPr>
                <w:rFonts w:ascii="Times New Roman" w:hAnsi="Times New Roman" w:eastAsia="宋体" w:cs="Times New Roman"/>
                <w:caps w:val="0"/>
                <w:smallCaps w:val="0"/>
                <w:snapToGrid w:val="0"/>
                <w:color w:val="auto"/>
                <w:sz w:val="24"/>
                <w:szCs w:val="20"/>
                <w:highlight w:val="none"/>
              </w:rPr>
              <w:t>m</w:t>
            </w:r>
          </w:p>
        </w:tc>
        <w:tc>
          <w:tcPr>
            <w:tcW w:w="3465" w:type="dxa"/>
            <w:shd w:val="clear" w:color="auto" w:fill="auto"/>
            <w:noWrap w:val="0"/>
            <w:vAlign w:val="center"/>
          </w:tcPr>
          <w:p w14:paraId="1A0DDDFE">
            <w:pPr>
              <w:adjustRightInd w:val="0"/>
              <w:snapToGrid w:val="0"/>
              <w:spacing w:line="240" w:lineRule="auto"/>
              <w:ind w:firstLine="0" w:firstLineChars="0"/>
              <w:rPr>
                <w:rFonts w:hint="eastAsia" w:ascii="Times New Roman" w:hAnsi="Times New Roman" w:eastAsia="宋体" w:cs="Times New Roman"/>
                <w:caps w:val="0"/>
                <w:smallCaps w:val="0"/>
                <w:snapToGrid w:val="0"/>
                <w:color w:val="auto"/>
                <w:kern w:val="2"/>
                <w:sz w:val="24"/>
                <w:szCs w:val="20"/>
                <w:highlight w:val="none"/>
                <w:lang w:val="en-US" w:eastAsia="zh-CN"/>
              </w:rPr>
            </w:pPr>
            <w:r>
              <w:rPr>
                <w:rFonts w:hint="eastAsia" w:ascii="Times New Roman" w:hAnsi="Times New Roman" w:eastAsia="宋体" w:cs="Times New Roman"/>
                <w:caps w:val="0"/>
                <w:smallCaps w:val="0"/>
                <w:snapToGrid w:val="0"/>
                <w:color w:val="auto"/>
                <w:sz w:val="24"/>
                <w:szCs w:val="20"/>
                <w:highlight w:val="none"/>
                <w:lang w:val="en-US" w:eastAsia="zh-CN"/>
              </w:rPr>
              <w:t>140</w:t>
            </w:r>
          </w:p>
        </w:tc>
      </w:tr>
    </w:tbl>
    <w:p w14:paraId="3850E655">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pPr>
      <w:r>
        <w:rPr>
          <w:rFonts w:hint="eastAsia"/>
          <w:lang w:eastAsia="zh-CN"/>
        </w:rPr>
        <w:t>（</w:t>
      </w:r>
      <w:r>
        <w:rPr>
          <w:rFonts w:hint="eastAsia"/>
          <w:lang w:val="en-US" w:eastAsia="zh-CN"/>
        </w:rPr>
        <w:t>2</w:t>
      </w:r>
      <w:r>
        <w:rPr>
          <w:rFonts w:hint="eastAsia"/>
          <w:lang w:eastAsia="zh-CN"/>
        </w:rPr>
        <w:t>）</w:t>
      </w:r>
      <w:r>
        <w:t>采剥方法</w:t>
      </w:r>
    </w:p>
    <w:p w14:paraId="52888C3A">
      <w:pPr>
        <w:pStyle w:val="18"/>
        <w:bidi w:val="0"/>
      </w:pPr>
      <w:r>
        <w:rPr>
          <w:rFonts w:hint="eastAsia"/>
          <w:lang w:val="en-US" w:eastAsia="zh-CN"/>
        </w:rPr>
        <w:t>1、</w:t>
      </w:r>
      <w:r>
        <w:t>设计情况</w:t>
      </w:r>
    </w:p>
    <w:p w14:paraId="43A5D62B">
      <w:pPr>
        <w:pStyle w:val="18"/>
        <w:bidi w:val="0"/>
        <w:rPr>
          <w:rFonts w:hint="default"/>
          <w:lang w:val="en-US" w:eastAsia="zh-CN"/>
        </w:rPr>
      </w:pPr>
      <w:r>
        <w:rPr>
          <w:rFonts w:hint="default"/>
          <w:lang w:val="en-US" w:eastAsia="zh-CN"/>
        </w:rPr>
        <w:t>根据矿体赋存条件，设计采用露天开采，采矿方法为自上而下逐水平台阶开采方法。</w:t>
      </w:r>
    </w:p>
    <w:p w14:paraId="0BB6F488">
      <w:pPr>
        <w:pStyle w:val="18"/>
        <w:bidi w:val="0"/>
        <w:rPr>
          <w:rFonts w:hint="default"/>
        </w:rPr>
      </w:pPr>
      <w:r>
        <w:rPr>
          <w:rFonts w:hint="default"/>
        </w:rPr>
        <w:t>采矿工艺分穿孔、爆破、装载、运输四个环节。根据矿床</w:t>
      </w:r>
      <w:r>
        <w:rPr>
          <w:rFonts w:hint="default"/>
          <w:lang w:eastAsia="zh-CN"/>
        </w:rPr>
        <w:t>的</w:t>
      </w:r>
      <w:r>
        <w:rPr>
          <w:rFonts w:hint="default"/>
        </w:rPr>
        <w:t>特点，设计采用</w:t>
      </w:r>
      <w:r>
        <w:rPr>
          <w:rFonts w:hint="default"/>
          <w:lang w:val="en-US" w:eastAsia="zh-CN"/>
        </w:rPr>
        <w:t>纵采</w:t>
      </w:r>
      <w:r>
        <w:rPr>
          <w:rFonts w:hint="eastAsia"/>
          <w:lang w:val="en-US" w:eastAsia="zh-CN"/>
        </w:rPr>
        <w:t>、</w:t>
      </w:r>
      <w:r>
        <w:rPr>
          <w:rFonts w:hint="default"/>
          <w:lang w:val="en-US" w:eastAsia="zh-CN"/>
        </w:rPr>
        <w:t>横剥的</w:t>
      </w:r>
      <w:r>
        <w:rPr>
          <w:rFonts w:hint="default"/>
        </w:rPr>
        <w:t>采矿方法。</w:t>
      </w:r>
    </w:p>
    <w:p w14:paraId="74E692B9">
      <w:pPr>
        <w:pStyle w:val="18"/>
        <w:bidi w:val="0"/>
        <w:rPr>
          <w:rFonts w:hint="default"/>
          <w:lang w:val="en-US" w:eastAsia="zh-CN"/>
        </w:rPr>
      </w:pPr>
      <w:r>
        <w:rPr>
          <w:rFonts w:hint="default"/>
          <w:lang w:val="en-US" w:eastAsia="zh-CN"/>
        </w:rPr>
        <w:t>开沟位置：在矿岩交界处岩石中开沟，然后沿下盘方向推进进行采矿，向上盘方向推进进行剥岩。设计利用斗容1.4m</w:t>
      </w:r>
      <w:r>
        <w:rPr>
          <w:rFonts w:hint="default"/>
          <w:vertAlign w:val="superscript"/>
          <w:lang w:val="en-US" w:eastAsia="zh-CN"/>
        </w:rPr>
        <w:t>3</w:t>
      </w:r>
      <w:r>
        <w:rPr>
          <w:rFonts w:hint="default"/>
          <w:lang w:val="en-US" w:eastAsia="zh-CN"/>
        </w:rPr>
        <w:t>挖掘机铲装矿岩，采用20t自卸汽车运输，矿石运往矿石堆场，岩石外卖。</w:t>
      </w:r>
    </w:p>
    <w:p w14:paraId="086AF934">
      <w:pPr>
        <w:pStyle w:val="18"/>
        <w:bidi w:val="0"/>
        <w:rPr>
          <w:rFonts w:hint="default"/>
          <w:lang w:val="en-US" w:eastAsia="zh-CN"/>
        </w:rPr>
      </w:pPr>
      <w:r>
        <w:rPr>
          <w:rFonts w:hint="eastAsia"/>
          <w:lang w:val="en-US" w:eastAsia="zh-CN"/>
        </w:rPr>
        <w:t>2、</w:t>
      </w:r>
      <w:r>
        <w:rPr>
          <w:rFonts w:hint="default"/>
          <w:lang w:val="en-US" w:eastAsia="zh-CN"/>
        </w:rPr>
        <w:t>建设情况</w:t>
      </w:r>
    </w:p>
    <w:p w14:paraId="0782AFDB">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矿山以矿界4和8号拐点划分南北采区分界线，北采区由1、2、3、4、8号拐点圈定。根据《安全设施设计》</w:t>
      </w:r>
      <w:r>
        <w:rPr>
          <w:rFonts w:hint="eastAsia"/>
          <w:lang w:val="en-US" w:eastAsia="zh-CN"/>
        </w:rPr>
        <w:t>和现场实际踏勘</w:t>
      </w:r>
      <w:r>
        <w:rPr>
          <w:rFonts w:hint="default"/>
          <w:lang w:val="en-US" w:eastAsia="zh-CN"/>
        </w:rPr>
        <w:t>，北采区为一期工程，采场顶部标高110m，采场底部标高-30m，开采深度140m。</w:t>
      </w:r>
    </w:p>
    <w:p w14:paraId="23B1569F">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矿区经过基建期，目前北采区已一个采场，开拓道路由矿区东侧进入，经过采场南侧，经采场南帮折返式布置至西侧上部工作面。</w:t>
      </w:r>
      <w:r>
        <w:rPr>
          <w:rFonts w:hint="eastAsia"/>
          <w:lang w:val="en-US" w:eastAsia="zh-CN"/>
        </w:rPr>
        <w:t>北采区</w:t>
      </w:r>
      <w:r>
        <w:rPr>
          <w:rFonts w:hint="default"/>
          <w:lang w:val="en-US" w:eastAsia="zh-CN"/>
        </w:rPr>
        <w:t>现共形成2个生产台阶，分别为+110m</w:t>
      </w:r>
      <w:r>
        <w:rPr>
          <w:rFonts w:hint="eastAsia"/>
          <w:lang w:val="en-US" w:eastAsia="zh-CN"/>
        </w:rPr>
        <w:t>剥离水平</w:t>
      </w:r>
      <w:r>
        <w:rPr>
          <w:rFonts w:hint="default"/>
          <w:lang w:val="en-US" w:eastAsia="zh-CN"/>
        </w:rPr>
        <w:t>、+100m生产</w:t>
      </w:r>
      <w:r>
        <w:rPr>
          <w:rFonts w:hint="eastAsia"/>
          <w:lang w:val="en-US" w:eastAsia="zh-CN"/>
        </w:rPr>
        <w:t>水平</w:t>
      </w:r>
      <w:r>
        <w:rPr>
          <w:rFonts w:hint="default"/>
          <w:lang w:val="en-US" w:eastAsia="zh-CN"/>
        </w:rPr>
        <w:t>，台阶高度为10m，</w:t>
      </w:r>
      <w:r>
        <w:rPr>
          <w:rFonts w:hint="eastAsia"/>
          <w:lang w:val="en-US" w:eastAsia="zh-CN"/>
        </w:rPr>
        <w:t>生产</w:t>
      </w:r>
      <w:r>
        <w:rPr>
          <w:rFonts w:hint="default"/>
          <w:lang w:val="en-US" w:eastAsia="zh-CN"/>
        </w:rPr>
        <w:t>平台宽度9m，工作台阶坡面角为39~51°，边坡角为42°。在采区+80m铲装</w:t>
      </w:r>
      <w:r>
        <w:rPr>
          <w:rFonts w:hint="eastAsia"/>
          <w:lang w:val="en-US" w:eastAsia="zh-CN"/>
        </w:rPr>
        <w:t>运输</w:t>
      </w:r>
      <w:r>
        <w:rPr>
          <w:rFonts w:hint="default"/>
          <w:lang w:val="en-US" w:eastAsia="zh-CN"/>
        </w:rPr>
        <w:t>水平形成工作平台，主要进行矿岩的装载和运输，下部旧采坑，通过隐患治理，形成6个台阶，留设安全平台宽度为6~15m，台阶坡面角为29~50°。现状北采区已形成山坡露天采场和凹陷露天采场，并设置了安全警示标志、围栏等安全设施。</w:t>
      </w:r>
    </w:p>
    <w:p w14:paraId="2A1129A7">
      <w:pPr>
        <w:pStyle w:val="18"/>
        <w:bidi w:val="0"/>
        <w:rPr>
          <w:rFonts w:hint="default"/>
          <w:lang w:val="en-US" w:eastAsia="zh-CN"/>
        </w:rPr>
      </w:pPr>
      <w:r>
        <w:rPr>
          <w:rFonts w:hint="default"/>
          <w:lang w:val="en-US" w:eastAsia="zh-CN"/>
        </w:rPr>
        <w:t>矿区开拓道路已修缮至上部+110m和+100m开采水平，上部矿岩均已剥离，为满足二级矿量要求。目前已按照设计工程要求施工，生产台阶爆破后，矿石在+80m工作平台进行挖掘机和装载机进行铲装，装入自卸汽车后，运至加工场地，目前生产台阶参数能够满足设计要求。</w:t>
      </w:r>
    </w:p>
    <w:p w14:paraId="6F132CA5">
      <w:pPr>
        <w:pStyle w:val="26"/>
        <w:bidi w:val="0"/>
        <w:rPr>
          <w:rFonts w:hint="eastAsia"/>
          <w:lang w:eastAsia="zh-CN"/>
        </w:rPr>
      </w:pPr>
      <w:r>
        <w:rPr>
          <w:rFonts w:hint="eastAsia"/>
          <w:lang w:eastAsia="zh-CN"/>
        </w:rPr>
        <w:drawing>
          <wp:inline distT="0" distB="0" distL="114300" distR="114300">
            <wp:extent cx="5567680" cy="3912235"/>
            <wp:effectExtent l="0" t="0" r="13970" b="12065"/>
            <wp:docPr id="17" name="图片 3" descr="b111518f06ae2572ba3e8aaf06b2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 descr="b111518f06ae2572ba3e8aaf06b2318"/>
                    <pic:cNvPicPr>
                      <a:picLocks noChangeAspect="1"/>
                    </pic:cNvPicPr>
                  </pic:nvPicPr>
                  <pic:blipFill>
                    <a:blip r:embed="rId9"/>
                    <a:stretch>
                      <a:fillRect/>
                    </a:stretch>
                  </pic:blipFill>
                  <pic:spPr>
                    <a:xfrm>
                      <a:off x="0" y="0"/>
                      <a:ext cx="5567680" cy="3912235"/>
                    </a:xfrm>
                    <a:prstGeom prst="rect">
                      <a:avLst/>
                    </a:prstGeom>
                    <a:noFill/>
                    <a:ln>
                      <a:noFill/>
                    </a:ln>
                  </pic:spPr>
                </pic:pic>
              </a:graphicData>
            </a:graphic>
          </wp:inline>
        </w:drawing>
      </w:r>
    </w:p>
    <w:p w14:paraId="406EDDAB">
      <w:pPr>
        <w:pStyle w:val="26"/>
        <w:bidi w:val="0"/>
        <w:rPr>
          <w:rFonts w:hint="eastAsia" w:eastAsia="宋体"/>
          <w:lang w:val="en-US" w:eastAsia="zh-CN"/>
        </w:rPr>
      </w:pPr>
      <w:r>
        <w:t>图2</w:t>
      </w:r>
      <w:r>
        <w:rPr>
          <w:rFonts w:hint="eastAsia"/>
          <w:lang w:val="en-US" w:eastAsia="zh-CN"/>
        </w:rPr>
        <w:t>.4-1</w:t>
      </w:r>
      <w:r>
        <w:t xml:space="preserve">  </w:t>
      </w:r>
      <w:r>
        <w:rPr>
          <w:rFonts w:hint="eastAsia"/>
          <w:lang w:val="en-US" w:eastAsia="zh-CN"/>
        </w:rPr>
        <w:t>+110m剥离水平和+110m</w:t>
      </w:r>
      <w:r>
        <w:rPr>
          <w:rFonts w:hint="eastAsia"/>
          <w:lang w:eastAsia="zh-CN"/>
        </w:rPr>
        <w:t>生产水平</w:t>
      </w:r>
      <w:r>
        <w:rPr>
          <w:rFonts w:hint="default"/>
        </w:rPr>
        <w:t>照片</w:t>
      </w:r>
    </w:p>
    <w:p w14:paraId="0E807FF5">
      <w:pPr>
        <w:pStyle w:val="26"/>
        <w:bidi w:val="0"/>
        <w:rPr>
          <w:rFonts w:hint="eastAsia"/>
          <w:lang w:eastAsia="zh-CN"/>
        </w:rPr>
      </w:pPr>
      <w:r>
        <w:rPr>
          <w:rFonts w:hint="eastAsia"/>
          <w:lang w:eastAsia="zh-CN"/>
        </w:rPr>
        <w:drawing>
          <wp:inline distT="0" distB="0" distL="114300" distR="114300">
            <wp:extent cx="5457825" cy="4093210"/>
            <wp:effectExtent l="0" t="0" r="9525" b="2540"/>
            <wp:docPr id="16" name="图片 4" descr="IMG20241212100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4" descr="IMG20241212100516"/>
                    <pic:cNvPicPr>
                      <a:picLocks noChangeAspect="1"/>
                    </pic:cNvPicPr>
                  </pic:nvPicPr>
                  <pic:blipFill>
                    <a:blip r:embed="rId10"/>
                    <a:stretch>
                      <a:fillRect/>
                    </a:stretch>
                  </pic:blipFill>
                  <pic:spPr>
                    <a:xfrm>
                      <a:off x="0" y="0"/>
                      <a:ext cx="5457825" cy="4093210"/>
                    </a:xfrm>
                    <a:prstGeom prst="rect">
                      <a:avLst/>
                    </a:prstGeom>
                    <a:noFill/>
                    <a:ln>
                      <a:noFill/>
                    </a:ln>
                  </pic:spPr>
                </pic:pic>
              </a:graphicData>
            </a:graphic>
          </wp:inline>
        </w:drawing>
      </w:r>
    </w:p>
    <w:p w14:paraId="4D3A0FAA">
      <w:pPr>
        <w:pStyle w:val="26"/>
        <w:bidi w:val="0"/>
        <w:rPr>
          <w:rFonts w:hint="default"/>
        </w:rPr>
      </w:pPr>
      <w:r>
        <w:rPr>
          <w:rFonts w:hint="default"/>
        </w:rPr>
        <w:t>图2</w:t>
      </w:r>
      <w:r>
        <w:rPr>
          <w:rFonts w:hint="eastAsia"/>
          <w:lang w:val="en-US" w:eastAsia="zh-CN"/>
        </w:rPr>
        <w:t xml:space="preserve">.4-2 </w:t>
      </w:r>
      <w:r>
        <w:rPr>
          <w:rFonts w:hint="default"/>
        </w:rPr>
        <w:t xml:space="preserve"> </w:t>
      </w:r>
      <w:r>
        <w:rPr>
          <w:rFonts w:hint="eastAsia"/>
          <w:lang w:val="en-US" w:eastAsia="zh-CN"/>
        </w:rPr>
        <w:t>110n剥离水平复垦区域</w:t>
      </w:r>
      <w:r>
        <w:rPr>
          <w:rFonts w:hint="default"/>
        </w:rPr>
        <w:t>照片</w:t>
      </w:r>
    </w:p>
    <w:p w14:paraId="7C4CEDB1">
      <w:pPr>
        <w:pStyle w:val="26"/>
        <w:bidi w:val="0"/>
        <w:rPr>
          <w:rFonts w:hint="eastAsia"/>
          <w:lang w:eastAsia="zh-CN"/>
        </w:rPr>
      </w:pPr>
      <w:r>
        <w:rPr>
          <w:rFonts w:hint="eastAsia"/>
          <w:lang w:eastAsia="zh-CN"/>
        </w:rPr>
        <w:drawing>
          <wp:inline distT="0" distB="0" distL="114300" distR="114300">
            <wp:extent cx="5280025" cy="3959860"/>
            <wp:effectExtent l="0" t="0" r="15875" b="2540"/>
            <wp:docPr id="5" name="图片 5" descr="IMG20241212100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20241212100555"/>
                    <pic:cNvPicPr>
                      <a:picLocks noChangeAspect="1"/>
                    </pic:cNvPicPr>
                  </pic:nvPicPr>
                  <pic:blipFill>
                    <a:blip r:embed="rId11"/>
                    <a:stretch>
                      <a:fillRect/>
                    </a:stretch>
                  </pic:blipFill>
                  <pic:spPr>
                    <a:xfrm>
                      <a:off x="0" y="0"/>
                      <a:ext cx="5280025" cy="3959860"/>
                    </a:xfrm>
                    <a:prstGeom prst="rect">
                      <a:avLst/>
                    </a:prstGeom>
                    <a:noFill/>
                    <a:ln>
                      <a:noFill/>
                    </a:ln>
                  </pic:spPr>
                </pic:pic>
              </a:graphicData>
            </a:graphic>
          </wp:inline>
        </w:drawing>
      </w:r>
    </w:p>
    <w:p w14:paraId="737C8600">
      <w:pPr>
        <w:pStyle w:val="26"/>
        <w:bidi w:val="0"/>
        <w:rPr>
          <w:rFonts w:hint="default"/>
        </w:rPr>
      </w:pPr>
      <w:r>
        <w:rPr>
          <w:rFonts w:hint="default"/>
        </w:rPr>
        <w:t>图2</w:t>
      </w:r>
      <w:r>
        <w:rPr>
          <w:rFonts w:hint="eastAsia"/>
          <w:lang w:val="en-US" w:eastAsia="zh-CN"/>
        </w:rPr>
        <w:t xml:space="preserve">.4-3 </w:t>
      </w:r>
      <w:r>
        <w:rPr>
          <w:rFonts w:hint="default"/>
        </w:rPr>
        <w:t xml:space="preserve"> </w:t>
      </w:r>
      <w:r>
        <w:rPr>
          <w:rFonts w:hint="eastAsia"/>
          <w:lang w:val="en-US" w:eastAsia="zh-CN"/>
        </w:rPr>
        <w:t>110n剥离水平滚石挡墙</w:t>
      </w:r>
      <w:r>
        <w:rPr>
          <w:rFonts w:hint="default"/>
        </w:rPr>
        <w:t>照片</w:t>
      </w:r>
    </w:p>
    <w:p w14:paraId="2DFA56BD">
      <w:pPr>
        <w:pStyle w:val="26"/>
        <w:bidi w:val="0"/>
        <w:rPr>
          <w:rFonts w:hint="eastAsia"/>
          <w:lang w:eastAsia="zh-CN"/>
        </w:rPr>
      </w:pPr>
      <w:r>
        <w:rPr>
          <w:rFonts w:hint="eastAsia"/>
          <w:lang w:eastAsia="zh-CN"/>
        </w:rPr>
        <w:drawing>
          <wp:inline distT="0" distB="0" distL="114300" distR="114300">
            <wp:extent cx="5280025" cy="3959860"/>
            <wp:effectExtent l="0" t="0" r="15875" b="2540"/>
            <wp:docPr id="6" name="图片 6" descr="IMG20241212101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20241212101845"/>
                    <pic:cNvPicPr>
                      <a:picLocks noChangeAspect="1"/>
                    </pic:cNvPicPr>
                  </pic:nvPicPr>
                  <pic:blipFill>
                    <a:blip r:embed="rId12"/>
                    <a:stretch>
                      <a:fillRect/>
                    </a:stretch>
                  </pic:blipFill>
                  <pic:spPr>
                    <a:xfrm>
                      <a:off x="0" y="0"/>
                      <a:ext cx="5280025" cy="3959860"/>
                    </a:xfrm>
                    <a:prstGeom prst="rect">
                      <a:avLst/>
                    </a:prstGeom>
                    <a:noFill/>
                    <a:ln>
                      <a:noFill/>
                    </a:ln>
                  </pic:spPr>
                </pic:pic>
              </a:graphicData>
            </a:graphic>
          </wp:inline>
        </w:drawing>
      </w:r>
    </w:p>
    <w:p w14:paraId="7B7A4E34">
      <w:pPr>
        <w:pStyle w:val="26"/>
        <w:bidi w:val="0"/>
        <w:rPr>
          <w:rFonts w:hint="eastAsia"/>
          <w:lang w:val="en-US" w:eastAsia="zh-CN"/>
        </w:rPr>
      </w:pPr>
      <w:r>
        <w:t>图2</w:t>
      </w:r>
      <w:r>
        <w:rPr>
          <w:rFonts w:hint="eastAsia"/>
          <w:lang w:val="en-US" w:eastAsia="zh-CN"/>
        </w:rPr>
        <w:t>.4-4</w:t>
      </w:r>
      <w:r>
        <w:t xml:space="preserve">  </w:t>
      </w:r>
      <w:r>
        <w:rPr>
          <w:rFonts w:hint="eastAsia"/>
        </w:rPr>
        <w:t>80m铲装运输水平</w:t>
      </w:r>
      <w:r>
        <w:rPr>
          <w:rFonts w:hint="default"/>
        </w:rPr>
        <w:t>照片</w:t>
      </w:r>
    </w:p>
    <w:p w14:paraId="3AC2FA03">
      <w:pPr>
        <w:pStyle w:val="26"/>
        <w:bidi w:val="0"/>
        <w:rPr>
          <w:rFonts w:hint="eastAsia"/>
          <w:lang w:eastAsia="zh-CN"/>
        </w:rPr>
      </w:pPr>
      <w:r>
        <w:rPr>
          <w:rFonts w:hint="eastAsia"/>
          <w:lang w:eastAsia="zh-CN"/>
        </w:rPr>
        <w:drawing>
          <wp:inline distT="0" distB="0" distL="114300" distR="114300">
            <wp:extent cx="5293360" cy="3945255"/>
            <wp:effectExtent l="0" t="0" r="2540" b="17145"/>
            <wp:docPr id="7" name="图片 7" descr="IMG2024111210393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2024111210393211"/>
                    <pic:cNvPicPr>
                      <a:picLocks noChangeAspect="1"/>
                    </pic:cNvPicPr>
                  </pic:nvPicPr>
                  <pic:blipFill>
                    <a:blip r:embed="rId13"/>
                    <a:stretch>
                      <a:fillRect/>
                    </a:stretch>
                  </pic:blipFill>
                  <pic:spPr>
                    <a:xfrm>
                      <a:off x="0" y="0"/>
                      <a:ext cx="5293360" cy="3945255"/>
                    </a:xfrm>
                    <a:prstGeom prst="rect">
                      <a:avLst/>
                    </a:prstGeom>
                    <a:noFill/>
                    <a:ln>
                      <a:noFill/>
                    </a:ln>
                  </pic:spPr>
                </pic:pic>
              </a:graphicData>
            </a:graphic>
          </wp:inline>
        </w:drawing>
      </w:r>
    </w:p>
    <w:p w14:paraId="711EF11A">
      <w:pPr>
        <w:pStyle w:val="26"/>
        <w:bidi w:val="0"/>
        <w:rPr>
          <w:rFonts w:hint="eastAsia"/>
          <w:lang w:val="en-US" w:eastAsia="zh-CN"/>
        </w:rPr>
      </w:pPr>
      <w:r>
        <w:t>图</w:t>
      </w:r>
      <w:r>
        <w:rPr>
          <w:rFonts w:hint="eastAsia"/>
          <w:lang w:val="en-US" w:eastAsia="zh-CN"/>
        </w:rPr>
        <w:t>2.4-5</w:t>
      </w:r>
      <w:r>
        <w:t xml:space="preserve">  </w:t>
      </w:r>
      <w:r>
        <w:rPr>
          <w:rFonts w:hint="eastAsia"/>
          <w:lang w:val="en-US" w:eastAsia="zh-CN"/>
        </w:rPr>
        <w:t>下部凹陷</w:t>
      </w:r>
      <w:r>
        <w:t>采场</w:t>
      </w:r>
      <w:r>
        <w:rPr>
          <w:rFonts w:hint="default"/>
        </w:rPr>
        <w:t>照片</w:t>
      </w:r>
    </w:p>
    <w:p w14:paraId="7D17CA3B">
      <w:pPr>
        <w:pStyle w:val="26"/>
        <w:bidi w:val="0"/>
        <w:rPr>
          <w:rFonts w:hint="eastAsia"/>
          <w:lang w:eastAsia="zh-CN"/>
        </w:rPr>
      </w:pPr>
      <w:r>
        <w:rPr>
          <w:rFonts w:hint="eastAsia"/>
          <w:lang w:eastAsia="zh-CN"/>
        </w:rPr>
        <w:drawing>
          <wp:inline distT="0" distB="0" distL="114300" distR="114300">
            <wp:extent cx="5079365" cy="4154805"/>
            <wp:effectExtent l="0" t="0" r="6985" b="17145"/>
            <wp:docPr id="10" name="图片 14" descr="99990e1a641e302d2fd589c0edc3c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4" descr="99990e1a641e302d2fd589c0edc3c18"/>
                    <pic:cNvPicPr>
                      <a:picLocks noChangeAspect="1"/>
                    </pic:cNvPicPr>
                  </pic:nvPicPr>
                  <pic:blipFill>
                    <a:blip r:embed="rId14"/>
                    <a:stretch>
                      <a:fillRect/>
                    </a:stretch>
                  </pic:blipFill>
                  <pic:spPr>
                    <a:xfrm>
                      <a:off x="0" y="0"/>
                      <a:ext cx="5079365" cy="4154805"/>
                    </a:xfrm>
                    <a:prstGeom prst="rect">
                      <a:avLst/>
                    </a:prstGeom>
                    <a:noFill/>
                    <a:ln>
                      <a:noFill/>
                    </a:ln>
                  </pic:spPr>
                </pic:pic>
              </a:graphicData>
            </a:graphic>
          </wp:inline>
        </w:drawing>
      </w:r>
    </w:p>
    <w:p w14:paraId="0E52304F">
      <w:pPr>
        <w:pStyle w:val="26"/>
        <w:bidi w:val="0"/>
        <w:rPr>
          <w:rFonts w:hint="eastAsia"/>
        </w:rPr>
      </w:pPr>
      <w:r>
        <w:t>图2</w:t>
      </w:r>
      <w:r>
        <w:rPr>
          <w:rFonts w:hint="eastAsia"/>
          <w:lang w:val="en-US" w:eastAsia="zh-CN"/>
        </w:rPr>
        <w:t>.4-6</w:t>
      </w:r>
      <w:r>
        <w:t xml:space="preserve">  </w:t>
      </w:r>
      <w:r>
        <w:rPr>
          <w:rFonts w:hint="eastAsia"/>
          <w:lang w:eastAsia="zh-CN"/>
        </w:rPr>
        <w:t>避炮棚</w:t>
      </w:r>
      <w:r>
        <w:rPr>
          <w:rFonts w:hint="default"/>
        </w:rPr>
        <w:t>照片</w:t>
      </w:r>
    </w:p>
    <w:p w14:paraId="11AD6F7C">
      <w:pPr>
        <w:pStyle w:val="18"/>
        <w:bidi w:val="0"/>
        <w:rPr>
          <w:rFonts w:hint="default"/>
          <w:lang w:val="en-US" w:eastAsia="zh-CN"/>
        </w:rPr>
      </w:pPr>
      <w:r>
        <w:rPr>
          <w:rFonts w:hint="eastAsia"/>
          <w:lang w:val="en-US" w:eastAsia="zh-CN"/>
        </w:rPr>
        <w:t>（3）</w:t>
      </w:r>
      <w:r>
        <w:rPr>
          <w:rFonts w:hint="default"/>
          <w:lang w:val="en-US" w:eastAsia="zh-CN"/>
        </w:rPr>
        <w:t>穿孔爆破</w:t>
      </w:r>
    </w:p>
    <w:p w14:paraId="0B688697">
      <w:pPr>
        <w:pStyle w:val="18"/>
        <w:bidi w:val="0"/>
        <w:rPr>
          <w:rFonts w:hint="default"/>
          <w:lang w:val="en-US" w:eastAsia="zh-CN"/>
        </w:rPr>
      </w:pPr>
      <w:r>
        <w:rPr>
          <w:rFonts w:hint="eastAsia"/>
          <w:lang w:val="en-US" w:eastAsia="zh-CN"/>
        </w:rPr>
        <w:t>1、</w:t>
      </w:r>
      <w:r>
        <w:rPr>
          <w:rFonts w:hint="default"/>
          <w:lang w:val="en-US" w:eastAsia="zh-CN"/>
        </w:rPr>
        <w:t>设计情况</w:t>
      </w:r>
    </w:p>
    <w:p w14:paraId="32E23F32">
      <w:pPr>
        <w:pStyle w:val="18"/>
        <w:bidi w:val="0"/>
        <w:rPr>
          <w:rFonts w:hint="default"/>
          <w:lang w:val="en-US" w:eastAsia="zh-CN"/>
        </w:rPr>
      </w:pPr>
      <w:r>
        <w:rPr>
          <w:rFonts w:hint="default"/>
          <w:lang w:val="en-US" w:eastAsia="zh-CN"/>
        </w:rPr>
        <w:t>穿孔作业：地表浅部风化带部分岩石、矿石可以用挖掘机直接剥离、装车，不必进行爆破。根据矿岩的物理机械性质，国内露天矿山穿孔设备的装备水平，设计利用KQL-100B型潜孔钻机，利用配套移动式空压机为其供风，露天钻孔采用干式凿岩，潜孔钻机配备机械除尘装置和灭火器。</w:t>
      </w:r>
    </w:p>
    <w:p w14:paraId="7DA33B0D">
      <w:pPr>
        <w:pStyle w:val="18"/>
        <w:bidi w:val="0"/>
        <w:rPr>
          <w:rFonts w:hint="default"/>
          <w:lang w:val="en-US" w:eastAsia="zh-CN"/>
        </w:rPr>
      </w:pPr>
      <w:r>
        <w:rPr>
          <w:rFonts w:hint="default"/>
          <w:lang w:val="en-US" w:eastAsia="zh-CN"/>
        </w:rPr>
        <w:t>爆破作业：爆破采用中深孔爆破，炮孔深度10m，超深1m，最小抵抗线3.0m，填塞长度3.0m，孔径110mm，炮孔间排距3.5m×3.0m。炸药选用乳化炸药，起爆方法为采用数码雷管，引爆炸药。采场边坡采用KQL-100B型潜孔钻机开凿预裂爆破孔，预裂孔直径120mm，孔距1.2m，抵抗线1.2m，预裂孔先行爆破后，在最终边帮台阶坡顶线上形成一条较平整的预裂缝，可减弱其后续爆破所产生的爆轰波对最终边帮的冲击与破坏作用。以上穿孔爆破参数可根据实际爆破条件进行优化设计、调整，改善爆破效果。爆破前，应将潜孔钻机、挖掘机、空压机等移动设备开到安全地点。在机械开采区域改为大型液压劈裂机劈裂矿岩石或采用液压挖掘机改装破碎锤破碎矿岩石。机械开采时台阶高度为10m，并段后台阶高度为20m，与设计台阶高度一致。在露天采场附近设置1个避炮棚安全设施，避炮棚背向采场，以供爆破员避炮之用。根据《爆破安全规程》(GB6722-2014)相关规定，结合矿山实际地形条件，设计矿体爆破警戒圈为300m。</w:t>
      </w:r>
    </w:p>
    <w:p w14:paraId="2ED79180">
      <w:pPr>
        <w:pStyle w:val="18"/>
        <w:numPr>
          <w:ilvl w:val="0"/>
          <w:numId w:val="0"/>
        </w:numPr>
        <w:bidi w:val="0"/>
        <w:ind w:firstLine="560" w:firstLineChars="200"/>
        <w:rPr>
          <w:rFonts w:hint="eastAsia"/>
          <w:lang w:val="en-US" w:eastAsia="zh-CN"/>
        </w:rPr>
      </w:pPr>
      <w:r>
        <w:rPr>
          <w:rFonts w:hint="eastAsia" w:ascii="Times New Roman" w:hAnsi="Times New Roman" w:eastAsia="宋体" w:cstheme="minorBidi"/>
          <w:sz w:val="28"/>
          <w:szCs w:val="28"/>
          <w:lang w:val="en-US" w:eastAsia="zh-CN"/>
        </w:rPr>
        <w:t>2、</w:t>
      </w:r>
      <w:r>
        <w:rPr>
          <w:rFonts w:hint="eastAsia"/>
          <w:lang w:val="en-US" w:eastAsia="zh-CN"/>
        </w:rPr>
        <w:t>建设情况</w:t>
      </w:r>
    </w:p>
    <w:p w14:paraId="7E4252E8">
      <w:pPr>
        <w:pStyle w:val="18"/>
        <w:bidi w:val="0"/>
        <w:rPr>
          <w:rFonts w:hint="default"/>
          <w:lang w:val="en-US" w:eastAsia="zh-CN"/>
        </w:rPr>
      </w:pPr>
      <w:r>
        <w:rPr>
          <w:rFonts w:hint="default"/>
          <w:lang w:val="en-US" w:eastAsia="zh-CN"/>
        </w:rPr>
        <w:t>矿区爆破工作均委托给海城市聚威爆破有限公司，该企业具备爆破作业单位许可证，资质等级为三级，资质有效期至2025年6月2日，具备相应的《爆破作业单位许可证》（营业性，编号2100001300223）和《营业执照》，且证件均在有效期内，为矿区提供爆破一体化服务。矿山现采用KQL-100B型潜孔钻机进行穿孔作业，配</w:t>
      </w:r>
      <w:r>
        <w:rPr>
          <w:rFonts w:hint="eastAsia"/>
          <w:lang w:val="en-US" w:eastAsia="zh-CN"/>
        </w:rPr>
        <w:t>XRHS666</w:t>
      </w:r>
      <w:r>
        <w:rPr>
          <w:rFonts w:hint="default"/>
          <w:lang w:val="en-US" w:eastAsia="zh-CN"/>
        </w:rPr>
        <w:t>空压机</w:t>
      </w:r>
      <w:r>
        <w:rPr>
          <w:rFonts w:hint="eastAsia"/>
          <w:lang w:val="en-US" w:eastAsia="zh-CN"/>
        </w:rPr>
        <w:t>（额定流量21m</w:t>
      </w:r>
      <w:r>
        <w:rPr>
          <w:rFonts w:hint="eastAsia"/>
          <w:vertAlign w:val="superscript"/>
          <w:lang w:val="en-US" w:eastAsia="zh-CN"/>
        </w:rPr>
        <w:t>3</w:t>
      </w:r>
      <w:r>
        <w:rPr>
          <w:rFonts w:hint="eastAsia"/>
          <w:lang w:val="en-US" w:eastAsia="zh-CN"/>
        </w:rPr>
        <w:t>/min，额定转速2200r/min，额定压力2.07MPa）</w:t>
      </w:r>
      <w:r>
        <w:rPr>
          <w:rFonts w:hint="default"/>
          <w:lang w:val="en-US" w:eastAsia="zh-CN"/>
        </w:rPr>
        <w:t>供风，空压机具备相应特种设备检测报告，设备运转正常且合格，露天凿岩采用干式凿岩配备机械除尘装置。爆破采用中深孔爆破，炮孔深度10m，超深1m，最小抵抗线3.0m，填塞长度3.0m，孔径110mm，炮孔间排距3.5m×3.0m。采场爆破采用矿用乳化炸药，人工装药，数码毫秒雷管起爆系统，爆破警戒范围设为300m</w:t>
      </w:r>
      <w:r>
        <w:rPr>
          <w:rFonts w:hint="eastAsia"/>
          <w:lang w:val="en-US" w:eastAsia="zh-CN"/>
        </w:rPr>
        <w:t>，</w:t>
      </w:r>
      <w:r>
        <w:rPr>
          <w:rFonts w:hint="default"/>
          <w:lang w:val="en-US" w:eastAsia="zh-CN"/>
        </w:rPr>
        <w:t>在距爆破作业点保证爆破冲击波安全允许距离设置可移动式钢结构避炮棚，并且避炮棚开口背向爆破飞石方向。</w:t>
      </w:r>
    </w:p>
    <w:p w14:paraId="145D03EE">
      <w:pPr>
        <w:pStyle w:val="26"/>
        <w:bidi w:val="0"/>
        <w:rPr>
          <w:rFonts w:hint="default"/>
          <w:lang w:val="en-US" w:eastAsia="zh-CN"/>
        </w:rPr>
      </w:pPr>
      <w:r>
        <w:rPr>
          <w:rFonts w:hint="default"/>
          <w:lang w:val="en-US" w:eastAsia="zh-CN"/>
        </w:rPr>
        <w:drawing>
          <wp:inline distT="0" distB="0" distL="114300" distR="114300">
            <wp:extent cx="5273040" cy="3954780"/>
            <wp:effectExtent l="0" t="0" r="0" b="7620"/>
            <wp:docPr id="32" name="图片 32" descr="IMG2025032015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IMG20250320153854"/>
                    <pic:cNvPicPr>
                      <a:picLocks noChangeAspect="1"/>
                    </pic:cNvPicPr>
                  </pic:nvPicPr>
                  <pic:blipFill>
                    <a:blip r:embed="rId15"/>
                    <a:stretch>
                      <a:fillRect/>
                    </a:stretch>
                  </pic:blipFill>
                  <pic:spPr>
                    <a:xfrm>
                      <a:off x="0" y="0"/>
                      <a:ext cx="5273040" cy="3954780"/>
                    </a:xfrm>
                    <a:prstGeom prst="rect">
                      <a:avLst/>
                    </a:prstGeom>
                  </pic:spPr>
                </pic:pic>
              </a:graphicData>
            </a:graphic>
          </wp:inline>
        </w:drawing>
      </w:r>
    </w:p>
    <w:p w14:paraId="7B451175">
      <w:pPr>
        <w:pStyle w:val="26"/>
        <w:bidi w:val="0"/>
        <w:rPr>
          <w:rFonts w:hint="default"/>
        </w:rPr>
      </w:pPr>
      <w:r>
        <w:rPr>
          <w:rFonts w:hint="default"/>
        </w:rPr>
        <w:t>图2</w:t>
      </w:r>
      <w:r>
        <w:rPr>
          <w:rFonts w:hint="eastAsia"/>
          <w:lang w:val="en-US" w:eastAsia="zh-CN"/>
        </w:rPr>
        <w:t xml:space="preserve">.4-7 </w:t>
      </w:r>
      <w:r>
        <w:rPr>
          <w:rFonts w:hint="default"/>
        </w:rPr>
        <w:t xml:space="preserve"> </w:t>
      </w:r>
      <w:r>
        <w:rPr>
          <w:rFonts w:hint="eastAsia"/>
          <w:lang w:val="en-US" w:eastAsia="zh-CN"/>
        </w:rPr>
        <w:t>潜孔钻机</w:t>
      </w:r>
      <w:r>
        <w:rPr>
          <w:rFonts w:hint="default"/>
        </w:rPr>
        <w:t>照片</w:t>
      </w:r>
    </w:p>
    <w:p w14:paraId="506F4D0B">
      <w:pPr>
        <w:pStyle w:val="18"/>
        <w:rPr>
          <w:rFonts w:hint="default"/>
        </w:rPr>
      </w:pPr>
      <w:r>
        <w:rPr>
          <w:rFonts w:hint="default"/>
        </w:rPr>
        <w:t>矿区东侧及北侧有工业厂房，为保证厂房安全，</w:t>
      </w:r>
      <w:r>
        <w:rPr>
          <w:rFonts w:hint="eastAsia"/>
          <w:lang w:val="en-US" w:eastAsia="zh-CN"/>
        </w:rPr>
        <w:t>在</w:t>
      </w:r>
      <w:r>
        <w:rPr>
          <w:rFonts w:hint="default"/>
        </w:rPr>
        <w:t>厂房75m范围内采用机械开采方式进行开采。在机械开采区域采用大型液压劈裂机劈裂矿岩石或采用液压挖掘机改装破碎锤破碎矿岩石。</w:t>
      </w:r>
    </w:p>
    <w:p w14:paraId="7514B5DB">
      <w:pPr>
        <w:pStyle w:val="26"/>
        <w:bidi w:val="0"/>
        <w:rPr>
          <w:rFonts w:hint="default"/>
          <w:lang w:val="en-US" w:eastAsia="zh-CN"/>
        </w:rPr>
      </w:pPr>
      <w:r>
        <w:rPr>
          <w:rFonts w:hint="eastAsia"/>
          <w:lang w:val="en-US" w:eastAsia="zh-CN"/>
        </w:rPr>
        <w:t>表2.4-6  机械开采与爆破开采分界线拐点坐标表</w:t>
      </w:r>
    </w:p>
    <w:p w14:paraId="20A6747E">
      <w:pPr>
        <w:pStyle w:val="18"/>
        <w:rPr>
          <w:rFonts w:hint="default"/>
        </w:rPr>
      </w:pPr>
    </w:p>
    <w:p w14:paraId="3A8C63D1">
      <w:pPr>
        <w:pStyle w:val="18"/>
        <w:numPr>
          <w:ilvl w:val="0"/>
          <w:numId w:val="0"/>
        </w:numPr>
        <w:bidi w:val="0"/>
        <w:ind w:firstLine="560" w:firstLineChars="200"/>
        <w:rPr>
          <w:rFonts w:hint="eastAsia"/>
          <w:lang w:val="en-US" w:eastAsia="zh-CN"/>
        </w:rPr>
      </w:pPr>
      <w:r>
        <w:rPr>
          <w:rFonts w:hint="eastAsia" w:ascii="Times New Roman" w:hAnsi="Times New Roman" w:eastAsia="宋体" w:cstheme="minorBidi"/>
          <w:sz w:val="28"/>
          <w:szCs w:val="28"/>
          <w:lang w:val="en-US" w:eastAsia="zh-CN"/>
        </w:rPr>
        <w:t>（4）</w:t>
      </w:r>
      <w:r>
        <w:rPr>
          <w:rFonts w:hint="eastAsia"/>
          <w:lang w:val="en-US" w:eastAsia="zh-CN"/>
        </w:rPr>
        <w:t>铲装作业</w:t>
      </w:r>
    </w:p>
    <w:p w14:paraId="7DCBAFDC">
      <w:pPr>
        <w:pStyle w:val="18"/>
        <w:bidi w:val="0"/>
        <w:rPr>
          <w:rFonts w:hint="default"/>
          <w:lang w:val="en-US" w:eastAsia="zh-CN"/>
        </w:rPr>
      </w:pPr>
      <w:r>
        <w:rPr>
          <w:rFonts w:hint="eastAsia"/>
          <w:lang w:val="en-US" w:eastAsia="zh-CN"/>
        </w:rPr>
        <w:t>1、</w:t>
      </w:r>
      <w:r>
        <w:rPr>
          <w:rFonts w:hint="default"/>
          <w:lang w:val="en-US" w:eastAsia="zh-CN"/>
        </w:rPr>
        <w:t>设计情况</w:t>
      </w:r>
    </w:p>
    <w:p w14:paraId="0D4FFA78">
      <w:pPr>
        <w:pStyle w:val="18"/>
        <w:bidi w:val="0"/>
        <w:rPr>
          <w:rFonts w:hint="default"/>
          <w:lang w:val="en-US" w:eastAsia="zh-CN"/>
        </w:rPr>
      </w:pPr>
      <w:r>
        <w:rPr>
          <w:rFonts w:hint="default"/>
          <w:lang w:val="en-US" w:eastAsia="zh-CN"/>
        </w:rPr>
        <w:t>根据该露天采场的生产规模、矿体的赋存条件、开采技术条件及与运输、穿孔设备相配套等要求，设计采用矿山原有3台斗容1.4m</w:t>
      </w:r>
      <w:r>
        <w:rPr>
          <w:rFonts w:hint="default"/>
          <w:vertAlign w:val="superscript"/>
          <w:lang w:val="en-US" w:eastAsia="zh-CN"/>
        </w:rPr>
        <w:t>3</w:t>
      </w:r>
      <w:r>
        <w:rPr>
          <w:rFonts w:hint="default"/>
          <w:lang w:val="en-US" w:eastAsia="zh-CN"/>
        </w:rPr>
        <w:t>挖掘机进行铲装作业。矿山年平均采剥总量为23.4万m</w:t>
      </w:r>
      <w:r>
        <w:rPr>
          <w:rFonts w:hint="default"/>
          <w:vertAlign w:val="superscript"/>
          <w:lang w:val="en-US" w:eastAsia="zh-CN"/>
        </w:rPr>
        <w:t>3</w:t>
      </w:r>
      <w:r>
        <w:rPr>
          <w:rFonts w:hint="default"/>
          <w:lang w:val="en-US" w:eastAsia="zh-CN"/>
        </w:rPr>
        <w:t>/a。</w:t>
      </w:r>
    </w:p>
    <w:p w14:paraId="192BDC23">
      <w:pPr>
        <w:pStyle w:val="18"/>
        <w:numPr>
          <w:ilvl w:val="0"/>
          <w:numId w:val="0"/>
        </w:numPr>
        <w:bidi w:val="0"/>
        <w:ind w:firstLine="560" w:firstLineChars="200"/>
        <w:rPr>
          <w:rFonts w:hint="default"/>
          <w:lang w:val="en-US" w:eastAsia="zh-CN"/>
        </w:rPr>
      </w:pPr>
      <w:r>
        <w:rPr>
          <w:rFonts w:hint="default" w:ascii="Times New Roman" w:hAnsi="Times New Roman" w:eastAsia="宋体" w:cstheme="minorBidi"/>
          <w:sz w:val="28"/>
          <w:szCs w:val="28"/>
          <w:lang w:val="en-US" w:eastAsia="zh-CN"/>
        </w:rPr>
        <w:t>2、</w:t>
      </w:r>
      <w:r>
        <w:rPr>
          <w:rFonts w:hint="default"/>
          <w:lang w:val="en-US" w:eastAsia="zh-CN"/>
        </w:rPr>
        <w:t>建设情况</w:t>
      </w:r>
    </w:p>
    <w:p w14:paraId="0C7D88B5">
      <w:pPr>
        <w:pStyle w:val="18"/>
        <w:numPr>
          <w:ilvl w:val="0"/>
          <w:numId w:val="0"/>
        </w:numPr>
        <w:bidi w:val="0"/>
        <w:ind w:firstLine="560" w:firstLineChars="200"/>
        <w:rPr>
          <w:rFonts w:hint="default"/>
          <w:lang w:val="en-US" w:eastAsia="zh-CN"/>
        </w:rPr>
      </w:pPr>
      <w:r>
        <w:rPr>
          <w:rFonts w:hint="default"/>
          <w:lang w:val="en-US" w:eastAsia="zh-CN"/>
        </w:rPr>
        <w:t>根据矿山生产能力及每天出矿要求，采矿剥离采用矿山原有3台斗容1.4m</w:t>
      </w:r>
      <w:r>
        <w:rPr>
          <w:rFonts w:hint="default"/>
          <w:vertAlign w:val="superscript"/>
          <w:lang w:val="en-US" w:eastAsia="zh-CN"/>
        </w:rPr>
        <w:t>3</w:t>
      </w:r>
      <w:r>
        <w:rPr>
          <w:rFonts w:hint="default"/>
          <w:lang w:val="en-US" w:eastAsia="zh-CN"/>
        </w:rPr>
        <w:t>液压挖掘机进行铲装作业。铲装出来的矿石由18台20t的运输汽车运往矿石加工厂进行加工后运往外部销售。另外，矿山在80m铲装运输水平设置设置临时堆土场，用于废石堆放。矿区运输设备能力和型号与安全设施设计一致，铲装、运输工艺和运输设备能力，符合安全设施设计要求。</w:t>
      </w:r>
    </w:p>
    <w:p w14:paraId="29D2A2B5">
      <w:pPr>
        <w:pStyle w:val="26"/>
        <w:bidi w:val="0"/>
        <w:rPr>
          <w:rFonts w:hint="default"/>
          <w:lang w:val="en-US" w:eastAsia="zh-CN"/>
        </w:rPr>
      </w:pPr>
      <w:r>
        <w:rPr>
          <w:rFonts w:hint="default"/>
          <w:lang w:val="en-US" w:eastAsia="zh-CN"/>
        </w:rPr>
        <w:drawing>
          <wp:inline distT="0" distB="0" distL="114300" distR="114300">
            <wp:extent cx="5243830" cy="3932555"/>
            <wp:effectExtent l="0" t="0" r="13970" b="14605"/>
            <wp:docPr id="31" name="图片 31" descr="IMG20250320154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IMG20250320154330"/>
                    <pic:cNvPicPr>
                      <a:picLocks noChangeAspect="1"/>
                    </pic:cNvPicPr>
                  </pic:nvPicPr>
                  <pic:blipFill>
                    <a:blip r:embed="rId16"/>
                    <a:stretch>
                      <a:fillRect/>
                    </a:stretch>
                  </pic:blipFill>
                  <pic:spPr>
                    <a:xfrm>
                      <a:off x="0" y="0"/>
                      <a:ext cx="5243830" cy="3932555"/>
                    </a:xfrm>
                    <a:prstGeom prst="rect">
                      <a:avLst/>
                    </a:prstGeom>
                  </pic:spPr>
                </pic:pic>
              </a:graphicData>
            </a:graphic>
          </wp:inline>
        </w:drawing>
      </w:r>
    </w:p>
    <w:p w14:paraId="351E8E16">
      <w:pPr>
        <w:pStyle w:val="26"/>
        <w:bidi w:val="0"/>
        <w:rPr>
          <w:rFonts w:hint="default"/>
        </w:rPr>
      </w:pPr>
      <w:r>
        <w:rPr>
          <w:rFonts w:hint="default"/>
        </w:rPr>
        <w:t>图2</w:t>
      </w:r>
      <w:r>
        <w:rPr>
          <w:rFonts w:hint="eastAsia"/>
          <w:lang w:val="en-US" w:eastAsia="zh-CN"/>
        </w:rPr>
        <w:t xml:space="preserve">.4-8 </w:t>
      </w:r>
      <w:r>
        <w:rPr>
          <w:rFonts w:hint="default"/>
        </w:rPr>
        <w:t xml:space="preserve"> </w:t>
      </w:r>
      <w:r>
        <w:rPr>
          <w:rFonts w:hint="eastAsia"/>
          <w:lang w:val="en-US" w:eastAsia="zh-CN"/>
        </w:rPr>
        <w:t>装载机</w:t>
      </w:r>
      <w:r>
        <w:rPr>
          <w:rFonts w:hint="default"/>
        </w:rPr>
        <w:t>照片</w:t>
      </w:r>
    </w:p>
    <w:p w14:paraId="304160DD">
      <w:pPr>
        <w:pStyle w:val="26"/>
        <w:bidi w:val="0"/>
        <w:rPr>
          <w:rFonts w:hint="eastAsia"/>
          <w:lang w:val="en-US" w:eastAsia="zh-CN"/>
        </w:rPr>
      </w:pPr>
      <w:r>
        <w:rPr>
          <w:rFonts w:hint="eastAsia"/>
          <w:lang w:val="en-US" w:eastAsia="zh-CN"/>
        </w:rPr>
        <w:drawing>
          <wp:inline distT="0" distB="0" distL="114300" distR="114300">
            <wp:extent cx="5243830" cy="3932555"/>
            <wp:effectExtent l="0" t="0" r="13970" b="14605"/>
            <wp:docPr id="30" name="图片 30" descr="IMG20250320153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IMG20250320153533"/>
                    <pic:cNvPicPr>
                      <a:picLocks noChangeAspect="1"/>
                    </pic:cNvPicPr>
                  </pic:nvPicPr>
                  <pic:blipFill>
                    <a:blip r:embed="rId17"/>
                    <a:stretch>
                      <a:fillRect/>
                    </a:stretch>
                  </pic:blipFill>
                  <pic:spPr>
                    <a:xfrm>
                      <a:off x="0" y="0"/>
                      <a:ext cx="5243830" cy="3932555"/>
                    </a:xfrm>
                    <a:prstGeom prst="rect">
                      <a:avLst/>
                    </a:prstGeom>
                  </pic:spPr>
                </pic:pic>
              </a:graphicData>
            </a:graphic>
          </wp:inline>
        </w:drawing>
      </w:r>
    </w:p>
    <w:p w14:paraId="60D2C449">
      <w:pPr>
        <w:pStyle w:val="26"/>
        <w:bidi w:val="0"/>
        <w:rPr>
          <w:rFonts w:hint="default"/>
        </w:rPr>
      </w:pPr>
      <w:r>
        <w:rPr>
          <w:rFonts w:hint="default"/>
        </w:rPr>
        <w:t>图2</w:t>
      </w:r>
      <w:r>
        <w:rPr>
          <w:rFonts w:hint="eastAsia"/>
          <w:lang w:val="en-US" w:eastAsia="zh-CN"/>
        </w:rPr>
        <w:t xml:space="preserve">.4-9 </w:t>
      </w:r>
      <w:r>
        <w:rPr>
          <w:rFonts w:hint="default"/>
        </w:rPr>
        <w:t xml:space="preserve"> </w:t>
      </w:r>
      <w:r>
        <w:rPr>
          <w:rFonts w:hint="eastAsia"/>
          <w:lang w:val="en-US" w:eastAsia="zh-CN"/>
        </w:rPr>
        <w:t>挖掘机</w:t>
      </w:r>
      <w:r>
        <w:rPr>
          <w:rFonts w:hint="default"/>
        </w:rPr>
        <w:t>照片</w:t>
      </w:r>
    </w:p>
    <w:p w14:paraId="19BDE679">
      <w:pPr>
        <w:pStyle w:val="26"/>
        <w:bidi w:val="0"/>
        <w:rPr>
          <w:rFonts w:hint="eastAsia"/>
          <w:lang w:eastAsia="zh-CN"/>
        </w:rPr>
      </w:pPr>
      <w:r>
        <w:rPr>
          <w:rFonts w:hint="eastAsia"/>
          <w:lang w:eastAsia="zh-CN"/>
        </w:rPr>
        <w:drawing>
          <wp:inline distT="0" distB="0" distL="114300" distR="114300">
            <wp:extent cx="5368925" cy="3980180"/>
            <wp:effectExtent l="0" t="0" r="10795" b="12700"/>
            <wp:docPr id="29" name="图片 12" descr="3432f216d4801bcf651e9ae975e16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2" descr="3432f216d4801bcf651e9ae975e16ab"/>
                    <pic:cNvPicPr>
                      <a:picLocks noChangeAspect="1"/>
                    </pic:cNvPicPr>
                  </pic:nvPicPr>
                  <pic:blipFill>
                    <a:blip r:embed="rId18"/>
                    <a:stretch>
                      <a:fillRect/>
                    </a:stretch>
                  </pic:blipFill>
                  <pic:spPr>
                    <a:xfrm>
                      <a:off x="0" y="0"/>
                      <a:ext cx="5368925" cy="3980180"/>
                    </a:xfrm>
                    <a:prstGeom prst="rect">
                      <a:avLst/>
                    </a:prstGeom>
                    <a:noFill/>
                    <a:ln>
                      <a:noFill/>
                    </a:ln>
                  </pic:spPr>
                </pic:pic>
              </a:graphicData>
            </a:graphic>
          </wp:inline>
        </w:drawing>
      </w:r>
    </w:p>
    <w:p w14:paraId="5932EB30">
      <w:pPr>
        <w:pStyle w:val="26"/>
        <w:bidi w:val="0"/>
        <w:rPr>
          <w:rFonts w:hint="default"/>
          <w:lang w:val="en-US" w:eastAsia="zh-CN"/>
        </w:rPr>
      </w:pPr>
      <w:r>
        <w:rPr>
          <w:rFonts w:hint="default"/>
        </w:rPr>
        <w:t>图2</w:t>
      </w:r>
      <w:r>
        <w:rPr>
          <w:rFonts w:hint="eastAsia"/>
          <w:lang w:val="en-US" w:eastAsia="zh-CN"/>
        </w:rPr>
        <w:t xml:space="preserve">.4-10 </w:t>
      </w:r>
      <w:r>
        <w:rPr>
          <w:rFonts w:hint="default"/>
        </w:rPr>
        <w:t xml:space="preserve"> </w:t>
      </w:r>
      <w:r>
        <w:rPr>
          <w:rFonts w:hint="eastAsia"/>
          <w:lang w:eastAsia="zh-CN"/>
        </w:rPr>
        <w:t>运输汽车</w:t>
      </w:r>
      <w:r>
        <w:rPr>
          <w:rFonts w:hint="default"/>
        </w:rPr>
        <w:t>照片</w:t>
      </w:r>
    </w:p>
    <w:p w14:paraId="34388811">
      <w:pPr>
        <w:pStyle w:val="25"/>
        <w:bidi w:val="0"/>
        <w:ind w:left="720" w:leftChars="0" w:hanging="720" w:firstLineChars="0"/>
        <w:rPr>
          <w:rFonts w:hint="default"/>
          <w:lang w:val="en-US" w:eastAsia="zh-CN"/>
        </w:rPr>
      </w:pPr>
      <w:r>
        <w:rPr>
          <w:rFonts w:hint="eastAsia"/>
          <w:lang w:val="en-US" w:eastAsia="zh-CN"/>
        </w:rPr>
        <w:t>开拓运输</w:t>
      </w:r>
    </w:p>
    <w:p w14:paraId="255759DE">
      <w:pPr>
        <w:pStyle w:val="18"/>
        <w:rPr>
          <w:rFonts w:hint="default"/>
          <w:lang w:val="en-US" w:eastAsia="zh-CN"/>
        </w:rPr>
      </w:pPr>
      <w:r>
        <w:rPr>
          <w:rFonts w:hint="eastAsia"/>
          <w:lang w:val="en-US" w:eastAsia="zh-CN"/>
        </w:rPr>
        <w:t>（1）</w:t>
      </w:r>
      <w:r>
        <w:rPr>
          <w:rFonts w:hint="default"/>
          <w:lang w:val="en-US" w:eastAsia="zh-CN"/>
        </w:rPr>
        <w:t>设计情况</w:t>
      </w:r>
    </w:p>
    <w:p w14:paraId="20EE4AFD">
      <w:pPr>
        <w:pStyle w:val="18"/>
        <w:rPr>
          <w:rFonts w:hint="default"/>
          <w:lang w:val="en-US" w:eastAsia="zh-CN"/>
        </w:rPr>
      </w:pPr>
      <w:r>
        <w:rPr>
          <w:rFonts w:hint="default"/>
          <w:lang w:val="en-US" w:eastAsia="zh-CN"/>
        </w:rPr>
        <w:t>通过境界内各工作水平的道路与境界外公路道路，把露天采场内外，矿山内外相互连通起来，使之成为完整的公路运输系统。</w:t>
      </w:r>
    </w:p>
    <w:p w14:paraId="611135DC">
      <w:pPr>
        <w:pStyle w:val="18"/>
        <w:rPr>
          <w:rFonts w:hint="default"/>
          <w:lang w:val="en-US" w:eastAsia="zh-CN"/>
        </w:rPr>
      </w:pPr>
      <w:r>
        <w:rPr>
          <w:rFonts w:hint="default"/>
          <w:lang w:val="en-US" w:eastAsia="zh-CN"/>
        </w:rPr>
        <w:t>露天矿采场境界内与境界外主干线公路行车路面宽度双车道8m，支线单车道4.5m，道路纵向限制坡度为8%，最小曲线半径为15m，主干线为Ⅲ级道路。</w:t>
      </w:r>
    </w:p>
    <w:p w14:paraId="71872184">
      <w:pPr>
        <w:pStyle w:val="18"/>
        <w:rPr>
          <w:rFonts w:hint="default"/>
          <w:lang w:val="en-US" w:eastAsia="zh-CN"/>
        </w:rPr>
      </w:pPr>
      <w:r>
        <w:rPr>
          <w:rFonts w:hint="default"/>
          <w:lang w:val="en-US" w:eastAsia="zh-CN"/>
        </w:rPr>
        <w:t>矿区内固定公路为碎石路面，移动线路为简易路面。为了保证路面的平整，应经常碾压维护，以改善行车条件，减少机械及轮胎磨损消耗，延长运输设备的使用寿命。采矿场内临时道路，须经推土机整平清理和碾压成路后方可行车。</w:t>
      </w:r>
    </w:p>
    <w:p w14:paraId="5FB3438E">
      <w:pPr>
        <w:pStyle w:val="18"/>
        <w:rPr>
          <w:rFonts w:hint="default"/>
          <w:lang w:val="en-US" w:eastAsia="zh-CN"/>
        </w:rPr>
      </w:pPr>
      <w:r>
        <w:rPr>
          <w:rFonts w:hint="eastAsia"/>
          <w:lang w:val="en-US" w:eastAsia="zh-CN"/>
        </w:rPr>
        <w:t>（2）</w:t>
      </w:r>
      <w:r>
        <w:rPr>
          <w:rFonts w:hint="default"/>
          <w:lang w:val="en-US" w:eastAsia="zh-CN"/>
        </w:rPr>
        <w:t>建设情况</w:t>
      </w:r>
    </w:p>
    <w:p w14:paraId="3AA71797">
      <w:pPr>
        <w:pStyle w:val="18"/>
        <w:rPr>
          <w:rFonts w:hint="default"/>
          <w:lang w:val="en-US" w:eastAsia="zh-CN"/>
        </w:rPr>
      </w:pPr>
      <w:r>
        <w:rPr>
          <w:rFonts w:hint="default"/>
          <w:lang w:val="en-US" w:eastAsia="zh-CN"/>
        </w:rPr>
        <w:t>露天采场场内采用</w:t>
      </w:r>
      <w:r>
        <w:rPr>
          <w:rFonts w:hint="eastAsia"/>
          <w:lang w:val="en-US" w:eastAsia="zh-CN"/>
        </w:rPr>
        <w:t>公路</w:t>
      </w:r>
      <w:r>
        <w:rPr>
          <w:rFonts w:hint="default"/>
          <w:lang w:val="en-US" w:eastAsia="zh-CN"/>
        </w:rPr>
        <w:t>开拓汽车运输，矿山运输道路采用三级道路，碎石铺路</w:t>
      </w:r>
      <w:r>
        <w:rPr>
          <w:rFonts w:hint="eastAsia"/>
          <w:lang w:val="en-US" w:eastAsia="zh-CN"/>
        </w:rPr>
        <w:t>，</w:t>
      </w:r>
      <w:r>
        <w:rPr>
          <w:rFonts w:hint="default"/>
          <w:lang w:val="en-US" w:eastAsia="zh-CN"/>
        </w:rPr>
        <w:t>折返式布置至+110m生产平台，矿区内行车路面宽度双车道8m，支线单车道4.5m，运输道路最大纵坡小于8%，最小曲线半径为15m。</w:t>
      </w:r>
      <w:r>
        <w:rPr>
          <w:rFonts w:hint="eastAsia"/>
          <w:lang w:val="en-US" w:eastAsia="zh-CN"/>
        </w:rPr>
        <w:t>运输设备</w:t>
      </w:r>
      <w:r>
        <w:rPr>
          <w:rFonts w:hint="default"/>
          <w:lang w:val="en-US" w:eastAsia="zh-CN"/>
        </w:rPr>
        <w:t>采场用1.4m</w:t>
      </w:r>
      <w:r>
        <w:rPr>
          <w:rFonts w:hint="default"/>
          <w:vertAlign w:val="superscript"/>
          <w:lang w:val="en-US" w:eastAsia="zh-CN"/>
        </w:rPr>
        <w:t>3</w:t>
      </w:r>
      <w:r>
        <w:rPr>
          <w:rFonts w:hint="default"/>
          <w:lang w:val="en-US" w:eastAsia="zh-CN"/>
        </w:rPr>
        <w:t>液压挖掘机采装作业，现有运输设备为20t自卸汽车运矿、岩</w:t>
      </w:r>
      <w:r>
        <w:rPr>
          <w:rFonts w:hint="eastAsia"/>
          <w:lang w:val="en-US" w:eastAsia="zh-CN"/>
        </w:rPr>
        <w:t>，</w:t>
      </w:r>
      <w:r>
        <w:rPr>
          <w:rFonts w:hint="default"/>
          <w:lang w:val="en-US" w:eastAsia="zh-CN"/>
        </w:rPr>
        <w:t>辅助设备主要为推土机和洒水车等</w:t>
      </w:r>
      <w:r>
        <w:rPr>
          <w:rFonts w:hint="eastAsia"/>
          <w:lang w:val="en-US" w:eastAsia="zh-CN"/>
        </w:rPr>
        <w:t>。汽车最大爬坡角度为29%，汽车最小转弯半径为≤8.5m。</w:t>
      </w:r>
      <w:r>
        <w:rPr>
          <w:rFonts w:hint="default"/>
          <w:lang w:val="en-US" w:eastAsia="zh-CN"/>
        </w:rPr>
        <w:t>在运输道路两侧设置了限速标志及“运输道路、减速慢行”等安全警示标志，工作平台和靠近露天边坡道路处设置安全挡墙。</w:t>
      </w:r>
    </w:p>
    <w:p w14:paraId="3951DB47">
      <w:pPr>
        <w:pStyle w:val="26"/>
        <w:bidi w:val="0"/>
        <w:rPr>
          <w:rFonts w:hint="eastAsia"/>
          <w:lang w:eastAsia="zh-CN"/>
        </w:rPr>
      </w:pPr>
      <w:r>
        <w:rPr>
          <w:rFonts w:hint="eastAsia"/>
          <w:lang w:eastAsia="zh-CN"/>
        </w:rPr>
        <w:drawing>
          <wp:inline distT="0" distB="0" distL="114300" distR="114300">
            <wp:extent cx="5280025" cy="3959860"/>
            <wp:effectExtent l="0" t="0" r="8255" b="2540"/>
            <wp:docPr id="9" name="图片 13" descr="IMG20241212102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3" descr="IMG20241212102546"/>
                    <pic:cNvPicPr>
                      <a:picLocks noChangeAspect="1"/>
                    </pic:cNvPicPr>
                  </pic:nvPicPr>
                  <pic:blipFill>
                    <a:blip r:embed="rId19"/>
                    <a:stretch>
                      <a:fillRect/>
                    </a:stretch>
                  </pic:blipFill>
                  <pic:spPr>
                    <a:xfrm>
                      <a:off x="0" y="0"/>
                      <a:ext cx="5280025" cy="3959860"/>
                    </a:xfrm>
                    <a:prstGeom prst="rect">
                      <a:avLst/>
                    </a:prstGeom>
                    <a:noFill/>
                    <a:ln>
                      <a:noFill/>
                    </a:ln>
                  </pic:spPr>
                </pic:pic>
              </a:graphicData>
            </a:graphic>
          </wp:inline>
        </w:drawing>
      </w:r>
    </w:p>
    <w:p w14:paraId="6A152130">
      <w:pPr>
        <w:pStyle w:val="26"/>
        <w:bidi w:val="0"/>
        <w:rPr>
          <w:rFonts w:hint="default"/>
          <w:lang w:val="en-US" w:eastAsia="zh-CN"/>
        </w:rPr>
      </w:pPr>
      <w:r>
        <w:rPr>
          <w:rFonts w:hint="default"/>
        </w:rPr>
        <w:t>图2</w:t>
      </w:r>
      <w:r>
        <w:rPr>
          <w:rFonts w:hint="eastAsia"/>
          <w:lang w:val="en-US" w:eastAsia="zh-CN"/>
        </w:rPr>
        <w:t xml:space="preserve">.4-11 </w:t>
      </w:r>
      <w:r>
        <w:rPr>
          <w:rFonts w:hint="default"/>
        </w:rPr>
        <w:t xml:space="preserve"> </w:t>
      </w:r>
      <w:r>
        <w:rPr>
          <w:rFonts w:hint="eastAsia"/>
          <w:lang w:eastAsia="zh-CN"/>
        </w:rPr>
        <w:t>运输道路</w:t>
      </w:r>
      <w:r>
        <w:rPr>
          <w:rFonts w:hint="default"/>
        </w:rPr>
        <w:t>照片</w:t>
      </w:r>
    </w:p>
    <w:p w14:paraId="4DD5AC59">
      <w:pPr>
        <w:pStyle w:val="25"/>
        <w:bidi w:val="0"/>
        <w:ind w:left="720" w:leftChars="0" w:hanging="720" w:firstLineChars="0"/>
        <w:rPr>
          <w:rFonts w:hint="default"/>
          <w:lang w:val="en-US" w:eastAsia="zh-CN"/>
        </w:rPr>
      </w:pPr>
      <w:r>
        <w:rPr>
          <w:rFonts w:hint="eastAsia"/>
          <w:lang w:val="en-US" w:eastAsia="zh-CN"/>
        </w:rPr>
        <w:t>采场防排水</w:t>
      </w:r>
    </w:p>
    <w:p w14:paraId="411EA695">
      <w:pPr>
        <w:pStyle w:val="18"/>
        <w:rPr>
          <w:rFonts w:hint="default"/>
          <w:lang w:val="en-US" w:eastAsia="zh-CN"/>
        </w:rPr>
      </w:pPr>
      <w:r>
        <w:rPr>
          <w:rFonts w:hint="eastAsia"/>
          <w:lang w:val="en-US" w:eastAsia="zh-CN"/>
        </w:rPr>
        <w:t>（1）</w:t>
      </w:r>
      <w:r>
        <w:rPr>
          <w:rFonts w:hint="default"/>
          <w:lang w:val="en-US" w:eastAsia="zh-CN"/>
        </w:rPr>
        <w:t>设计情况</w:t>
      </w:r>
    </w:p>
    <w:p w14:paraId="39809566">
      <w:pPr>
        <w:pStyle w:val="18"/>
        <w:rPr>
          <w:rFonts w:hint="default"/>
          <w:lang w:val="en-US" w:eastAsia="zh-CN"/>
        </w:rPr>
      </w:pPr>
      <w:r>
        <w:rPr>
          <w:rFonts w:hint="default"/>
          <w:lang w:val="en-US" w:eastAsia="zh-CN"/>
        </w:rPr>
        <w:t>矿区南部境界90m水平以上均为山坡露天开采，北部57m以上为山坡露天采场，可自流排水。北部57m水平标高以下为深凹露天采场，采用机械排水方式排水。57m水平以下部分的降水采用机械排水方式排出。遇超过设计防洪频率的洪水时，允许最低一个台阶临时淹没，淹没前应撤出一切人员和重要设备。排水方式采用露天采场坑底移动泵站集中上排系统，泵站设置在坑底集水坑附近，随采场工作面的下降而下降，集水坑尺寸为20m×10m×10m（长×宽×深）。</w:t>
      </w:r>
    </w:p>
    <w:p w14:paraId="060A76C9">
      <w:pPr>
        <w:pStyle w:val="18"/>
        <w:rPr>
          <w:rFonts w:hint="default"/>
          <w:lang w:val="en-US" w:eastAsia="zh-CN"/>
        </w:rPr>
      </w:pPr>
      <w:r>
        <w:rPr>
          <w:rFonts w:hint="default"/>
          <w:lang w:val="en-US" w:eastAsia="zh-CN"/>
        </w:rPr>
        <w:t>矿山未来服务期在开采时，日常露天采坑涌水量（Q</w:t>
      </w:r>
      <w:r>
        <w:rPr>
          <w:rFonts w:hint="default"/>
          <w:vertAlign w:val="subscript"/>
          <w:lang w:val="en-US" w:eastAsia="zh-CN"/>
        </w:rPr>
        <w:t>1</w:t>
      </w:r>
      <w:r>
        <w:rPr>
          <w:rFonts w:hint="default"/>
          <w:lang w:val="en-US" w:eastAsia="zh-CN"/>
        </w:rPr>
        <w:t>）+汇入采坑水量（Q</w:t>
      </w:r>
      <w:r>
        <w:rPr>
          <w:rFonts w:hint="default"/>
          <w:vertAlign w:val="subscript"/>
          <w:lang w:val="en-US" w:eastAsia="zh-CN"/>
        </w:rPr>
        <w:t>2</w:t>
      </w:r>
      <w:r>
        <w:rPr>
          <w:rFonts w:hint="default"/>
          <w:lang w:val="en-US" w:eastAsia="zh-CN"/>
        </w:rPr>
        <w:t>）+降水渗入水量（Q</w:t>
      </w:r>
      <w:r>
        <w:rPr>
          <w:rFonts w:hint="default"/>
          <w:vertAlign w:val="subscript"/>
          <w:lang w:val="en-US" w:eastAsia="zh-CN"/>
        </w:rPr>
        <w:t>3</w:t>
      </w:r>
      <w:r>
        <w:rPr>
          <w:rFonts w:hint="default"/>
          <w:lang w:val="en-US" w:eastAsia="zh-CN"/>
        </w:rPr>
        <w:t>）之和约367m</w:t>
      </w:r>
      <w:r>
        <w:rPr>
          <w:rFonts w:hint="default"/>
          <w:vertAlign w:val="superscript"/>
          <w:lang w:val="en-US" w:eastAsia="zh-CN"/>
        </w:rPr>
        <w:t>3</w:t>
      </w:r>
      <w:r>
        <w:rPr>
          <w:rFonts w:hint="default"/>
          <w:lang w:val="en-US" w:eastAsia="zh-CN"/>
        </w:rPr>
        <w:t>/d，雨季时短期最大水量可达</w:t>
      </w:r>
      <w:r>
        <w:rPr>
          <w:rFonts w:hint="eastAsia"/>
          <w:lang w:val="en-US" w:eastAsia="zh-CN"/>
        </w:rPr>
        <w:t>28787</w:t>
      </w:r>
      <w:r>
        <w:rPr>
          <w:rFonts w:hint="default"/>
          <w:lang w:val="en-US" w:eastAsia="zh-CN"/>
        </w:rPr>
        <w:t>m</w:t>
      </w:r>
      <w:r>
        <w:rPr>
          <w:rFonts w:hint="default"/>
          <w:vertAlign w:val="superscript"/>
          <w:lang w:val="en-US" w:eastAsia="zh-CN"/>
        </w:rPr>
        <w:t>3</w:t>
      </w:r>
      <w:r>
        <w:rPr>
          <w:rFonts w:hint="default"/>
          <w:lang w:val="en-US" w:eastAsia="zh-CN"/>
        </w:rPr>
        <w:t>/d。</w:t>
      </w:r>
    </w:p>
    <w:p w14:paraId="50AE5477">
      <w:pPr>
        <w:pStyle w:val="18"/>
        <w:rPr>
          <w:rFonts w:hint="default"/>
          <w:lang w:val="en-US" w:eastAsia="zh-CN"/>
        </w:rPr>
      </w:pPr>
      <w:r>
        <w:rPr>
          <w:rFonts w:hint="default"/>
          <w:lang w:val="en-US" w:eastAsia="zh-CN"/>
        </w:rPr>
        <w:t>设计利用坑底处现有250DL(R)432-60×2型水泵3台，水泵主要工作参数为：流量Q=504m</w:t>
      </w:r>
      <w:r>
        <w:rPr>
          <w:rFonts w:hint="default"/>
          <w:vertAlign w:val="superscript"/>
          <w:lang w:val="en-US" w:eastAsia="zh-CN"/>
        </w:rPr>
        <w:t>3</w:t>
      </w:r>
      <w:r>
        <w:rPr>
          <w:rFonts w:hint="default"/>
          <w:lang w:val="en-US" w:eastAsia="zh-CN"/>
        </w:rPr>
        <w:t>/h，扬程H=150m，电动机型号Y355M1-4，电机功率N=220kw。正常涌水时，1台工作，1台备用，1台检修。当出现最大涌水时，3台工作，满足排水要求。</w:t>
      </w:r>
    </w:p>
    <w:p w14:paraId="71AC7AE5">
      <w:pPr>
        <w:pStyle w:val="18"/>
        <w:rPr>
          <w:rFonts w:hint="default"/>
          <w:lang w:val="en-US" w:eastAsia="zh-CN"/>
        </w:rPr>
      </w:pPr>
      <w:r>
        <w:rPr>
          <w:rFonts w:hint="default"/>
          <w:lang w:val="en-US" w:eastAsia="zh-CN"/>
        </w:rPr>
        <w:t>排水管路敷设Ф273×6.5无缝钢管2条，管路敷设至固定帮，通过运输道路时采取埋地措施并增加防冻措施。</w:t>
      </w:r>
    </w:p>
    <w:p w14:paraId="21161CAD">
      <w:pPr>
        <w:pStyle w:val="18"/>
        <w:rPr>
          <w:rFonts w:hint="default"/>
          <w:lang w:val="en-US" w:eastAsia="zh-CN"/>
        </w:rPr>
      </w:pPr>
      <w:r>
        <w:rPr>
          <w:rFonts w:hint="eastAsia"/>
          <w:lang w:val="en-US" w:eastAsia="zh-CN"/>
        </w:rPr>
        <w:t>（2）</w:t>
      </w:r>
      <w:r>
        <w:rPr>
          <w:rFonts w:hint="default"/>
          <w:lang w:val="en-US" w:eastAsia="zh-CN"/>
        </w:rPr>
        <w:t>建设情况</w:t>
      </w:r>
    </w:p>
    <w:p w14:paraId="0A0E8F40">
      <w:pPr>
        <w:pStyle w:val="18"/>
        <w:rPr>
          <w:rFonts w:hint="default"/>
          <w:lang w:val="en-US" w:eastAsia="zh-CN"/>
        </w:rPr>
      </w:pPr>
      <w:r>
        <w:rPr>
          <w:rFonts w:hint="default"/>
          <w:lang w:val="en-US" w:eastAsia="zh-CN"/>
        </w:rPr>
        <w:t>露天采场上部为山坡露天开采，进入57m水平以下为凹陷采坑，现状坑底标高为-10m，在坑底设置一处集水坑，尺寸为20m×10m×10m（长×宽×深）。并在坑底布置3台250DL(R)432-60×2型水泵进行排水，</w:t>
      </w:r>
      <w:r>
        <w:rPr>
          <w:rFonts w:hint="eastAsia"/>
          <w:lang w:val="en-US" w:eastAsia="zh-CN"/>
        </w:rPr>
        <w:t>排水管路为2条Ф273×6.5的无缝钢管</w:t>
      </w:r>
      <w:r>
        <w:rPr>
          <w:rFonts w:hint="default"/>
          <w:lang w:val="en-US" w:eastAsia="zh-CN"/>
        </w:rPr>
        <w:t>。</w:t>
      </w:r>
    </w:p>
    <w:p w14:paraId="7F2EB2B6">
      <w:pPr>
        <w:pStyle w:val="18"/>
        <w:rPr>
          <w:rFonts w:hint="default"/>
          <w:lang w:val="en-US" w:eastAsia="zh-CN"/>
        </w:rPr>
      </w:pPr>
      <w:r>
        <w:rPr>
          <w:rFonts w:hint="default"/>
          <w:lang w:val="en-US" w:eastAsia="zh-CN"/>
        </w:rPr>
        <w:t>矿山于2024年11月27日委托中矿检测（辽宁）有限公司对露天采场内的3台水泵进行检测，并出具合格的《检测报告》，检测结果表示各项参数符合相关检验规范的要求。</w:t>
      </w:r>
    </w:p>
    <w:p w14:paraId="314AE3D8">
      <w:pPr>
        <w:pStyle w:val="26"/>
        <w:bidi w:val="0"/>
        <w:rPr>
          <w:rFonts w:hint="default"/>
          <w:lang w:val="en-US" w:eastAsia="zh-CN"/>
        </w:rPr>
      </w:pPr>
      <w:r>
        <w:rPr>
          <w:rFonts w:hint="default"/>
          <w:lang w:val="en-US" w:eastAsia="zh-CN"/>
        </w:rPr>
        <w:drawing>
          <wp:inline distT="0" distB="0" distL="114300" distR="114300">
            <wp:extent cx="5243830" cy="3932555"/>
            <wp:effectExtent l="0" t="0" r="13970" b="14605"/>
            <wp:docPr id="28" name="图片 28" descr="IMG202503201537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IMG20250320153759"/>
                    <pic:cNvPicPr>
                      <a:picLocks noChangeAspect="1"/>
                    </pic:cNvPicPr>
                  </pic:nvPicPr>
                  <pic:blipFill>
                    <a:blip r:embed="rId20"/>
                    <a:stretch>
                      <a:fillRect/>
                    </a:stretch>
                  </pic:blipFill>
                  <pic:spPr>
                    <a:xfrm>
                      <a:off x="0" y="0"/>
                      <a:ext cx="5243830" cy="3932555"/>
                    </a:xfrm>
                    <a:prstGeom prst="rect">
                      <a:avLst/>
                    </a:prstGeom>
                  </pic:spPr>
                </pic:pic>
              </a:graphicData>
            </a:graphic>
          </wp:inline>
        </w:drawing>
      </w:r>
    </w:p>
    <w:p w14:paraId="458A38AD">
      <w:pPr>
        <w:pStyle w:val="26"/>
        <w:bidi w:val="0"/>
        <w:rPr>
          <w:rFonts w:hint="default"/>
          <w:lang w:val="en-US" w:eastAsia="zh-CN"/>
        </w:rPr>
      </w:pPr>
      <w:r>
        <w:rPr>
          <w:rFonts w:hint="eastAsia"/>
          <w:lang w:val="en-US" w:eastAsia="zh-CN"/>
        </w:rPr>
        <w:t>图2.4-12  排水管路</w:t>
      </w:r>
    </w:p>
    <w:p w14:paraId="38CF8D87">
      <w:pPr>
        <w:pStyle w:val="26"/>
        <w:bidi w:val="0"/>
        <w:rPr>
          <w:rFonts w:hint="default"/>
          <w:lang w:val="en-US" w:eastAsia="zh-CN"/>
        </w:rPr>
      </w:pPr>
      <w:r>
        <w:rPr>
          <w:rFonts w:hint="default"/>
          <w:lang w:val="en-US" w:eastAsia="zh-CN"/>
        </w:rPr>
        <w:drawing>
          <wp:inline distT="0" distB="0" distL="114300" distR="114300">
            <wp:extent cx="4011295" cy="4191000"/>
            <wp:effectExtent l="0" t="0" r="12065" b="0"/>
            <wp:docPr id="27" name="图片 27" descr="8d76050382901cebd1be845722e8b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8d76050382901cebd1be845722e8b49"/>
                    <pic:cNvPicPr>
                      <a:picLocks noChangeAspect="1"/>
                    </pic:cNvPicPr>
                  </pic:nvPicPr>
                  <pic:blipFill>
                    <a:blip r:embed="rId21"/>
                    <a:srcRect t="35218" b="6019"/>
                    <a:stretch>
                      <a:fillRect/>
                    </a:stretch>
                  </pic:blipFill>
                  <pic:spPr>
                    <a:xfrm>
                      <a:off x="0" y="0"/>
                      <a:ext cx="4011295" cy="4191000"/>
                    </a:xfrm>
                    <a:prstGeom prst="rect">
                      <a:avLst/>
                    </a:prstGeom>
                  </pic:spPr>
                </pic:pic>
              </a:graphicData>
            </a:graphic>
          </wp:inline>
        </w:drawing>
      </w:r>
    </w:p>
    <w:p w14:paraId="095CD995">
      <w:pPr>
        <w:pStyle w:val="26"/>
        <w:bidi w:val="0"/>
        <w:rPr>
          <w:rFonts w:hint="default"/>
          <w:lang w:val="en-US" w:eastAsia="zh-CN"/>
        </w:rPr>
      </w:pPr>
      <w:r>
        <w:rPr>
          <w:rFonts w:hint="eastAsia"/>
          <w:lang w:val="en-US" w:eastAsia="zh-CN"/>
        </w:rPr>
        <w:t>图2.4-13  水泵铭牌</w:t>
      </w:r>
    </w:p>
    <w:p w14:paraId="16A533DD">
      <w:pPr>
        <w:pStyle w:val="25"/>
        <w:bidi w:val="0"/>
        <w:ind w:left="720" w:leftChars="0" w:hanging="720" w:firstLineChars="0"/>
        <w:rPr>
          <w:rFonts w:hint="default"/>
          <w:lang w:val="en-US" w:eastAsia="zh-CN"/>
        </w:rPr>
      </w:pPr>
      <w:r>
        <w:rPr>
          <w:rFonts w:hint="eastAsia"/>
          <w:lang w:val="en-US" w:eastAsia="zh-CN"/>
        </w:rPr>
        <w:t>供配电</w:t>
      </w:r>
    </w:p>
    <w:p w14:paraId="2AFE9E9C">
      <w:pPr>
        <w:pStyle w:val="18"/>
        <w:rPr>
          <w:rFonts w:hint="default"/>
          <w:lang w:val="en-US" w:eastAsia="zh-CN"/>
        </w:rPr>
      </w:pPr>
      <w:r>
        <w:rPr>
          <w:rFonts w:hint="eastAsia"/>
          <w:lang w:val="en-US" w:eastAsia="zh-CN"/>
        </w:rPr>
        <w:t>（1）</w:t>
      </w:r>
      <w:r>
        <w:rPr>
          <w:rFonts w:hint="default"/>
          <w:lang w:val="en-US" w:eastAsia="zh-CN"/>
        </w:rPr>
        <w:t>设计情况</w:t>
      </w:r>
    </w:p>
    <w:p w14:paraId="132C9D50">
      <w:pPr>
        <w:pStyle w:val="18"/>
        <w:rPr>
          <w:rFonts w:hint="default"/>
          <w:lang w:val="en-US" w:eastAsia="zh-CN"/>
        </w:rPr>
      </w:pPr>
      <w:r>
        <w:rPr>
          <w:rFonts w:hint="default"/>
          <w:lang w:val="en-US" w:eastAsia="zh-CN"/>
        </w:rPr>
        <w:t>矿山电源引自地区附近的10kv供电线路上。矿山供电负荷属于二类负荷，要求供电系统安全较为可靠，采用单回路供电系统。采用一台三相四线制变压器。</w:t>
      </w:r>
    </w:p>
    <w:p w14:paraId="669E637B">
      <w:pPr>
        <w:pStyle w:val="18"/>
        <w:rPr>
          <w:rFonts w:hint="default"/>
          <w:lang w:val="en-US" w:eastAsia="zh-CN"/>
        </w:rPr>
      </w:pPr>
      <w:r>
        <w:rPr>
          <w:rFonts w:hint="default"/>
          <w:lang w:val="en-US" w:eastAsia="zh-CN"/>
        </w:rPr>
        <w:t>矿山主要采掘设备和柴油空压机为柴油机驱动，矿山除了采场水泵、照明以外无用电设备，用电引自杆式变压器。采场选择S11-600/10 10/0.4kV 500kVA变压器一台，位置设在采场附近，供水泵、照明、维修等用电，另设容量为单项变压器供照明用电。采场水泵采用380V电压，照明用电采用220V电压，由架空线送到用电点。该变压器满足生产需要。矿山用电设备必须设完善的控制保护功能的设备，并且要100%的监控和受控。</w:t>
      </w:r>
    </w:p>
    <w:p w14:paraId="0AFD6BEB">
      <w:pPr>
        <w:pStyle w:val="18"/>
        <w:rPr>
          <w:rFonts w:hint="default"/>
          <w:lang w:val="en-US" w:eastAsia="zh-CN"/>
        </w:rPr>
      </w:pPr>
      <w:r>
        <w:rPr>
          <w:rFonts w:hint="eastAsia"/>
          <w:lang w:val="en-US" w:eastAsia="zh-CN"/>
        </w:rPr>
        <w:t>（2）</w:t>
      </w:r>
      <w:r>
        <w:rPr>
          <w:rFonts w:hint="default"/>
          <w:lang w:val="en-US" w:eastAsia="zh-CN"/>
        </w:rPr>
        <w:t>建设情况</w:t>
      </w:r>
    </w:p>
    <w:p w14:paraId="3A0F8736">
      <w:pPr>
        <w:pStyle w:val="18"/>
        <w:rPr>
          <w:rFonts w:hint="default"/>
          <w:lang w:val="en-US" w:eastAsia="zh-CN"/>
        </w:rPr>
      </w:pPr>
      <w:r>
        <w:rPr>
          <w:rFonts w:hint="default"/>
          <w:lang w:val="en-US" w:eastAsia="zh-CN"/>
        </w:rPr>
        <w:t>矿区主供电源引自当地10kV变电所接入，采用架空线路接入矿区变电所内的1台变压器。利用矿区一台500kVA变压器为露天矿区排水、照明、维修供电。</w:t>
      </w:r>
    </w:p>
    <w:p w14:paraId="010DFBDA">
      <w:pPr>
        <w:pStyle w:val="18"/>
        <w:rPr>
          <w:rFonts w:hint="default"/>
          <w:lang w:val="en-US" w:eastAsia="zh-CN"/>
        </w:rPr>
      </w:pPr>
      <w:r>
        <w:rPr>
          <w:rFonts w:hint="default"/>
          <w:lang w:val="en-US" w:eastAsia="zh-CN"/>
        </w:rPr>
        <w:t>在架空进线处及架空线路的引上引下处，设置阀型避雷器。低压配电系统的接地形式，采用TN-C系统。各用电单位、变压器的中性点接地，高压设备的保护接地，低压设备的接地保护，其接地电阻值均不大于4Ω。</w:t>
      </w:r>
    </w:p>
    <w:p w14:paraId="52695FA7">
      <w:pPr>
        <w:pStyle w:val="25"/>
        <w:bidi w:val="0"/>
        <w:ind w:left="720" w:leftChars="0" w:hanging="720" w:firstLineChars="0"/>
        <w:rPr>
          <w:rFonts w:hint="default"/>
          <w:lang w:val="en-US" w:eastAsia="zh-CN"/>
        </w:rPr>
      </w:pPr>
      <w:r>
        <w:rPr>
          <w:rFonts w:hint="eastAsia"/>
          <w:lang w:val="en-US" w:eastAsia="zh-CN"/>
        </w:rPr>
        <w:t>通讯系统</w:t>
      </w:r>
    </w:p>
    <w:p w14:paraId="400D2589">
      <w:pPr>
        <w:pStyle w:val="18"/>
        <w:rPr>
          <w:rFonts w:hint="default"/>
          <w:lang w:val="en-US" w:eastAsia="zh-CN"/>
        </w:rPr>
      </w:pPr>
      <w:r>
        <w:rPr>
          <w:rFonts w:hint="eastAsia"/>
          <w:lang w:val="en-US" w:eastAsia="zh-CN"/>
        </w:rPr>
        <w:t>（1）</w:t>
      </w:r>
      <w:r>
        <w:rPr>
          <w:rFonts w:hint="default"/>
          <w:lang w:val="en-US" w:eastAsia="zh-CN"/>
        </w:rPr>
        <w:t>设计情况</w:t>
      </w:r>
    </w:p>
    <w:p w14:paraId="3370CEB8">
      <w:pPr>
        <w:pStyle w:val="18"/>
        <w:rPr>
          <w:rFonts w:hint="default"/>
          <w:lang w:val="en-US" w:eastAsia="zh-CN"/>
        </w:rPr>
      </w:pPr>
      <w:r>
        <w:rPr>
          <w:rFonts w:hint="default"/>
          <w:lang w:val="en-US" w:eastAsia="zh-CN"/>
        </w:rPr>
        <w:t>为了保障通讯畅通、及时，矿区通讯依靠工人随身携带的移动通讯设备，在生产调度、信息传达等方面可以发挥灵活作用。另外应在矿区范围内布置扩声器，在爆破警戒时，利用扩声器向外传播警戒信息。</w:t>
      </w:r>
    </w:p>
    <w:p w14:paraId="7CCEC7CB">
      <w:pPr>
        <w:pStyle w:val="18"/>
        <w:rPr>
          <w:rFonts w:hint="default"/>
          <w:lang w:val="en-US" w:eastAsia="zh-CN"/>
        </w:rPr>
      </w:pPr>
      <w:r>
        <w:rPr>
          <w:rFonts w:hint="eastAsia"/>
          <w:lang w:val="en-US" w:eastAsia="zh-CN"/>
        </w:rPr>
        <w:t>（2）</w:t>
      </w:r>
      <w:r>
        <w:rPr>
          <w:rFonts w:hint="default"/>
          <w:lang w:val="en-US" w:eastAsia="zh-CN"/>
        </w:rPr>
        <w:t>建设情况</w:t>
      </w:r>
    </w:p>
    <w:p w14:paraId="26EDA7AA">
      <w:pPr>
        <w:pStyle w:val="18"/>
        <w:rPr>
          <w:rFonts w:hint="default"/>
          <w:lang w:val="en-US" w:eastAsia="zh-CN"/>
        </w:rPr>
      </w:pPr>
      <w:r>
        <w:rPr>
          <w:rFonts w:hint="default"/>
          <w:lang w:val="en-US" w:eastAsia="zh-CN"/>
        </w:rPr>
        <w:t>矿区范围内各通讯网络已覆盖整个矿区，矿山工作人员通讯主要采用个人移动电话，露天采场现场和个人也均配置对讲机进行通讯联络，同时，矿区设置了扩声器，以便爆破前用以播报爆破警戒信息。</w:t>
      </w:r>
    </w:p>
    <w:p w14:paraId="5AC736F9">
      <w:pPr>
        <w:pStyle w:val="25"/>
        <w:bidi w:val="0"/>
        <w:ind w:left="720" w:leftChars="0" w:hanging="720" w:firstLineChars="0"/>
        <w:rPr>
          <w:rFonts w:hint="default"/>
          <w:lang w:val="en-US" w:eastAsia="zh-CN"/>
        </w:rPr>
      </w:pPr>
      <w:r>
        <w:rPr>
          <w:rFonts w:hint="eastAsia"/>
          <w:lang w:val="en-US" w:eastAsia="zh-CN"/>
        </w:rPr>
        <w:t>个人安全防护</w:t>
      </w:r>
    </w:p>
    <w:p w14:paraId="208E8AC8">
      <w:pPr>
        <w:pStyle w:val="18"/>
        <w:rPr>
          <w:rFonts w:hint="default"/>
          <w:lang w:val="en-US" w:eastAsia="zh-CN"/>
        </w:rPr>
      </w:pPr>
      <w:r>
        <w:rPr>
          <w:rFonts w:hint="eastAsia"/>
          <w:lang w:val="en-US" w:eastAsia="zh-CN"/>
        </w:rPr>
        <w:t>（1）</w:t>
      </w:r>
      <w:r>
        <w:rPr>
          <w:rFonts w:hint="default"/>
          <w:lang w:val="en-US" w:eastAsia="zh-CN"/>
        </w:rPr>
        <w:t>设计情况</w:t>
      </w:r>
    </w:p>
    <w:p w14:paraId="1D27E508">
      <w:pPr>
        <w:pStyle w:val="18"/>
        <w:keepNext w:val="0"/>
        <w:keepLines w:val="0"/>
        <w:pageBreakBefore w:val="0"/>
        <w:widowControl w:val="0"/>
        <w:kinsoku/>
        <w:wordWrap/>
        <w:overflowPunct/>
        <w:topLinePunct w:val="0"/>
        <w:autoSpaceDE/>
        <w:autoSpaceDN/>
        <w:bidi w:val="0"/>
        <w:adjustRightInd w:val="0"/>
        <w:snapToGrid w:val="0"/>
        <w:textAlignment w:val="auto"/>
        <w:rPr>
          <w:rFonts w:hint="default"/>
          <w:lang w:val="en-US" w:eastAsia="zh-CN"/>
        </w:rPr>
      </w:pPr>
      <w:r>
        <w:rPr>
          <w:rFonts w:hint="default"/>
          <w:lang w:val="en-US" w:eastAsia="zh-CN"/>
        </w:rPr>
        <w:t>生产单位应按照《工作场所防止职业中毒卫生工程防护措施规范》、《个体防护装备选用规范》和《劳动防护用品配备标准（试行）》等国家法律法规的规定为劳动者提供劳动防护用品。矿山必须建立安全生产责任险等保险制度，为职工购买工伤保险。采矿作业人员在生产过程中受到的击打、伤害、高处坠落是生产过程中容易发生的事故。所以在保证各生产设备和设施的正常运转的同时，必须加强对工人的个体防护。此外还应加强安全管理和安全培训，提高工人的操作水平和整体素质，减少事故的发生。</w:t>
      </w:r>
    </w:p>
    <w:p w14:paraId="03F506E9">
      <w:pPr>
        <w:pStyle w:val="18"/>
        <w:rPr>
          <w:rFonts w:hint="default"/>
          <w:lang w:val="en-US" w:eastAsia="zh-CN"/>
        </w:rPr>
      </w:pPr>
      <w:r>
        <w:rPr>
          <w:rFonts w:hint="eastAsia"/>
          <w:lang w:val="en-US" w:eastAsia="zh-CN"/>
        </w:rPr>
        <w:t>（2）</w:t>
      </w:r>
      <w:r>
        <w:rPr>
          <w:rFonts w:hint="default"/>
          <w:lang w:val="en-US" w:eastAsia="zh-CN"/>
        </w:rPr>
        <w:t>建设情况</w:t>
      </w:r>
    </w:p>
    <w:p w14:paraId="19737688">
      <w:pPr>
        <w:pStyle w:val="18"/>
        <w:rPr>
          <w:rFonts w:hint="default"/>
          <w:lang w:val="en-US" w:eastAsia="zh-CN"/>
        </w:rPr>
      </w:pPr>
      <w:r>
        <w:rPr>
          <w:rFonts w:hint="default"/>
          <w:lang w:val="en-US" w:eastAsia="zh-CN"/>
        </w:rPr>
        <w:t>矿山按照《个体防护装备选用规范》和《劳动防护用品配备标准（试行）》的标准，为作业人员配备了相应的工作服、安全帽、手套、口罩等劳保用品，并在日常工作中督促员工在上班期间正确佩戴，检查企业内业资料，有相应的劳保产品购买发票及其发放记录，为在职职工缴纳了安全生产责任险和工伤保险。</w:t>
      </w:r>
    </w:p>
    <w:p w14:paraId="665B0136">
      <w:pPr>
        <w:pStyle w:val="25"/>
        <w:bidi w:val="0"/>
        <w:ind w:left="720" w:leftChars="0" w:hanging="720" w:firstLineChars="0"/>
        <w:rPr>
          <w:rFonts w:hint="default"/>
          <w:lang w:val="en-US" w:eastAsia="zh-CN"/>
        </w:rPr>
      </w:pPr>
      <w:r>
        <w:rPr>
          <w:rFonts w:hint="eastAsia"/>
          <w:lang w:val="en-US" w:eastAsia="zh-CN"/>
        </w:rPr>
        <w:t>安全标志</w:t>
      </w:r>
    </w:p>
    <w:p w14:paraId="311118AD">
      <w:pPr>
        <w:pStyle w:val="18"/>
        <w:rPr>
          <w:rFonts w:hint="default"/>
          <w:lang w:val="en-US" w:eastAsia="zh-CN"/>
        </w:rPr>
      </w:pPr>
      <w:r>
        <w:rPr>
          <w:rFonts w:hint="eastAsia"/>
          <w:lang w:val="en-US" w:eastAsia="zh-CN"/>
        </w:rPr>
        <w:t>（1）</w:t>
      </w:r>
      <w:r>
        <w:rPr>
          <w:rFonts w:hint="default"/>
          <w:lang w:val="en-US" w:eastAsia="zh-CN"/>
        </w:rPr>
        <w:t>设计情况</w:t>
      </w:r>
    </w:p>
    <w:p w14:paraId="297738ED">
      <w:pPr>
        <w:pStyle w:val="18"/>
        <w:rPr>
          <w:rFonts w:hint="default"/>
          <w:lang w:val="en-US" w:eastAsia="zh-CN"/>
        </w:rPr>
      </w:pPr>
      <w:r>
        <w:rPr>
          <w:rFonts w:hint="default"/>
          <w:lang w:val="en-US" w:eastAsia="zh-CN"/>
        </w:rPr>
        <w:t>根据《矿山安全标志》和《安全标志及使用导则》，充分利用红（禁止、危险）、黄（警告、注意）、蓝（指令、遵守）、绿（通行、安全）四种传递安全信息的安全色，正确使用安全色，使人员能够迅速发现或分辨安全标志，及时得到提醒，以防止事故、危害的发生。安全标志分为禁止标志、警告标志、指令标志和提示标志四类：</w:t>
      </w:r>
    </w:p>
    <w:p w14:paraId="66596FA6">
      <w:pPr>
        <w:pStyle w:val="18"/>
        <w:rPr>
          <w:rFonts w:hint="default"/>
          <w:lang w:val="en-US" w:eastAsia="zh-CN"/>
        </w:rPr>
      </w:pPr>
      <w:r>
        <w:rPr>
          <w:rFonts w:hint="eastAsia"/>
          <w:lang w:val="en-US" w:eastAsia="zh-CN"/>
        </w:rPr>
        <w:t>1、</w:t>
      </w:r>
      <w:r>
        <w:rPr>
          <w:rFonts w:hint="default"/>
          <w:lang w:val="en-US" w:eastAsia="zh-CN"/>
        </w:rPr>
        <w:t>禁止标志：表示不准或制止人们的某种行动。</w:t>
      </w:r>
    </w:p>
    <w:p w14:paraId="16D00EC6">
      <w:pPr>
        <w:pStyle w:val="18"/>
        <w:rPr>
          <w:rFonts w:hint="default"/>
          <w:lang w:val="en-US" w:eastAsia="zh-CN"/>
        </w:rPr>
      </w:pPr>
      <w:r>
        <w:rPr>
          <w:rFonts w:hint="eastAsia"/>
          <w:lang w:val="en-US" w:eastAsia="zh-CN"/>
        </w:rPr>
        <w:t>2、</w:t>
      </w:r>
      <w:r>
        <w:rPr>
          <w:rFonts w:hint="default"/>
          <w:lang w:val="en-US" w:eastAsia="zh-CN"/>
        </w:rPr>
        <w:t>警告标志：使人们注意可能发生的危险。</w:t>
      </w:r>
    </w:p>
    <w:p w14:paraId="216EECF7">
      <w:pPr>
        <w:pStyle w:val="18"/>
        <w:rPr>
          <w:rFonts w:hint="default"/>
          <w:lang w:val="en-US" w:eastAsia="zh-CN"/>
        </w:rPr>
      </w:pPr>
      <w:r>
        <w:rPr>
          <w:rFonts w:hint="eastAsia"/>
          <w:lang w:val="en-US" w:eastAsia="zh-CN"/>
        </w:rPr>
        <w:t>3、</w:t>
      </w:r>
      <w:r>
        <w:rPr>
          <w:rFonts w:hint="default"/>
          <w:lang w:val="en-US" w:eastAsia="zh-CN"/>
        </w:rPr>
        <w:t>指令标志：表示必须遵守，用来强制或限制人们的行为。</w:t>
      </w:r>
    </w:p>
    <w:p w14:paraId="115AEC60">
      <w:pPr>
        <w:pStyle w:val="18"/>
        <w:rPr>
          <w:rFonts w:hint="default"/>
          <w:lang w:val="en-US" w:eastAsia="zh-CN"/>
        </w:rPr>
      </w:pPr>
      <w:r>
        <w:rPr>
          <w:rFonts w:hint="eastAsia"/>
          <w:lang w:val="en-US" w:eastAsia="zh-CN"/>
        </w:rPr>
        <w:t>4、</w:t>
      </w:r>
      <w:r>
        <w:rPr>
          <w:rFonts w:hint="default"/>
          <w:lang w:val="en-US" w:eastAsia="zh-CN"/>
        </w:rPr>
        <w:t>提示标志：示意目标地点或方向。</w:t>
      </w:r>
    </w:p>
    <w:p w14:paraId="354C05B7">
      <w:pPr>
        <w:pStyle w:val="18"/>
        <w:rPr>
          <w:rFonts w:hint="default"/>
          <w:lang w:val="en-US" w:eastAsia="zh-CN"/>
        </w:rPr>
      </w:pPr>
      <w:r>
        <w:rPr>
          <w:rFonts w:hint="eastAsia"/>
          <w:lang w:val="en-US" w:eastAsia="zh-CN"/>
        </w:rPr>
        <w:t>（2）</w:t>
      </w:r>
      <w:r>
        <w:rPr>
          <w:rFonts w:hint="default"/>
          <w:lang w:val="en-US" w:eastAsia="zh-CN"/>
        </w:rPr>
        <w:t>建设情况</w:t>
      </w:r>
    </w:p>
    <w:p w14:paraId="2F53AFD3">
      <w:pPr>
        <w:pStyle w:val="18"/>
        <w:rPr>
          <w:rFonts w:hint="default"/>
          <w:lang w:val="en-US" w:eastAsia="zh-CN"/>
        </w:rPr>
      </w:pPr>
      <w:r>
        <w:rPr>
          <w:rFonts w:hint="default"/>
          <w:lang w:val="en-US" w:eastAsia="zh-CN"/>
        </w:rPr>
        <w:t>矿山设置了比较齐全的安全警示标志，露天采场台阶设置有“注意滚石伤人”，运输道路设置有“下坡道路、减速慢行”、“前方弯道、注意安全”和“15km/h限速”等交通安全警示标志，露天采场边界设置有彩旗和界桩等警示标志，现场警示标志设置较完善，可以发挥安全警示作用。</w:t>
      </w:r>
    </w:p>
    <w:p w14:paraId="561EA8E4">
      <w:pPr>
        <w:pStyle w:val="26"/>
        <w:keepNext w:val="0"/>
        <w:keepLines w:val="0"/>
        <w:pageBreakBefore w:val="0"/>
        <w:widowControl/>
        <w:kinsoku/>
        <w:wordWrap/>
        <w:overflowPunct/>
        <w:topLinePunct w:val="0"/>
        <w:autoSpaceDE/>
        <w:autoSpaceDN/>
        <w:bidi w:val="0"/>
        <w:adjustRightInd w:val="0"/>
        <w:snapToGrid w:val="0"/>
        <w:spacing w:before="0" w:beforeLines="0"/>
        <w:textAlignment w:val="auto"/>
        <w:rPr>
          <w:rFonts w:hint="default"/>
          <w:lang w:val="en-US" w:eastAsia="zh-CN"/>
        </w:rPr>
      </w:pPr>
      <w:r>
        <w:rPr>
          <w:rFonts w:hint="default"/>
          <w:lang w:val="en-US" w:eastAsia="zh-CN"/>
        </w:rPr>
        <w:drawing>
          <wp:inline distT="0" distB="0" distL="114300" distR="114300">
            <wp:extent cx="4298950" cy="3224530"/>
            <wp:effectExtent l="0" t="0" r="13970" b="6350"/>
            <wp:docPr id="26" name="图片 26" descr="IMG20250320152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IMG20250320152350"/>
                    <pic:cNvPicPr>
                      <a:picLocks noChangeAspect="1"/>
                    </pic:cNvPicPr>
                  </pic:nvPicPr>
                  <pic:blipFill>
                    <a:blip r:embed="rId22"/>
                    <a:stretch>
                      <a:fillRect/>
                    </a:stretch>
                  </pic:blipFill>
                  <pic:spPr>
                    <a:xfrm>
                      <a:off x="0" y="0"/>
                      <a:ext cx="4298950" cy="3224530"/>
                    </a:xfrm>
                    <a:prstGeom prst="rect">
                      <a:avLst/>
                    </a:prstGeom>
                  </pic:spPr>
                </pic:pic>
              </a:graphicData>
            </a:graphic>
          </wp:inline>
        </w:drawing>
      </w:r>
    </w:p>
    <w:p w14:paraId="4818B795">
      <w:pPr>
        <w:pStyle w:val="26"/>
        <w:bidi w:val="0"/>
        <w:rPr>
          <w:rFonts w:hint="default"/>
          <w:lang w:val="en-US" w:eastAsia="zh-CN"/>
        </w:rPr>
      </w:pPr>
      <w:r>
        <w:rPr>
          <w:rFonts w:hint="eastAsia"/>
          <w:lang w:val="en-US" w:eastAsia="zh-CN"/>
        </w:rPr>
        <w:t>图2.4-14  安全标志</w:t>
      </w:r>
    </w:p>
    <w:p w14:paraId="0E4213F0">
      <w:pPr>
        <w:pStyle w:val="25"/>
        <w:bidi w:val="0"/>
        <w:ind w:left="720" w:leftChars="0" w:hanging="720" w:firstLineChars="0"/>
        <w:rPr>
          <w:rFonts w:hint="default"/>
          <w:lang w:val="en-US" w:eastAsia="zh-CN"/>
        </w:rPr>
      </w:pPr>
      <w:r>
        <w:rPr>
          <w:rFonts w:hint="eastAsia"/>
          <w:lang w:val="en-US" w:eastAsia="zh-CN"/>
        </w:rPr>
        <w:t>安全管理</w:t>
      </w:r>
    </w:p>
    <w:p w14:paraId="361C629E">
      <w:pPr>
        <w:pStyle w:val="18"/>
        <w:rPr>
          <w:rFonts w:hint="default"/>
          <w:lang w:val="en-US" w:eastAsia="zh-CN"/>
        </w:rPr>
      </w:pPr>
      <w:r>
        <w:rPr>
          <w:rFonts w:hint="default"/>
          <w:lang w:val="en-US" w:eastAsia="zh-CN"/>
        </w:rPr>
        <w:t>（1）企业证照</w:t>
      </w:r>
    </w:p>
    <w:p w14:paraId="1FC65093">
      <w:pPr>
        <w:pStyle w:val="18"/>
        <w:rPr>
          <w:rFonts w:hint="default"/>
          <w:lang w:val="en-US" w:eastAsia="zh-CN"/>
        </w:rPr>
      </w:pPr>
      <w:r>
        <w:rPr>
          <w:rFonts w:hint="default"/>
          <w:lang w:val="en-US" w:eastAsia="zh-CN"/>
        </w:rPr>
        <w:t>通过现场检查确认，该矿山的《营业执照》（有效期限1998年06月30日至长期）和《采矿许可证》（有效期限2022年6月19日至2025年12月19日）均在有效期限内，其证照符合安全验收要求。</w:t>
      </w:r>
    </w:p>
    <w:p w14:paraId="2E05463A">
      <w:pPr>
        <w:pStyle w:val="18"/>
        <w:rPr>
          <w:rFonts w:hint="default"/>
          <w:lang w:val="en-US" w:eastAsia="zh-CN"/>
        </w:rPr>
      </w:pPr>
      <w:r>
        <w:rPr>
          <w:rFonts w:hint="default"/>
          <w:lang w:val="en-US" w:eastAsia="zh-CN"/>
        </w:rPr>
        <w:t>（2）安全生产管理机构</w:t>
      </w:r>
    </w:p>
    <w:p w14:paraId="67C127B7">
      <w:pPr>
        <w:pStyle w:val="18"/>
        <w:rPr>
          <w:rFonts w:hint="default"/>
          <w:lang w:val="en-US" w:eastAsia="zh-CN"/>
        </w:rPr>
      </w:pPr>
      <w:r>
        <w:rPr>
          <w:rFonts w:hint="default"/>
          <w:lang w:val="en-US" w:eastAsia="zh-CN"/>
        </w:rPr>
        <w:t>矿山成立了安全科，任命了贺青富为安全科长，韩庆星、周金来为安全员。并任命了</w:t>
      </w:r>
      <w:r>
        <w:rPr>
          <w:rFonts w:hint="eastAsia"/>
          <w:lang w:val="en-US" w:eastAsia="zh-CN"/>
        </w:rPr>
        <w:t>代显帅</w:t>
      </w:r>
      <w:r>
        <w:rPr>
          <w:rFonts w:hint="default"/>
          <w:lang w:val="en-US" w:eastAsia="zh-CN"/>
        </w:rPr>
        <w:t>为注册安全工程师。</w:t>
      </w:r>
    </w:p>
    <w:p w14:paraId="1F335C53">
      <w:pPr>
        <w:pStyle w:val="18"/>
        <w:rPr>
          <w:rFonts w:hint="default"/>
          <w:lang w:val="en-US" w:eastAsia="zh-CN"/>
        </w:rPr>
      </w:pPr>
      <w:r>
        <w:rPr>
          <w:rFonts w:hint="default"/>
          <w:lang w:val="en-US" w:eastAsia="zh-CN"/>
        </w:rPr>
        <w:t>（3）技术管理机构</w:t>
      </w:r>
    </w:p>
    <w:p w14:paraId="187BF676">
      <w:pPr>
        <w:pStyle w:val="18"/>
        <w:rPr>
          <w:rFonts w:hint="default"/>
          <w:lang w:val="en-US" w:eastAsia="zh-CN"/>
        </w:rPr>
      </w:pPr>
      <w:r>
        <w:rPr>
          <w:rFonts w:hint="default"/>
          <w:lang w:val="en-US" w:eastAsia="zh-CN"/>
        </w:rPr>
        <w:t>矿山成立了技术科，任命了张哲为采矿工程师，唐浩为地质工程师，王晓辰为机电工程师。</w:t>
      </w:r>
    </w:p>
    <w:p w14:paraId="7743D075">
      <w:pPr>
        <w:pStyle w:val="18"/>
        <w:rPr>
          <w:rFonts w:hint="default"/>
          <w:lang w:val="en-US" w:eastAsia="zh-CN"/>
        </w:rPr>
      </w:pPr>
      <w:r>
        <w:rPr>
          <w:rFonts w:hint="default"/>
          <w:lang w:val="en-US" w:eastAsia="zh-CN"/>
        </w:rPr>
        <w:t>（4）管理人员资格</w:t>
      </w:r>
    </w:p>
    <w:p w14:paraId="24D8DEE9">
      <w:pPr>
        <w:pStyle w:val="18"/>
        <w:rPr>
          <w:rFonts w:hint="default"/>
          <w:lang w:val="en-US" w:eastAsia="zh-CN"/>
        </w:rPr>
      </w:pPr>
      <w:r>
        <w:rPr>
          <w:rFonts w:hint="default"/>
          <w:lang w:val="en-US" w:eastAsia="zh-CN"/>
        </w:rPr>
        <w:t>矿山主要负责人（罗锦）、安全管理人员（贺青富、韩庆星、周金来）已经过培训并考试合格，均持证上岗且在有效期内。</w:t>
      </w:r>
    </w:p>
    <w:p w14:paraId="7B50748B">
      <w:pPr>
        <w:pStyle w:val="18"/>
        <w:rPr>
          <w:rFonts w:hint="default"/>
          <w:lang w:val="en-US" w:eastAsia="zh-CN"/>
        </w:rPr>
      </w:pPr>
      <w:r>
        <w:rPr>
          <w:rFonts w:hint="default"/>
          <w:lang w:val="en-US" w:eastAsia="zh-CN"/>
        </w:rPr>
        <w:t>（5）特种作业人员资格</w:t>
      </w:r>
    </w:p>
    <w:p w14:paraId="0A634B98">
      <w:pPr>
        <w:pStyle w:val="18"/>
        <w:rPr>
          <w:rFonts w:hint="default"/>
          <w:lang w:val="en-US" w:eastAsia="zh-CN"/>
        </w:rPr>
      </w:pPr>
      <w:r>
        <w:rPr>
          <w:rFonts w:hint="default"/>
          <w:lang w:val="en-US" w:eastAsia="zh-CN"/>
        </w:rPr>
        <w:t>矿山水泵工（唐鹏程、胡强），电工（张志壮、贾宏浩），焊工（王勇、冯维维）已经过培训并考试合格，均持特种作业人员操作证上岗且在有效期内。</w:t>
      </w:r>
    </w:p>
    <w:p w14:paraId="176B848B">
      <w:pPr>
        <w:pStyle w:val="18"/>
        <w:rPr>
          <w:rFonts w:hint="default"/>
          <w:lang w:val="en-US" w:eastAsia="zh-CN"/>
        </w:rPr>
      </w:pPr>
      <w:r>
        <w:rPr>
          <w:rFonts w:hint="default"/>
          <w:lang w:val="en-US" w:eastAsia="zh-CN"/>
        </w:rPr>
        <w:t>（6）人员安全教育与培训</w:t>
      </w:r>
    </w:p>
    <w:p w14:paraId="29AA0FFB">
      <w:pPr>
        <w:pStyle w:val="18"/>
        <w:rPr>
          <w:rFonts w:hint="default"/>
          <w:lang w:val="en-US" w:eastAsia="zh-CN"/>
        </w:rPr>
      </w:pPr>
      <w:r>
        <w:rPr>
          <w:rFonts w:hint="default"/>
          <w:lang w:val="en-US" w:eastAsia="zh-CN"/>
        </w:rPr>
        <w:t>矿山制定了安全教育培训计划，进行了安全培训及考试，对新录用的职工进行了安全知识培训，建立了职工安全教育档案，并对职工进行了考试。经过现场检查有关材料，企业具备安全教育培训试卷、考试成绩单、签到表等材料。</w:t>
      </w:r>
    </w:p>
    <w:p w14:paraId="00B15EB5">
      <w:pPr>
        <w:pStyle w:val="18"/>
        <w:rPr>
          <w:rFonts w:hint="default"/>
          <w:lang w:val="en-US" w:eastAsia="zh-CN"/>
        </w:rPr>
      </w:pPr>
      <w:r>
        <w:rPr>
          <w:rFonts w:hint="default"/>
          <w:lang w:val="en-US" w:eastAsia="zh-CN"/>
        </w:rPr>
        <w:t>（7）安全生产责任制、安全生产管理制度、操作规程</w:t>
      </w:r>
    </w:p>
    <w:p w14:paraId="519E33D6">
      <w:pPr>
        <w:pStyle w:val="18"/>
        <w:rPr>
          <w:rFonts w:hint="default"/>
          <w:lang w:val="en-US" w:eastAsia="zh-CN"/>
        </w:rPr>
      </w:pPr>
      <w:r>
        <w:rPr>
          <w:rFonts w:hint="default"/>
          <w:lang w:val="en-US" w:eastAsia="zh-CN"/>
        </w:rPr>
        <w:t>海城市荣富耐火材料有限公司，制定了全员安全生产责任制包括主要负责人生产责任制、安全</w:t>
      </w:r>
      <w:r>
        <w:rPr>
          <w:rFonts w:hint="eastAsia"/>
          <w:lang w:val="en-US" w:eastAsia="zh-CN"/>
        </w:rPr>
        <w:t>负责人</w:t>
      </w:r>
      <w:r>
        <w:rPr>
          <w:rFonts w:hint="default"/>
          <w:lang w:val="en-US" w:eastAsia="zh-CN"/>
        </w:rPr>
        <w:t>安全生产责任制、技术</w:t>
      </w:r>
      <w:r>
        <w:rPr>
          <w:rFonts w:hint="eastAsia"/>
          <w:lang w:val="en-US" w:eastAsia="zh-CN"/>
        </w:rPr>
        <w:t>部门</w:t>
      </w:r>
      <w:r>
        <w:rPr>
          <w:rFonts w:hint="default"/>
          <w:lang w:val="en-US" w:eastAsia="zh-CN"/>
        </w:rPr>
        <w:t>安全生产责任制、</w:t>
      </w:r>
      <w:r>
        <w:rPr>
          <w:rFonts w:hint="eastAsia"/>
          <w:lang w:val="en-US" w:eastAsia="zh-CN"/>
        </w:rPr>
        <w:t>办公室</w:t>
      </w:r>
      <w:r>
        <w:rPr>
          <w:rFonts w:hint="default"/>
          <w:lang w:val="en-US" w:eastAsia="zh-CN"/>
        </w:rPr>
        <w:t>安全生产责任制、铲车司机岗位责任制、</w:t>
      </w:r>
      <w:r>
        <w:rPr>
          <w:rFonts w:hint="eastAsia"/>
          <w:lang w:val="en-US" w:eastAsia="zh-CN"/>
        </w:rPr>
        <w:t>挖掘机</w:t>
      </w:r>
      <w:r>
        <w:rPr>
          <w:rFonts w:hint="default"/>
          <w:lang w:val="en-US" w:eastAsia="zh-CN"/>
        </w:rPr>
        <w:t>司机岗位责任制、水泵工岗位责任制、维修工岗位责任制等全员安全生产责任制。制定了</w:t>
      </w:r>
      <w:r>
        <w:rPr>
          <w:rFonts w:hint="eastAsia"/>
          <w:lang w:val="en-US" w:eastAsia="zh-CN"/>
        </w:rPr>
        <w:t>隐患排查治理</w:t>
      </w:r>
      <w:r>
        <w:rPr>
          <w:rFonts w:hint="default"/>
          <w:lang w:val="en-US" w:eastAsia="zh-CN"/>
        </w:rPr>
        <w:t>制度、安全</w:t>
      </w:r>
      <w:r>
        <w:rPr>
          <w:rFonts w:hint="eastAsia"/>
          <w:lang w:val="en-US" w:eastAsia="zh-CN"/>
        </w:rPr>
        <w:t>生产</w:t>
      </w:r>
      <w:r>
        <w:rPr>
          <w:rFonts w:hint="default"/>
          <w:lang w:val="en-US" w:eastAsia="zh-CN"/>
        </w:rPr>
        <w:t>教育培训制度、安全生产</w:t>
      </w:r>
      <w:r>
        <w:rPr>
          <w:rFonts w:hint="eastAsia"/>
          <w:lang w:val="en-US" w:eastAsia="zh-CN"/>
        </w:rPr>
        <w:t>事故</w:t>
      </w:r>
      <w:r>
        <w:rPr>
          <w:rFonts w:hint="default"/>
          <w:lang w:val="en-US" w:eastAsia="zh-CN"/>
        </w:rPr>
        <w:t>管理制度、安全费用提取管理、</w:t>
      </w:r>
      <w:r>
        <w:rPr>
          <w:rFonts w:hint="eastAsia" w:ascii="宋体" w:hAnsi="宋体" w:eastAsia="宋体"/>
          <w:sz w:val="28"/>
          <w:szCs w:val="24"/>
        </w:rPr>
        <w:t>爆破管理</w:t>
      </w:r>
      <w:r>
        <w:rPr>
          <w:rFonts w:hint="default"/>
          <w:lang w:val="en-US" w:eastAsia="zh-CN"/>
        </w:rPr>
        <w:t>管理制度、</w:t>
      </w:r>
      <w:r>
        <w:rPr>
          <w:rFonts w:hint="eastAsia" w:ascii="宋体" w:hAnsi="宋体" w:eastAsia="宋体"/>
          <w:sz w:val="28"/>
          <w:szCs w:val="24"/>
        </w:rPr>
        <w:t>劳动管理</w:t>
      </w:r>
      <w:r>
        <w:rPr>
          <w:rFonts w:hint="default"/>
          <w:lang w:val="en-US" w:eastAsia="zh-CN"/>
        </w:rPr>
        <w:t>制度等安全管理制度。制定了挖掘机司机安全操作规程、装载机司机安全操作规程、</w:t>
      </w:r>
      <w:r>
        <w:rPr>
          <w:rFonts w:hint="eastAsia"/>
          <w:lang w:val="en-US" w:eastAsia="zh-CN"/>
        </w:rPr>
        <w:t>自卸式</w:t>
      </w:r>
      <w:r>
        <w:rPr>
          <w:rFonts w:hint="default"/>
          <w:lang w:val="en-US" w:eastAsia="zh-CN"/>
        </w:rPr>
        <w:t>汽车</w:t>
      </w:r>
      <w:r>
        <w:rPr>
          <w:rFonts w:hint="eastAsia"/>
          <w:lang w:val="en-US" w:eastAsia="zh-CN"/>
        </w:rPr>
        <w:t>驾驶员</w:t>
      </w:r>
      <w:r>
        <w:rPr>
          <w:rFonts w:hint="default"/>
          <w:lang w:val="en-US" w:eastAsia="zh-CN"/>
        </w:rPr>
        <w:t>安全操作规程、</w:t>
      </w:r>
      <w:r>
        <w:rPr>
          <w:rFonts w:hint="eastAsia"/>
          <w:lang w:val="en-US" w:eastAsia="zh-CN"/>
        </w:rPr>
        <w:t>电气焊工</w:t>
      </w:r>
      <w:r>
        <w:rPr>
          <w:rFonts w:hint="default"/>
          <w:lang w:val="en-US" w:eastAsia="zh-CN"/>
        </w:rPr>
        <w:t>安全操作规程、维修工安全操作规程等安全操作规程。</w:t>
      </w:r>
    </w:p>
    <w:p w14:paraId="2A4E3014">
      <w:pPr>
        <w:pStyle w:val="18"/>
        <w:rPr>
          <w:rFonts w:hint="default"/>
          <w:lang w:val="en-US" w:eastAsia="zh-CN"/>
        </w:rPr>
      </w:pPr>
      <w:r>
        <w:rPr>
          <w:rFonts w:hint="default"/>
          <w:lang w:val="en-US" w:eastAsia="zh-CN"/>
        </w:rPr>
        <w:t>（6）事故应急预案</w:t>
      </w:r>
    </w:p>
    <w:p w14:paraId="1DBBD0A1">
      <w:pPr>
        <w:pStyle w:val="18"/>
        <w:rPr>
          <w:rFonts w:hint="default"/>
          <w:lang w:val="en-US" w:eastAsia="zh-CN"/>
        </w:rPr>
      </w:pPr>
      <w:r>
        <w:rPr>
          <w:rFonts w:hint="default"/>
          <w:lang w:val="en-US" w:eastAsia="zh-CN"/>
        </w:rPr>
        <w:t>海城市荣富耐火材料有限公司，已编制了《海城市荣富耐火材料有限公司生产安全事故应急预案》，该应急预案已于2023年8月16日在海城市应急管理局进行备案（备案编号：210381-2023-0084）。海城市荣富耐火材料有限公司，严格按照有关文件要求进行应急预案演练和应急物资的更新完善工作。</w:t>
      </w:r>
    </w:p>
    <w:p w14:paraId="037BCD93">
      <w:pPr>
        <w:pStyle w:val="18"/>
        <w:rPr>
          <w:rFonts w:hint="default"/>
          <w:lang w:val="en-US" w:eastAsia="zh-CN"/>
        </w:rPr>
      </w:pPr>
      <w:r>
        <w:rPr>
          <w:rFonts w:hint="default"/>
          <w:lang w:val="en-US" w:eastAsia="zh-CN"/>
        </w:rPr>
        <w:t>海城市荣富耐火材料有限公司与周边矿山海城市远东矿业有限公司，签订了《安全互保协议》，两企业建立联合救援队，组织救援人员，配备救援器材、建立救援联系方式，共同担负应急救援责任。</w:t>
      </w:r>
    </w:p>
    <w:p w14:paraId="0AFA0809">
      <w:pPr>
        <w:pStyle w:val="18"/>
        <w:rPr>
          <w:rFonts w:hint="default"/>
          <w:lang w:val="en-US" w:eastAsia="zh-CN"/>
        </w:rPr>
      </w:pPr>
      <w:r>
        <w:rPr>
          <w:rFonts w:hint="default"/>
          <w:lang w:val="en-US" w:eastAsia="zh-CN"/>
        </w:rPr>
        <w:t>（7）安全检查及现场管理</w:t>
      </w:r>
    </w:p>
    <w:p w14:paraId="537E7F7E">
      <w:pPr>
        <w:pStyle w:val="18"/>
        <w:rPr>
          <w:rFonts w:hint="default"/>
          <w:lang w:val="en-US" w:eastAsia="zh-CN"/>
        </w:rPr>
      </w:pPr>
      <w:r>
        <w:rPr>
          <w:rFonts w:hint="default"/>
          <w:lang w:val="en-US" w:eastAsia="zh-CN"/>
        </w:rPr>
        <w:t>海城市荣富耐火材料有限公司，定期对露天采场进行安全检查，现场施工及作业有专职安全员进行安全管理，具有较完善的安全内业材料。</w:t>
      </w:r>
    </w:p>
    <w:p w14:paraId="5C571892">
      <w:pPr>
        <w:pStyle w:val="25"/>
        <w:bidi w:val="0"/>
        <w:ind w:left="720" w:leftChars="0" w:hanging="720" w:firstLineChars="0"/>
        <w:rPr>
          <w:rFonts w:hint="default"/>
          <w:lang w:val="en-US" w:eastAsia="zh-CN"/>
        </w:rPr>
      </w:pPr>
      <w:r>
        <w:rPr>
          <w:rFonts w:hint="eastAsia"/>
          <w:lang w:val="en-US" w:eastAsia="zh-CN"/>
        </w:rPr>
        <w:t>安全设施投入</w:t>
      </w:r>
    </w:p>
    <w:p w14:paraId="5AD744DE">
      <w:pPr>
        <w:pStyle w:val="18"/>
        <w:rPr>
          <w:rFonts w:hint="default"/>
          <w:lang w:val="en-US" w:eastAsia="zh-CN"/>
        </w:rPr>
      </w:pPr>
      <w:r>
        <w:rPr>
          <w:rFonts w:hint="default"/>
          <w:lang w:val="en-US" w:eastAsia="zh-CN"/>
        </w:rPr>
        <w:t>海城市荣富耐火材料有限公司，在2024年安全设施实际投入费用为92.3万元，目前已全部投入使用，用于安全设施设备、劳保及培训费用等投入。安全设施投入一览表（</w:t>
      </w:r>
      <w:r>
        <w:rPr>
          <w:rFonts w:hint="eastAsia"/>
          <w:lang w:val="en-US" w:eastAsia="zh-CN"/>
        </w:rPr>
        <w:t>详</w:t>
      </w:r>
      <w:r>
        <w:rPr>
          <w:rFonts w:hint="default"/>
          <w:lang w:val="en-US" w:eastAsia="zh-CN"/>
        </w:rPr>
        <w:t>见表2</w:t>
      </w:r>
      <w:r>
        <w:rPr>
          <w:rFonts w:hint="eastAsia"/>
          <w:lang w:val="en-US" w:eastAsia="zh-CN"/>
        </w:rPr>
        <w:t>.</w:t>
      </w:r>
      <w:r>
        <w:rPr>
          <w:rFonts w:hint="default"/>
          <w:lang w:val="en-US" w:eastAsia="zh-CN"/>
        </w:rPr>
        <w:t>4-</w:t>
      </w:r>
      <w:r>
        <w:rPr>
          <w:rFonts w:hint="eastAsia"/>
          <w:lang w:val="en-US" w:eastAsia="zh-CN"/>
        </w:rPr>
        <w:t>7</w:t>
      </w:r>
      <w:r>
        <w:rPr>
          <w:rFonts w:hint="default"/>
          <w:lang w:val="en-US" w:eastAsia="zh-CN"/>
        </w:rPr>
        <w:t>）。</w:t>
      </w:r>
    </w:p>
    <w:p w14:paraId="5E6655D9">
      <w:pPr>
        <w:pStyle w:val="26"/>
        <w:keepNext w:val="0"/>
        <w:keepLines w:val="0"/>
        <w:pageBreakBefore w:val="0"/>
        <w:widowControl/>
        <w:kinsoku/>
        <w:wordWrap/>
        <w:overflowPunct/>
        <w:topLinePunct w:val="0"/>
        <w:autoSpaceDE/>
        <w:autoSpaceDN/>
        <w:bidi w:val="0"/>
        <w:adjustRightInd w:val="0"/>
        <w:snapToGrid w:val="0"/>
        <w:spacing w:before="0" w:beforeLines="0"/>
        <w:textAlignment w:val="auto"/>
      </w:pPr>
      <w:r>
        <w:t>表2.4-</w:t>
      </w:r>
      <w:r>
        <w:rPr>
          <w:rFonts w:hint="eastAsia"/>
          <w:lang w:val="en-US" w:eastAsia="zh-CN"/>
        </w:rPr>
        <w:t>7</w:t>
      </w:r>
      <w:r>
        <w:t xml:space="preserve">   矿山建设情况安全设施投资表</w:t>
      </w:r>
    </w:p>
    <w:tbl>
      <w:tblPr>
        <w:tblStyle w:val="31"/>
        <w:tblW w:w="84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35"/>
        <w:gridCol w:w="1429"/>
        <w:gridCol w:w="5279"/>
        <w:gridCol w:w="1155"/>
      </w:tblGrid>
      <w:tr w14:paraId="7C13F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tcBorders>
              <w:tl2br w:val="nil"/>
              <w:tr2bl w:val="nil"/>
            </w:tcBorders>
            <w:noWrap w:val="0"/>
            <w:vAlign w:val="center"/>
          </w:tcPr>
          <w:p w14:paraId="59C28A96">
            <w:pPr>
              <w:pStyle w:val="27"/>
              <w:bidi w:val="0"/>
              <w:rPr>
                <w:rFonts w:hint="default"/>
                <w:sz w:val="21"/>
                <w:szCs w:val="21"/>
              </w:rPr>
            </w:pPr>
            <w:r>
              <w:rPr>
                <w:rFonts w:hint="default"/>
                <w:sz w:val="21"/>
                <w:szCs w:val="21"/>
              </w:rPr>
              <w:t>序号</w:t>
            </w:r>
          </w:p>
        </w:tc>
        <w:tc>
          <w:tcPr>
            <w:tcW w:w="1429" w:type="dxa"/>
            <w:tcBorders>
              <w:tl2br w:val="nil"/>
              <w:tr2bl w:val="nil"/>
            </w:tcBorders>
            <w:noWrap w:val="0"/>
            <w:vAlign w:val="center"/>
          </w:tcPr>
          <w:p w14:paraId="66D13F21">
            <w:pPr>
              <w:pStyle w:val="27"/>
              <w:bidi w:val="0"/>
              <w:rPr>
                <w:rFonts w:hint="default"/>
                <w:sz w:val="21"/>
                <w:szCs w:val="21"/>
              </w:rPr>
            </w:pPr>
            <w:r>
              <w:rPr>
                <w:rFonts w:hint="default"/>
                <w:sz w:val="21"/>
                <w:szCs w:val="21"/>
              </w:rPr>
              <w:t>费用大类</w:t>
            </w:r>
          </w:p>
        </w:tc>
        <w:tc>
          <w:tcPr>
            <w:tcW w:w="5279" w:type="dxa"/>
            <w:tcBorders>
              <w:tl2br w:val="nil"/>
              <w:tr2bl w:val="nil"/>
            </w:tcBorders>
            <w:noWrap w:val="0"/>
            <w:vAlign w:val="center"/>
          </w:tcPr>
          <w:p w14:paraId="7AD21D17">
            <w:pPr>
              <w:pStyle w:val="27"/>
              <w:bidi w:val="0"/>
              <w:rPr>
                <w:rFonts w:hint="default"/>
                <w:sz w:val="21"/>
                <w:szCs w:val="21"/>
              </w:rPr>
            </w:pPr>
            <w:r>
              <w:rPr>
                <w:rFonts w:hint="default"/>
                <w:sz w:val="21"/>
                <w:szCs w:val="21"/>
              </w:rPr>
              <w:t>使用明细</w:t>
            </w:r>
          </w:p>
        </w:tc>
        <w:tc>
          <w:tcPr>
            <w:tcW w:w="1155" w:type="dxa"/>
            <w:tcBorders>
              <w:tl2br w:val="nil"/>
              <w:tr2bl w:val="nil"/>
            </w:tcBorders>
            <w:noWrap w:val="0"/>
            <w:vAlign w:val="center"/>
          </w:tcPr>
          <w:p w14:paraId="5BC9DF79">
            <w:pPr>
              <w:pStyle w:val="27"/>
              <w:bidi w:val="0"/>
              <w:rPr>
                <w:rFonts w:hint="default"/>
                <w:sz w:val="21"/>
                <w:szCs w:val="21"/>
              </w:rPr>
            </w:pPr>
            <w:r>
              <w:rPr>
                <w:rFonts w:hint="default"/>
                <w:sz w:val="21"/>
                <w:szCs w:val="21"/>
              </w:rPr>
              <w:t>费用(</w:t>
            </w:r>
            <w:r>
              <w:rPr>
                <w:rFonts w:hint="eastAsia"/>
                <w:sz w:val="21"/>
                <w:szCs w:val="21"/>
                <w:lang w:val="en-US" w:eastAsia="zh-CN"/>
              </w:rPr>
              <w:t>万</w:t>
            </w:r>
            <w:r>
              <w:rPr>
                <w:rFonts w:hint="default"/>
                <w:sz w:val="21"/>
                <w:szCs w:val="21"/>
              </w:rPr>
              <w:t>元)</w:t>
            </w:r>
          </w:p>
        </w:tc>
      </w:tr>
      <w:tr w14:paraId="2EC66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restart"/>
            <w:tcBorders>
              <w:tl2br w:val="nil"/>
              <w:tr2bl w:val="nil"/>
            </w:tcBorders>
            <w:noWrap w:val="0"/>
            <w:vAlign w:val="center"/>
          </w:tcPr>
          <w:p w14:paraId="44AD1F8D">
            <w:pPr>
              <w:pStyle w:val="27"/>
              <w:bidi w:val="0"/>
              <w:rPr>
                <w:rFonts w:hint="default"/>
                <w:sz w:val="21"/>
                <w:szCs w:val="21"/>
              </w:rPr>
            </w:pPr>
            <w:r>
              <w:rPr>
                <w:rFonts w:hint="default"/>
                <w:sz w:val="21"/>
                <w:szCs w:val="21"/>
              </w:rPr>
              <w:t>1</w:t>
            </w:r>
          </w:p>
        </w:tc>
        <w:tc>
          <w:tcPr>
            <w:tcW w:w="1429" w:type="dxa"/>
            <w:vMerge w:val="restart"/>
            <w:tcBorders>
              <w:tl2br w:val="nil"/>
              <w:tr2bl w:val="nil"/>
            </w:tcBorders>
            <w:noWrap w:val="0"/>
            <w:vAlign w:val="center"/>
          </w:tcPr>
          <w:p w14:paraId="092AF125">
            <w:pPr>
              <w:pStyle w:val="27"/>
              <w:bidi w:val="0"/>
              <w:rPr>
                <w:rFonts w:hint="default"/>
                <w:sz w:val="21"/>
                <w:szCs w:val="21"/>
              </w:rPr>
            </w:pPr>
            <w:r>
              <w:rPr>
                <w:rFonts w:hint="default"/>
                <w:sz w:val="21"/>
                <w:szCs w:val="21"/>
              </w:rPr>
              <w:t>完善、改造和</w:t>
            </w:r>
          </w:p>
          <w:p w14:paraId="380383E3">
            <w:pPr>
              <w:pStyle w:val="27"/>
              <w:bidi w:val="0"/>
              <w:rPr>
                <w:rFonts w:hint="default"/>
                <w:sz w:val="21"/>
                <w:szCs w:val="21"/>
              </w:rPr>
            </w:pPr>
            <w:r>
              <w:rPr>
                <w:rFonts w:hint="default"/>
                <w:sz w:val="21"/>
                <w:szCs w:val="21"/>
              </w:rPr>
              <w:t>维护安全防护、 检测 、设备、设施支出</w:t>
            </w:r>
          </w:p>
        </w:tc>
        <w:tc>
          <w:tcPr>
            <w:tcW w:w="5279" w:type="dxa"/>
            <w:tcBorders>
              <w:tl2br w:val="nil"/>
              <w:tr2bl w:val="nil"/>
            </w:tcBorders>
            <w:noWrap w:val="0"/>
            <w:vAlign w:val="center"/>
          </w:tcPr>
          <w:p w14:paraId="4F783791">
            <w:pPr>
              <w:pStyle w:val="27"/>
              <w:bidi w:val="0"/>
              <w:rPr>
                <w:rFonts w:hint="default"/>
                <w:sz w:val="21"/>
                <w:szCs w:val="21"/>
              </w:rPr>
            </w:pPr>
            <w:r>
              <w:rPr>
                <w:rFonts w:hint="default"/>
                <w:sz w:val="21"/>
                <w:szCs w:val="21"/>
              </w:rPr>
              <w:t>①矿山道路挡墙、路排洪沟等防护、防滑设施</w:t>
            </w:r>
          </w:p>
        </w:tc>
        <w:tc>
          <w:tcPr>
            <w:tcW w:w="1155" w:type="dxa"/>
            <w:tcBorders>
              <w:tl2br w:val="nil"/>
              <w:tr2bl w:val="nil"/>
            </w:tcBorders>
            <w:noWrap w:val="0"/>
            <w:vAlign w:val="center"/>
          </w:tcPr>
          <w:p w14:paraId="6381136E">
            <w:pPr>
              <w:pStyle w:val="27"/>
              <w:bidi w:val="0"/>
              <w:rPr>
                <w:rFonts w:hint="default"/>
                <w:sz w:val="21"/>
                <w:szCs w:val="21"/>
                <w:lang w:val="en-US" w:eastAsia="zh-CN"/>
              </w:rPr>
            </w:pPr>
            <w:r>
              <w:rPr>
                <w:rFonts w:hint="eastAsia"/>
                <w:sz w:val="21"/>
                <w:szCs w:val="21"/>
                <w:lang w:val="en-US" w:eastAsia="zh-CN"/>
              </w:rPr>
              <w:t>2.6</w:t>
            </w:r>
          </w:p>
        </w:tc>
      </w:tr>
      <w:tr w14:paraId="4DCF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1D4AF647">
            <w:pPr>
              <w:pStyle w:val="27"/>
              <w:bidi w:val="0"/>
              <w:rPr>
                <w:rFonts w:hint="default"/>
                <w:sz w:val="21"/>
                <w:szCs w:val="21"/>
              </w:rPr>
            </w:pPr>
          </w:p>
        </w:tc>
        <w:tc>
          <w:tcPr>
            <w:tcW w:w="1429" w:type="dxa"/>
            <w:vMerge w:val="continue"/>
            <w:tcBorders>
              <w:tl2br w:val="nil"/>
              <w:tr2bl w:val="nil"/>
            </w:tcBorders>
            <w:noWrap w:val="0"/>
            <w:vAlign w:val="center"/>
          </w:tcPr>
          <w:p w14:paraId="402AACAB">
            <w:pPr>
              <w:pStyle w:val="27"/>
              <w:bidi w:val="0"/>
              <w:rPr>
                <w:rFonts w:hint="default"/>
                <w:sz w:val="21"/>
                <w:szCs w:val="21"/>
              </w:rPr>
            </w:pPr>
          </w:p>
        </w:tc>
        <w:tc>
          <w:tcPr>
            <w:tcW w:w="5279" w:type="dxa"/>
            <w:tcBorders>
              <w:tl2br w:val="nil"/>
              <w:tr2bl w:val="nil"/>
            </w:tcBorders>
            <w:noWrap w:val="0"/>
            <w:vAlign w:val="center"/>
          </w:tcPr>
          <w:p w14:paraId="052FDD8A">
            <w:pPr>
              <w:pStyle w:val="27"/>
              <w:bidi w:val="0"/>
              <w:rPr>
                <w:rFonts w:hint="default"/>
                <w:sz w:val="21"/>
                <w:szCs w:val="21"/>
              </w:rPr>
            </w:pPr>
            <w:r>
              <w:rPr>
                <w:rFonts w:hint="default"/>
                <w:sz w:val="21"/>
                <w:szCs w:val="21"/>
              </w:rPr>
              <w:t>②安全警示标识及安全宣传标语等购买、制作安装、维修、维护</w:t>
            </w:r>
          </w:p>
        </w:tc>
        <w:tc>
          <w:tcPr>
            <w:tcW w:w="1155" w:type="dxa"/>
            <w:tcBorders>
              <w:tl2br w:val="nil"/>
              <w:tr2bl w:val="nil"/>
            </w:tcBorders>
            <w:noWrap w:val="0"/>
            <w:vAlign w:val="center"/>
          </w:tcPr>
          <w:p w14:paraId="724FE561">
            <w:pPr>
              <w:pStyle w:val="27"/>
              <w:bidi w:val="0"/>
              <w:rPr>
                <w:rFonts w:hint="default"/>
                <w:sz w:val="21"/>
                <w:szCs w:val="21"/>
                <w:lang w:val="en-US" w:eastAsia="zh-CN"/>
              </w:rPr>
            </w:pPr>
            <w:r>
              <w:rPr>
                <w:rFonts w:hint="eastAsia"/>
                <w:sz w:val="21"/>
                <w:szCs w:val="21"/>
                <w:lang w:val="en-US" w:eastAsia="zh-CN"/>
              </w:rPr>
              <w:t>5.2</w:t>
            </w:r>
          </w:p>
        </w:tc>
      </w:tr>
      <w:tr w14:paraId="0341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614008B7">
            <w:pPr>
              <w:pStyle w:val="27"/>
              <w:bidi w:val="0"/>
              <w:rPr>
                <w:rFonts w:hint="default"/>
                <w:sz w:val="21"/>
                <w:szCs w:val="21"/>
              </w:rPr>
            </w:pPr>
          </w:p>
        </w:tc>
        <w:tc>
          <w:tcPr>
            <w:tcW w:w="1429" w:type="dxa"/>
            <w:vMerge w:val="continue"/>
            <w:tcBorders>
              <w:tl2br w:val="nil"/>
              <w:tr2bl w:val="nil"/>
            </w:tcBorders>
            <w:noWrap w:val="0"/>
            <w:vAlign w:val="center"/>
          </w:tcPr>
          <w:p w14:paraId="2E9BC1E2">
            <w:pPr>
              <w:pStyle w:val="27"/>
              <w:bidi w:val="0"/>
              <w:rPr>
                <w:rFonts w:hint="default"/>
                <w:sz w:val="21"/>
                <w:szCs w:val="21"/>
              </w:rPr>
            </w:pPr>
          </w:p>
        </w:tc>
        <w:tc>
          <w:tcPr>
            <w:tcW w:w="5279" w:type="dxa"/>
            <w:tcBorders>
              <w:tl2br w:val="nil"/>
              <w:tr2bl w:val="nil"/>
            </w:tcBorders>
            <w:noWrap w:val="0"/>
            <w:vAlign w:val="center"/>
          </w:tcPr>
          <w:p w14:paraId="72B477D6">
            <w:pPr>
              <w:pStyle w:val="27"/>
              <w:bidi w:val="0"/>
              <w:rPr>
                <w:rFonts w:hint="default"/>
                <w:sz w:val="21"/>
                <w:szCs w:val="21"/>
              </w:rPr>
            </w:pPr>
            <w:r>
              <w:rPr>
                <w:rFonts w:hint="default"/>
                <w:sz w:val="21"/>
                <w:szCs w:val="21"/>
              </w:rPr>
              <w:t>③特种设备、大型施工机械、支架等检测、检验，设备维修养护</w:t>
            </w:r>
          </w:p>
        </w:tc>
        <w:tc>
          <w:tcPr>
            <w:tcW w:w="1155" w:type="dxa"/>
            <w:tcBorders>
              <w:tl2br w:val="nil"/>
              <w:tr2bl w:val="nil"/>
            </w:tcBorders>
            <w:noWrap w:val="0"/>
            <w:vAlign w:val="center"/>
          </w:tcPr>
          <w:p w14:paraId="11CB32EC">
            <w:pPr>
              <w:pStyle w:val="27"/>
              <w:bidi w:val="0"/>
              <w:rPr>
                <w:rFonts w:hint="default"/>
                <w:sz w:val="21"/>
                <w:szCs w:val="21"/>
                <w:lang w:val="en-US" w:eastAsia="zh-CN"/>
              </w:rPr>
            </w:pPr>
            <w:r>
              <w:rPr>
                <w:rFonts w:hint="eastAsia"/>
                <w:sz w:val="21"/>
                <w:szCs w:val="21"/>
                <w:lang w:val="en-US" w:eastAsia="zh-CN"/>
              </w:rPr>
              <w:t>4.8</w:t>
            </w:r>
          </w:p>
        </w:tc>
      </w:tr>
      <w:tr w14:paraId="05B1C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restart"/>
            <w:tcBorders>
              <w:tl2br w:val="nil"/>
              <w:tr2bl w:val="nil"/>
            </w:tcBorders>
            <w:noWrap w:val="0"/>
            <w:vAlign w:val="center"/>
          </w:tcPr>
          <w:p w14:paraId="1B8EAF05">
            <w:pPr>
              <w:pStyle w:val="27"/>
              <w:bidi w:val="0"/>
              <w:rPr>
                <w:rFonts w:hint="default"/>
                <w:sz w:val="21"/>
                <w:szCs w:val="21"/>
              </w:rPr>
            </w:pPr>
            <w:r>
              <w:rPr>
                <w:rFonts w:hint="default"/>
                <w:sz w:val="21"/>
                <w:szCs w:val="21"/>
              </w:rPr>
              <w:t>2</w:t>
            </w:r>
          </w:p>
        </w:tc>
        <w:tc>
          <w:tcPr>
            <w:tcW w:w="1429" w:type="dxa"/>
            <w:vMerge w:val="restart"/>
            <w:tcBorders>
              <w:tl2br w:val="nil"/>
              <w:tr2bl w:val="nil"/>
            </w:tcBorders>
            <w:noWrap w:val="0"/>
            <w:vAlign w:val="center"/>
          </w:tcPr>
          <w:p w14:paraId="3C053AC1">
            <w:pPr>
              <w:pStyle w:val="27"/>
              <w:bidi w:val="0"/>
              <w:rPr>
                <w:rFonts w:hint="default"/>
                <w:sz w:val="21"/>
                <w:szCs w:val="21"/>
              </w:rPr>
            </w:pPr>
            <w:r>
              <w:rPr>
                <w:rFonts w:hint="default"/>
                <w:sz w:val="21"/>
                <w:szCs w:val="21"/>
              </w:rPr>
              <w:t>应急救援器材、设备和现场作业人员</w:t>
            </w:r>
          </w:p>
          <w:p w14:paraId="14EC29DE">
            <w:pPr>
              <w:pStyle w:val="27"/>
              <w:bidi w:val="0"/>
              <w:rPr>
                <w:rFonts w:hint="default"/>
                <w:sz w:val="21"/>
                <w:szCs w:val="21"/>
              </w:rPr>
            </w:pPr>
            <w:r>
              <w:rPr>
                <w:rFonts w:hint="default"/>
                <w:sz w:val="21"/>
                <w:szCs w:val="21"/>
              </w:rPr>
              <w:t>安全防护用品支出</w:t>
            </w:r>
          </w:p>
        </w:tc>
        <w:tc>
          <w:tcPr>
            <w:tcW w:w="5279" w:type="dxa"/>
            <w:tcBorders>
              <w:tl2br w:val="nil"/>
              <w:tr2bl w:val="nil"/>
            </w:tcBorders>
            <w:noWrap w:val="0"/>
            <w:vAlign w:val="center"/>
          </w:tcPr>
          <w:p w14:paraId="3F493F37">
            <w:pPr>
              <w:pStyle w:val="27"/>
              <w:bidi w:val="0"/>
              <w:rPr>
                <w:rFonts w:hint="default"/>
                <w:sz w:val="21"/>
                <w:szCs w:val="21"/>
              </w:rPr>
            </w:pPr>
            <w:r>
              <w:rPr>
                <w:rFonts w:hint="default"/>
                <w:sz w:val="21"/>
                <w:szCs w:val="21"/>
              </w:rPr>
              <w:t>①各种应急救援设备及器材，急救药箱及器材</w:t>
            </w:r>
          </w:p>
        </w:tc>
        <w:tc>
          <w:tcPr>
            <w:tcW w:w="1155" w:type="dxa"/>
            <w:tcBorders>
              <w:tl2br w:val="nil"/>
              <w:tr2bl w:val="nil"/>
            </w:tcBorders>
            <w:noWrap w:val="0"/>
            <w:vAlign w:val="center"/>
          </w:tcPr>
          <w:p w14:paraId="71117BC2">
            <w:pPr>
              <w:pStyle w:val="27"/>
              <w:bidi w:val="0"/>
              <w:rPr>
                <w:rFonts w:hint="default"/>
                <w:sz w:val="21"/>
                <w:szCs w:val="21"/>
                <w:lang w:val="en-US" w:eastAsia="zh-CN"/>
              </w:rPr>
            </w:pPr>
            <w:r>
              <w:rPr>
                <w:rFonts w:hint="eastAsia"/>
                <w:sz w:val="21"/>
                <w:szCs w:val="21"/>
                <w:lang w:val="en-US" w:eastAsia="zh-CN"/>
              </w:rPr>
              <w:t>10.2</w:t>
            </w:r>
          </w:p>
        </w:tc>
      </w:tr>
      <w:tr w14:paraId="5A94A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00FC57CB">
            <w:pPr>
              <w:pStyle w:val="27"/>
              <w:bidi w:val="0"/>
              <w:rPr>
                <w:rFonts w:hint="default"/>
                <w:sz w:val="21"/>
                <w:szCs w:val="21"/>
              </w:rPr>
            </w:pPr>
          </w:p>
        </w:tc>
        <w:tc>
          <w:tcPr>
            <w:tcW w:w="1429" w:type="dxa"/>
            <w:vMerge w:val="continue"/>
            <w:tcBorders>
              <w:tl2br w:val="nil"/>
              <w:tr2bl w:val="nil"/>
            </w:tcBorders>
            <w:noWrap w:val="0"/>
            <w:vAlign w:val="center"/>
          </w:tcPr>
          <w:p w14:paraId="08AB2F50">
            <w:pPr>
              <w:pStyle w:val="27"/>
              <w:bidi w:val="0"/>
              <w:rPr>
                <w:rFonts w:hint="default"/>
                <w:sz w:val="21"/>
                <w:szCs w:val="21"/>
              </w:rPr>
            </w:pPr>
          </w:p>
        </w:tc>
        <w:tc>
          <w:tcPr>
            <w:tcW w:w="5279" w:type="dxa"/>
            <w:tcBorders>
              <w:tl2br w:val="nil"/>
              <w:tr2bl w:val="nil"/>
            </w:tcBorders>
            <w:noWrap w:val="0"/>
            <w:vAlign w:val="center"/>
          </w:tcPr>
          <w:p w14:paraId="2DA1B3E2">
            <w:pPr>
              <w:pStyle w:val="27"/>
              <w:bidi w:val="0"/>
              <w:rPr>
                <w:rFonts w:hint="default"/>
                <w:sz w:val="21"/>
                <w:szCs w:val="21"/>
              </w:rPr>
            </w:pPr>
            <w:r>
              <w:rPr>
                <w:rFonts w:hint="default"/>
                <w:sz w:val="21"/>
                <w:szCs w:val="21"/>
              </w:rPr>
              <w:t>②安全帽、安全带、手套、雨衣、雨鞋等现场作业人员安全防护用品</w:t>
            </w:r>
          </w:p>
        </w:tc>
        <w:tc>
          <w:tcPr>
            <w:tcW w:w="1155" w:type="dxa"/>
            <w:tcBorders>
              <w:tl2br w:val="nil"/>
              <w:tr2bl w:val="nil"/>
            </w:tcBorders>
            <w:noWrap w:val="0"/>
            <w:vAlign w:val="center"/>
          </w:tcPr>
          <w:p w14:paraId="614B1670">
            <w:pPr>
              <w:pStyle w:val="27"/>
              <w:bidi w:val="0"/>
              <w:rPr>
                <w:rFonts w:hint="default"/>
                <w:sz w:val="21"/>
                <w:szCs w:val="21"/>
                <w:lang w:val="en-US" w:eastAsia="zh-CN"/>
              </w:rPr>
            </w:pPr>
            <w:r>
              <w:rPr>
                <w:rFonts w:hint="eastAsia"/>
                <w:sz w:val="21"/>
                <w:szCs w:val="21"/>
                <w:lang w:val="en-US" w:eastAsia="zh-CN"/>
              </w:rPr>
              <w:t>4.2</w:t>
            </w:r>
          </w:p>
        </w:tc>
      </w:tr>
      <w:tr w14:paraId="0AFE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5CD2319E">
            <w:pPr>
              <w:pStyle w:val="27"/>
              <w:bidi w:val="0"/>
              <w:rPr>
                <w:rFonts w:hint="default"/>
                <w:sz w:val="21"/>
                <w:szCs w:val="21"/>
              </w:rPr>
            </w:pPr>
          </w:p>
        </w:tc>
        <w:tc>
          <w:tcPr>
            <w:tcW w:w="1429" w:type="dxa"/>
            <w:vMerge w:val="continue"/>
            <w:tcBorders>
              <w:tl2br w:val="nil"/>
              <w:tr2bl w:val="nil"/>
            </w:tcBorders>
            <w:noWrap w:val="0"/>
            <w:vAlign w:val="center"/>
          </w:tcPr>
          <w:p w14:paraId="406E77FC">
            <w:pPr>
              <w:pStyle w:val="27"/>
              <w:bidi w:val="0"/>
              <w:rPr>
                <w:rFonts w:hint="default"/>
                <w:sz w:val="21"/>
                <w:szCs w:val="21"/>
              </w:rPr>
            </w:pPr>
          </w:p>
        </w:tc>
        <w:tc>
          <w:tcPr>
            <w:tcW w:w="5279" w:type="dxa"/>
            <w:tcBorders>
              <w:tl2br w:val="nil"/>
              <w:tr2bl w:val="nil"/>
            </w:tcBorders>
            <w:noWrap w:val="0"/>
            <w:vAlign w:val="center"/>
          </w:tcPr>
          <w:p w14:paraId="4EB1F23F">
            <w:pPr>
              <w:pStyle w:val="27"/>
              <w:bidi w:val="0"/>
              <w:rPr>
                <w:rFonts w:hint="default"/>
                <w:sz w:val="21"/>
                <w:szCs w:val="21"/>
              </w:rPr>
            </w:pPr>
            <w:r>
              <w:rPr>
                <w:rFonts w:hint="default"/>
                <w:sz w:val="21"/>
                <w:szCs w:val="21"/>
              </w:rPr>
              <w:t>③其他专门为应急救援所需而准备的物资、设备工具</w:t>
            </w:r>
          </w:p>
        </w:tc>
        <w:tc>
          <w:tcPr>
            <w:tcW w:w="1155" w:type="dxa"/>
            <w:tcBorders>
              <w:tl2br w:val="nil"/>
              <w:tr2bl w:val="nil"/>
            </w:tcBorders>
            <w:noWrap w:val="0"/>
            <w:vAlign w:val="center"/>
          </w:tcPr>
          <w:p w14:paraId="628C0154">
            <w:pPr>
              <w:pStyle w:val="27"/>
              <w:bidi w:val="0"/>
              <w:rPr>
                <w:rFonts w:hint="default"/>
                <w:sz w:val="21"/>
                <w:szCs w:val="21"/>
                <w:lang w:val="en-US" w:eastAsia="zh-CN"/>
              </w:rPr>
            </w:pPr>
            <w:r>
              <w:rPr>
                <w:rFonts w:hint="eastAsia"/>
                <w:sz w:val="21"/>
                <w:szCs w:val="21"/>
                <w:lang w:val="en-US" w:eastAsia="zh-CN"/>
              </w:rPr>
              <w:t>2.2</w:t>
            </w:r>
          </w:p>
        </w:tc>
      </w:tr>
      <w:tr w14:paraId="1CD54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restart"/>
            <w:tcBorders>
              <w:tl2br w:val="nil"/>
              <w:tr2bl w:val="nil"/>
            </w:tcBorders>
            <w:noWrap w:val="0"/>
            <w:vAlign w:val="center"/>
          </w:tcPr>
          <w:p w14:paraId="6244212D">
            <w:pPr>
              <w:pStyle w:val="27"/>
              <w:bidi w:val="0"/>
              <w:rPr>
                <w:rFonts w:hint="default"/>
                <w:sz w:val="21"/>
                <w:szCs w:val="21"/>
              </w:rPr>
            </w:pPr>
            <w:r>
              <w:rPr>
                <w:rFonts w:hint="default"/>
                <w:sz w:val="21"/>
                <w:szCs w:val="21"/>
              </w:rPr>
              <w:t>3</w:t>
            </w:r>
          </w:p>
        </w:tc>
        <w:tc>
          <w:tcPr>
            <w:tcW w:w="1429" w:type="dxa"/>
            <w:vMerge w:val="restart"/>
            <w:tcBorders>
              <w:tl2br w:val="nil"/>
              <w:tr2bl w:val="nil"/>
            </w:tcBorders>
            <w:noWrap w:val="0"/>
            <w:vAlign w:val="center"/>
          </w:tcPr>
          <w:p w14:paraId="73CCE2D5">
            <w:pPr>
              <w:pStyle w:val="27"/>
              <w:bidi w:val="0"/>
              <w:rPr>
                <w:rFonts w:hint="default"/>
                <w:sz w:val="21"/>
                <w:szCs w:val="21"/>
              </w:rPr>
            </w:pPr>
            <w:r>
              <w:rPr>
                <w:rFonts w:hint="default"/>
                <w:sz w:val="21"/>
                <w:szCs w:val="21"/>
              </w:rPr>
              <w:t>安全检查与</w:t>
            </w:r>
          </w:p>
          <w:p w14:paraId="4516D63A">
            <w:pPr>
              <w:pStyle w:val="27"/>
              <w:bidi w:val="0"/>
              <w:rPr>
                <w:rFonts w:hint="default"/>
                <w:sz w:val="21"/>
                <w:szCs w:val="21"/>
              </w:rPr>
            </w:pPr>
            <w:r>
              <w:rPr>
                <w:rFonts w:hint="default"/>
                <w:sz w:val="21"/>
                <w:szCs w:val="21"/>
              </w:rPr>
              <w:t>评价支出</w:t>
            </w:r>
          </w:p>
        </w:tc>
        <w:tc>
          <w:tcPr>
            <w:tcW w:w="5279" w:type="dxa"/>
            <w:tcBorders>
              <w:tl2br w:val="nil"/>
              <w:tr2bl w:val="nil"/>
            </w:tcBorders>
            <w:noWrap w:val="0"/>
            <w:vAlign w:val="center"/>
          </w:tcPr>
          <w:p w14:paraId="61638D2D">
            <w:pPr>
              <w:pStyle w:val="27"/>
              <w:bidi w:val="0"/>
              <w:rPr>
                <w:rFonts w:hint="default"/>
                <w:sz w:val="21"/>
                <w:szCs w:val="21"/>
              </w:rPr>
            </w:pPr>
            <w:r>
              <w:rPr>
                <w:rFonts w:hint="default"/>
                <w:sz w:val="21"/>
                <w:szCs w:val="21"/>
              </w:rPr>
              <w:t>①日常安全生产检查、评估</w:t>
            </w:r>
          </w:p>
        </w:tc>
        <w:tc>
          <w:tcPr>
            <w:tcW w:w="1155" w:type="dxa"/>
            <w:tcBorders>
              <w:tl2br w:val="nil"/>
              <w:tr2bl w:val="nil"/>
            </w:tcBorders>
            <w:noWrap w:val="0"/>
            <w:vAlign w:val="center"/>
          </w:tcPr>
          <w:p w14:paraId="2E9D43EC">
            <w:pPr>
              <w:pStyle w:val="27"/>
              <w:bidi w:val="0"/>
              <w:rPr>
                <w:rFonts w:hint="default"/>
                <w:sz w:val="21"/>
                <w:szCs w:val="21"/>
                <w:lang w:val="en-US" w:eastAsia="zh-CN"/>
              </w:rPr>
            </w:pPr>
            <w:r>
              <w:rPr>
                <w:rFonts w:hint="eastAsia"/>
                <w:sz w:val="21"/>
                <w:szCs w:val="21"/>
                <w:lang w:val="en-US" w:eastAsia="zh-CN"/>
              </w:rPr>
              <w:t>12.3</w:t>
            </w:r>
          </w:p>
        </w:tc>
      </w:tr>
      <w:tr w14:paraId="563A9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25AE4567">
            <w:pPr>
              <w:pStyle w:val="27"/>
              <w:bidi w:val="0"/>
              <w:rPr>
                <w:rFonts w:hint="default"/>
                <w:sz w:val="21"/>
                <w:szCs w:val="21"/>
              </w:rPr>
            </w:pPr>
          </w:p>
        </w:tc>
        <w:tc>
          <w:tcPr>
            <w:tcW w:w="1429" w:type="dxa"/>
            <w:vMerge w:val="continue"/>
            <w:tcBorders>
              <w:tl2br w:val="nil"/>
              <w:tr2bl w:val="nil"/>
            </w:tcBorders>
            <w:noWrap w:val="0"/>
            <w:vAlign w:val="center"/>
          </w:tcPr>
          <w:p w14:paraId="02E747B9">
            <w:pPr>
              <w:pStyle w:val="27"/>
              <w:bidi w:val="0"/>
              <w:rPr>
                <w:rFonts w:hint="default"/>
                <w:sz w:val="21"/>
                <w:szCs w:val="21"/>
              </w:rPr>
            </w:pPr>
          </w:p>
        </w:tc>
        <w:tc>
          <w:tcPr>
            <w:tcW w:w="5279" w:type="dxa"/>
            <w:tcBorders>
              <w:tl2br w:val="nil"/>
              <w:tr2bl w:val="nil"/>
            </w:tcBorders>
            <w:noWrap w:val="0"/>
            <w:vAlign w:val="center"/>
          </w:tcPr>
          <w:p w14:paraId="5AE02B14">
            <w:pPr>
              <w:pStyle w:val="27"/>
              <w:bidi w:val="0"/>
              <w:rPr>
                <w:rFonts w:hint="default"/>
                <w:sz w:val="21"/>
                <w:szCs w:val="21"/>
              </w:rPr>
            </w:pPr>
            <w:r>
              <w:rPr>
                <w:rFonts w:hint="default"/>
                <w:sz w:val="21"/>
                <w:szCs w:val="21"/>
              </w:rPr>
              <w:t>②聘请专家参与安全检查和评估</w:t>
            </w:r>
          </w:p>
        </w:tc>
        <w:tc>
          <w:tcPr>
            <w:tcW w:w="1155" w:type="dxa"/>
            <w:tcBorders>
              <w:tl2br w:val="nil"/>
              <w:tr2bl w:val="nil"/>
            </w:tcBorders>
            <w:noWrap w:val="0"/>
            <w:vAlign w:val="center"/>
          </w:tcPr>
          <w:p w14:paraId="04C510B6">
            <w:pPr>
              <w:pStyle w:val="27"/>
              <w:bidi w:val="0"/>
              <w:rPr>
                <w:rFonts w:hint="default"/>
                <w:sz w:val="21"/>
                <w:szCs w:val="21"/>
                <w:lang w:val="en-US" w:eastAsia="zh-CN"/>
              </w:rPr>
            </w:pPr>
            <w:r>
              <w:rPr>
                <w:rFonts w:hint="eastAsia"/>
                <w:sz w:val="21"/>
                <w:szCs w:val="21"/>
                <w:lang w:val="en-US" w:eastAsia="zh-CN"/>
              </w:rPr>
              <w:t>6.2</w:t>
            </w:r>
          </w:p>
        </w:tc>
      </w:tr>
      <w:tr w14:paraId="71096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restart"/>
            <w:tcBorders>
              <w:tl2br w:val="nil"/>
              <w:tr2bl w:val="nil"/>
            </w:tcBorders>
            <w:noWrap w:val="0"/>
            <w:vAlign w:val="center"/>
          </w:tcPr>
          <w:p w14:paraId="06C7DEC3">
            <w:pPr>
              <w:pStyle w:val="27"/>
              <w:bidi w:val="0"/>
              <w:rPr>
                <w:rFonts w:hint="default"/>
                <w:sz w:val="21"/>
                <w:szCs w:val="21"/>
              </w:rPr>
            </w:pPr>
            <w:r>
              <w:rPr>
                <w:rFonts w:hint="default"/>
                <w:sz w:val="21"/>
                <w:szCs w:val="21"/>
              </w:rPr>
              <w:t>4</w:t>
            </w:r>
          </w:p>
        </w:tc>
        <w:tc>
          <w:tcPr>
            <w:tcW w:w="1429" w:type="dxa"/>
            <w:vMerge w:val="restart"/>
            <w:tcBorders>
              <w:tl2br w:val="nil"/>
              <w:tr2bl w:val="nil"/>
            </w:tcBorders>
            <w:noWrap w:val="0"/>
            <w:vAlign w:val="center"/>
          </w:tcPr>
          <w:p w14:paraId="2DA2BE86">
            <w:pPr>
              <w:pStyle w:val="27"/>
              <w:bidi w:val="0"/>
              <w:rPr>
                <w:rFonts w:hint="default"/>
                <w:sz w:val="21"/>
                <w:szCs w:val="21"/>
              </w:rPr>
            </w:pPr>
            <w:r>
              <w:rPr>
                <w:rFonts w:hint="default"/>
                <w:sz w:val="21"/>
                <w:szCs w:val="21"/>
              </w:rPr>
              <w:t>安全技能培训及进行应急救援演练支出</w:t>
            </w:r>
          </w:p>
        </w:tc>
        <w:tc>
          <w:tcPr>
            <w:tcW w:w="5279" w:type="dxa"/>
            <w:tcBorders>
              <w:tl2br w:val="nil"/>
              <w:tr2bl w:val="nil"/>
            </w:tcBorders>
            <w:noWrap w:val="0"/>
            <w:vAlign w:val="center"/>
          </w:tcPr>
          <w:p w14:paraId="0A81B11E">
            <w:pPr>
              <w:pStyle w:val="27"/>
              <w:bidi w:val="0"/>
              <w:rPr>
                <w:rFonts w:hint="default"/>
                <w:sz w:val="21"/>
                <w:szCs w:val="21"/>
              </w:rPr>
            </w:pPr>
            <w:r>
              <w:rPr>
                <w:rFonts w:hint="default"/>
                <w:sz w:val="21"/>
                <w:szCs w:val="21"/>
              </w:rPr>
              <w:t>①安全员和特种作业人员的安全教育培训、复训</w:t>
            </w:r>
          </w:p>
        </w:tc>
        <w:tc>
          <w:tcPr>
            <w:tcW w:w="1155" w:type="dxa"/>
            <w:tcBorders>
              <w:tl2br w:val="nil"/>
              <w:tr2bl w:val="nil"/>
            </w:tcBorders>
            <w:noWrap w:val="0"/>
            <w:vAlign w:val="center"/>
          </w:tcPr>
          <w:p w14:paraId="568DF6D2">
            <w:pPr>
              <w:pStyle w:val="27"/>
              <w:bidi w:val="0"/>
              <w:rPr>
                <w:rFonts w:hint="default"/>
                <w:sz w:val="21"/>
                <w:szCs w:val="21"/>
                <w:lang w:val="en-US" w:eastAsia="zh-CN"/>
              </w:rPr>
            </w:pPr>
            <w:r>
              <w:rPr>
                <w:rFonts w:hint="eastAsia"/>
                <w:sz w:val="21"/>
                <w:szCs w:val="21"/>
                <w:lang w:val="en-US" w:eastAsia="zh-CN"/>
              </w:rPr>
              <w:t>5.2</w:t>
            </w:r>
          </w:p>
        </w:tc>
      </w:tr>
      <w:tr w14:paraId="1EC2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4B1A921E">
            <w:pPr>
              <w:pStyle w:val="27"/>
              <w:bidi w:val="0"/>
              <w:rPr>
                <w:rFonts w:hint="default"/>
                <w:sz w:val="21"/>
                <w:szCs w:val="21"/>
              </w:rPr>
            </w:pPr>
          </w:p>
        </w:tc>
        <w:tc>
          <w:tcPr>
            <w:tcW w:w="1429" w:type="dxa"/>
            <w:vMerge w:val="continue"/>
            <w:tcBorders>
              <w:tl2br w:val="nil"/>
              <w:tr2bl w:val="nil"/>
            </w:tcBorders>
            <w:noWrap w:val="0"/>
            <w:vAlign w:val="center"/>
          </w:tcPr>
          <w:p w14:paraId="73E24A62">
            <w:pPr>
              <w:pStyle w:val="27"/>
              <w:bidi w:val="0"/>
              <w:rPr>
                <w:rFonts w:hint="default"/>
                <w:sz w:val="21"/>
                <w:szCs w:val="21"/>
              </w:rPr>
            </w:pPr>
          </w:p>
        </w:tc>
        <w:tc>
          <w:tcPr>
            <w:tcW w:w="5279" w:type="dxa"/>
            <w:tcBorders>
              <w:tl2br w:val="nil"/>
              <w:tr2bl w:val="nil"/>
            </w:tcBorders>
            <w:noWrap w:val="0"/>
            <w:vAlign w:val="center"/>
          </w:tcPr>
          <w:p w14:paraId="4D89F7B5">
            <w:pPr>
              <w:pStyle w:val="27"/>
              <w:bidi w:val="0"/>
              <w:rPr>
                <w:rFonts w:hint="default"/>
                <w:sz w:val="21"/>
                <w:szCs w:val="21"/>
              </w:rPr>
            </w:pPr>
            <w:r>
              <w:rPr>
                <w:rFonts w:hint="default"/>
                <w:sz w:val="21"/>
                <w:szCs w:val="21"/>
              </w:rPr>
              <w:t>②内部组织的安全技术、知识培训教育</w:t>
            </w:r>
          </w:p>
        </w:tc>
        <w:tc>
          <w:tcPr>
            <w:tcW w:w="1155" w:type="dxa"/>
            <w:tcBorders>
              <w:tl2br w:val="nil"/>
              <w:tr2bl w:val="nil"/>
            </w:tcBorders>
            <w:noWrap w:val="0"/>
            <w:vAlign w:val="center"/>
          </w:tcPr>
          <w:p w14:paraId="2EDA0785">
            <w:pPr>
              <w:pStyle w:val="27"/>
              <w:bidi w:val="0"/>
              <w:rPr>
                <w:rFonts w:hint="default"/>
                <w:sz w:val="21"/>
                <w:szCs w:val="21"/>
                <w:lang w:val="en-US" w:eastAsia="zh-CN"/>
              </w:rPr>
            </w:pPr>
            <w:r>
              <w:rPr>
                <w:rFonts w:hint="eastAsia"/>
                <w:sz w:val="21"/>
                <w:szCs w:val="21"/>
                <w:lang w:val="en-US" w:eastAsia="zh-CN"/>
              </w:rPr>
              <w:t>4.6</w:t>
            </w:r>
          </w:p>
        </w:tc>
      </w:tr>
      <w:tr w14:paraId="7125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41C44CDE">
            <w:pPr>
              <w:pStyle w:val="27"/>
              <w:bidi w:val="0"/>
              <w:rPr>
                <w:rFonts w:hint="default"/>
                <w:sz w:val="21"/>
                <w:szCs w:val="21"/>
              </w:rPr>
            </w:pPr>
          </w:p>
        </w:tc>
        <w:tc>
          <w:tcPr>
            <w:tcW w:w="1429" w:type="dxa"/>
            <w:vMerge w:val="continue"/>
            <w:tcBorders>
              <w:tl2br w:val="nil"/>
              <w:tr2bl w:val="nil"/>
            </w:tcBorders>
            <w:noWrap w:val="0"/>
            <w:vAlign w:val="center"/>
          </w:tcPr>
          <w:p w14:paraId="0EDFD064">
            <w:pPr>
              <w:pStyle w:val="27"/>
              <w:bidi w:val="0"/>
              <w:rPr>
                <w:rFonts w:hint="default"/>
                <w:sz w:val="21"/>
                <w:szCs w:val="21"/>
              </w:rPr>
            </w:pPr>
          </w:p>
        </w:tc>
        <w:tc>
          <w:tcPr>
            <w:tcW w:w="5279" w:type="dxa"/>
            <w:tcBorders>
              <w:tl2br w:val="nil"/>
              <w:tr2bl w:val="nil"/>
            </w:tcBorders>
            <w:noWrap w:val="0"/>
            <w:vAlign w:val="center"/>
          </w:tcPr>
          <w:p w14:paraId="35FB7BD9">
            <w:pPr>
              <w:pStyle w:val="27"/>
              <w:bidi w:val="0"/>
              <w:rPr>
                <w:rFonts w:hint="default"/>
                <w:sz w:val="21"/>
                <w:szCs w:val="21"/>
              </w:rPr>
            </w:pPr>
            <w:r>
              <w:rPr>
                <w:rFonts w:hint="default"/>
                <w:sz w:val="21"/>
                <w:szCs w:val="21"/>
              </w:rPr>
              <w:t>③组织应急救援演练</w:t>
            </w:r>
          </w:p>
        </w:tc>
        <w:tc>
          <w:tcPr>
            <w:tcW w:w="1155" w:type="dxa"/>
            <w:tcBorders>
              <w:tl2br w:val="nil"/>
              <w:tr2bl w:val="nil"/>
            </w:tcBorders>
            <w:noWrap w:val="0"/>
            <w:vAlign w:val="center"/>
          </w:tcPr>
          <w:p w14:paraId="752CF1D7">
            <w:pPr>
              <w:pStyle w:val="27"/>
              <w:bidi w:val="0"/>
              <w:rPr>
                <w:rFonts w:hint="default"/>
                <w:sz w:val="21"/>
                <w:szCs w:val="21"/>
                <w:lang w:val="en-US" w:eastAsia="zh-CN"/>
              </w:rPr>
            </w:pPr>
            <w:r>
              <w:rPr>
                <w:rFonts w:hint="eastAsia"/>
                <w:sz w:val="21"/>
                <w:szCs w:val="21"/>
                <w:lang w:val="en-US" w:eastAsia="zh-CN"/>
              </w:rPr>
              <w:t>5.2</w:t>
            </w:r>
          </w:p>
        </w:tc>
      </w:tr>
      <w:tr w14:paraId="4979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restart"/>
            <w:tcBorders>
              <w:tl2br w:val="nil"/>
              <w:tr2bl w:val="nil"/>
            </w:tcBorders>
            <w:noWrap w:val="0"/>
            <w:vAlign w:val="center"/>
          </w:tcPr>
          <w:p w14:paraId="3A19BC3E">
            <w:pPr>
              <w:pStyle w:val="27"/>
              <w:bidi w:val="0"/>
              <w:rPr>
                <w:rFonts w:hint="default"/>
                <w:sz w:val="21"/>
                <w:szCs w:val="21"/>
              </w:rPr>
            </w:pPr>
            <w:r>
              <w:rPr>
                <w:rFonts w:hint="default"/>
                <w:sz w:val="21"/>
                <w:szCs w:val="21"/>
              </w:rPr>
              <w:t>5</w:t>
            </w:r>
          </w:p>
        </w:tc>
        <w:tc>
          <w:tcPr>
            <w:tcW w:w="1429" w:type="dxa"/>
            <w:vMerge w:val="restart"/>
            <w:tcBorders>
              <w:tl2br w:val="nil"/>
              <w:tr2bl w:val="nil"/>
            </w:tcBorders>
            <w:noWrap w:val="0"/>
            <w:vAlign w:val="center"/>
          </w:tcPr>
          <w:p w14:paraId="49F8804A">
            <w:pPr>
              <w:pStyle w:val="27"/>
              <w:bidi w:val="0"/>
              <w:rPr>
                <w:rFonts w:hint="default"/>
                <w:sz w:val="21"/>
                <w:szCs w:val="21"/>
              </w:rPr>
            </w:pPr>
            <w:r>
              <w:rPr>
                <w:rFonts w:hint="default"/>
                <w:sz w:val="21"/>
                <w:szCs w:val="21"/>
              </w:rPr>
              <w:t>其他与安全</w:t>
            </w:r>
          </w:p>
          <w:p w14:paraId="3C1B830E">
            <w:pPr>
              <w:pStyle w:val="27"/>
              <w:bidi w:val="0"/>
              <w:rPr>
                <w:rFonts w:hint="default"/>
                <w:sz w:val="21"/>
                <w:szCs w:val="21"/>
              </w:rPr>
            </w:pPr>
            <w:r>
              <w:rPr>
                <w:rFonts w:hint="default"/>
                <w:sz w:val="21"/>
                <w:szCs w:val="21"/>
              </w:rPr>
              <w:t>成产直接</w:t>
            </w:r>
          </w:p>
          <w:p w14:paraId="109AFC6F">
            <w:pPr>
              <w:pStyle w:val="27"/>
              <w:bidi w:val="0"/>
              <w:rPr>
                <w:rFonts w:hint="default"/>
                <w:sz w:val="21"/>
                <w:szCs w:val="21"/>
              </w:rPr>
            </w:pPr>
            <w:r>
              <w:rPr>
                <w:rFonts w:hint="default"/>
                <w:sz w:val="21"/>
                <w:szCs w:val="21"/>
              </w:rPr>
              <w:t>相关的</w:t>
            </w:r>
          </w:p>
          <w:p w14:paraId="0B6F9089">
            <w:pPr>
              <w:pStyle w:val="27"/>
              <w:bidi w:val="0"/>
              <w:rPr>
                <w:rFonts w:hint="default"/>
                <w:sz w:val="21"/>
                <w:szCs w:val="21"/>
              </w:rPr>
            </w:pPr>
            <w:r>
              <w:rPr>
                <w:rFonts w:hint="default"/>
                <w:sz w:val="21"/>
                <w:szCs w:val="21"/>
              </w:rPr>
              <w:t>支出</w:t>
            </w:r>
          </w:p>
        </w:tc>
        <w:tc>
          <w:tcPr>
            <w:tcW w:w="5279" w:type="dxa"/>
            <w:tcBorders>
              <w:tl2br w:val="nil"/>
              <w:tr2bl w:val="nil"/>
            </w:tcBorders>
            <w:noWrap w:val="0"/>
            <w:vAlign w:val="center"/>
          </w:tcPr>
          <w:p w14:paraId="041A9ED5">
            <w:pPr>
              <w:pStyle w:val="27"/>
              <w:bidi w:val="0"/>
              <w:rPr>
                <w:rFonts w:hint="default"/>
                <w:sz w:val="21"/>
                <w:szCs w:val="21"/>
              </w:rPr>
            </w:pPr>
            <w:r>
              <w:rPr>
                <w:rFonts w:hint="default"/>
                <w:sz w:val="21"/>
                <w:szCs w:val="21"/>
              </w:rPr>
              <w:t>①召开安全生产专题会议等相关活动</w:t>
            </w:r>
          </w:p>
        </w:tc>
        <w:tc>
          <w:tcPr>
            <w:tcW w:w="1155" w:type="dxa"/>
            <w:tcBorders>
              <w:tl2br w:val="nil"/>
              <w:tr2bl w:val="nil"/>
            </w:tcBorders>
            <w:noWrap w:val="0"/>
            <w:vAlign w:val="center"/>
          </w:tcPr>
          <w:p w14:paraId="166FD2C2">
            <w:pPr>
              <w:pStyle w:val="27"/>
              <w:bidi w:val="0"/>
              <w:rPr>
                <w:rFonts w:hint="default"/>
                <w:sz w:val="21"/>
                <w:szCs w:val="21"/>
                <w:lang w:val="en-US" w:eastAsia="zh-CN"/>
              </w:rPr>
            </w:pPr>
            <w:r>
              <w:rPr>
                <w:rFonts w:hint="eastAsia"/>
                <w:sz w:val="21"/>
                <w:szCs w:val="21"/>
                <w:lang w:val="en-US" w:eastAsia="zh-CN"/>
              </w:rPr>
              <w:t>5.5</w:t>
            </w:r>
          </w:p>
        </w:tc>
      </w:tr>
      <w:tr w14:paraId="1EFA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0E288062">
            <w:pPr>
              <w:pStyle w:val="27"/>
              <w:bidi w:val="0"/>
              <w:rPr>
                <w:rFonts w:hint="default"/>
                <w:sz w:val="21"/>
                <w:szCs w:val="21"/>
              </w:rPr>
            </w:pPr>
          </w:p>
        </w:tc>
        <w:tc>
          <w:tcPr>
            <w:tcW w:w="1429" w:type="dxa"/>
            <w:vMerge w:val="continue"/>
            <w:tcBorders>
              <w:tl2br w:val="nil"/>
              <w:tr2bl w:val="nil"/>
            </w:tcBorders>
            <w:noWrap w:val="0"/>
            <w:vAlign w:val="center"/>
          </w:tcPr>
          <w:p w14:paraId="2DE93629">
            <w:pPr>
              <w:pStyle w:val="27"/>
              <w:bidi w:val="0"/>
              <w:rPr>
                <w:rFonts w:hint="default"/>
                <w:sz w:val="21"/>
                <w:szCs w:val="21"/>
              </w:rPr>
            </w:pPr>
          </w:p>
        </w:tc>
        <w:tc>
          <w:tcPr>
            <w:tcW w:w="5279" w:type="dxa"/>
            <w:tcBorders>
              <w:tl2br w:val="nil"/>
              <w:tr2bl w:val="nil"/>
            </w:tcBorders>
            <w:noWrap w:val="0"/>
            <w:vAlign w:val="center"/>
          </w:tcPr>
          <w:p w14:paraId="3BF7F06A">
            <w:pPr>
              <w:pStyle w:val="27"/>
              <w:bidi w:val="0"/>
              <w:rPr>
                <w:rFonts w:hint="default"/>
                <w:sz w:val="21"/>
                <w:szCs w:val="21"/>
              </w:rPr>
            </w:pPr>
            <w:r>
              <w:rPr>
                <w:rFonts w:hint="default"/>
                <w:sz w:val="21"/>
                <w:szCs w:val="21"/>
              </w:rPr>
              <w:t>②举办安全生产为主题的知识竞赛、技能比赛等等活动</w:t>
            </w:r>
          </w:p>
        </w:tc>
        <w:tc>
          <w:tcPr>
            <w:tcW w:w="1155" w:type="dxa"/>
            <w:tcBorders>
              <w:tl2br w:val="nil"/>
              <w:tr2bl w:val="nil"/>
            </w:tcBorders>
            <w:noWrap w:val="0"/>
            <w:vAlign w:val="center"/>
          </w:tcPr>
          <w:p w14:paraId="3FB9928C">
            <w:pPr>
              <w:pStyle w:val="27"/>
              <w:bidi w:val="0"/>
              <w:rPr>
                <w:rFonts w:hint="default"/>
                <w:sz w:val="21"/>
                <w:szCs w:val="21"/>
                <w:lang w:val="en-US" w:eastAsia="zh-CN"/>
              </w:rPr>
            </w:pPr>
            <w:r>
              <w:rPr>
                <w:rFonts w:hint="eastAsia"/>
                <w:sz w:val="21"/>
                <w:szCs w:val="21"/>
                <w:lang w:val="en-US" w:eastAsia="zh-CN"/>
              </w:rPr>
              <w:t>5.6</w:t>
            </w:r>
          </w:p>
        </w:tc>
      </w:tr>
      <w:tr w14:paraId="3532D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6C9D2291">
            <w:pPr>
              <w:pStyle w:val="27"/>
              <w:bidi w:val="0"/>
              <w:rPr>
                <w:rFonts w:hint="default"/>
                <w:sz w:val="21"/>
                <w:szCs w:val="21"/>
              </w:rPr>
            </w:pPr>
          </w:p>
        </w:tc>
        <w:tc>
          <w:tcPr>
            <w:tcW w:w="1429" w:type="dxa"/>
            <w:vMerge w:val="continue"/>
            <w:tcBorders>
              <w:tl2br w:val="nil"/>
              <w:tr2bl w:val="nil"/>
            </w:tcBorders>
            <w:noWrap w:val="0"/>
            <w:vAlign w:val="center"/>
          </w:tcPr>
          <w:p w14:paraId="4AB6138A">
            <w:pPr>
              <w:pStyle w:val="27"/>
              <w:bidi w:val="0"/>
              <w:rPr>
                <w:rFonts w:hint="default"/>
                <w:sz w:val="21"/>
                <w:szCs w:val="21"/>
              </w:rPr>
            </w:pPr>
          </w:p>
        </w:tc>
        <w:tc>
          <w:tcPr>
            <w:tcW w:w="5279" w:type="dxa"/>
            <w:tcBorders>
              <w:tl2br w:val="nil"/>
              <w:tr2bl w:val="nil"/>
            </w:tcBorders>
            <w:noWrap w:val="0"/>
            <w:vAlign w:val="center"/>
          </w:tcPr>
          <w:p w14:paraId="22B2DAC3">
            <w:pPr>
              <w:pStyle w:val="27"/>
              <w:bidi w:val="0"/>
              <w:rPr>
                <w:rFonts w:hint="default"/>
                <w:sz w:val="21"/>
                <w:szCs w:val="21"/>
              </w:rPr>
            </w:pPr>
            <w:r>
              <w:rPr>
                <w:rFonts w:hint="default"/>
                <w:sz w:val="21"/>
                <w:szCs w:val="21"/>
              </w:rPr>
              <w:t>③安全经验交流、现场观摩</w:t>
            </w:r>
          </w:p>
        </w:tc>
        <w:tc>
          <w:tcPr>
            <w:tcW w:w="1155" w:type="dxa"/>
            <w:tcBorders>
              <w:tl2br w:val="nil"/>
              <w:tr2bl w:val="nil"/>
            </w:tcBorders>
            <w:noWrap w:val="0"/>
            <w:vAlign w:val="center"/>
          </w:tcPr>
          <w:p w14:paraId="4B0EB5FC">
            <w:pPr>
              <w:pStyle w:val="27"/>
              <w:bidi w:val="0"/>
              <w:rPr>
                <w:rFonts w:hint="default"/>
                <w:sz w:val="21"/>
                <w:szCs w:val="21"/>
                <w:lang w:val="en-US" w:eastAsia="zh-CN"/>
              </w:rPr>
            </w:pPr>
            <w:r>
              <w:rPr>
                <w:rFonts w:hint="eastAsia"/>
                <w:sz w:val="21"/>
                <w:szCs w:val="21"/>
                <w:lang w:val="en-US" w:eastAsia="zh-CN"/>
              </w:rPr>
              <w:t>3.5</w:t>
            </w:r>
          </w:p>
        </w:tc>
      </w:tr>
      <w:tr w14:paraId="78D1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26E52951">
            <w:pPr>
              <w:pStyle w:val="27"/>
              <w:bidi w:val="0"/>
              <w:rPr>
                <w:rFonts w:hint="default"/>
                <w:sz w:val="21"/>
                <w:szCs w:val="21"/>
              </w:rPr>
            </w:pPr>
          </w:p>
        </w:tc>
        <w:tc>
          <w:tcPr>
            <w:tcW w:w="1429" w:type="dxa"/>
            <w:vMerge w:val="continue"/>
            <w:tcBorders>
              <w:tl2br w:val="nil"/>
              <w:tr2bl w:val="nil"/>
            </w:tcBorders>
            <w:noWrap w:val="0"/>
            <w:vAlign w:val="center"/>
          </w:tcPr>
          <w:p w14:paraId="6A527C9F">
            <w:pPr>
              <w:pStyle w:val="27"/>
              <w:bidi w:val="0"/>
              <w:rPr>
                <w:rFonts w:hint="default"/>
                <w:sz w:val="21"/>
                <w:szCs w:val="21"/>
              </w:rPr>
            </w:pPr>
          </w:p>
        </w:tc>
        <w:tc>
          <w:tcPr>
            <w:tcW w:w="5279" w:type="dxa"/>
            <w:tcBorders>
              <w:tl2br w:val="nil"/>
              <w:tr2bl w:val="nil"/>
            </w:tcBorders>
            <w:noWrap w:val="0"/>
            <w:vAlign w:val="center"/>
          </w:tcPr>
          <w:p w14:paraId="70C673FE">
            <w:pPr>
              <w:pStyle w:val="27"/>
              <w:bidi w:val="0"/>
              <w:rPr>
                <w:rFonts w:hint="default"/>
                <w:sz w:val="21"/>
                <w:szCs w:val="21"/>
              </w:rPr>
            </w:pPr>
            <w:r>
              <w:rPr>
                <w:rFonts w:hint="default"/>
                <w:sz w:val="21"/>
                <w:szCs w:val="21"/>
              </w:rPr>
              <w:t>④购置、编印安全生产制度、书籍、刊物、影像等资料</w:t>
            </w:r>
          </w:p>
        </w:tc>
        <w:tc>
          <w:tcPr>
            <w:tcW w:w="1155" w:type="dxa"/>
            <w:tcBorders>
              <w:tl2br w:val="nil"/>
              <w:tr2bl w:val="nil"/>
            </w:tcBorders>
            <w:noWrap w:val="0"/>
            <w:vAlign w:val="center"/>
          </w:tcPr>
          <w:p w14:paraId="41CF4E73">
            <w:pPr>
              <w:pStyle w:val="27"/>
              <w:bidi w:val="0"/>
              <w:rPr>
                <w:rFonts w:hint="default"/>
                <w:sz w:val="21"/>
                <w:szCs w:val="21"/>
                <w:lang w:val="en-US" w:eastAsia="zh-CN"/>
              </w:rPr>
            </w:pPr>
            <w:r>
              <w:rPr>
                <w:rFonts w:hint="eastAsia"/>
                <w:sz w:val="21"/>
                <w:szCs w:val="21"/>
                <w:lang w:val="en-US" w:eastAsia="zh-CN"/>
              </w:rPr>
              <w:t>4.8</w:t>
            </w:r>
          </w:p>
        </w:tc>
      </w:tr>
      <w:tr w14:paraId="36AAD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556BD7BF">
            <w:pPr>
              <w:pStyle w:val="27"/>
              <w:bidi w:val="0"/>
              <w:rPr>
                <w:rFonts w:hint="default"/>
                <w:sz w:val="21"/>
                <w:szCs w:val="21"/>
              </w:rPr>
            </w:pPr>
          </w:p>
        </w:tc>
        <w:tc>
          <w:tcPr>
            <w:tcW w:w="1429" w:type="dxa"/>
            <w:vMerge w:val="continue"/>
            <w:tcBorders>
              <w:tl2br w:val="nil"/>
              <w:tr2bl w:val="nil"/>
            </w:tcBorders>
            <w:noWrap w:val="0"/>
            <w:vAlign w:val="center"/>
          </w:tcPr>
          <w:p w14:paraId="5E935B02">
            <w:pPr>
              <w:pStyle w:val="27"/>
              <w:bidi w:val="0"/>
              <w:rPr>
                <w:rFonts w:hint="default"/>
                <w:sz w:val="21"/>
                <w:szCs w:val="21"/>
              </w:rPr>
            </w:pPr>
          </w:p>
        </w:tc>
        <w:tc>
          <w:tcPr>
            <w:tcW w:w="5279" w:type="dxa"/>
            <w:tcBorders>
              <w:tl2br w:val="nil"/>
              <w:tr2bl w:val="nil"/>
            </w:tcBorders>
            <w:noWrap w:val="0"/>
            <w:vAlign w:val="center"/>
          </w:tcPr>
          <w:p w14:paraId="7C676B6B">
            <w:pPr>
              <w:pStyle w:val="27"/>
              <w:bidi w:val="0"/>
              <w:rPr>
                <w:rFonts w:hint="default"/>
                <w:sz w:val="21"/>
                <w:szCs w:val="21"/>
              </w:rPr>
            </w:pPr>
            <w:r>
              <w:rPr>
                <w:rFonts w:hint="eastAsia"/>
                <w:sz w:val="21"/>
                <w:szCs w:val="21"/>
              </w:rPr>
              <w:t>⑤</w:t>
            </w:r>
            <w:r>
              <w:rPr>
                <w:rFonts w:hint="default"/>
                <w:sz w:val="21"/>
                <w:szCs w:val="21"/>
              </w:rPr>
              <w:t>安全生产奖励费用：发给专职安全员工资以外的安全目标考核奖励，安全生产工作先进的个人、集体的奖励</w:t>
            </w:r>
          </w:p>
        </w:tc>
        <w:tc>
          <w:tcPr>
            <w:tcW w:w="1155" w:type="dxa"/>
            <w:tcBorders>
              <w:tl2br w:val="nil"/>
              <w:tr2bl w:val="nil"/>
            </w:tcBorders>
            <w:noWrap w:val="0"/>
            <w:vAlign w:val="center"/>
          </w:tcPr>
          <w:p w14:paraId="58419B47">
            <w:pPr>
              <w:pStyle w:val="27"/>
              <w:bidi w:val="0"/>
              <w:rPr>
                <w:rFonts w:hint="default"/>
                <w:sz w:val="21"/>
                <w:szCs w:val="21"/>
                <w:lang w:val="en-US" w:eastAsia="zh-CN"/>
              </w:rPr>
            </w:pPr>
            <w:r>
              <w:rPr>
                <w:rFonts w:hint="eastAsia"/>
                <w:sz w:val="21"/>
                <w:szCs w:val="21"/>
                <w:lang w:val="en-US" w:eastAsia="zh-CN"/>
              </w:rPr>
              <w:t>5.0</w:t>
            </w:r>
          </w:p>
        </w:tc>
      </w:tr>
      <w:tr w14:paraId="011C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restart"/>
            <w:tcBorders>
              <w:tl2br w:val="nil"/>
              <w:tr2bl w:val="nil"/>
            </w:tcBorders>
            <w:noWrap w:val="0"/>
            <w:vAlign w:val="center"/>
          </w:tcPr>
          <w:p w14:paraId="6E92A427">
            <w:pPr>
              <w:pStyle w:val="27"/>
              <w:bidi w:val="0"/>
              <w:rPr>
                <w:rFonts w:hint="default"/>
                <w:sz w:val="21"/>
                <w:szCs w:val="21"/>
              </w:rPr>
            </w:pPr>
            <w:r>
              <w:rPr>
                <w:rFonts w:hint="default"/>
                <w:sz w:val="21"/>
                <w:szCs w:val="21"/>
              </w:rPr>
              <w:t>6</w:t>
            </w:r>
          </w:p>
        </w:tc>
        <w:tc>
          <w:tcPr>
            <w:tcW w:w="1429" w:type="dxa"/>
            <w:vMerge w:val="restart"/>
            <w:tcBorders>
              <w:tl2br w:val="nil"/>
              <w:tr2bl w:val="nil"/>
            </w:tcBorders>
            <w:noWrap w:val="0"/>
            <w:vAlign w:val="center"/>
          </w:tcPr>
          <w:p w14:paraId="2C23EE71">
            <w:pPr>
              <w:pStyle w:val="27"/>
              <w:bidi w:val="0"/>
              <w:rPr>
                <w:rFonts w:hint="default"/>
                <w:sz w:val="21"/>
                <w:szCs w:val="21"/>
              </w:rPr>
            </w:pPr>
            <w:r>
              <w:rPr>
                <w:rFonts w:hint="default"/>
                <w:sz w:val="21"/>
                <w:szCs w:val="21"/>
              </w:rPr>
              <w:t>保险</w:t>
            </w:r>
          </w:p>
        </w:tc>
        <w:tc>
          <w:tcPr>
            <w:tcW w:w="5279" w:type="dxa"/>
            <w:tcBorders>
              <w:tl2br w:val="nil"/>
              <w:tr2bl w:val="nil"/>
            </w:tcBorders>
            <w:noWrap w:val="0"/>
            <w:vAlign w:val="center"/>
          </w:tcPr>
          <w:p w14:paraId="21B9CCB1">
            <w:pPr>
              <w:pStyle w:val="27"/>
              <w:bidi w:val="0"/>
              <w:rPr>
                <w:rFonts w:hint="default"/>
                <w:sz w:val="21"/>
                <w:szCs w:val="21"/>
              </w:rPr>
            </w:pPr>
            <w:r>
              <w:rPr>
                <w:rFonts w:hint="default"/>
                <w:sz w:val="21"/>
                <w:szCs w:val="21"/>
              </w:rPr>
              <w:t>为从业人员缴纳工伤保险</w:t>
            </w:r>
          </w:p>
        </w:tc>
        <w:tc>
          <w:tcPr>
            <w:tcW w:w="1155" w:type="dxa"/>
            <w:tcBorders>
              <w:tl2br w:val="nil"/>
              <w:tr2bl w:val="nil"/>
            </w:tcBorders>
            <w:noWrap w:val="0"/>
            <w:vAlign w:val="center"/>
          </w:tcPr>
          <w:p w14:paraId="3B8B6CA6">
            <w:pPr>
              <w:pStyle w:val="27"/>
              <w:bidi w:val="0"/>
              <w:rPr>
                <w:rFonts w:hint="default"/>
                <w:sz w:val="21"/>
                <w:szCs w:val="21"/>
                <w:lang w:val="en-US" w:eastAsia="zh-CN"/>
              </w:rPr>
            </w:pPr>
            <w:r>
              <w:rPr>
                <w:rFonts w:hint="eastAsia"/>
                <w:sz w:val="21"/>
                <w:szCs w:val="21"/>
                <w:lang w:val="en-US" w:eastAsia="zh-CN"/>
              </w:rPr>
              <w:t>1.9</w:t>
            </w:r>
          </w:p>
        </w:tc>
      </w:tr>
      <w:tr w14:paraId="313F7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635" w:type="dxa"/>
            <w:vMerge w:val="continue"/>
            <w:tcBorders>
              <w:tl2br w:val="nil"/>
              <w:tr2bl w:val="nil"/>
            </w:tcBorders>
            <w:noWrap w:val="0"/>
            <w:vAlign w:val="center"/>
          </w:tcPr>
          <w:p w14:paraId="4922C94F">
            <w:pPr>
              <w:pStyle w:val="27"/>
              <w:bidi w:val="0"/>
              <w:rPr>
                <w:rFonts w:hint="default"/>
                <w:sz w:val="21"/>
                <w:szCs w:val="21"/>
              </w:rPr>
            </w:pPr>
          </w:p>
        </w:tc>
        <w:tc>
          <w:tcPr>
            <w:tcW w:w="1429" w:type="dxa"/>
            <w:vMerge w:val="continue"/>
            <w:tcBorders>
              <w:tl2br w:val="nil"/>
              <w:tr2bl w:val="nil"/>
            </w:tcBorders>
            <w:noWrap w:val="0"/>
            <w:vAlign w:val="center"/>
          </w:tcPr>
          <w:p w14:paraId="1FE2F87D">
            <w:pPr>
              <w:pStyle w:val="27"/>
              <w:bidi w:val="0"/>
              <w:rPr>
                <w:rFonts w:hint="default"/>
                <w:sz w:val="21"/>
                <w:szCs w:val="21"/>
              </w:rPr>
            </w:pPr>
          </w:p>
        </w:tc>
        <w:tc>
          <w:tcPr>
            <w:tcW w:w="5279" w:type="dxa"/>
            <w:tcBorders>
              <w:tl2br w:val="nil"/>
              <w:tr2bl w:val="nil"/>
            </w:tcBorders>
            <w:noWrap w:val="0"/>
            <w:vAlign w:val="center"/>
          </w:tcPr>
          <w:p w14:paraId="2215A4B2">
            <w:pPr>
              <w:pStyle w:val="27"/>
              <w:bidi w:val="0"/>
              <w:rPr>
                <w:rFonts w:hint="default"/>
                <w:sz w:val="21"/>
                <w:szCs w:val="21"/>
              </w:rPr>
            </w:pPr>
            <w:r>
              <w:rPr>
                <w:rFonts w:hint="default"/>
                <w:sz w:val="21"/>
                <w:szCs w:val="21"/>
              </w:rPr>
              <w:t>为从业人员缴纳意外保险、安全生产责任保险</w:t>
            </w:r>
          </w:p>
        </w:tc>
        <w:tc>
          <w:tcPr>
            <w:tcW w:w="1155" w:type="dxa"/>
            <w:tcBorders>
              <w:tl2br w:val="nil"/>
              <w:tr2bl w:val="nil"/>
            </w:tcBorders>
            <w:noWrap w:val="0"/>
            <w:vAlign w:val="center"/>
          </w:tcPr>
          <w:p w14:paraId="3878E155">
            <w:pPr>
              <w:pStyle w:val="27"/>
              <w:bidi w:val="0"/>
              <w:rPr>
                <w:rFonts w:hint="default"/>
                <w:sz w:val="21"/>
                <w:szCs w:val="21"/>
                <w:lang w:val="en-US" w:eastAsia="zh-CN"/>
              </w:rPr>
            </w:pPr>
            <w:r>
              <w:rPr>
                <w:rFonts w:hint="eastAsia"/>
                <w:sz w:val="21"/>
                <w:szCs w:val="21"/>
                <w:lang w:val="en-US" w:eastAsia="zh-CN"/>
              </w:rPr>
              <w:t>3.3</w:t>
            </w:r>
          </w:p>
        </w:tc>
      </w:tr>
      <w:tr w14:paraId="35A1D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0" w:hRule="atLeast"/>
          <w:jc w:val="center"/>
        </w:trPr>
        <w:tc>
          <w:tcPr>
            <w:tcW w:w="2064" w:type="dxa"/>
            <w:gridSpan w:val="2"/>
            <w:tcBorders>
              <w:tl2br w:val="nil"/>
              <w:tr2bl w:val="nil"/>
            </w:tcBorders>
            <w:noWrap w:val="0"/>
            <w:vAlign w:val="center"/>
          </w:tcPr>
          <w:p w14:paraId="7CEE4CC9">
            <w:pPr>
              <w:pStyle w:val="27"/>
              <w:bidi w:val="0"/>
              <w:rPr>
                <w:rFonts w:hint="default"/>
                <w:sz w:val="21"/>
                <w:szCs w:val="21"/>
              </w:rPr>
            </w:pPr>
            <w:r>
              <w:rPr>
                <w:rFonts w:hint="default"/>
                <w:sz w:val="21"/>
                <w:szCs w:val="21"/>
              </w:rPr>
              <w:t>安全生产费用总额</w:t>
            </w:r>
          </w:p>
        </w:tc>
        <w:tc>
          <w:tcPr>
            <w:tcW w:w="5279" w:type="dxa"/>
            <w:tcBorders>
              <w:tl2br w:val="nil"/>
              <w:tr2bl w:val="nil"/>
            </w:tcBorders>
            <w:noWrap w:val="0"/>
            <w:vAlign w:val="center"/>
          </w:tcPr>
          <w:p w14:paraId="6BC5DF00">
            <w:pPr>
              <w:pStyle w:val="27"/>
              <w:bidi w:val="0"/>
              <w:rPr>
                <w:rFonts w:hint="default"/>
                <w:sz w:val="21"/>
                <w:szCs w:val="21"/>
              </w:rPr>
            </w:pPr>
          </w:p>
        </w:tc>
        <w:tc>
          <w:tcPr>
            <w:tcW w:w="1155" w:type="dxa"/>
            <w:tcBorders>
              <w:tl2br w:val="nil"/>
              <w:tr2bl w:val="nil"/>
            </w:tcBorders>
            <w:noWrap w:val="0"/>
            <w:vAlign w:val="center"/>
          </w:tcPr>
          <w:p w14:paraId="4EC7BF7C">
            <w:pPr>
              <w:pStyle w:val="27"/>
              <w:bidi w:val="0"/>
              <w:rPr>
                <w:rFonts w:hint="default"/>
                <w:sz w:val="21"/>
                <w:szCs w:val="21"/>
                <w:lang w:val="en-US" w:eastAsia="zh-CN"/>
              </w:rPr>
            </w:pPr>
            <w:r>
              <w:rPr>
                <w:rFonts w:hint="eastAsia"/>
                <w:sz w:val="21"/>
                <w:szCs w:val="21"/>
                <w:lang w:val="en-US" w:eastAsia="zh-CN"/>
              </w:rPr>
              <w:t>92.3</w:t>
            </w:r>
          </w:p>
        </w:tc>
      </w:tr>
    </w:tbl>
    <w:p w14:paraId="68F8C9B6">
      <w:pPr>
        <w:pStyle w:val="24"/>
        <w:bidi w:val="0"/>
        <w:ind w:left="0" w:leftChars="0" w:firstLine="0" w:firstLineChars="0"/>
        <w:rPr>
          <w:rFonts w:hint="default"/>
          <w:lang w:val="en-US" w:eastAsia="zh-CN"/>
        </w:rPr>
      </w:pPr>
      <w:bookmarkStart w:id="8" w:name="_Toc24366"/>
      <w:r>
        <w:rPr>
          <w:rFonts w:hint="eastAsia"/>
          <w:lang w:val="en-US" w:eastAsia="zh-CN"/>
        </w:rPr>
        <w:t>施工及监理概况</w:t>
      </w:r>
      <w:bookmarkEnd w:id="8"/>
    </w:p>
    <w:p w14:paraId="5F14E2F4">
      <w:pPr>
        <w:pStyle w:val="18"/>
        <w:bidi w:val="0"/>
        <w:rPr>
          <w:rFonts w:hint="default"/>
          <w:lang w:val="en-US" w:eastAsia="zh-CN"/>
        </w:rPr>
      </w:pPr>
      <w:r>
        <w:rPr>
          <w:rFonts w:hint="default"/>
          <w:lang w:val="en-US" w:eastAsia="zh-CN"/>
        </w:rPr>
        <w:t>海城市荣富耐火材料有限公司镁矿（菱镁石、滑石）露天矿山建设项目，于2023年4月开始施工建设，竣工日期为2025年2月。项目建设单位为海城市荣富耐火材料有限公司；施工单位为辽宁泓远建设有限公司，资质证书编号为D321175827，资质等级：矿山工程施工总承包叁级；项目监理单位为吉林东北亚国际工程技术集团有限公司，资质证书编号为E122001599，资质等级：矿山工程监理甲级。</w:t>
      </w:r>
    </w:p>
    <w:p w14:paraId="271DA783">
      <w:pPr>
        <w:pStyle w:val="18"/>
        <w:bidi w:val="0"/>
        <w:rPr>
          <w:rFonts w:hint="default"/>
          <w:lang w:val="en-US" w:eastAsia="zh-CN"/>
        </w:rPr>
      </w:pPr>
      <w:r>
        <w:rPr>
          <w:rFonts w:hint="default"/>
          <w:lang w:val="en-US" w:eastAsia="zh-CN"/>
        </w:rPr>
        <w:t>海城市荣富耐火材料有限公司镁矿（菱镁石、滑石）露天矿山建设项目，按照相关法律法规、标准规范和设计要求，进行了施工建设，监理部门严格按照国家法律、法规、安全设施设计及施工图的要求，对施工单位的整个施工过程进行了全方位的监理，各项记录完整，企业资料齐全，并出具了《竣工报告》和《监理报告》，工程施工进度和监理控制情况良好。</w:t>
      </w:r>
    </w:p>
    <w:p w14:paraId="7E3E9142">
      <w:pPr>
        <w:pStyle w:val="24"/>
        <w:bidi w:val="0"/>
        <w:ind w:left="0" w:leftChars="0" w:firstLine="0" w:firstLineChars="0"/>
        <w:rPr>
          <w:rFonts w:hint="default"/>
          <w:lang w:val="en-US" w:eastAsia="zh-CN"/>
        </w:rPr>
      </w:pPr>
      <w:bookmarkStart w:id="9" w:name="_Toc18829"/>
      <w:r>
        <w:rPr>
          <w:rFonts w:hint="eastAsia"/>
          <w:lang w:val="en-US" w:eastAsia="zh-CN"/>
        </w:rPr>
        <w:t>试运行概况</w:t>
      </w:r>
      <w:bookmarkEnd w:id="9"/>
    </w:p>
    <w:p w14:paraId="615E82A5">
      <w:pPr>
        <w:pStyle w:val="18"/>
        <w:bidi w:val="0"/>
        <w:rPr>
          <w:rFonts w:hint="default"/>
          <w:lang w:val="en-US" w:eastAsia="zh-CN"/>
        </w:rPr>
      </w:pPr>
      <w:r>
        <w:rPr>
          <w:rFonts w:hint="default"/>
          <w:lang w:val="en-US" w:eastAsia="zh-CN"/>
        </w:rPr>
        <w:t>取得设计批复后</w:t>
      </w:r>
      <w:r>
        <w:rPr>
          <w:rFonts w:hint="eastAsia"/>
          <w:lang w:val="en-US" w:eastAsia="zh-CN"/>
        </w:rPr>
        <w:t>，矿山</w:t>
      </w:r>
      <w:r>
        <w:rPr>
          <w:rFonts w:hint="default"/>
          <w:lang w:val="en-US" w:eastAsia="zh-CN"/>
        </w:rPr>
        <w:t>按照设计批准的基建工程进行施工，2025年2月竣工，施工阶段进度完成时间及基建工程如下。</w:t>
      </w:r>
    </w:p>
    <w:p w14:paraId="3D6E9ADC">
      <w:pPr>
        <w:pStyle w:val="18"/>
        <w:bidi w:val="0"/>
        <w:rPr>
          <w:rFonts w:hint="default"/>
          <w:lang w:val="en-US" w:eastAsia="zh-CN"/>
        </w:rPr>
      </w:pPr>
      <w:r>
        <w:rPr>
          <w:rFonts w:hint="eastAsia"/>
          <w:lang w:val="en-US" w:eastAsia="zh-CN"/>
        </w:rPr>
        <w:t>（1）</w:t>
      </w:r>
      <w:r>
        <w:rPr>
          <w:rFonts w:hint="default"/>
          <w:lang w:val="en-US" w:eastAsia="zh-CN"/>
        </w:rPr>
        <w:t>施工准备阶段：2023年4月～2023年5月；</w:t>
      </w:r>
    </w:p>
    <w:p w14:paraId="5AD467E7">
      <w:pPr>
        <w:pStyle w:val="18"/>
        <w:bidi w:val="0"/>
        <w:rPr>
          <w:rFonts w:hint="default"/>
          <w:lang w:val="en-US" w:eastAsia="zh-CN"/>
        </w:rPr>
      </w:pPr>
      <w:r>
        <w:rPr>
          <w:rFonts w:hint="eastAsia"/>
          <w:lang w:val="en-US" w:eastAsia="zh-CN"/>
        </w:rPr>
        <w:t>（2）</w:t>
      </w:r>
      <w:r>
        <w:rPr>
          <w:rFonts w:hint="default"/>
          <w:lang w:val="en-US" w:eastAsia="zh-CN"/>
        </w:rPr>
        <w:t>测量、放线、定位：2023年6月～2023年7月；</w:t>
      </w:r>
    </w:p>
    <w:p w14:paraId="1352EF8D">
      <w:pPr>
        <w:pStyle w:val="18"/>
        <w:bidi w:val="0"/>
        <w:rPr>
          <w:rFonts w:hint="default"/>
          <w:lang w:val="en-US" w:eastAsia="zh-CN"/>
        </w:rPr>
      </w:pPr>
      <w:r>
        <w:rPr>
          <w:rFonts w:hint="eastAsia"/>
          <w:lang w:val="en-US" w:eastAsia="zh-CN"/>
        </w:rPr>
        <w:t>（3）</w:t>
      </w:r>
      <w:r>
        <w:rPr>
          <w:rFonts w:hint="default"/>
          <w:lang w:val="en-US" w:eastAsia="zh-CN"/>
        </w:rPr>
        <w:t>运输道路：2023年8月～2024年2月；</w:t>
      </w:r>
    </w:p>
    <w:p w14:paraId="7CBF0BE4">
      <w:pPr>
        <w:pStyle w:val="18"/>
        <w:bidi w:val="0"/>
        <w:rPr>
          <w:rFonts w:hint="default"/>
          <w:lang w:val="en-US" w:eastAsia="zh-CN"/>
        </w:rPr>
      </w:pPr>
      <w:r>
        <w:rPr>
          <w:rFonts w:hint="eastAsia"/>
          <w:lang w:val="en-US" w:eastAsia="zh-CN"/>
        </w:rPr>
        <w:t>（4）</w:t>
      </w:r>
      <w:r>
        <w:rPr>
          <w:rFonts w:hint="default"/>
          <w:lang w:val="en-US" w:eastAsia="zh-CN"/>
        </w:rPr>
        <w:t>工作台阶施工：2024年3月～2024年12月；</w:t>
      </w:r>
    </w:p>
    <w:p w14:paraId="3437C3B2">
      <w:pPr>
        <w:pStyle w:val="18"/>
        <w:bidi w:val="0"/>
        <w:rPr>
          <w:rFonts w:hint="default"/>
          <w:lang w:val="en-US" w:eastAsia="zh-CN"/>
        </w:rPr>
      </w:pPr>
      <w:r>
        <w:rPr>
          <w:rFonts w:hint="eastAsia"/>
          <w:lang w:val="en-US" w:eastAsia="zh-CN"/>
        </w:rPr>
        <w:t>（5）</w:t>
      </w:r>
      <w:r>
        <w:rPr>
          <w:rFonts w:hint="default"/>
          <w:lang w:val="en-US" w:eastAsia="zh-CN"/>
        </w:rPr>
        <w:t>其他配套工程：2025年1月～2025年2月。</w:t>
      </w:r>
    </w:p>
    <w:p w14:paraId="63F985E5">
      <w:pPr>
        <w:pStyle w:val="18"/>
        <w:bidi w:val="0"/>
        <w:rPr>
          <w:rFonts w:hint="default"/>
          <w:lang w:val="en-US" w:eastAsia="zh-CN"/>
        </w:rPr>
      </w:pPr>
      <w:r>
        <w:rPr>
          <w:rFonts w:hint="default"/>
          <w:lang w:val="en-US" w:eastAsia="zh-CN"/>
        </w:rPr>
        <w:t>基建工程主要包括剥离台阶和工作台阶及运输道路，计划基建期为18个月，根据现场实际地质条件、疫情影响等因素影响，海城市荣富耐火材料有限公司申请基建延期并最终完成基建工程，最终实际工期22个月。基建工程量具体为：</w:t>
      </w:r>
    </w:p>
    <w:p w14:paraId="0DD76408">
      <w:pPr>
        <w:pStyle w:val="18"/>
        <w:bidi w:val="0"/>
        <w:rPr>
          <w:rFonts w:hint="default"/>
          <w:lang w:val="en-US" w:eastAsia="zh-CN"/>
        </w:rPr>
      </w:pPr>
      <w:r>
        <w:rPr>
          <w:rFonts w:hint="eastAsia"/>
          <w:lang w:val="en-US" w:eastAsia="zh-CN"/>
        </w:rPr>
        <w:t>（1）</w:t>
      </w:r>
      <w:r>
        <w:rPr>
          <w:rFonts w:hint="default"/>
          <w:lang w:val="en-US" w:eastAsia="zh-CN"/>
        </w:rPr>
        <w:t>整修矿山道路（含路边沟），并布置运输道路至+110m、+100m水平，工程量约7.2万m³，约合21.6万t；</w:t>
      </w:r>
    </w:p>
    <w:p w14:paraId="521D25F7">
      <w:pPr>
        <w:pStyle w:val="18"/>
        <w:bidi w:val="0"/>
        <w:rPr>
          <w:rFonts w:hint="default"/>
          <w:lang w:val="en-US" w:eastAsia="zh-CN"/>
        </w:rPr>
      </w:pPr>
      <w:r>
        <w:rPr>
          <w:rFonts w:hint="eastAsia"/>
          <w:lang w:val="en-US" w:eastAsia="zh-CN"/>
        </w:rPr>
        <w:t>（2）</w:t>
      </w:r>
      <w:r>
        <w:rPr>
          <w:rFonts w:hint="default"/>
          <w:lang w:val="en-US" w:eastAsia="zh-CN"/>
        </w:rPr>
        <w:t>将北采场南帮、西端帮+110m以上第四系及风化层全部剥离，形成+110m安全平台，工程量约12.4万m³，约合37.2万t；</w:t>
      </w:r>
    </w:p>
    <w:p w14:paraId="513AC3ED">
      <w:pPr>
        <w:pStyle w:val="18"/>
        <w:bidi w:val="0"/>
        <w:rPr>
          <w:rFonts w:hint="default"/>
          <w:lang w:val="en-US" w:eastAsia="zh-CN"/>
        </w:rPr>
      </w:pPr>
      <w:r>
        <w:rPr>
          <w:rFonts w:hint="eastAsia"/>
          <w:lang w:val="en-US" w:eastAsia="zh-CN"/>
        </w:rPr>
        <w:t>（3）</w:t>
      </w:r>
      <w:r>
        <w:rPr>
          <w:rFonts w:hint="default"/>
          <w:lang w:val="en-US" w:eastAsia="zh-CN"/>
        </w:rPr>
        <w:t>将露天采场+100m以上水平各帮坡推至设计最终境界，并在+100m水平形成穿孔作业平台，工程量约10.5万m³，约合31.5万t；</w:t>
      </w:r>
    </w:p>
    <w:p w14:paraId="22766299">
      <w:pPr>
        <w:pStyle w:val="18"/>
        <w:bidi w:val="0"/>
        <w:rPr>
          <w:rFonts w:hint="default"/>
          <w:lang w:val="en-US" w:eastAsia="zh-CN"/>
        </w:rPr>
      </w:pPr>
      <w:r>
        <w:rPr>
          <w:rFonts w:hint="eastAsia"/>
          <w:lang w:val="en-US" w:eastAsia="zh-CN"/>
        </w:rPr>
        <w:t>（4）</w:t>
      </w:r>
      <w:r>
        <w:rPr>
          <w:rFonts w:hint="default"/>
          <w:lang w:val="en-US" w:eastAsia="zh-CN"/>
        </w:rPr>
        <w:t>形成+80m铲装作业平台，工程量约8.5万m³，约合25.5万t；</w:t>
      </w:r>
    </w:p>
    <w:p w14:paraId="6522E294">
      <w:pPr>
        <w:pStyle w:val="18"/>
        <w:bidi w:val="0"/>
        <w:rPr>
          <w:rFonts w:hint="default"/>
          <w:lang w:val="en-US" w:eastAsia="zh-CN"/>
        </w:rPr>
      </w:pPr>
      <w:r>
        <w:rPr>
          <w:rFonts w:hint="eastAsia"/>
          <w:lang w:val="en-US" w:eastAsia="zh-CN"/>
        </w:rPr>
        <w:t>（5）</w:t>
      </w:r>
      <w:r>
        <w:rPr>
          <w:rFonts w:hint="default"/>
          <w:lang w:val="en-US" w:eastAsia="zh-CN"/>
        </w:rPr>
        <w:t>在运输道路沿线布置警示标志、指示标志等安全设施；</w:t>
      </w:r>
    </w:p>
    <w:p w14:paraId="33C6F2C0">
      <w:pPr>
        <w:pStyle w:val="18"/>
        <w:bidi w:val="0"/>
        <w:rPr>
          <w:rFonts w:hint="default"/>
          <w:lang w:val="en-US" w:eastAsia="zh-CN"/>
        </w:rPr>
      </w:pPr>
      <w:r>
        <w:rPr>
          <w:rFonts w:hint="eastAsia"/>
          <w:lang w:val="en-US" w:eastAsia="zh-CN"/>
        </w:rPr>
        <w:t>（6）</w:t>
      </w:r>
      <w:r>
        <w:rPr>
          <w:rFonts w:hint="default"/>
          <w:lang w:val="en-US" w:eastAsia="zh-CN"/>
        </w:rPr>
        <w:t>在矿区周边靠帮处设置边界警戒带。</w:t>
      </w:r>
    </w:p>
    <w:p w14:paraId="0C289ED3">
      <w:pPr>
        <w:pStyle w:val="18"/>
        <w:bidi w:val="0"/>
        <w:rPr>
          <w:rFonts w:hint="default"/>
          <w:lang w:val="en-US" w:eastAsia="zh-CN"/>
        </w:rPr>
      </w:pPr>
      <w:r>
        <w:rPr>
          <w:rFonts w:hint="default"/>
          <w:lang w:val="en-US" w:eastAsia="zh-CN"/>
        </w:rPr>
        <w:t>基建期工程量为115.8万t，基建工程完成后获得开拓矿岩量26.5万t，备采矿量29.1万t。第二年达产，达产规模为年产矿石量30.5万t。</w:t>
      </w:r>
    </w:p>
    <w:p w14:paraId="19264F67">
      <w:pPr>
        <w:pStyle w:val="18"/>
        <w:bidi w:val="0"/>
        <w:rPr>
          <w:rFonts w:hint="default"/>
          <w:lang w:val="en-US" w:eastAsia="zh-CN"/>
        </w:rPr>
      </w:pPr>
      <w:r>
        <w:rPr>
          <w:rFonts w:hint="default"/>
          <w:lang w:val="en-US" w:eastAsia="zh-CN"/>
        </w:rPr>
        <w:t>工程竣工后，</w:t>
      </w:r>
      <w:r>
        <w:rPr>
          <w:rFonts w:hint="eastAsia"/>
          <w:lang w:val="en-US" w:eastAsia="zh-CN"/>
        </w:rPr>
        <w:t>矿山</w:t>
      </w:r>
      <w:r>
        <w:rPr>
          <w:rFonts w:hint="default"/>
          <w:lang w:val="en-US" w:eastAsia="zh-CN"/>
        </w:rPr>
        <w:t>于2025年2月20日随即进入试生产阶段，试生产一个月至2025年3月22日结束。</w:t>
      </w:r>
      <w:r>
        <w:rPr>
          <w:rFonts w:hint="eastAsia"/>
          <w:lang w:val="en-US" w:eastAsia="zh-CN"/>
        </w:rPr>
        <w:t>试运转期间各系统情况如下：</w:t>
      </w:r>
    </w:p>
    <w:p w14:paraId="0F47BFA3">
      <w:pPr>
        <w:pStyle w:val="18"/>
        <w:bidi w:val="0"/>
        <w:rPr>
          <w:rFonts w:hint="default"/>
          <w:lang w:val="en-US" w:eastAsia="zh-CN"/>
        </w:rPr>
      </w:pPr>
      <w:r>
        <w:rPr>
          <w:rFonts w:hint="eastAsia"/>
          <w:lang w:val="en-US" w:eastAsia="zh-CN"/>
        </w:rPr>
        <w:t>（1</w:t>
      </w:r>
      <w:r>
        <w:rPr>
          <w:rFonts w:hint="default"/>
          <w:lang w:val="en-US" w:eastAsia="zh-CN"/>
        </w:rPr>
        <w:t>）穿孔爆破</w:t>
      </w:r>
    </w:p>
    <w:p w14:paraId="02D0AEC9">
      <w:pPr>
        <w:pStyle w:val="18"/>
        <w:bidi w:val="0"/>
        <w:rPr>
          <w:rFonts w:hint="default"/>
          <w:lang w:val="en-US" w:eastAsia="zh-CN"/>
        </w:rPr>
      </w:pPr>
      <w:r>
        <w:rPr>
          <w:rFonts w:hint="eastAsia"/>
          <w:lang w:val="en-US" w:eastAsia="zh-CN"/>
        </w:rPr>
        <w:t>矿区北部露天采矿场总出入沟设在57m水平标高，露天采场在57m水平以上为山坡露天，在57m水平标高以下为深凹露天，矿山现状共形成2个生产台阶，分别为+110m生产台阶和+100m生产台阶，在采区+80m水平形成工作平台。</w:t>
      </w:r>
      <w:r>
        <w:rPr>
          <w:rFonts w:hint="default"/>
          <w:lang w:val="en-US" w:eastAsia="zh-CN"/>
        </w:rPr>
        <w:t>采场选用KQL-100B型潜孔钻机穿孔作业，配</w:t>
      </w:r>
      <w:r>
        <w:rPr>
          <w:rFonts w:hint="eastAsia"/>
          <w:lang w:val="en-US" w:eastAsia="zh-CN"/>
        </w:rPr>
        <w:t>1台XRHS666</w:t>
      </w:r>
      <w:r>
        <w:rPr>
          <w:rFonts w:hint="default"/>
          <w:lang w:val="en-US" w:eastAsia="zh-CN"/>
        </w:rPr>
        <w:t>空压机供风。</w:t>
      </w:r>
    </w:p>
    <w:p w14:paraId="574192F6">
      <w:pPr>
        <w:pStyle w:val="18"/>
        <w:bidi w:val="0"/>
        <w:rPr>
          <w:rFonts w:hint="default"/>
          <w:lang w:val="en-US" w:eastAsia="zh-CN"/>
        </w:rPr>
      </w:pPr>
      <w:r>
        <w:rPr>
          <w:rFonts w:hint="default"/>
          <w:lang w:val="en-US" w:eastAsia="zh-CN"/>
        </w:rPr>
        <w:t>试运行期间，露天采场穿孔作业运行正常，穿孔设备工况良好。</w:t>
      </w:r>
    </w:p>
    <w:p w14:paraId="74E4BDBD">
      <w:pPr>
        <w:pStyle w:val="18"/>
        <w:bidi w:val="0"/>
        <w:rPr>
          <w:rFonts w:hint="eastAsia"/>
          <w:lang w:val="en-US" w:eastAsia="zh-CN"/>
        </w:rPr>
      </w:pPr>
      <w:r>
        <w:rPr>
          <w:rFonts w:hint="eastAsia"/>
          <w:lang w:val="en-US" w:eastAsia="zh-CN"/>
        </w:rPr>
        <w:t>（2）爆破</w:t>
      </w:r>
    </w:p>
    <w:p w14:paraId="253067F6">
      <w:pPr>
        <w:pStyle w:val="18"/>
        <w:bidi w:val="0"/>
        <w:rPr>
          <w:rFonts w:hint="default"/>
          <w:lang w:val="en-US" w:eastAsia="zh-CN"/>
        </w:rPr>
      </w:pPr>
      <w:r>
        <w:rPr>
          <w:rFonts w:hint="eastAsia"/>
          <w:lang w:val="en-US" w:eastAsia="zh-CN"/>
        </w:rPr>
        <w:t>矿山</w:t>
      </w:r>
      <w:r>
        <w:rPr>
          <w:rFonts w:hint="default"/>
          <w:lang w:val="en-US" w:eastAsia="zh-CN"/>
        </w:rPr>
        <w:t>企业与海城市聚威爆破有限公司签订了爆破施工合同，海城市聚威爆破有限公司负责露天开采建设项目爆破工程相关事宜。</w:t>
      </w:r>
    </w:p>
    <w:p w14:paraId="4E828DAA">
      <w:pPr>
        <w:pStyle w:val="18"/>
        <w:bidi w:val="0"/>
        <w:rPr>
          <w:rFonts w:hint="default"/>
          <w:lang w:val="en-US" w:eastAsia="zh-CN"/>
        </w:rPr>
      </w:pPr>
      <w:r>
        <w:rPr>
          <w:rFonts w:hint="default"/>
          <w:lang w:val="en-US" w:eastAsia="zh-CN"/>
        </w:rPr>
        <w:t>试运行期间爆破作业运行正常，无任何生产安全事故。</w:t>
      </w:r>
    </w:p>
    <w:p w14:paraId="334FC7FE">
      <w:pPr>
        <w:pStyle w:val="18"/>
        <w:bidi w:val="0"/>
        <w:rPr>
          <w:rFonts w:hint="eastAsia"/>
          <w:lang w:val="en-US" w:eastAsia="zh-CN"/>
        </w:rPr>
      </w:pPr>
      <w:r>
        <w:rPr>
          <w:rFonts w:hint="eastAsia"/>
          <w:lang w:val="en-US" w:eastAsia="zh-CN"/>
        </w:rPr>
        <w:t>（3）运输</w:t>
      </w:r>
    </w:p>
    <w:p w14:paraId="15BC07C2">
      <w:pPr>
        <w:pStyle w:val="18"/>
        <w:bidi w:val="0"/>
        <w:rPr>
          <w:rFonts w:hint="eastAsia"/>
          <w:lang w:val="en-US" w:eastAsia="zh-CN"/>
        </w:rPr>
      </w:pPr>
      <w:r>
        <w:rPr>
          <w:rFonts w:hint="default"/>
          <w:lang w:val="en-US" w:eastAsia="zh-CN"/>
        </w:rPr>
        <w:t>矿山运输道路利用矿区原有道路，折返式布置至+110m生产平台，矿区内行车路面宽度双车道8m，支线单车道4.5m，运输道路最大纵坡小于8%，最小曲线半径为15m</w:t>
      </w:r>
      <w:r>
        <w:rPr>
          <w:rFonts w:hint="eastAsia"/>
          <w:lang w:val="en-US" w:eastAsia="zh-CN"/>
        </w:rPr>
        <w:t>。现有运输设备为20t自卸汽车运矿、岩。</w:t>
      </w:r>
    </w:p>
    <w:p w14:paraId="2CB62474">
      <w:pPr>
        <w:pStyle w:val="18"/>
        <w:bidi w:val="0"/>
        <w:rPr>
          <w:rFonts w:hint="eastAsia"/>
          <w:lang w:val="en-US" w:eastAsia="zh-CN"/>
        </w:rPr>
      </w:pPr>
      <w:r>
        <w:rPr>
          <w:rFonts w:hint="eastAsia"/>
          <w:lang w:val="en-US" w:eastAsia="zh-CN"/>
        </w:rPr>
        <w:t>试运行期间，运输系统运行正常，露天采场运输道路可以满足汽车的安全运输要求。</w:t>
      </w:r>
    </w:p>
    <w:p w14:paraId="1A256F78">
      <w:pPr>
        <w:pStyle w:val="18"/>
        <w:bidi w:val="0"/>
        <w:rPr>
          <w:rFonts w:hint="default"/>
          <w:lang w:val="en-US" w:eastAsia="zh-CN"/>
        </w:rPr>
      </w:pPr>
      <w:r>
        <w:rPr>
          <w:rFonts w:hint="default"/>
          <w:lang w:val="en-US" w:eastAsia="zh-CN"/>
        </w:rPr>
        <w:t>（4）排水系统</w:t>
      </w:r>
    </w:p>
    <w:p w14:paraId="20BC0562">
      <w:pPr>
        <w:pStyle w:val="18"/>
        <w:bidi w:val="0"/>
        <w:rPr>
          <w:rFonts w:hint="default"/>
          <w:lang w:val="en-US" w:eastAsia="zh-CN"/>
        </w:rPr>
      </w:pPr>
      <w:r>
        <w:rPr>
          <w:rFonts w:hint="default"/>
          <w:lang w:val="en-US" w:eastAsia="zh-CN"/>
        </w:rPr>
        <w:t>露天采场上部为山坡露天开采，进入57m水平以下为凹陷采坑，现状坑底标高为-10m，在坑底设置一处集水坑，尺寸为20m×10m×10m（长×宽×深）。并在坑底布置3台250DL(R)432-60×2型水泵进行排水，排水能力满足要求。</w:t>
      </w:r>
    </w:p>
    <w:p w14:paraId="5D42288C">
      <w:pPr>
        <w:pStyle w:val="18"/>
        <w:bidi w:val="0"/>
        <w:rPr>
          <w:rFonts w:hint="default"/>
          <w:lang w:val="en-US" w:eastAsia="zh-CN"/>
        </w:rPr>
      </w:pPr>
      <w:r>
        <w:rPr>
          <w:rFonts w:hint="default"/>
          <w:lang w:val="en-US" w:eastAsia="zh-CN"/>
        </w:rPr>
        <w:t>试运行期间，矿山排水系统运行正常。</w:t>
      </w:r>
    </w:p>
    <w:p w14:paraId="7B6D9FEC">
      <w:pPr>
        <w:pStyle w:val="18"/>
        <w:bidi w:val="0"/>
        <w:rPr>
          <w:rFonts w:hint="default"/>
          <w:lang w:val="en-US" w:eastAsia="zh-CN"/>
        </w:rPr>
      </w:pPr>
      <w:r>
        <w:rPr>
          <w:rFonts w:hint="default"/>
          <w:lang w:val="en-US" w:eastAsia="zh-CN"/>
        </w:rPr>
        <w:t>（5）供电系统</w:t>
      </w:r>
    </w:p>
    <w:p w14:paraId="58A3B151">
      <w:pPr>
        <w:pStyle w:val="18"/>
        <w:bidi w:val="0"/>
        <w:rPr>
          <w:rFonts w:hint="default"/>
          <w:lang w:val="en-US" w:eastAsia="zh-CN"/>
        </w:rPr>
      </w:pPr>
      <w:r>
        <w:rPr>
          <w:rFonts w:hint="default"/>
          <w:lang w:val="en-US" w:eastAsia="zh-CN"/>
        </w:rPr>
        <w:t>矿区主供电源引自当地10kV变电所接入，采用架空线路接入矿区变电所内的1台变压器。利用矿区一台500kVA变压器为露天矿区排水、照明、维修供电。</w:t>
      </w:r>
    </w:p>
    <w:p w14:paraId="72FFE697">
      <w:pPr>
        <w:pStyle w:val="18"/>
        <w:bidi w:val="0"/>
        <w:rPr>
          <w:rFonts w:hint="default"/>
          <w:lang w:val="en-US" w:eastAsia="zh-CN"/>
        </w:rPr>
      </w:pPr>
      <w:r>
        <w:rPr>
          <w:rFonts w:hint="default"/>
          <w:lang w:val="en-US" w:eastAsia="zh-CN"/>
        </w:rPr>
        <w:t>试运行期间，设备运行工况良好。</w:t>
      </w:r>
    </w:p>
    <w:p w14:paraId="21193E84">
      <w:pPr>
        <w:pStyle w:val="18"/>
        <w:bidi w:val="0"/>
        <w:rPr>
          <w:rFonts w:hint="eastAsia"/>
          <w:lang w:val="en-US" w:eastAsia="zh-CN"/>
        </w:rPr>
      </w:pPr>
      <w:r>
        <w:rPr>
          <w:rFonts w:hint="eastAsia"/>
          <w:lang w:val="en-US" w:eastAsia="zh-CN"/>
        </w:rPr>
        <w:t>（6）安全管理</w:t>
      </w:r>
    </w:p>
    <w:p w14:paraId="557173E1">
      <w:pPr>
        <w:pStyle w:val="18"/>
        <w:bidi w:val="0"/>
        <w:rPr>
          <w:rFonts w:hint="default"/>
          <w:lang w:val="en-US" w:eastAsia="zh-CN"/>
        </w:rPr>
      </w:pPr>
      <w:r>
        <w:rPr>
          <w:rFonts w:hint="default"/>
          <w:lang w:val="en-US" w:eastAsia="zh-CN"/>
        </w:rPr>
        <w:t>矿山基建期内完成的开拓运输系统及地表配套的安全设施均已建成并投产，企业已建立了比较完善的安全管理体系。在安全管理上，矿山已建立健全与贯彻执行了全员安全生产责任制；设置了矿山专职安全管理人员，安全管理人员对该矿山的安全生产工作负责，各级负责人对分管部门的安全生产工作负责，技术负责人对其安全技术工作负责；各级领导和安全员了解国家的安全生产方针、政策、法规、规章制度等，熟悉安全管理方法，掌握基本的矿山安全技术知识和所管辖范围的各工种安全操作规程；企业已严格按照有关规定的要求，提取了安全措施费用，以保持日常安全投入；为改善企业劳动条件，购买了劳动防护用品，防止伤亡事故和职业病；矿山生产时制定了年度生产计划，每天均有安全生产管理人员对现场进行勘察，并及时作出调整；按期召开安全会议，进行安全教育培训，以班组为单位，采取班前会的形式进行安全教育，并根据厂部安排，进行全员安全教育。</w:t>
      </w:r>
    </w:p>
    <w:p w14:paraId="67E08CB6">
      <w:pPr>
        <w:pStyle w:val="18"/>
        <w:bidi w:val="0"/>
        <w:rPr>
          <w:rFonts w:hint="default"/>
          <w:lang w:val="en-US" w:eastAsia="zh-CN"/>
        </w:rPr>
      </w:pPr>
      <w:r>
        <w:rPr>
          <w:rFonts w:hint="default"/>
          <w:lang w:val="en-US" w:eastAsia="zh-CN"/>
        </w:rPr>
        <w:t>试运行期间，矿山安全管理体系运转正常，未发生任何生产安全事故，试运行工况良好。</w:t>
      </w:r>
    </w:p>
    <w:p w14:paraId="17E8A3B7">
      <w:pPr>
        <w:pStyle w:val="24"/>
        <w:bidi w:val="0"/>
        <w:ind w:left="0" w:leftChars="0" w:firstLine="0" w:firstLineChars="0"/>
        <w:rPr>
          <w:rFonts w:hint="default"/>
          <w:lang w:val="en-US" w:eastAsia="zh-CN"/>
        </w:rPr>
      </w:pPr>
      <w:bookmarkStart w:id="10" w:name="_Toc13085"/>
      <w:r>
        <w:rPr>
          <w:rFonts w:hint="default"/>
          <w:lang w:val="en-US" w:eastAsia="zh-CN"/>
        </w:rPr>
        <w:t>安全设施概况</w:t>
      </w:r>
      <w:bookmarkEnd w:id="10"/>
    </w:p>
    <w:p w14:paraId="2DC3A181">
      <w:pPr>
        <w:pStyle w:val="26"/>
        <w:bidi w:val="0"/>
      </w:pPr>
      <w:r>
        <w:t>表2.</w:t>
      </w:r>
      <w:r>
        <w:rPr>
          <w:rFonts w:hint="eastAsia"/>
          <w:lang w:val="en-US" w:eastAsia="zh-CN"/>
        </w:rPr>
        <w:t>7</w:t>
      </w:r>
      <w:r>
        <w:t>-1安全设施统计表</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1537"/>
        <w:gridCol w:w="6559"/>
      </w:tblGrid>
      <w:tr w14:paraId="6818C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249" w:type="pct"/>
            <w:vMerge w:val="restart"/>
            <w:noWrap w:val="0"/>
            <w:vAlign w:val="center"/>
          </w:tcPr>
          <w:p w14:paraId="098D76DF">
            <w:pPr>
              <w:pStyle w:val="27"/>
              <w:bidi w:val="0"/>
              <w:rPr>
                <w:sz w:val="21"/>
                <w:szCs w:val="21"/>
              </w:rPr>
            </w:pPr>
            <w:r>
              <w:rPr>
                <w:sz w:val="21"/>
                <w:szCs w:val="21"/>
              </w:rPr>
              <w:t>基</w:t>
            </w:r>
          </w:p>
          <w:p w14:paraId="1F140134">
            <w:pPr>
              <w:pStyle w:val="27"/>
              <w:bidi w:val="0"/>
              <w:rPr>
                <w:sz w:val="21"/>
                <w:szCs w:val="21"/>
              </w:rPr>
            </w:pPr>
            <w:r>
              <w:rPr>
                <w:sz w:val="21"/>
                <w:szCs w:val="21"/>
              </w:rPr>
              <w:t>本</w:t>
            </w:r>
          </w:p>
          <w:p w14:paraId="3BBD4FE0">
            <w:pPr>
              <w:pStyle w:val="27"/>
              <w:bidi w:val="0"/>
              <w:rPr>
                <w:sz w:val="21"/>
                <w:szCs w:val="21"/>
              </w:rPr>
            </w:pPr>
            <w:r>
              <w:rPr>
                <w:sz w:val="21"/>
                <w:szCs w:val="21"/>
              </w:rPr>
              <w:t>安</w:t>
            </w:r>
          </w:p>
          <w:p w14:paraId="2AE4A39B">
            <w:pPr>
              <w:pStyle w:val="27"/>
              <w:bidi w:val="0"/>
              <w:rPr>
                <w:sz w:val="21"/>
                <w:szCs w:val="21"/>
              </w:rPr>
            </w:pPr>
            <w:r>
              <w:rPr>
                <w:sz w:val="21"/>
                <w:szCs w:val="21"/>
              </w:rPr>
              <w:t>全</w:t>
            </w:r>
          </w:p>
          <w:p w14:paraId="2D4AFABD">
            <w:pPr>
              <w:pStyle w:val="27"/>
              <w:bidi w:val="0"/>
              <w:rPr>
                <w:sz w:val="21"/>
                <w:szCs w:val="21"/>
              </w:rPr>
            </w:pPr>
            <w:r>
              <w:rPr>
                <w:sz w:val="21"/>
                <w:szCs w:val="21"/>
              </w:rPr>
              <w:t>设</w:t>
            </w:r>
          </w:p>
          <w:p w14:paraId="4C65911A">
            <w:pPr>
              <w:pStyle w:val="27"/>
              <w:bidi w:val="0"/>
              <w:rPr>
                <w:sz w:val="21"/>
                <w:szCs w:val="21"/>
              </w:rPr>
            </w:pPr>
            <w:r>
              <w:rPr>
                <w:sz w:val="21"/>
                <w:szCs w:val="21"/>
              </w:rPr>
              <w:t>施</w:t>
            </w:r>
          </w:p>
        </w:tc>
        <w:tc>
          <w:tcPr>
            <w:tcW w:w="902" w:type="pct"/>
            <w:vMerge w:val="restart"/>
            <w:noWrap w:val="0"/>
            <w:vAlign w:val="center"/>
          </w:tcPr>
          <w:p w14:paraId="39C0ED3B">
            <w:pPr>
              <w:pStyle w:val="27"/>
              <w:bidi w:val="0"/>
              <w:jc w:val="both"/>
              <w:rPr>
                <w:sz w:val="21"/>
                <w:szCs w:val="21"/>
              </w:rPr>
            </w:pPr>
            <w:r>
              <w:rPr>
                <w:sz w:val="21"/>
                <w:szCs w:val="21"/>
              </w:rPr>
              <w:t>1露天采场</w:t>
            </w:r>
          </w:p>
        </w:tc>
        <w:tc>
          <w:tcPr>
            <w:tcW w:w="3847" w:type="pct"/>
            <w:noWrap w:val="0"/>
            <w:vAlign w:val="center"/>
          </w:tcPr>
          <w:p w14:paraId="21291494">
            <w:pPr>
              <w:pStyle w:val="27"/>
              <w:bidi w:val="0"/>
              <w:jc w:val="both"/>
              <w:rPr>
                <w:rFonts w:hint="eastAsia"/>
                <w:sz w:val="21"/>
                <w:szCs w:val="21"/>
              </w:rPr>
            </w:pPr>
            <w:r>
              <w:rPr>
                <w:sz w:val="21"/>
                <w:szCs w:val="21"/>
              </w:rPr>
              <w:t>（1）</w:t>
            </w:r>
            <w:r>
              <w:rPr>
                <w:rFonts w:hint="eastAsia"/>
                <w:sz w:val="21"/>
                <w:szCs w:val="21"/>
              </w:rPr>
              <w:t>安全平台宽度</w:t>
            </w:r>
            <w:r>
              <w:rPr>
                <w:rFonts w:hint="eastAsia"/>
                <w:sz w:val="21"/>
                <w:szCs w:val="21"/>
                <w:lang w:val="en-US" w:eastAsia="zh-CN"/>
              </w:rPr>
              <w:t>6</w:t>
            </w:r>
            <w:r>
              <w:rPr>
                <w:rFonts w:hint="eastAsia"/>
                <w:sz w:val="21"/>
                <w:szCs w:val="21"/>
              </w:rPr>
              <w:t>m，清扫平台宽度</w:t>
            </w:r>
            <w:r>
              <w:rPr>
                <w:rFonts w:hint="eastAsia"/>
                <w:sz w:val="21"/>
                <w:szCs w:val="21"/>
                <w:lang w:val="en-US" w:eastAsia="zh-CN"/>
              </w:rPr>
              <w:t>8</w:t>
            </w:r>
            <w:r>
              <w:rPr>
                <w:rFonts w:hint="eastAsia"/>
                <w:sz w:val="21"/>
                <w:szCs w:val="21"/>
              </w:rPr>
              <w:t>m，</w:t>
            </w:r>
            <w:r>
              <w:rPr>
                <w:rFonts w:hint="eastAsia"/>
                <w:sz w:val="21"/>
                <w:szCs w:val="21"/>
                <w:lang w:val="en-US" w:eastAsia="zh-CN"/>
              </w:rPr>
              <w:t>台阶高度10m，并段后20</w:t>
            </w:r>
            <w:r>
              <w:rPr>
                <w:rFonts w:hint="eastAsia"/>
                <w:sz w:val="21"/>
                <w:szCs w:val="21"/>
              </w:rPr>
              <w:t>m</w:t>
            </w:r>
            <w:r>
              <w:rPr>
                <w:rFonts w:hint="eastAsia"/>
                <w:sz w:val="21"/>
                <w:szCs w:val="21"/>
                <w:lang w:eastAsia="zh-CN"/>
              </w:rPr>
              <w:t>，最小工作平台宽度</w:t>
            </w:r>
            <w:r>
              <w:rPr>
                <w:rFonts w:hint="eastAsia"/>
                <w:sz w:val="21"/>
                <w:szCs w:val="21"/>
                <w:lang w:val="en-US" w:eastAsia="zh-CN"/>
              </w:rPr>
              <w:t>30m</w:t>
            </w:r>
            <w:r>
              <w:rPr>
                <w:rFonts w:hint="eastAsia"/>
                <w:sz w:val="21"/>
                <w:szCs w:val="21"/>
              </w:rPr>
              <w:t>。</w:t>
            </w:r>
          </w:p>
        </w:tc>
      </w:tr>
      <w:tr w14:paraId="0CEA0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trPr>
        <w:tc>
          <w:tcPr>
            <w:tcW w:w="249" w:type="pct"/>
            <w:vMerge w:val="continue"/>
            <w:noWrap w:val="0"/>
            <w:vAlign w:val="center"/>
          </w:tcPr>
          <w:p w14:paraId="0335BE79">
            <w:pPr>
              <w:pStyle w:val="27"/>
              <w:bidi w:val="0"/>
              <w:rPr>
                <w:sz w:val="21"/>
                <w:szCs w:val="21"/>
              </w:rPr>
            </w:pPr>
          </w:p>
        </w:tc>
        <w:tc>
          <w:tcPr>
            <w:tcW w:w="902" w:type="pct"/>
            <w:vMerge w:val="continue"/>
            <w:noWrap w:val="0"/>
            <w:vAlign w:val="center"/>
          </w:tcPr>
          <w:p w14:paraId="19B30564">
            <w:pPr>
              <w:pStyle w:val="27"/>
              <w:bidi w:val="0"/>
              <w:jc w:val="both"/>
              <w:rPr>
                <w:sz w:val="21"/>
                <w:szCs w:val="21"/>
              </w:rPr>
            </w:pPr>
          </w:p>
        </w:tc>
        <w:tc>
          <w:tcPr>
            <w:tcW w:w="3847" w:type="pct"/>
            <w:noWrap w:val="0"/>
            <w:vAlign w:val="center"/>
          </w:tcPr>
          <w:p w14:paraId="1233660F">
            <w:pPr>
              <w:pStyle w:val="27"/>
              <w:bidi w:val="0"/>
              <w:jc w:val="both"/>
              <w:rPr>
                <w:sz w:val="21"/>
                <w:szCs w:val="21"/>
              </w:rPr>
            </w:pPr>
            <w:r>
              <w:rPr>
                <w:sz w:val="21"/>
                <w:szCs w:val="21"/>
              </w:rPr>
              <w:t>（2）</w:t>
            </w:r>
            <w:r>
              <w:rPr>
                <w:rFonts w:hint="eastAsia"/>
                <w:sz w:val="21"/>
                <w:szCs w:val="21"/>
              </w:rPr>
              <w:t>运输道路</w:t>
            </w:r>
            <w:r>
              <w:rPr>
                <w:rFonts w:hint="eastAsia"/>
                <w:sz w:val="21"/>
                <w:szCs w:val="21"/>
                <w:lang w:eastAsia="zh-CN"/>
              </w:rPr>
              <w:t>为双车道宽度为</w:t>
            </w:r>
            <w:r>
              <w:rPr>
                <w:rFonts w:hint="eastAsia"/>
                <w:sz w:val="21"/>
                <w:szCs w:val="21"/>
                <w:lang w:val="en-US" w:eastAsia="zh-CN"/>
              </w:rPr>
              <w:t>8m，单车道宽度4.5m，最大坡度小于8%，最小转弯半径15m</w:t>
            </w:r>
            <w:r>
              <w:rPr>
                <w:rFonts w:hint="eastAsia"/>
                <w:sz w:val="21"/>
                <w:szCs w:val="21"/>
              </w:rPr>
              <w:t>。</w:t>
            </w:r>
          </w:p>
        </w:tc>
      </w:tr>
      <w:tr w14:paraId="45717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1" w:hRule="atLeast"/>
        </w:trPr>
        <w:tc>
          <w:tcPr>
            <w:tcW w:w="249" w:type="pct"/>
            <w:vMerge w:val="continue"/>
            <w:noWrap w:val="0"/>
            <w:vAlign w:val="center"/>
          </w:tcPr>
          <w:p w14:paraId="76B12A02">
            <w:pPr>
              <w:pStyle w:val="27"/>
              <w:bidi w:val="0"/>
              <w:rPr>
                <w:sz w:val="21"/>
                <w:szCs w:val="21"/>
              </w:rPr>
            </w:pPr>
          </w:p>
        </w:tc>
        <w:tc>
          <w:tcPr>
            <w:tcW w:w="902" w:type="pct"/>
            <w:vMerge w:val="continue"/>
            <w:noWrap w:val="0"/>
            <w:vAlign w:val="center"/>
          </w:tcPr>
          <w:p w14:paraId="25AF6C03">
            <w:pPr>
              <w:pStyle w:val="27"/>
              <w:bidi w:val="0"/>
              <w:jc w:val="both"/>
              <w:rPr>
                <w:sz w:val="21"/>
                <w:szCs w:val="21"/>
              </w:rPr>
            </w:pPr>
          </w:p>
        </w:tc>
        <w:tc>
          <w:tcPr>
            <w:tcW w:w="3847" w:type="pct"/>
            <w:noWrap w:val="0"/>
            <w:vAlign w:val="center"/>
          </w:tcPr>
          <w:p w14:paraId="30202DF0">
            <w:pPr>
              <w:pStyle w:val="27"/>
              <w:bidi w:val="0"/>
              <w:jc w:val="both"/>
              <w:rPr>
                <w:sz w:val="21"/>
                <w:szCs w:val="21"/>
              </w:rPr>
            </w:pPr>
            <w:r>
              <w:rPr>
                <w:sz w:val="21"/>
                <w:szCs w:val="21"/>
              </w:rPr>
              <w:t>（</w:t>
            </w:r>
            <w:r>
              <w:rPr>
                <w:rFonts w:hint="eastAsia"/>
                <w:sz w:val="21"/>
                <w:szCs w:val="21"/>
              </w:rPr>
              <w:t>3</w:t>
            </w:r>
            <w:r>
              <w:rPr>
                <w:sz w:val="21"/>
                <w:szCs w:val="21"/>
              </w:rPr>
              <w:t>）</w:t>
            </w:r>
            <w:r>
              <w:rPr>
                <w:rFonts w:hint="default"/>
                <w:sz w:val="21"/>
                <w:szCs w:val="21"/>
                <w:lang w:eastAsia="zh-CN"/>
              </w:rPr>
              <w:t>车挡</w:t>
            </w:r>
            <w:r>
              <w:rPr>
                <w:rFonts w:hint="default"/>
                <w:sz w:val="21"/>
                <w:szCs w:val="21"/>
                <w:lang w:val="en-US" w:eastAsia="zh-CN"/>
              </w:rPr>
              <w:t>断面为等腰梯形，顶部宽0.5m，底部宽度1.</w:t>
            </w:r>
            <w:r>
              <w:rPr>
                <w:rFonts w:hint="eastAsia"/>
                <w:sz w:val="21"/>
                <w:szCs w:val="21"/>
                <w:lang w:val="en-US" w:eastAsia="zh-CN"/>
              </w:rPr>
              <w:t>1</w:t>
            </w:r>
            <w:r>
              <w:rPr>
                <w:rFonts w:hint="default"/>
                <w:sz w:val="21"/>
                <w:szCs w:val="21"/>
                <w:lang w:val="en-US" w:eastAsia="zh-CN"/>
              </w:rPr>
              <w:t>m，高度0.</w:t>
            </w:r>
            <w:r>
              <w:rPr>
                <w:rFonts w:hint="eastAsia"/>
                <w:sz w:val="21"/>
                <w:szCs w:val="21"/>
                <w:lang w:val="en-US" w:eastAsia="zh-CN"/>
              </w:rPr>
              <w:t>7</w:t>
            </w:r>
            <w:r>
              <w:rPr>
                <w:rFonts w:hint="default"/>
                <w:sz w:val="21"/>
                <w:szCs w:val="21"/>
                <w:lang w:val="en-US" w:eastAsia="zh-CN"/>
              </w:rPr>
              <w:t>m，废石堆砌</w:t>
            </w:r>
            <w:r>
              <w:rPr>
                <w:rFonts w:hint="eastAsia"/>
                <w:sz w:val="21"/>
                <w:szCs w:val="21"/>
              </w:rPr>
              <w:t>。</w:t>
            </w:r>
          </w:p>
        </w:tc>
      </w:tr>
      <w:tr w14:paraId="3F13B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249" w:type="pct"/>
            <w:vMerge w:val="continue"/>
            <w:noWrap w:val="0"/>
            <w:vAlign w:val="center"/>
          </w:tcPr>
          <w:p w14:paraId="1973E189">
            <w:pPr>
              <w:pStyle w:val="27"/>
              <w:bidi w:val="0"/>
              <w:rPr>
                <w:sz w:val="21"/>
                <w:szCs w:val="21"/>
              </w:rPr>
            </w:pPr>
          </w:p>
        </w:tc>
        <w:tc>
          <w:tcPr>
            <w:tcW w:w="902" w:type="pct"/>
            <w:vMerge w:val="continue"/>
            <w:noWrap w:val="0"/>
            <w:vAlign w:val="center"/>
          </w:tcPr>
          <w:p w14:paraId="64A53924">
            <w:pPr>
              <w:pStyle w:val="27"/>
              <w:bidi w:val="0"/>
              <w:jc w:val="both"/>
              <w:rPr>
                <w:sz w:val="21"/>
                <w:szCs w:val="21"/>
              </w:rPr>
            </w:pPr>
          </w:p>
        </w:tc>
        <w:tc>
          <w:tcPr>
            <w:tcW w:w="3847" w:type="pct"/>
            <w:noWrap w:val="0"/>
            <w:vAlign w:val="center"/>
          </w:tcPr>
          <w:p w14:paraId="27EB4F44">
            <w:pPr>
              <w:pStyle w:val="27"/>
              <w:bidi w:val="0"/>
              <w:jc w:val="both"/>
              <w:rPr>
                <w:sz w:val="21"/>
                <w:szCs w:val="21"/>
              </w:rPr>
            </w:pPr>
            <w:r>
              <w:rPr>
                <w:sz w:val="21"/>
                <w:szCs w:val="21"/>
              </w:rPr>
              <w:t>（</w:t>
            </w:r>
            <w:r>
              <w:rPr>
                <w:rFonts w:hint="eastAsia"/>
                <w:sz w:val="21"/>
                <w:szCs w:val="21"/>
              </w:rPr>
              <w:t>4</w:t>
            </w:r>
            <w:r>
              <w:rPr>
                <w:sz w:val="21"/>
                <w:szCs w:val="21"/>
              </w:rPr>
              <w:t>）</w:t>
            </w:r>
            <w:r>
              <w:rPr>
                <w:rFonts w:hint="eastAsia"/>
                <w:sz w:val="21"/>
                <w:szCs w:val="21"/>
              </w:rPr>
              <w:t>工作台阶</w:t>
            </w:r>
            <w:r>
              <w:rPr>
                <w:sz w:val="21"/>
                <w:szCs w:val="21"/>
              </w:rPr>
              <w:t>坡面角为</w:t>
            </w:r>
            <w:r>
              <w:rPr>
                <w:rFonts w:hint="eastAsia"/>
                <w:sz w:val="21"/>
                <w:szCs w:val="21"/>
                <w:lang w:val="en-US" w:eastAsia="zh-CN"/>
              </w:rPr>
              <w:t>65</w:t>
            </w:r>
            <w:r>
              <w:rPr>
                <w:sz w:val="21"/>
                <w:szCs w:val="21"/>
              </w:rPr>
              <w:t>°，</w:t>
            </w:r>
            <w:r>
              <w:rPr>
                <w:rFonts w:hint="eastAsia"/>
                <w:sz w:val="21"/>
                <w:szCs w:val="21"/>
              </w:rPr>
              <w:t>最终边坡角</w:t>
            </w:r>
            <w:r>
              <w:rPr>
                <w:rFonts w:hint="eastAsia"/>
                <w:sz w:val="21"/>
                <w:szCs w:val="21"/>
                <w:lang w:val="en-US" w:eastAsia="zh-CN"/>
              </w:rPr>
              <w:t>46-53</w:t>
            </w:r>
            <w:r>
              <w:rPr>
                <w:rFonts w:hint="eastAsia"/>
                <w:sz w:val="21"/>
                <w:szCs w:val="21"/>
              </w:rPr>
              <w:t>°。</w:t>
            </w:r>
          </w:p>
        </w:tc>
      </w:tr>
      <w:tr w14:paraId="202F9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249" w:type="pct"/>
            <w:vMerge w:val="continue"/>
            <w:noWrap w:val="0"/>
            <w:vAlign w:val="center"/>
          </w:tcPr>
          <w:p w14:paraId="625EF080">
            <w:pPr>
              <w:pStyle w:val="27"/>
              <w:bidi w:val="0"/>
              <w:rPr>
                <w:sz w:val="21"/>
                <w:szCs w:val="21"/>
              </w:rPr>
            </w:pPr>
          </w:p>
        </w:tc>
        <w:tc>
          <w:tcPr>
            <w:tcW w:w="902" w:type="pct"/>
            <w:vMerge w:val="continue"/>
            <w:noWrap w:val="0"/>
            <w:vAlign w:val="center"/>
          </w:tcPr>
          <w:p w14:paraId="77B5B964">
            <w:pPr>
              <w:pStyle w:val="27"/>
              <w:bidi w:val="0"/>
              <w:jc w:val="both"/>
              <w:rPr>
                <w:sz w:val="21"/>
                <w:szCs w:val="21"/>
              </w:rPr>
            </w:pPr>
          </w:p>
        </w:tc>
        <w:tc>
          <w:tcPr>
            <w:tcW w:w="3847" w:type="pct"/>
            <w:noWrap w:val="0"/>
            <w:vAlign w:val="center"/>
          </w:tcPr>
          <w:p w14:paraId="1A2725CF">
            <w:pPr>
              <w:pStyle w:val="27"/>
              <w:bidi w:val="0"/>
              <w:jc w:val="both"/>
              <w:rPr>
                <w:sz w:val="21"/>
                <w:szCs w:val="21"/>
              </w:rPr>
            </w:pPr>
            <w:r>
              <w:rPr>
                <w:sz w:val="21"/>
                <w:szCs w:val="21"/>
              </w:rPr>
              <w:t>（</w:t>
            </w:r>
            <w:r>
              <w:rPr>
                <w:rFonts w:hint="eastAsia"/>
                <w:sz w:val="21"/>
                <w:szCs w:val="21"/>
              </w:rPr>
              <w:t>5</w:t>
            </w:r>
            <w:r>
              <w:rPr>
                <w:sz w:val="21"/>
                <w:szCs w:val="21"/>
              </w:rPr>
              <w:t>）爆破安全距离300m警戒线。</w:t>
            </w:r>
          </w:p>
        </w:tc>
      </w:tr>
      <w:tr w14:paraId="6631D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249" w:type="pct"/>
            <w:vMerge w:val="continue"/>
            <w:noWrap w:val="0"/>
            <w:vAlign w:val="center"/>
          </w:tcPr>
          <w:p w14:paraId="1C83537A">
            <w:pPr>
              <w:pStyle w:val="27"/>
              <w:bidi w:val="0"/>
              <w:rPr>
                <w:sz w:val="21"/>
                <w:szCs w:val="21"/>
              </w:rPr>
            </w:pPr>
          </w:p>
        </w:tc>
        <w:tc>
          <w:tcPr>
            <w:tcW w:w="902" w:type="pct"/>
            <w:noWrap w:val="0"/>
            <w:vAlign w:val="center"/>
          </w:tcPr>
          <w:p w14:paraId="20D9BF1A">
            <w:pPr>
              <w:pStyle w:val="27"/>
              <w:bidi w:val="0"/>
              <w:jc w:val="both"/>
              <w:rPr>
                <w:sz w:val="21"/>
                <w:szCs w:val="21"/>
              </w:rPr>
            </w:pPr>
            <w:r>
              <w:rPr>
                <w:sz w:val="21"/>
                <w:szCs w:val="21"/>
              </w:rPr>
              <w:t>2防排水</w:t>
            </w:r>
          </w:p>
        </w:tc>
        <w:tc>
          <w:tcPr>
            <w:tcW w:w="3847" w:type="pct"/>
            <w:noWrap w:val="0"/>
            <w:vAlign w:val="center"/>
          </w:tcPr>
          <w:p w14:paraId="1D48F8BD">
            <w:pPr>
              <w:pStyle w:val="27"/>
              <w:bidi w:val="0"/>
              <w:jc w:val="both"/>
              <w:rPr>
                <w:sz w:val="21"/>
                <w:szCs w:val="21"/>
              </w:rPr>
            </w:pPr>
            <w:r>
              <w:rPr>
                <w:sz w:val="21"/>
                <w:szCs w:val="21"/>
              </w:rPr>
              <w:t>现采场为露天山坡开采，采用自流排水方式</w:t>
            </w:r>
            <w:r>
              <w:rPr>
                <w:rFonts w:hint="eastAsia"/>
                <w:sz w:val="21"/>
                <w:szCs w:val="21"/>
                <w:lang w:eastAsia="zh-CN"/>
              </w:rPr>
              <w:t>，运输道路设置排水沟</w:t>
            </w:r>
            <w:r>
              <w:rPr>
                <w:sz w:val="21"/>
                <w:szCs w:val="21"/>
              </w:rPr>
              <w:t>，遇暴雨时停止生产，撤离人员及设备。</w:t>
            </w:r>
          </w:p>
        </w:tc>
      </w:tr>
      <w:tr w14:paraId="01DE6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249" w:type="pct"/>
            <w:vMerge w:val="continue"/>
            <w:noWrap w:val="0"/>
            <w:vAlign w:val="center"/>
          </w:tcPr>
          <w:p w14:paraId="67911B35">
            <w:pPr>
              <w:pStyle w:val="27"/>
              <w:bidi w:val="0"/>
              <w:rPr>
                <w:sz w:val="21"/>
                <w:szCs w:val="21"/>
              </w:rPr>
            </w:pPr>
          </w:p>
        </w:tc>
        <w:tc>
          <w:tcPr>
            <w:tcW w:w="902" w:type="pct"/>
            <w:noWrap w:val="0"/>
            <w:vAlign w:val="center"/>
          </w:tcPr>
          <w:p w14:paraId="10928F27">
            <w:pPr>
              <w:pStyle w:val="27"/>
              <w:bidi w:val="0"/>
              <w:jc w:val="both"/>
              <w:rPr>
                <w:sz w:val="21"/>
                <w:szCs w:val="21"/>
              </w:rPr>
            </w:pPr>
            <w:r>
              <w:rPr>
                <w:sz w:val="21"/>
                <w:szCs w:val="21"/>
              </w:rPr>
              <w:t>3供、配电设施</w:t>
            </w:r>
          </w:p>
        </w:tc>
        <w:tc>
          <w:tcPr>
            <w:tcW w:w="3847" w:type="pct"/>
            <w:noWrap w:val="0"/>
            <w:vAlign w:val="center"/>
          </w:tcPr>
          <w:p w14:paraId="5177E78A">
            <w:pPr>
              <w:pStyle w:val="27"/>
              <w:bidi w:val="0"/>
              <w:jc w:val="both"/>
              <w:rPr>
                <w:rFonts w:hint="default"/>
                <w:sz w:val="21"/>
                <w:szCs w:val="21"/>
              </w:rPr>
            </w:pPr>
            <w:r>
              <w:rPr>
                <w:rFonts w:hint="default"/>
                <w:sz w:val="21"/>
                <w:szCs w:val="21"/>
              </w:rPr>
              <w:t>矿区主供电源引自当地10kV变电所，采用架空线路至矿区变电所。</w:t>
            </w:r>
          </w:p>
          <w:p w14:paraId="701E7574">
            <w:pPr>
              <w:pStyle w:val="27"/>
              <w:bidi w:val="0"/>
              <w:jc w:val="both"/>
              <w:rPr>
                <w:sz w:val="21"/>
                <w:szCs w:val="21"/>
              </w:rPr>
            </w:pPr>
            <w:r>
              <w:rPr>
                <w:rFonts w:hint="default"/>
                <w:sz w:val="21"/>
                <w:szCs w:val="21"/>
              </w:rPr>
              <w:t>矿区变电所利用矿区原有</w:t>
            </w:r>
            <w:r>
              <w:rPr>
                <w:rFonts w:hint="eastAsia"/>
                <w:sz w:val="21"/>
                <w:szCs w:val="21"/>
                <w:lang w:eastAsia="zh-CN"/>
              </w:rPr>
              <w:t>一</w:t>
            </w:r>
            <w:r>
              <w:rPr>
                <w:rFonts w:hint="default"/>
                <w:sz w:val="21"/>
                <w:szCs w:val="21"/>
              </w:rPr>
              <w:t>台型号S9-315/10</w:t>
            </w:r>
            <w:r>
              <w:rPr>
                <w:rFonts w:hint="eastAsia"/>
                <w:sz w:val="21"/>
                <w:szCs w:val="21"/>
                <w:lang w:eastAsia="zh-CN"/>
              </w:rPr>
              <w:t>的</w:t>
            </w:r>
            <w:r>
              <w:rPr>
                <w:rFonts w:hint="default"/>
                <w:sz w:val="21"/>
                <w:szCs w:val="21"/>
              </w:rPr>
              <w:t>变压器</w:t>
            </w:r>
            <w:r>
              <w:rPr>
                <w:rFonts w:hint="eastAsia"/>
                <w:sz w:val="21"/>
                <w:szCs w:val="21"/>
                <w:lang w:eastAsia="zh-CN"/>
              </w:rPr>
              <w:t>为露天矿区照明供电</w:t>
            </w:r>
            <w:r>
              <w:rPr>
                <w:sz w:val="21"/>
                <w:szCs w:val="21"/>
              </w:rPr>
              <w:t>。</w:t>
            </w:r>
          </w:p>
        </w:tc>
      </w:tr>
      <w:tr w14:paraId="24A94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7" w:hRule="atLeast"/>
        </w:trPr>
        <w:tc>
          <w:tcPr>
            <w:tcW w:w="249" w:type="pct"/>
            <w:vMerge w:val="continue"/>
            <w:noWrap w:val="0"/>
            <w:vAlign w:val="center"/>
          </w:tcPr>
          <w:p w14:paraId="543FC2E8">
            <w:pPr>
              <w:pStyle w:val="27"/>
              <w:bidi w:val="0"/>
              <w:rPr>
                <w:sz w:val="21"/>
                <w:szCs w:val="21"/>
              </w:rPr>
            </w:pPr>
          </w:p>
        </w:tc>
        <w:tc>
          <w:tcPr>
            <w:tcW w:w="902" w:type="pct"/>
            <w:noWrap w:val="0"/>
            <w:vAlign w:val="center"/>
          </w:tcPr>
          <w:p w14:paraId="28D7DC30">
            <w:pPr>
              <w:pStyle w:val="27"/>
              <w:bidi w:val="0"/>
              <w:jc w:val="both"/>
              <w:rPr>
                <w:sz w:val="21"/>
                <w:szCs w:val="21"/>
              </w:rPr>
            </w:pPr>
            <w:r>
              <w:rPr>
                <w:sz w:val="21"/>
                <w:szCs w:val="21"/>
              </w:rPr>
              <w:t>4排土场</w:t>
            </w:r>
          </w:p>
        </w:tc>
        <w:tc>
          <w:tcPr>
            <w:tcW w:w="3847" w:type="pct"/>
            <w:noWrap w:val="0"/>
            <w:vAlign w:val="center"/>
          </w:tcPr>
          <w:p w14:paraId="17F82177">
            <w:pPr>
              <w:pStyle w:val="27"/>
              <w:bidi w:val="0"/>
              <w:jc w:val="both"/>
              <w:rPr>
                <w:sz w:val="21"/>
                <w:szCs w:val="21"/>
              </w:rPr>
            </w:pPr>
            <w:r>
              <w:rPr>
                <w:rFonts w:hint="eastAsia"/>
                <w:sz w:val="21"/>
                <w:szCs w:val="21"/>
              </w:rPr>
              <w:t>矿山不设置性排土场。矿山已与鞍山君畅建筑工程有限公司签订废石废渣清运协议书，剥离物少量用于维护修缮挡墙及运输道路，其余均外卖。</w:t>
            </w:r>
          </w:p>
        </w:tc>
      </w:tr>
      <w:tr w14:paraId="5C21A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8" w:hRule="atLeast"/>
        </w:trPr>
        <w:tc>
          <w:tcPr>
            <w:tcW w:w="249" w:type="pct"/>
            <w:vMerge w:val="continue"/>
            <w:noWrap w:val="0"/>
            <w:vAlign w:val="center"/>
          </w:tcPr>
          <w:p w14:paraId="081BEFD2">
            <w:pPr>
              <w:pStyle w:val="27"/>
              <w:bidi w:val="0"/>
              <w:rPr>
                <w:sz w:val="21"/>
                <w:szCs w:val="21"/>
              </w:rPr>
            </w:pPr>
          </w:p>
        </w:tc>
        <w:tc>
          <w:tcPr>
            <w:tcW w:w="902" w:type="pct"/>
            <w:noWrap w:val="0"/>
            <w:vAlign w:val="center"/>
          </w:tcPr>
          <w:p w14:paraId="674BC9CA">
            <w:pPr>
              <w:pStyle w:val="27"/>
              <w:bidi w:val="0"/>
              <w:jc w:val="both"/>
              <w:rPr>
                <w:sz w:val="21"/>
                <w:szCs w:val="21"/>
              </w:rPr>
            </w:pPr>
            <w:r>
              <w:rPr>
                <w:sz w:val="21"/>
                <w:szCs w:val="21"/>
              </w:rPr>
              <w:t>5通讯系统</w:t>
            </w:r>
          </w:p>
        </w:tc>
        <w:tc>
          <w:tcPr>
            <w:tcW w:w="3847" w:type="pct"/>
            <w:noWrap w:val="0"/>
            <w:vAlign w:val="center"/>
          </w:tcPr>
          <w:p w14:paraId="4E8D6ED2">
            <w:pPr>
              <w:pStyle w:val="27"/>
              <w:bidi w:val="0"/>
              <w:jc w:val="both"/>
              <w:rPr>
                <w:sz w:val="21"/>
                <w:szCs w:val="21"/>
              </w:rPr>
            </w:pPr>
            <w:r>
              <w:rPr>
                <w:sz w:val="21"/>
                <w:szCs w:val="21"/>
              </w:rPr>
              <w:t>主要负责人、安全员等重要岗位人员各配备1台移动电话</w:t>
            </w:r>
            <w:r>
              <w:rPr>
                <w:rFonts w:hint="eastAsia"/>
                <w:sz w:val="21"/>
                <w:szCs w:val="21"/>
              </w:rPr>
              <w:t>和对讲机</w:t>
            </w:r>
            <w:r>
              <w:rPr>
                <w:sz w:val="21"/>
                <w:szCs w:val="21"/>
              </w:rPr>
              <w:t>。在办公室至少应配备1台固定电话，保证与外界联系。</w:t>
            </w:r>
          </w:p>
        </w:tc>
      </w:tr>
      <w:tr w14:paraId="4A2EFA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trPr>
        <w:tc>
          <w:tcPr>
            <w:tcW w:w="249" w:type="pct"/>
            <w:vMerge w:val="restart"/>
            <w:noWrap w:val="0"/>
            <w:vAlign w:val="center"/>
          </w:tcPr>
          <w:p w14:paraId="035999D6">
            <w:pPr>
              <w:pStyle w:val="27"/>
              <w:bidi w:val="0"/>
              <w:rPr>
                <w:sz w:val="21"/>
                <w:szCs w:val="21"/>
              </w:rPr>
            </w:pPr>
            <w:r>
              <w:rPr>
                <w:sz w:val="21"/>
                <w:szCs w:val="21"/>
              </w:rPr>
              <w:t>专</w:t>
            </w:r>
          </w:p>
          <w:p w14:paraId="3D370BDB">
            <w:pPr>
              <w:pStyle w:val="27"/>
              <w:bidi w:val="0"/>
              <w:rPr>
                <w:sz w:val="21"/>
                <w:szCs w:val="21"/>
              </w:rPr>
            </w:pPr>
            <w:r>
              <w:rPr>
                <w:sz w:val="21"/>
                <w:szCs w:val="21"/>
              </w:rPr>
              <w:t>项</w:t>
            </w:r>
          </w:p>
          <w:p w14:paraId="43763219">
            <w:pPr>
              <w:pStyle w:val="27"/>
              <w:bidi w:val="0"/>
              <w:rPr>
                <w:sz w:val="21"/>
                <w:szCs w:val="21"/>
              </w:rPr>
            </w:pPr>
            <w:r>
              <w:rPr>
                <w:sz w:val="21"/>
                <w:szCs w:val="21"/>
              </w:rPr>
              <w:t>安</w:t>
            </w:r>
          </w:p>
          <w:p w14:paraId="0FF8914E">
            <w:pPr>
              <w:pStyle w:val="27"/>
              <w:bidi w:val="0"/>
              <w:rPr>
                <w:sz w:val="21"/>
                <w:szCs w:val="21"/>
              </w:rPr>
            </w:pPr>
            <w:r>
              <w:rPr>
                <w:sz w:val="21"/>
                <w:szCs w:val="21"/>
              </w:rPr>
              <w:t>全</w:t>
            </w:r>
          </w:p>
          <w:p w14:paraId="17255E85">
            <w:pPr>
              <w:pStyle w:val="27"/>
              <w:bidi w:val="0"/>
              <w:rPr>
                <w:sz w:val="21"/>
                <w:szCs w:val="21"/>
              </w:rPr>
            </w:pPr>
            <w:r>
              <w:rPr>
                <w:sz w:val="21"/>
                <w:szCs w:val="21"/>
              </w:rPr>
              <w:t>设</w:t>
            </w:r>
          </w:p>
          <w:p w14:paraId="66743A91">
            <w:pPr>
              <w:pStyle w:val="27"/>
              <w:bidi w:val="0"/>
              <w:rPr>
                <w:sz w:val="21"/>
                <w:szCs w:val="21"/>
              </w:rPr>
            </w:pPr>
            <w:r>
              <w:rPr>
                <w:sz w:val="21"/>
                <w:szCs w:val="21"/>
              </w:rPr>
              <w:t>施</w:t>
            </w:r>
          </w:p>
        </w:tc>
        <w:tc>
          <w:tcPr>
            <w:tcW w:w="902" w:type="pct"/>
            <w:noWrap w:val="0"/>
            <w:vAlign w:val="center"/>
          </w:tcPr>
          <w:p w14:paraId="3F8DAC4D">
            <w:pPr>
              <w:pStyle w:val="27"/>
              <w:bidi w:val="0"/>
              <w:jc w:val="both"/>
              <w:rPr>
                <w:sz w:val="21"/>
                <w:szCs w:val="21"/>
              </w:rPr>
            </w:pPr>
            <w:r>
              <w:rPr>
                <w:sz w:val="21"/>
                <w:szCs w:val="21"/>
              </w:rPr>
              <w:t>1露天采场</w:t>
            </w:r>
          </w:p>
        </w:tc>
        <w:tc>
          <w:tcPr>
            <w:tcW w:w="3847" w:type="pct"/>
            <w:noWrap w:val="0"/>
            <w:vAlign w:val="center"/>
          </w:tcPr>
          <w:p w14:paraId="01EA541A">
            <w:pPr>
              <w:pStyle w:val="27"/>
              <w:bidi w:val="0"/>
              <w:jc w:val="both"/>
              <w:rPr>
                <w:sz w:val="21"/>
                <w:szCs w:val="21"/>
              </w:rPr>
            </w:pPr>
            <w:r>
              <w:rPr>
                <w:sz w:val="21"/>
                <w:szCs w:val="21"/>
              </w:rPr>
              <w:t>注意滚石伤人</w:t>
            </w:r>
            <w:r>
              <w:rPr>
                <w:rFonts w:hint="eastAsia"/>
                <w:sz w:val="21"/>
                <w:szCs w:val="21"/>
              </w:rPr>
              <w:t>，</w:t>
            </w:r>
            <w:r>
              <w:rPr>
                <w:sz w:val="21"/>
                <w:szCs w:val="21"/>
              </w:rPr>
              <w:t>注意安全，下坡道路、减速慢行</w:t>
            </w:r>
            <w:r>
              <w:rPr>
                <w:rFonts w:hint="eastAsia"/>
                <w:sz w:val="21"/>
                <w:szCs w:val="21"/>
              </w:rPr>
              <w:t>，</w:t>
            </w:r>
            <w:r>
              <w:rPr>
                <w:rFonts w:hint="eastAsia"/>
                <w:sz w:val="21"/>
                <w:szCs w:val="21"/>
                <w:lang w:eastAsia="zh-CN"/>
              </w:rPr>
              <w:t>前方弯道</w:t>
            </w:r>
            <w:r>
              <w:rPr>
                <w:rFonts w:hint="eastAsia"/>
                <w:sz w:val="21"/>
                <w:szCs w:val="21"/>
              </w:rPr>
              <w:t>，</w:t>
            </w:r>
            <w:r>
              <w:rPr>
                <w:rFonts w:hint="eastAsia"/>
                <w:sz w:val="21"/>
                <w:szCs w:val="21"/>
                <w:lang w:val="en-US" w:eastAsia="zh-CN"/>
              </w:rPr>
              <w:t>1</w:t>
            </w:r>
            <w:r>
              <w:rPr>
                <w:sz w:val="21"/>
                <w:szCs w:val="21"/>
              </w:rPr>
              <w:t>5km限速</w:t>
            </w:r>
            <w:r>
              <w:rPr>
                <w:rFonts w:hint="eastAsia"/>
                <w:sz w:val="21"/>
                <w:szCs w:val="21"/>
              </w:rPr>
              <w:t>，</w:t>
            </w:r>
            <w:r>
              <w:rPr>
                <w:sz w:val="21"/>
                <w:szCs w:val="21"/>
              </w:rPr>
              <w:t>当心触电等标志，</w:t>
            </w:r>
            <w:r>
              <w:rPr>
                <w:rFonts w:hint="eastAsia"/>
                <w:sz w:val="21"/>
                <w:szCs w:val="21"/>
              </w:rPr>
              <w:t>边界围栏及警示旗，接矿平台安全</w:t>
            </w:r>
            <w:r>
              <w:rPr>
                <w:sz w:val="21"/>
                <w:szCs w:val="21"/>
              </w:rPr>
              <w:t>挡墙</w:t>
            </w:r>
            <w:r>
              <w:rPr>
                <w:rFonts w:hint="eastAsia"/>
                <w:sz w:val="21"/>
                <w:szCs w:val="21"/>
              </w:rPr>
              <w:t>，</w:t>
            </w:r>
            <w:r>
              <w:rPr>
                <w:sz w:val="21"/>
                <w:szCs w:val="21"/>
              </w:rPr>
              <w:t>避炮棚。</w:t>
            </w:r>
          </w:p>
        </w:tc>
      </w:tr>
      <w:tr w14:paraId="37A16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49" w:type="pct"/>
            <w:vMerge w:val="continue"/>
            <w:noWrap w:val="0"/>
            <w:vAlign w:val="center"/>
          </w:tcPr>
          <w:p w14:paraId="207D39F5">
            <w:pPr>
              <w:pStyle w:val="27"/>
              <w:bidi w:val="0"/>
              <w:rPr>
                <w:sz w:val="21"/>
                <w:szCs w:val="21"/>
              </w:rPr>
            </w:pPr>
          </w:p>
        </w:tc>
        <w:tc>
          <w:tcPr>
            <w:tcW w:w="902" w:type="pct"/>
            <w:noWrap w:val="0"/>
            <w:vAlign w:val="center"/>
          </w:tcPr>
          <w:p w14:paraId="4368842D">
            <w:pPr>
              <w:pStyle w:val="27"/>
              <w:bidi w:val="0"/>
              <w:jc w:val="both"/>
              <w:rPr>
                <w:sz w:val="21"/>
                <w:szCs w:val="21"/>
              </w:rPr>
            </w:pPr>
            <w:r>
              <w:rPr>
                <w:sz w:val="21"/>
                <w:szCs w:val="21"/>
              </w:rPr>
              <w:t>2汽车运输</w:t>
            </w:r>
          </w:p>
        </w:tc>
        <w:tc>
          <w:tcPr>
            <w:tcW w:w="3847" w:type="pct"/>
            <w:noWrap w:val="0"/>
            <w:vAlign w:val="center"/>
          </w:tcPr>
          <w:p w14:paraId="42131D12">
            <w:pPr>
              <w:pStyle w:val="27"/>
              <w:bidi w:val="0"/>
              <w:jc w:val="both"/>
              <w:rPr>
                <w:sz w:val="21"/>
                <w:szCs w:val="21"/>
              </w:rPr>
            </w:pPr>
            <w:r>
              <w:rPr>
                <w:sz w:val="21"/>
                <w:szCs w:val="21"/>
              </w:rPr>
              <w:t>运输线路的安全</w:t>
            </w:r>
            <w:r>
              <w:rPr>
                <w:rFonts w:hint="eastAsia"/>
                <w:sz w:val="21"/>
                <w:szCs w:val="21"/>
              </w:rPr>
              <w:t>警示</w:t>
            </w:r>
            <w:r>
              <w:rPr>
                <w:sz w:val="21"/>
                <w:szCs w:val="21"/>
              </w:rPr>
              <w:t>、挡车设施、错车道。</w:t>
            </w:r>
          </w:p>
        </w:tc>
      </w:tr>
      <w:tr w14:paraId="1BCB2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49" w:type="pct"/>
            <w:vMerge w:val="continue"/>
            <w:noWrap w:val="0"/>
            <w:vAlign w:val="center"/>
          </w:tcPr>
          <w:p w14:paraId="131F16C5">
            <w:pPr>
              <w:pStyle w:val="27"/>
              <w:bidi w:val="0"/>
              <w:rPr>
                <w:sz w:val="21"/>
                <w:szCs w:val="21"/>
              </w:rPr>
            </w:pPr>
          </w:p>
        </w:tc>
        <w:tc>
          <w:tcPr>
            <w:tcW w:w="902" w:type="pct"/>
            <w:vMerge w:val="restart"/>
            <w:noWrap w:val="0"/>
            <w:vAlign w:val="center"/>
          </w:tcPr>
          <w:p w14:paraId="0946F37A">
            <w:pPr>
              <w:pStyle w:val="27"/>
              <w:bidi w:val="0"/>
              <w:jc w:val="both"/>
              <w:rPr>
                <w:sz w:val="21"/>
                <w:szCs w:val="21"/>
              </w:rPr>
            </w:pPr>
            <w:r>
              <w:rPr>
                <w:sz w:val="21"/>
                <w:szCs w:val="21"/>
              </w:rPr>
              <w:t>3供配电</w:t>
            </w:r>
          </w:p>
        </w:tc>
        <w:tc>
          <w:tcPr>
            <w:tcW w:w="3847" w:type="pct"/>
            <w:noWrap w:val="0"/>
            <w:vAlign w:val="center"/>
          </w:tcPr>
          <w:p w14:paraId="3228FA86">
            <w:pPr>
              <w:pStyle w:val="27"/>
              <w:bidi w:val="0"/>
              <w:jc w:val="both"/>
              <w:rPr>
                <w:sz w:val="21"/>
                <w:szCs w:val="21"/>
              </w:rPr>
            </w:pPr>
            <w:r>
              <w:rPr>
                <w:sz w:val="21"/>
                <w:szCs w:val="21"/>
              </w:rPr>
              <w:t>（1）配备绝缘杆、绝缘鞋、绝缘手套。</w:t>
            </w:r>
          </w:p>
        </w:tc>
      </w:tr>
      <w:tr w14:paraId="7D7F0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49" w:type="pct"/>
            <w:vMerge w:val="continue"/>
            <w:noWrap w:val="0"/>
            <w:vAlign w:val="center"/>
          </w:tcPr>
          <w:p w14:paraId="6D9D28D0">
            <w:pPr>
              <w:pStyle w:val="27"/>
              <w:bidi w:val="0"/>
              <w:rPr>
                <w:sz w:val="21"/>
                <w:szCs w:val="21"/>
              </w:rPr>
            </w:pPr>
          </w:p>
        </w:tc>
        <w:tc>
          <w:tcPr>
            <w:tcW w:w="902" w:type="pct"/>
            <w:vMerge w:val="continue"/>
            <w:noWrap w:val="0"/>
            <w:vAlign w:val="center"/>
          </w:tcPr>
          <w:p w14:paraId="23D10CE9">
            <w:pPr>
              <w:pStyle w:val="27"/>
              <w:bidi w:val="0"/>
              <w:jc w:val="both"/>
              <w:rPr>
                <w:sz w:val="21"/>
                <w:szCs w:val="21"/>
              </w:rPr>
            </w:pPr>
          </w:p>
        </w:tc>
        <w:tc>
          <w:tcPr>
            <w:tcW w:w="3847" w:type="pct"/>
            <w:noWrap w:val="0"/>
            <w:vAlign w:val="center"/>
          </w:tcPr>
          <w:p w14:paraId="276248E7">
            <w:pPr>
              <w:pStyle w:val="27"/>
              <w:bidi w:val="0"/>
              <w:jc w:val="both"/>
              <w:rPr>
                <w:sz w:val="21"/>
                <w:szCs w:val="21"/>
              </w:rPr>
            </w:pPr>
            <w:r>
              <w:rPr>
                <w:sz w:val="21"/>
                <w:szCs w:val="21"/>
              </w:rPr>
              <w:t>（2）所有带电设备接地处理。</w:t>
            </w:r>
          </w:p>
        </w:tc>
      </w:tr>
      <w:tr w14:paraId="237E5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trPr>
        <w:tc>
          <w:tcPr>
            <w:tcW w:w="249" w:type="pct"/>
            <w:vMerge w:val="continue"/>
            <w:noWrap w:val="0"/>
            <w:vAlign w:val="center"/>
          </w:tcPr>
          <w:p w14:paraId="6DFF2A04">
            <w:pPr>
              <w:pStyle w:val="27"/>
              <w:bidi w:val="0"/>
              <w:rPr>
                <w:sz w:val="21"/>
                <w:szCs w:val="21"/>
              </w:rPr>
            </w:pPr>
          </w:p>
        </w:tc>
        <w:tc>
          <w:tcPr>
            <w:tcW w:w="902" w:type="pct"/>
            <w:vMerge w:val="continue"/>
            <w:noWrap w:val="0"/>
            <w:vAlign w:val="center"/>
          </w:tcPr>
          <w:p w14:paraId="2C04441B">
            <w:pPr>
              <w:pStyle w:val="27"/>
              <w:bidi w:val="0"/>
              <w:jc w:val="both"/>
              <w:rPr>
                <w:sz w:val="21"/>
                <w:szCs w:val="21"/>
              </w:rPr>
            </w:pPr>
          </w:p>
        </w:tc>
        <w:tc>
          <w:tcPr>
            <w:tcW w:w="3847" w:type="pct"/>
            <w:noWrap w:val="0"/>
            <w:vAlign w:val="center"/>
          </w:tcPr>
          <w:p w14:paraId="65DA7B29">
            <w:pPr>
              <w:pStyle w:val="27"/>
              <w:bidi w:val="0"/>
              <w:jc w:val="both"/>
              <w:rPr>
                <w:sz w:val="21"/>
                <w:szCs w:val="21"/>
              </w:rPr>
            </w:pPr>
            <w:r>
              <w:rPr>
                <w:sz w:val="21"/>
                <w:szCs w:val="21"/>
              </w:rPr>
              <w:t>（3）防触电、禁止靠近等标志。</w:t>
            </w:r>
          </w:p>
        </w:tc>
      </w:tr>
      <w:tr w14:paraId="0DEDDB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trPr>
        <w:tc>
          <w:tcPr>
            <w:tcW w:w="249" w:type="pct"/>
            <w:vMerge w:val="continue"/>
            <w:noWrap w:val="0"/>
            <w:vAlign w:val="center"/>
          </w:tcPr>
          <w:p w14:paraId="47363B34">
            <w:pPr>
              <w:pStyle w:val="27"/>
              <w:bidi w:val="0"/>
              <w:rPr>
                <w:sz w:val="21"/>
                <w:szCs w:val="21"/>
              </w:rPr>
            </w:pPr>
          </w:p>
        </w:tc>
        <w:tc>
          <w:tcPr>
            <w:tcW w:w="902" w:type="pct"/>
            <w:noWrap w:val="0"/>
            <w:vAlign w:val="center"/>
          </w:tcPr>
          <w:p w14:paraId="1BECB28E">
            <w:pPr>
              <w:pStyle w:val="27"/>
              <w:bidi w:val="0"/>
              <w:jc w:val="both"/>
              <w:rPr>
                <w:sz w:val="21"/>
                <w:szCs w:val="21"/>
              </w:rPr>
            </w:pPr>
            <w:r>
              <w:rPr>
                <w:sz w:val="21"/>
                <w:szCs w:val="21"/>
              </w:rPr>
              <w:t>4矿山应急救援器材及设备</w:t>
            </w:r>
          </w:p>
        </w:tc>
        <w:tc>
          <w:tcPr>
            <w:tcW w:w="3847" w:type="pct"/>
            <w:noWrap w:val="0"/>
            <w:vAlign w:val="center"/>
          </w:tcPr>
          <w:p w14:paraId="1EA78052">
            <w:pPr>
              <w:pStyle w:val="27"/>
              <w:bidi w:val="0"/>
              <w:jc w:val="both"/>
              <w:rPr>
                <w:sz w:val="21"/>
                <w:szCs w:val="21"/>
              </w:rPr>
            </w:pPr>
            <w:r>
              <w:rPr>
                <w:sz w:val="21"/>
                <w:szCs w:val="21"/>
              </w:rPr>
              <w:t>灭火器、急救箱、安全帽、安全绳、手套、口罩等。</w:t>
            </w:r>
          </w:p>
        </w:tc>
      </w:tr>
      <w:tr w14:paraId="18F396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8" w:hRule="atLeast"/>
        </w:trPr>
        <w:tc>
          <w:tcPr>
            <w:tcW w:w="249" w:type="pct"/>
            <w:vMerge w:val="continue"/>
            <w:noWrap w:val="0"/>
            <w:vAlign w:val="center"/>
          </w:tcPr>
          <w:p w14:paraId="79E8BDF3">
            <w:pPr>
              <w:pStyle w:val="27"/>
              <w:bidi w:val="0"/>
              <w:rPr>
                <w:sz w:val="21"/>
                <w:szCs w:val="21"/>
              </w:rPr>
            </w:pPr>
          </w:p>
        </w:tc>
        <w:tc>
          <w:tcPr>
            <w:tcW w:w="902" w:type="pct"/>
            <w:noWrap w:val="0"/>
            <w:vAlign w:val="center"/>
          </w:tcPr>
          <w:p w14:paraId="0FD34853">
            <w:pPr>
              <w:pStyle w:val="27"/>
              <w:bidi w:val="0"/>
              <w:jc w:val="both"/>
              <w:rPr>
                <w:sz w:val="21"/>
                <w:szCs w:val="21"/>
              </w:rPr>
            </w:pPr>
            <w:r>
              <w:rPr>
                <w:sz w:val="21"/>
                <w:szCs w:val="21"/>
              </w:rPr>
              <w:t>5个人安全防护用品</w:t>
            </w:r>
          </w:p>
        </w:tc>
        <w:tc>
          <w:tcPr>
            <w:tcW w:w="3847" w:type="pct"/>
            <w:noWrap w:val="0"/>
            <w:vAlign w:val="center"/>
          </w:tcPr>
          <w:p w14:paraId="3B6A8046">
            <w:pPr>
              <w:pStyle w:val="27"/>
              <w:bidi w:val="0"/>
              <w:jc w:val="both"/>
              <w:rPr>
                <w:sz w:val="21"/>
                <w:szCs w:val="21"/>
              </w:rPr>
            </w:pPr>
            <w:r>
              <w:rPr>
                <w:sz w:val="21"/>
                <w:szCs w:val="21"/>
              </w:rPr>
              <w:t>劳保服、安全帽、手套、口罩、绝缘鞋、绝缘手套、安全绳、耳塞等。</w:t>
            </w:r>
          </w:p>
        </w:tc>
      </w:tr>
      <w:tr w14:paraId="5B190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trPr>
        <w:tc>
          <w:tcPr>
            <w:tcW w:w="249" w:type="pct"/>
            <w:vMerge w:val="continue"/>
            <w:noWrap w:val="0"/>
            <w:vAlign w:val="center"/>
          </w:tcPr>
          <w:p w14:paraId="3F1183D5">
            <w:pPr>
              <w:pStyle w:val="27"/>
              <w:bidi w:val="0"/>
              <w:rPr>
                <w:sz w:val="21"/>
                <w:szCs w:val="21"/>
              </w:rPr>
            </w:pPr>
          </w:p>
        </w:tc>
        <w:tc>
          <w:tcPr>
            <w:tcW w:w="902" w:type="pct"/>
            <w:noWrap w:val="0"/>
            <w:vAlign w:val="center"/>
          </w:tcPr>
          <w:p w14:paraId="49C69260">
            <w:pPr>
              <w:pStyle w:val="27"/>
              <w:bidi w:val="0"/>
              <w:jc w:val="both"/>
              <w:rPr>
                <w:sz w:val="21"/>
                <w:szCs w:val="21"/>
              </w:rPr>
            </w:pPr>
            <w:r>
              <w:rPr>
                <w:sz w:val="21"/>
                <w:szCs w:val="21"/>
              </w:rPr>
              <w:t>6安全标志</w:t>
            </w:r>
          </w:p>
        </w:tc>
        <w:tc>
          <w:tcPr>
            <w:tcW w:w="3847" w:type="pct"/>
            <w:noWrap w:val="0"/>
            <w:vAlign w:val="center"/>
          </w:tcPr>
          <w:p w14:paraId="0CB35855">
            <w:pPr>
              <w:pStyle w:val="27"/>
              <w:bidi w:val="0"/>
              <w:jc w:val="both"/>
              <w:rPr>
                <w:sz w:val="21"/>
                <w:szCs w:val="21"/>
              </w:rPr>
            </w:pPr>
            <w:r>
              <w:rPr>
                <w:sz w:val="21"/>
                <w:szCs w:val="21"/>
              </w:rPr>
              <w:t>矿山电气、交通、安全等安全警示标志、标语。</w:t>
            </w:r>
          </w:p>
        </w:tc>
      </w:tr>
    </w:tbl>
    <w:p w14:paraId="6E793505">
      <w:pPr>
        <w:pStyle w:val="23"/>
        <w:bidi w:val="0"/>
        <w:ind w:left="0" w:leftChars="0" w:firstLine="0" w:firstLineChars="0"/>
        <w:rPr>
          <w:rFonts w:hint="default"/>
          <w:lang w:val="en-US" w:eastAsia="zh-CN"/>
        </w:rPr>
      </w:pPr>
      <w:bookmarkStart w:id="11" w:name="_Toc20115"/>
      <w:r>
        <w:rPr>
          <w:rFonts w:hint="eastAsia"/>
          <w:lang w:val="en-US" w:eastAsia="zh-CN"/>
        </w:rPr>
        <w:t>安全设施符合性评价</w:t>
      </w:r>
      <w:bookmarkEnd w:id="11"/>
    </w:p>
    <w:p w14:paraId="7F6665B6">
      <w:pPr>
        <w:pStyle w:val="24"/>
        <w:bidi w:val="0"/>
        <w:ind w:left="0" w:leftChars="0" w:firstLine="0" w:firstLineChars="0"/>
        <w:rPr>
          <w:rFonts w:hint="default"/>
          <w:lang w:val="en-US" w:eastAsia="zh-CN"/>
        </w:rPr>
      </w:pPr>
      <w:bookmarkStart w:id="12" w:name="_Toc15669"/>
      <w:r>
        <w:rPr>
          <w:rFonts w:hint="default"/>
          <w:lang w:val="en-US" w:eastAsia="zh-CN"/>
        </w:rPr>
        <w:t>安全设施“三同时”程序单元</w:t>
      </w:r>
      <w:bookmarkEnd w:id="12"/>
    </w:p>
    <w:p w14:paraId="3106C0F2">
      <w:pPr>
        <w:pStyle w:val="18"/>
        <w:bidi w:val="0"/>
        <w:rPr>
          <w:rFonts w:hint="default"/>
          <w:lang w:val="en-US" w:eastAsia="zh-CN"/>
        </w:rPr>
      </w:pPr>
      <w:r>
        <w:rPr>
          <w:rFonts w:hint="default"/>
          <w:lang w:val="en-US" w:eastAsia="zh-CN"/>
        </w:rPr>
        <w:t>根据《金属非金属矿山建设项目安全设施目录（试行）》（国家安全监管总局令第75号）及金属非金属露天矿山建设项目安全设施竣工验收表，采用安全检查表法，对海城市荣富耐火材料有限公司镁矿（菱镁石、滑石）露天矿山建设项目，程序符合性进行检查，对该项目安全设施“三同时”程序及实施情况的合法性进行评价。</w:t>
      </w:r>
    </w:p>
    <w:p w14:paraId="2F2EDB6B">
      <w:pPr>
        <w:pStyle w:val="25"/>
        <w:bidi w:val="0"/>
        <w:ind w:left="720" w:leftChars="0" w:hanging="720" w:firstLineChars="0"/>
        <w:rPr>
          <w:rFonts w:hint="default"/>
          <w:lang w:val="en-US" w:eastAsia="zh-CN"/>
        </w:rPr>
      </w:pPr>
      <w:r>
        <w:rPr>
          <w:rFonts w:hint="default"/>
          <w:lang w:val="en-US" w:eastAsia="zh-CN"/>
        </w:rPr>
        <w:t>建设项目“三同时”程序符合性评价</w:t>
      </w:r>
    </w:p>
    <w:p w14:paraId="3E675FF7">
      <w:pPr>
        <w:pStyle w:val="18"/>
        <w:bidi w:val="0"/>
        <w:rPr>
          <w:rFonts w:hint="default"/>
          <w:lang w:val="en-US" w:eastAsia="zh-CN"/>
        </w:rPr>
      </w:pPr>
      <w:r>
        <w:rPr>
          <w:rFonts w:hint="eastAsia"/>
          <w:lang w:val="en-US" w:eastAsia="zh-CN"/>
        </w:rPr>
        <w:t>评价组使用安全检查表法，对该项目安全设施“三同时”程序进行安全分析、评价（见表3.1-1）。</w:t>
      </w:r>
    </w:p>
    <w:p w14:paraId="708AF221">
      <w:pPr>
        <w:pStyle w:val="26"/>
        <w:bidi w:val="0"/>
      </w:pPr>
      <w:r>
        <w:t>表3</w:t>
      </w:r>
      <w:r>
        <w:rPr>
          <w:rFonts w:hint="eastAsia"/>
          <w:lang w:val="en-US" w:eastAsia="zh-CN"/>
        </w:rPr>
        <w:t>.</w:t>
      </w:r>
      <w:r>
        <w:t>1-</w:t>
      </w:r>
      <w:r>
        <w:fldChar w:fldCharType="begin"/>
      </w:r>
      <w:r>
        <w:instrText xml:space="preserve">SEQ 表3- \* ARABIC</w:instrText>
      </w:r>
      <w:r>
        <w:fldChar w:fldCharType="separate"/>
      </w:r>
      <w:r>
        <w:t>1</w:t>
      </w:r>
      <w:r>
        <w:fldChar w:fldCharType="end"/>
      </w:r>
      <w:r>
        <w:t>程序符合性检查表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9"/>
        <w:gridCol w:w="943"/>
        <w:gridCol w:w="1617"/>
        <w:gridCol w:w="1154"/>
        <w:gridCol w:w="3482"/>
        <w:gridCol w:w="774"/>
      </w:tblGrid>
      <w:tr w14:paraId="75BD1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5" w:hRule="atLeast"/>
          <w:tblHeader/>
          <w:jc w:val="center"/>
        </w:trPr>
        <w:tc>
          <w:tcPr>
            <w:tcW w:w="322" w:type="pct"/>
            <w:noWrap w:val="0"/>
            <w:vAlign w:val="center"/>
          </w:tcPr>
          <w:p w14:paraId="539E7E17">
            <w:pPr>
              <w:pStyle w:val="27"/>
              <w:bidi w:val="0"/>
              <w:rPr>
                <w:b/>
                <w:bCs/>
                <w:sz w:val="21"/>
                <w:szCs w:val="21"/>
              </w:rPr>
            </w:pPr>
            <w:r>
              <w:rPr>
                <w:b/>
                <w:bCs/>
                <w:sz w:val="21"/>
                <w:szCs w:val="21"/>
              </w:rPr>
              <w:t>序 号</w:t>
            </w:r>
          </w:p>
        </w:tc>
        <w:tc>
          <w:tcPr>
            <w:tcW w:w="553" w:type="pct"/>
            <w:noWrap w:val="0"/>
            <w:vAlign w:val="center"/>
          </w:tcPr>
          <w:p w14:paraId="204AE6DC">
            <w:pPr>
              <w:pStyle w:val="27"/>
              <w:bidi w:val="0"/>
              <w:rPr>
                <w:b/>
                <w:bCs/>
                <w:sz w:val="21"/>
                <w:szCs w:val="21"/>
              </w:rPr>
            </w:pPr>
            <w:r>
              <w:rPr>
                <w:b/>
                <w:bCs/>
                <w:sz w:val="21"/>
                <w:szCs w:val="21"/>
              </w:rPr>
              <w:t>检查</w:t>
            </w:r>
          </w:p>
          <w:p w14:paraId="6C8AC003">
            <w:pPr>
              <w:pStyle w:val="27"/>
              <w:bidi w:val="0"/>
              <w:rPr>
                <w:b/>
                <w:bCs/>
                <w:sz w:val="21"/>
                <w:szCs w:val="21"/>
              </w:rPr>
            </w:pPr>
            <w:r>
              <w:rPr>
                <w:b/>
                <w:bCs/>
                <w:sz w:val="21"/>
                <w:szCs w:val="21"/>
              </w:rPr>
              <w:t>内容</w:t>
            </w:r>
          </w:p>
        </w:tc>
        <w:tc>
          <w:tcPr>
            <w:tcW w:w="949" w:type="pct"/>
            <w:noWrap w:val="0"/>
            <w:vAlign w:val="center"/>
          </w:tcPr>
          <w:p w14:paraId="376E0632">
            <w:pPr>
              <w:pStyle w:val="27"/>
              <w:bidi w:val="0"/>
              <w:rPr>
                <w:b/>
                <w:bCs/>
                <w:sz w:val="21"/>
                <w:szCs w:val="21"/>
              </w:rPr>
            </w:pPr>
            <w:r>
              <w:rPr>
                <w:b/>
                <w:bCs/>
                <w:sz w:val="21"/>
                <w:szCs w:val="21"/>
              </w:rPr>
              <w:t>检查依据</w:t>
            </w:r>
          </w:p>
        </w:tc>
        <w:tc>
          <w:tcPr>
            <w:tcW w:w="677" w:type="pct"/>
            <w:noWrap w:val="0"/>
            <w:vAlign w:val="center"/>
          </w:tcPr>
          <w:p w14:paraId="71EA9233">
            <w:pPr>
              <w:pStyle w:val="27"/>
              <w:bidi w:val="0"/>
              <w:rPr>
                <w:b/>
                <w:bCs/>
                <w:sz w:val="21"/>
                <w:szCs w:val="21"/>
              </w:rPr>
            </w:pPr>
            <w:r>
              <w:rPr>
                <w:b/>
                <w:bCs/>
                <w:sz w:val="21"/>
                <w:szCs w:val="21"/>
              </w:rPr>
              <w:t>检查方法</w:t>
            </w:r>
          </w:p>
        </w:tc>
        <w:tc>
          <w:tcPr>
            <w:tcW w:w="2043" w:type="pct"/>
            <w:noWrap w:val="0"/>
            <w:vAlign w:val="center"/>
          </w:tcPr>
          <w:p w14:paraId="48E766D1">
            <w:pPr>
              <w:pStyle w:val="27"/>
              <w:bidi w:val="0"/>
              <w:rPr>
                <w:b/>
                <w:bCs/>
                <w:sz w:val="21"/>
                <w:szCs w:val="21"/>
              </w:rPr>
            </w:pPr>
            <w:r>
              <w:rPr>
                <w:b/>
                <w:bCs/>
                <w:sz w:val="21"/>
                <w:szCs w:val="21"/>
              </w:rPr>
              <w:t>检查情况</w:t>
            </w:r>
          </w:p>
        </w:tc>
        <w:tc>
          <w:tcPr>
            <w:tcW w:w="454" w:type="pct"/>
            <w:noWrap w:val="0"/>
            <w:vAlign w:val="center"/>
          </w:tcPr>
          <w:p w14:paraId="2922E73A">
            <w:pPr>
              <w:pStyle w:val="27"/>
              <w:bidi w:val="0"/>
              <w:rPr>
                <w:b/>
                <w:bCs/>
                <w:sz w:val="21"/>
                <w:szCs w:val="21"/>
              </w:rPr>
            </w:pPr>
            <w:r>
              <w:rPr>
                <w:b/>
                <w:bCs/>
                <w:sz w:val="21"/>
                <w:szCs w:val="21"/>
              </w:rPr>
              <w:t>检查</w:t>
            </w:r>
          </w:p>
          <w:p w14:paraId="0121BA2C">
            <w:pPr>
              <w:pStyle w:val="27"/>
              <w:bidi w:val="0"/>
              <w:rPr>
                <w:b/>
                <w:bCs/>
                <w:sz w:val="21"/>
                <w:szCs w:val="21"/>
              </w:rPr>
            </w:pPr>
            <w:r>
              <w:rPr>
                <w:b/>
                <w:bCs/>
                <w:sz w:val="21"/>
                <w:szCs w:val="21"/>
              </w:rPr>
              <w:t>结果</w:t>
            </w:r>
          </w:p>
        </w:tc>
      </w:tr>
      <w:tr w14:paraId="7916C0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8" w:hRule="atLeast"/>
          <w:jc w:val="center"/>
        </w:trPr>
        <w:tc>
          <w:tcPr>
            <w:tcW w:w="322" w:type="pct"/>
            <w:noWrap w:val="0"/>
            <w:vAlign w:val="center"/>
          </w:tcPr>
          <w:p w14:paraId="4F0FFB4F">
            <w:pPr>
              <w:pStyle w:val="27"/>
              <w:bidi w:val="0"/>
              <w:rPr>
                <w:sz w:val="21"/>
                <w:szCs w:val="21"/>
              </w:rPr>
            </w:pPr>
            <w:r>
              <w:rPr>
                <w:sz w:val="21"/>
                <w:szCs w:val="21"/>
              </w:rPr>
              <w:t>1</w:t>
            </w:r>
          </w:p>
        </w:tc>
        <w:tc>
          <w:tcPr>
            <w:tcW w:w="553" w:type="pct"/>
            <w:noWrap w:val="0"/>
            <w:vAlign w:val="center"/>
          </w:tcPr>
          <w:p w14:paraId="396A5B84">
            <w:pPr>
              <w:pStyle w:val="27"/>
              <w:bidi w:val="0"/>
              <w:rPr>
                <w:sz w:val="21"/>
                <w:szCs w:val="21"/>
              </w:rPr>
            </w:pPr>
            <w:r>
              <w:rPr>
                <w:sz w:val="21"/>
                <w:szCs w:val="21"/>
              </w:rPr>
              <w:t>营业</w:t>
            </w:r>
          </w:p>
          <w:p w14:paraId="5A896A36">
            <w:pPr>
              <w:pStyle w:val="27"/>
              <w:bidi w:val="0"/>
              <w:rPr>
                <w:sz w:val="21"/>
                <w:szCs w:val="21"/>
              </w:rPr>
            </w:pPr>
            <w:r>
              <w:rPr>
                <w:sz w:val="21"/>
                <w:szCs w:val="21"/>
              </w:rPr>
              <w:t>执照</w:t>
            </w:r>
          </w:p>
        </w:tc>
        <w:tc>
          <w:tcPr>
            <w:tcW w:w="949" w:type="pct"/>
            <w:noWrap w:val="0"/>
            <w:vAlign w:val="center"/>
          </w:tcPr>
          <w:p w14:paraId="65C79F5D">
            <w:pPr>
              <w:pStyle w:val="27"/>
              <w:bidi w:val="0"/>
              <w:rPr>
                <w:sz w:val="21"/>
                <w:szCs w:val="21"/>
              </w:rPr>
            </w:pPr>
            <w:r>
              <w:rPr>
                <w:sz w:val="21"/>
                <w:szCs w:val="21"/>
              </w:rPr>
              <w:t>《公司法》</w:t>
            </w:r>
          </w:p>
        </w:tc>
        <w:tc>
          <w:tcPr>
            <w:tcW w:w="677" w:type="pct"/>
            <w:noWrap w:val="0"/>
            <w:vAlign w:val="center"/>
          </w:tcPr>
          <w:p w14:paraId="177EEAF6">
            <w:pPr>
              <w:pStyle w:val="27"/>
              <w:bidi w:val="0"/>
              <w:rPr>
                <w:sz w:val="21"/>
                <w:szCs w:val="21"/>
              </w:rPr>
            </w:pPr>
            <w:r>
              <w:rPr>
                <w:sz w:val="21"/>
                <w:szCs w:val="21"/>
              </w:rPr>
              <w:t>现场查阅材料</w:t>
            </w:r>
          </w:p>
        </w:tc>
        <w:tc>
          <w:tcPr>
            <w:tcW w:w="2043" w:type="pct"/>
            <w:noWrap w:val="0"/>
            <w:vAlign w:val="center"/>
          </w:tcPr>
          <w:p w14:paraId="07831EE8">
            <w:pPr>
              <w:pStyle w:val="27"/>
              <w:bidi w:val="0"/>
              <w:jc w:val="both"/>
              <w:rPr>
                <w:sz w:val="21"/>
                <w:szCs w:val="21"/>
              </w:rPr>
            </w:pPr>
            <w:r>
              <w:rPr>
                <w:sz w:val="21"/>
                <w:szCs w:val="21"/>
              </w:rPr>
              <w:t>20</w:t>
            </w:r>
            <w:r>
              <w:rPr>
                <w:rFonts w:hint="eastAsia"/>
                <w:sz w:val="21"/>
                <w:szCs w:val="21"/>
              </w:rPr>
              <w:t>2</w:t>
            </w:r>
            <w:r>
              <w:rPr>
                <w:rFonts w:hint="eastAsia"/>
                <w:sz w:val="21"/>
                <w:szCs w:val="21"/>
                <w:lang w:val="en-US" w:eastAsia="zh-CN"/>
              </w:rPr>
              <w:t>3</w:t>
            </w:r>
            <w:r>
              <w:rPr>
                <w:sz w:val="21"/>
                <w:szCs w:val="21"/>
              </w:rPr>
              <w:t>年</w:t>
            </w:r>
            <w:r>
              <w:rPr>
                <w:rFonts w:hint="eastAsia"/>
                <w:sz w:val="21"/>
                <w:szCs w:val="21"/>
                <w:lang w:val="en-US" w:eastAsia="zh-CN"/>
              </w:rPr>
              <w:t>10</w:t>
            </w:r>
            <w:r>
              <w:rPr>
                <w:sz w:val="21"/>
                <w:szCs w:val="21"/>
              </w:rPr>
              <w:t>月</w:t>
            </w:r>
            <w:r>
              <w:rPr>
                <w:rFonts w:hint="eastAsia"/>
                <w:sz w:val="21"/>
                <w:szCs w:val="21"/>
                <w:lang w:val="en-US" w:eastAsia="zh-CN"/>
              </w:rPr>
              <w:t>17</w:t>
            </w:r>
            <w:r>
              <w:rPr>
                <w:sz w:val="21"/>
                <w:szCs w:val="21"/>
              </w:rPr>
              <w:t>日，取得</w:t>
            </w:r>
            <w:r>
              <w:rPr>
                <w:rFonts w:hint="eastAsia"/>
                <w:sz w:val="21"/>
                <w:szCs w:val="21"/>
                <w:lang w:eastAsia="zh-CN"/>
              </w:rPr>
              <w:t>海城市市场监督管理局</w:t>
            </w:r>
            <w:r>
              <w:rPr>
                <w:sz w:val="21"/>
                <w:szCs w:val="21"/>
              </w:rPr>
              <w:t>颁布的营业执照，企业营业执照（统一社会信用代码：</w:t>
            </w:r>
            <w:r>
              <w:rPr>
                <w:rFonts w:hint="eastAsia"/>
                <w:sz w:val="21"/>
                <w:szCs w:val="21"/>
                <w:lang w:eastAsia="zh-CN"/>
              </w:rPr>
              <w:t>XXXXXXXXXXXXXXXXX</w:t>
            </w:r>
            <w:r>
              <w:rPr>
                <w:sz w:val="21"/>
                <w:szCs w:val="21"/>
              </w:rPr>
              <w:t>）</w:t>
            </w:r>
          </w:p>
        </w:tc>
        <w:tc>
          <w:tcPr>
            <w:tcW w:w="454" w:type="pct"/>
            <w:noWrap w:val="0"/>
            <w:vAlign w:val="center"/>
          </w:tcPr>
          <w:p w14:paraId="635EEAA5">
            <w:pPr>
              <w:pStyle w:val="27"/>
              <w:bidi w:val="0"/>
              <w:rPr>
                <w:sz w:val="21"/>
                <w:szCs w:val="21"/>
              </w:rPr>
            </w:pPr>
            <w:r>
              <w:rPr>
                <w:sz w:val="21"/>
                <w:szCs w:val="21"/>
              </w:rPr>
              <w:t>符合</w:t>
            </w:r>
          </w:p>
        </w:tc>
      </w:tr>
      <w:tr w14:paraId="574AE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0" w:hRule="atLeast"/>
          <w:jc w:val="center"/>
        </w:trPr>
        <w:tc>
          <w:tcPr>
            <w:tcW w:w="322" w:type="pct"/>
            <w:noWrap w:val="0"/>
            <w:vAlign w:val="center"/>
          </w:tcPr>
          <w:p w14:paraId="79D8DC6F">
            <w:pPr>
              <w:pStyle w:val="27"/>
              <w:bidi w:val="0"/>
              <w:rPr>
                <w:sz w:val="21"/>
                <w:szCs w:val="21"/>
              </w:rPr>
            </w:pPr>
            <w:r>
              <w:rPr>
                <w:sz w:val="21"/>
                <w:szCs w:val="21"/>
              </w:rPr>
              <w:t>2</w:t>
            </w:r>
          </w:p>
        </w:tc>
        <w:tc>
          <w:tcPr>
            <w:tcW w:w="553" w:type="pct"/>
            <w:noWrap w:val="0"/>
            <w:vAlign w:val="center"/>
          </w:tcPr>
          <w:p w14:paraId="019FCF48">
            <w:pPr>
              <w:pStyle w:val="27"/>
              <w:bidi w:val="0"/>
              <w:rPr>
                <w:sz w:val="21"/>
                <w:szCs w:val="21"/>
              </w:rPr>
            </w:pPr>
            <w:r>
              <w:rPr>
                <w:sz w:val="21"/>
                <w:szCs w:val="21"/>
              </w:rPr>
              <w:t>采矿</w:t>
            </w:r>
          </w:p>
          <w:p w14:paraId="653D6319">
            <w:pPr>
              <w:pStyle w:val="27"/>
              <w:bidi w:val="0"/>
              <w:rPr>
                <w:sz w:val="21"/>
                <w:szCs w:val="21"/>
              </w:rPr>
            </w:pPr>
            <w:r>
              <w:rPr>
                <w:rFonts w:hint="eastAsia"/>
                <w:sz w:val="21"/>
                <w:szCs w:val="21"/>
                <w:lang w:val="en-US" w:eastAsia="zh-CN"/>
              </w:rPr>
              <w:t>许可</w:t>
            </w:r>
            <w:r>
              <w:rPr>
                <w:sz w:val="21"/>
                <w:szCs w:val="21"/>
              </w:rPr>
              <w:t>证</w:t>
            </w:r>
          </w:p>
        </w:tc>
        <w:tc>
          <w:tcPr>
            <w:tcW w:w="949" w:type="pct"/>
            <w:noWrap w:val="0"/>
            <w:vAlign w:val="center"/>
          </w:tcPr>
          <w:p w14:paraId="3A9A41E8">
            <w:pPr>
              <w:pStyle w:val="27"/>
              <w:bidi w:val="0"/>
              <w:rPr>
                <w:sz w:val="21"/>
                <w:szCs w:val="21"/>
              </w:rPr>
            </w:pPr>
            <w:r>
              <w:rPr>
                <w:sz w:val="21"/>
                <w:szCs w:val="21"/>
              </w:rPr>
              <w:t>《矿产资源法》</w:t>
            </w:r>
          </w:p>
        </w:tc>
        <w:tc>
          <w:tcPr>
            <w:tcW w:w="677" w:type="pct"/>
            <w:noWrap w:val="0"/>
            <w:vAlign w:val="center"/>
          </w:tcPr>
          <w:p w14:paraId="7AAB28C6">
            <w:pPr>
              <w:pStyle w:val="27"/>
              <w:bidi w:val="0"/>
              <w:rPr>
                <w:sz w:val="21"/>
                <w:szCs w:val="21"/>
              </w:rPr>
            </w:pPr>
            <w:r>
              <w:rPr>
                <w:sz w:val="21"/>
                <w:szCs w:val="21"/>
              </w:rPr>
              <w:t>现场查阅材料</w:t>
            </w:r>
          </w:p>
        </w:tc>
        <w:tc>
          <w:tcPr>
            <w:tcW w:w="2043" w:type="pct"/>
            <w:noWrap w:val="0"/>
            <w:vAlign w:val="center"/>
          </w:tcPr>
          <w:p w14:paraId="5980BA4D">
            <w:pPr>
              <w:pStyle w:val="27"/>
              <w:keepNext w:val="0"/>
              <w:keepLines w:val="0"/>
              <w:pageBreakBefore w:val="0"/>
              <w:widowControl/>
              <w:kinsoku/>
              <w:wordWrap w:val="0"/>
              <w:overflowPunct/>
              <w:topLinePunct w:val="0"/>
              <w:autoSpaceDE/>
              <w:autoSpaceDN/>
              <w:bidi w:val="0"/>
              <w:adjustRightInd w:val="0"/>
              <w:snapToGrid w:val="0"/>
              <w:jc w:val="left"/>
              <w:textAlignment w:val="auto"/>
              <w:rPr>
                <w:sz w:val="21"/>
                <w:szCs w:val="21"/>
              </w:rPr>
            </w:pPr>
            <w:r>
              <w:rPr>
                <w:sz w:val="21"/>
                <w:szCs w:val="21"/>
              </w:rPr>
              <w:t>20</w:t>
            </w:r>
            <w:r>
              <w:rPr>
                <w:rFonts w:hint="eastAsia"/>
                <w:sz w:val="21"/>
                <w:szCs w:val="21"/>
              </w:rPr>
              <w:t>2</w:t>
            </w:r>
            <w:r>
              <w:rPr>
                <w:rFonts w:hint="eastAsia"/>
                <w:sz w:val="21"/>
                <w:szCs w:val="21"/>
                <w:lang w:val="en-US" w:eastAsia="zh-CN"/>
              </w:rPr>
              <w:t>2</w:t>
            </w:r>
            <w:r>
              <w:rPr>
                <w:sz w:val="21"/>
                <w:szCs w:val="21"/>
              </w:rPr>
              <w:t>年1</w:t>
            </w:r>
            <w:r>
              <w:rPr>
                <w:rFonts w:hint="eastAsia"/>
                <w:sz w:val="21"/>
                <w:szCs w:val="21"/>
                <w:lang w:val="en-US" w:eastAsia="zh-CN"/>
              </w:rPr>
              <w:t>0</w:t>
            </w:r>
            <w:r>
              <w:rPr>
                <w:sz w:val="21"/>
                <w:szCs w:val="21"/>
              </w:rPr>
              <w:t>月</w:t>
            </w:r>
            <w:r>
              <w:rPr>
                <w:rFonts w:hint="eastAsia"/>
                <w:sz w:val="21"/>
                <w:szCs w:val="21"/>
                <w:lang w:val="en-US" w:eastAsia="zh-CN"/>
              </w:rPr>
              <w:t>25</w:t>
            </w:r>
            <w:r>
              <w:rPr>
                <w:sz w:val="21"/>
                <w:szCs w:val="21"/>
              </w:rPr>
              <w:t>日，取得</w:t>
            </w:r>
            <w:r>
              <w:rPr>
                <w:rFonts w:hint="eastAsia"/>
                <w:sz w:val="21"/>
                <w:szCs w:val="21"/>
                <w:lang w:eastAsia="zh-CN"/>
              </w:rPr>
              <w:t>辽宁省自然资源厅</w:t>
            </w:r>
            <w:r>
              <w:rPr>
                <w:sz w:val="21"/>
                <w:szCs w:val="21"/>
              </w:rPr>
              <w:t>颁布的</w:t>
            </w:r>
            <w:r>
              <w:rPr>
                <w:rFonts w:hint="eastAsia"/>
                <w:sz w:val="21"/>
                <w:szCs w:val="21"/>
                <w:lang w:eastAsia="zh-CN"/>
              </w:rPr>
              <w:t>《</w:t>
            </w:r>
            <w:r>
              <w:rPr>
                <w:sz w:val="21"/>
                <w:szCs w:val="21"/>
              </w:rPr>
              <w:t>采矿</w:t>
            </w:r>
            <w:r>
              <w:rPr>
                <w:rFonts w:hint="eastAsia"/>
                <w:sz w:val="21"/>
                <w:szCs w:val="21"/>
                <w:lang w:val="en-US" w:eastAsia="zh-CN"/>
              </w:rPr>
              <w:t>许可</w:t>
            </w:r>
            <w:r>
              <w:rPr>
                <w:sz w:val="21"/>
                <w:szCs w:val="21"/>
              </w:rPr>
              <w:t>证</w:t>
            </w:r>
            <w:r>
              <w:rPr>
                <w:rFonts w:hint="eastAsia"/>
                <w:sz w:val="21"/>
                <w:szCs w:val="21"/>
                <w:lang w:eastAsia="zh-CN"/>
              </w:rPr>
              <w:t>》</w:t>
            </w:r>
            <w:r>
              <w:rPr>
                <w:sz w:val="21"/>
                <w:szCs w:val="21"/>
              </w:rPr>
              <w:t>（证号：</w:t>
            </w:r>
            <w:r>
              <w:rPr>
                <w:rFonts w:hint="eastAsia"/>
                <w:sz w:val="21"/>
                <w:szCs w:val="21"/>
                <w:lang w:eastAsia="zh-CN"/>
              </w:rPr>
              <w:t>CXXXXXXXXXXXXXXXXX</w:t>
            </w:r>
            <w:r>
              <w:rPr>
                <w:sz w:val="21"/>
                <w:szCs w:val="21"/>
              </w:rPr>
              <w:t>），有效期为</w:t>
            </w:r>
            <w:r>
              <w:rPr>
                <w:rFonts w:hint="eastAsia"/>
                <w:sz w:val="21"/>
                <w:szCs w:val="21"/>
                <w:lang w:eastAsia="zh-CN"/>
              </w:rPr>
              <w:t>2022年6月19日至2025年12月19日</w:t>
            </w:r>
            <w:r>
              <w:rPr>
                <w:sz w:val="21"/>
                <w:szCs w:val="21"/>
              </w:rPr>
              <w:t>，有效期限：</w:t>
            </w:r>
            <w:r>
              <w:rPr>
                <w:rFonts w:hint="eastAsia"/>
                <w:sz w:val="21"/>
                <w:szCs w:val="21"/>
                <w:lang w:eastAsia="zh-CN"/>
              </w:rPr>
              <w:t>叁年零陆个月</w:t>
            </w:r>
            <w:r>
              <w:rPr>
                <w:sz w:val="21"/>
                <w:szCs w:val="21"/>
              </w:rPr>
              <w:t>。</w:t>
            </w:r>
          </w:p>
        </w:tc>
        <w:tc>
          <w:tcPr>
            <w:tcW w:w="454" w:type="pct"/>
            <w:noWrap w:val="0"/>
            <w:vAlign w:val="center"/>
          </w:tcPr>
          <w:p w14:paraId="3B4A2989">
            <w:pPr>
              <w:pStyle w:val="27"/>
              <w:bidi w:val="0"/>
              <w:rPr>
                <w:sz w:val="21"/>
                <w:szCs w:val="21"/>
              </w:rPr>
            </w:pPr>
            <w:r>
              <w:rPr>
                <w:sz w:val="21"/>
                <w:szCs w:val="21"/>
              </w:rPr>
              <w:t>符合</w:t>
            </w:r>
          </w:p>
        </w:tc>
      </w:tr>
      <w:tr w14:paraId="3B7B97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62" w:hRule="atLeast"/>
          <w:jc w:val="center"/>
        </w:trPr>
        <w:tc>
          <w:tcPr>
            <w:tcW w:w="322" w:type="pct"/>
            <w:noWrap w:val="0"/>
            <w:vAlign w:val="center"/>
          </w:tcPr>
          <w:p w14:paraId="1EE6A31E">
            <w:pPr>
              <w:pStyle w:val="27"/>
              <w:bidi w:val="0"/>
              <w:rPr>
                <w:sz w:val="21"/>
                <w:szCs w:val="21"/>
              </w:rPr>
            </w:pPr>
            <w:r>
              <w:rPr>
                <w:sz w:val="21"/>
                <w:szCs w:val="21"/>
              </w:rPr>
              <w:t>3</w:t>
            </w:r>
          </w:p>
        </w:tc>
        <w:tc>
          <w:tcPr>
            <w:tcW w:w="553" w:type="pct"/>
            <w:noWrap w:val="0"/>
            <w:vAlign w:val="center"/>
          </w:tcPr>
          <w:p w14:paraId="3BB36512">
            <w:pPr>
              <w:pStyle w:val="27"/>
              <w:bidi w:val="0"/>
              <w:rPr>
                <w:sz w:val="21"/>
                <w:szCs w:val="21"/>
              </w:rPr>
            </w:pPr>
            <w:r>
              <w:rPr>
                <w:sz w:val="21"/>
                <w:szCs w:val="21"/>
              </w:rPr>
              <w:t>安全</w:t>
            </w:r>
          </w:p>
          <w:p w14:paraId="13C2BCDD">
            <w:pPr>
              <w:pStyle w:val="27"/>
              <w:bidi w:val="0"/>
              <w:rPr>
                <w:sz w:val="21"/>
                <w:szCs w:val="21"/>
              </w:rPr>
            </w:pPr>
            <w:r>
              <w:rPr>
                <w:sz w:val="21"/>
                <w:szCs w:val="21"/>
              </w:rPr>
              <w:t>预评价</w:t>
            </w:r>
          </w:p>
        </w:tc>
        <w:tc>
          <w:tcPr>
            <w:tcW w:w="949" w:type="pct"/>
            <w:noWrap w:val="0"/>
            <w:vAlign w:val="center"/>
          </w:tcPr>
          <w:p w14:paraId="41FE1D84">
            <w:pPr>
              <w:pStyle w:val="27"/>
              <w:bidi w:val="0"/>
              <w:rPr>
                <w:sz w:val="21"/>
                <w:szCs w:val="21"/>
              </w:rPr>
            </w:pPr>
            <w:r>
              <w:rPr>
                <w:sz w:val="21"/>
                <w:szCs w:val="21"/>
              </w:rPr>
              <w:t>《建设项目安全设施</w:t>
            </w:r>
            <w:r>
              <w:rPr>
                <w:rFonts w:hint="eastAsia"/>
                <w:sz w:val="21"/>
                <w:szCs w:val="21"/>
                <w:lang w:eastAsia="zh-CN"/>
              </w:rPr>
              <w:t>“</w:t>
            </w:r>
            <w:r>
              <w:rPr>
                <w:sz w:val="21"/>
                <w:szCs w:val="21"/>
              </w:rPr>
              <w:t>三同时</w:t>
            </w:r>
            <w:r>
              <w:rPr>
                <w:rFonts w:hint="eastAsia"/>
                <w:sz w:val="21"/>
                <w:szCs w:val="21"/>
                <w:lang w:eastAsia="zh-CN"/>
              </w:rPr>
              <w:t>”</w:t>
            </w:r>
            <w:r>
              <w:rPr>
                <w:sz w:val="21"/>
                <w:szCs w:val="21"/>
              </w:rPr>
              <w:t>监督管理办法》</w:t>
            </w:r>
          </w:p>
        </w:tc>
        <w:tc>
          <w:tcPr>
            <w:tcW w:w="677" w:type="pct"/>
            <w:noWrap w:val="0"/>
            <w:vAlign w:val="center"/>
          </w:tcPr>
          <w:p w14:paraId="5AC46687">
            <w:pPr>
              <w:pStyle w:val="27"/>
              <w:bidi w:val="0"/>
              <w:rPr>
                <w:sz w:val="21"/>
                <w:szCs w:val="21"/>
              </w:rPr>
            </w:pPr>
            <w:r>
              <w:rPr>
                <w:sz w:val="21"/>
                <w:szCs w:val="21"/>
              </w:rPr>
              <w:t>现场查阅材料</w:t>
            </w:r>
          </w:p>
        </w:tc>
        <w:tc>
          <w:tcPr>
            <w:tcW w:w="2043" w:type="pct"/>
            <w:noWrap w:val="0"/>
            <w:vAlign w:val="center"/>
          </w:tcPr>
          <w:p w14:paraId="23E31F0C">
            <w:pPr>
              <w:pStyle w:val="27"/>
              <w:bidi w:val="0"/>
              <w:jc w:val="both"/>
              <w:rPr>
                <w:rFonts w:hint="eastAsia"/>
                <w:sz w:val="21"/>
                <w:szCs w:val="21"/>
                <w:lang w:eastAsia="zh-CN"/>
              </w:rPr>
            </w:pPr>
            <w:r>
              <w:rPr>
                <w:rFonts w:hint="eastAsia"/>
                <w:sz w:val="21"/>
                <w:szCs w:val="21"/>
              </w:rPr>
              <w:t>辽宁力康职业卫生与安全技术咨询服务有限公司</w:t>
            </w:r>
            <w:r>
              <w:rPr>
                <w:sz w:val="21"/>
                <w:szCs w:val="21"/>
              </w:rPr>
              <w:t>于202</w:t>
            </w:r>
            <w:r>
              <w:rPr>
                <w:rFonts w:hint="eastAsia"/>
                <w:sz w:val="21"/>
                <w:szCs w:val="21"/>
                <w:lang w:val="en-US" w:eastAsia="zh-CN"/>
              </w:rPr>
              <w:t>3</w:t>
            </w:r>
            <w:r>
              <w:rPr>
                <w:sz w:val="21"/>
                <w:szCs w:val="21"/>
              </w:rPr>
              <w:t>年</w:t>
            </w:r>
            <w:r>
              <w:rPr>
                <w:rFonts w:hint="eastAsia"/>
                <w:sz w:val="21"/>
                <w:szCs w:val="21"/>
                <w:lang w:val="en-US" w:eastAsia="zh-CN"/>
              </w:rPr>
              <w:t>1</w:t>
            </w:r>
            <w:r>
              <w:rPr>
                <w:sz w:val="21"/>
                <w:szCs w:val="21"/>
              </w:rPr>
              <w:t>月提交的《</w:t>
            </w:r>
            <w:r>
              <w:rPr>
                <w:rFonts w:hint="eastAsia"/>
                <w:sz w:val="21"/>
                <w:szCs w:val="21"/>
              </w:rPr>
              <w:t>海城市荣富耐火材料有限公司菱镁石、滑石矿山露天开采建设项目安全预评价报告</w:t>
            </w:r>
            <w:r>
              <w:rPr>
                <w:sz w:val="21"/>
                <w:szCs w:val="21"/>
              </w:rPr>
              <w:t>》</w:t>
            </w:r>
            <w:r>
              <w:rPr>
                <w:rFonts w:hint="eastAsia"/>
                <w:sz w:val="21"/>
                <w:szCs w:val="21"/>
                <w:lang w:eastAsia="zh-CN"/>
              </w:rPr>
              <w:t>，预评价单位具备非金属矿山行业评价资质APJ-(</w:t>
            </w:r>
            <w:r>
              <w:rPr>
                <w:rFonts w:hint="eastAsia"/>
                <w:sz w:val="21"/>
                <w:szCs w:val="21"/>
                <w:lang w:val="en-US" w:eastAsia="zh-CN"/>
              </w:rPr>
              <w:t>辽</w:t>
            </w:r>
            <w:r>
              <w:rPr>
                <w:rFonts w:hint="eastAsia"/>
                <w:sz w:val="21"/>
                <w:szCs w:val="21"/>
                <w:lang w:eastAsia="zh-CN"/>
              </w:rPr>
              <w:t>)-</w:t>
            </w:r>
            <w:r>
              <w:rPr>
                <w:rFonts w:hint="eastAsia"/>
                <w:sz w:val="21"/>
                <w:szCs w:val="21"/>
                <w:lang w:val="en-US" w:eastAsia="zh-CN"/>
              </w:rPr>
              <w:t>009</w:t>
            </w:r>
            <w:r>
              <w:rPr>
                <w:rFonts w:hint="eastAsia"/>
                <w:sz w:val="21"/>
                <w:szCs w:val="21"/>
                <w:lang w:eastAsia="zh-CN"/>
              </w:rPr>
              <w:t>。</w:t>
            </w:r>
          </w:p>
        </w:tc>
        <w:tc>
          <w:tcPr>
            <w:tcW w:w="454" w:type="pct"/>
            <w:noWrap w:val="0"/>
            <w:vAlign w:val="center"/>
          </w:tcPr>
          <w:p w14:paraId="7F0EB1A8">
            <w:pPr>
              <w:pStyle w:val="27"/>
              <w:bidi w:val="0"/>
              <w:rPr>
                <w:sz w:val="21"/>
                <w:szCs w:val="21"/>
              </w:rPr>
            </w:pPr>
            <w:r>
              <w:rPr>
                <w:sz w:val="21"/>
                <w:szCs w:val="21"/>
              </w:rPr>
              <w:t>符合</w:t>
            </w:r>
          </w:p>
        </w:tc>
      </w:tr>
      <w:tr w14:paraId="14E1A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22" w:type="pct"/>
            <w:noWrap w:val="0"/>
            <w:vAlign w:val="center"/>
          </w:tcPr>
          <w:p w14:paraId="630EADBB">
            <w:pPr>
              <w:pStyle w:val="27"/>
              <w:bidi w:val="0"/>
              <w:rPr>
                <w:sz w:val="21"/>
                <w:szCs w:val="21"/>
              </w:rPr>
            </w:pPr>
            <w:r>
              <w:rPr>
                <w:sz w:val="21"/>
                <w:szCs w:val="21"/>
              </w:rPr>
              <w:t>4</w:t>
            </w:r>
          </w:p>
        </w:tc>
        <w:tc>
          <w:tcPr>
            <w:tcW w:w="553" w:type="pct"/>
            <w:noWrap w:val="0"/>
            <w:vAlign w:val="center"/>
          </w:tcPr>
          <w:p w14:paraId="5BDA9441">
            <w:pPr>
              <w:pStyle w:val="27"/>
              <w:bidi w:val="0"/>
              <w:rPr>
                <w:sz w:val="21"/>
                <w:szCs w:val="21"/>
              </w:rPr>
            </w:pPr>
            <w:r>
              <w:rPr>
                <w:sz w:val="21"/>
                <w:szCs w:val="21"/>
              </w:rPr>
              <w:t>安全设施设计</w:t>
            </w:r>
          </w:p>
        </w:tc>
        <w:tc>
          <w:tcPr>
            <w:tcW w:w="949" w:type="pct"/>
            <w:noWrap w:val="0"/>
            <w:vAlign w:val="center"/>
          </w:tcPr>
          <w:p w14:paraId="70EE58EB">
            <w:pPr>
              <w:pStyle w:val="27"/>
              <w:bidi w:val="0"/>
              <w:rPr>
                <w:sz w:val="21"/>
                <w:szCs w:val="21"/>
              </w:rPr>
            </w:pPr>
            <w:r>
              <w:rPr>
                <w:sz w:val="21"/>
                <w:szCs w:val="21"/>
              </w:rPr>
              <w:t>《建设项目安全设施</w:t>
            </w:r>
            <w:r>
              <w:rPr>
                <w:rFonts w:hint="eastAsia"/>
                <w:sz w:val="21"/>
                <w:szCs w:val="21"/>
                <w:lang w:eastAsia="zh-CN"/>
              </w:rPr>
              <w:t>“</w:t>
            </w:r>
            <w:r>
              <w:rPr>
                <w:sz w:val="21"/>
                <w:szCs w:val="21"/>
              </w:rPr>
              <w:t>三同时</w:t>
            </w:r>
            <w:r>
              <w:rPr>
                <w:rFonts w:hint="eastAsia"/>
                <w:sz w:val="21"/>
                <w:szCs w:val="21"/>
                <w:lang w:eastAsia="zh-CN"/>
              </w:rPr>
              <w:t>”</w:t>
            </w:r>
            <w:r>
              <w:rPr>
                <w:sz w:val="21"/>
                <w:szCs w:val="21"/>
              </w:rPr>
              <w:t>监督管理办法》</w:t>
            </w:r>
          </w:p>
        </w:tc>
        <w:tc>
          <w:tcPr>
            <w:tcW w:w="677" w:type="pct"/>
            <w:noWrap w:val="0"/>
            <w:vAlign w:val="center"/>
          </w:tcPr>
          <w:p w14:paraId="78D85F04">
            <w:pPr>
              <w:pStyle w:val="27"/>
              <w:bidi w:val="0"/>
              <w:rPr>
                <w:sz w:val="21"/>
                <w:szCs w:val="21"/>
              </w:rPr>
            </w:pPr>
            <w:r>
              <w:rPr>
                <w:sz w:val="21"/>
                <w:szCs w:val="21"/>
              </w:rPr>
              <w:t>现场查阅材料</w:t>
            </w:r>
          </w:p>
        </w:tc>
        <w:tc>
          <w:tcPr>
            <w:tcW w:w="2043" w:type="pct"/>
            <w:noWrap w:val="0"/>
            <w:vAlign w:val="center"/>
          </w:tcPr>
          <w:p w14:paraId="60C5665F">
            <w:pPr>
              <w:pStyle w:val="27"/>
              <w:bidi w:val="0"/>
              <w:jc w:val="both"/>
              <w:rPr>
                <w:sz w:val="21"/>
                <w:szCs w:val="21"/>
              </w:rPr>
            </w:pPr>
            <w:r>
              <w:rPr>
                <w:sz w:val="21"/>
                <w:szCs w:val="21"/>
              </w:rPr>
              <w:t>202</w:t>
            </w:r>
            <w:r>
              <w:rPr>
                <w:rFonts w:hint="eastAsia"/>
                <w:sz w:val="21"/>
                <w:szCs w:val="21"/>
                <w:lang w:val="en-US" w:eastAsia="zh-CN"/>
              </w:rPr>
              <w:t>3</w:t>
            </w:r>
            <w:r>
              <w:rPr>
                <w:sz w:val="21"/>
                <w:szCs w:val="21"/>
              </w:rPr>
              <w:t>年</w:t>
            </w:r>
            <w:r>
              <w:rPr>
                <w:rFonts w:hint="eastAsia"/>
                <w:sz w:val="21"/>
                <w:szCs w:val="21"/>
                <w:lang w:val="en-US" w:eastAsia="zh-CN"/>
              </w:rPr>
              <w:t>1</w:t>
            </w:r>
            <w:r>
              <w:rPr>
                <w:sz w:val="21"/>
                <w:szCs w:val="21"/>
              </w:rPr>
              <w:t>月，</w:t>
            </w:r>
            <w:r>
              <w:rPr>
                <w:rFonts w:hint="eastAsia"/>
                <w:sz w:val="21"/>
                <w:szCs w:val="21"/>
                <w:lang w:eastAsia="zh-CN"/>
              </w:rPr>
              <w:t>沈阳嘉纳工程技术有限公司</w:t>
            </w:r>
            <w:r>
              <w:rPr>
                <w:sz w:val="21"/>
                <w:szCs w:val="21"/>
              </w:rPr>
              <w:t>编制了《</w:t>
            </w:r>
            <w:r>
              <w:rPr>
                <w:rFonts w:hint="eastAsia"/>
                <w:sz w:val="21"/>
                <w:szCs w:val="21"/>
                <w:lang w:eastAsia="zh-CN"/>
              </w:rPr>
              <w:t>海城市荣富耐火材料有限公司镁矿（菱镁石、滑石）露天矿山建设项目</w:t>
            </w:r>
            <w:r>
              <w:rPr>
                <w:sz w:val="21"/>
                <w:szCs w:val="21"/>
              </w:rPr>
              <w:t>安全设施</w:t>
            </w:r>
            <w:r>
              <w:rPr>
                <w:rFonts w:hint="eastAsia"/>
                <w:sz w:val="21"/>
                <w:szCs w:val="21"/>
              </w:rPr>
              <w:t>设计</w:t>
            </w:r>
            <w:r>
              <w:rPr>
                <w:sz w:val="21"/>
                <w:szCs w:val="21"/>
              </w:rPr>
              <w:t>》，安全设施</w:t>
            </w:r>
            <w:r>
              <w:rPr>
                <w:rFonts w:hint="eastAsia"/>
                <w:sz w:val="21"/>
                <w:szCs w:val="21"/>
              </w:rPr>
              <w:t>设计</w:t>
            </w:r>
            <w:r>
              <w:rPr>
                <w:sz w:val="21"/>
                <w:szCs w:val="21"/>
              </w:rPr>
              <w:t>经过</w:t>
            </w:r>
            <w:r>
              <w:rPr>
                <w:rFonts w:hint="eastAsia"/>
                <w:sz w:val="21"/>
                <w:szCs w:val="21"/>
                <w:lang w:eastAsia="zh-CN"/>
              </w:rPr>
              <w:t>海城市</w:t>
            </w:r>
            <w:r>
              <w:rPr>
                <w:rFonts w:hint="eastAsia"/>
                <w:sz w:val="21"/>
                <w:szCs w:val="21"/>
                <w:lang w:val="en-US" w:eastAsia="zh-CN"/>
              </w:rPr>
              <w:t>应急</w:t>
            </w:r>
            <w:r>
              <w:rPr>
                <w:rFonts w:hint="eastAsia"/>
                <w:sz w:val="21"/>
                <w:szCs w:val="21"/>
                <w:lang w:eastAsia="zh-CN"/>
              </w:rPr>
              <w:t>管理局</w:t>
            </w:r>
            <w:r>
              <w:rPr>
                <w:sz w:val="21"/>
                <w:szCs w:val="21"/>
              </w:rPr>
              <w:t>组织评审，且在20</w:t>
            </w:r>
            <w:r>
              <w:rPr>
                <w:rFonts w:hint="eastAsia"/>
                <w:sz w:val="21"/>
                <w:szCs w:val="21"/>
              </w:rPr>
              <w:t>2</w:t>
            </w:r>
            <w:r>
              <w:rPr>
                <w:rFonts w:hint="eastAsia"/>
                <w:sz w:val="21"/>
                <w:szCs w:val="21"/>
                <w:lang w:val="en-US" w:eastAsia="zh-CN"/>
              </w:rPr>
              <w:t>3</w:t>
            </w:r>
            <w:r>
              <w:rPr>
                <w:sz w:val="21"/>
                <w:szCs w:val="21"/>
              </w:rPr>
              <w:t>年</w:t>
            </w:r>
            <w:r>
              <w:rPr>
                <w:rFonts w:hint="eastAsia"/>
                <w:sz w:val="21"/>
                <w:szCs w:val="21"/>
                <w:lang w:val="en-US" w:eastAsia="zh-CN"/>
              </w:rPr>
              <w:t>3</w:t>
            </w:r>
            <w:r>
              <w:rPr>
                <w:sz w:val="21"/>
                <w:szCs w:val="21"/>
              </w:rPr>
              <w:t>月</w:t>
            </w:r>
            <w:r>
              <w:rPr>
                <w:rFonts w:hint="eastAsia"/>
                <w:sz w:val="21"/>
                <w:szCs w:val="21"/>
                <w:lang w:val="en-US" w:eastAsia="zh-CN"/>
              </w:rPr>
              <w:t>30</w:t>
            </w:r>
            <w:r>
              <w:rPr>
                <w:sz w:val="21"/>
                <w:szCs w:val="21"/>
              </w:rPr>
              <w:t>日取得</w:t>
            </w:r>
            <w:r>
              <w:rPr>
                <w:rFonts w:hint="eastAsia"/>
                <w:sz w:val="21"/>
                <w:szCs w:val="21"/>
                <w:lang w:eastAsia="zh-CN"/>
              </w:rPr>
              <w:t>海城市</w:t>
            </w:r>
            <w:r>
              <w:rPr>
                <w:rFonts w:hint="eastAsia"/>
                <w:sz w:val="21"/>
                <w:szCs w:val="21"/>
                <w:lang w:val="en-US" w:eastAsia="zh-CN"/>
              </w:rPr>
              <w:t>应急</w:t>
            </w:r>
            <w:r>
              <w:rPr>
                <w:rFonts w:hint="eastAsia"/>
                <w:sz w:val="21"/>
                <w:szCs w:val="21"/>
                <w:lang w:eastAsia="zh-CN"/>
              </w:rPr>
              <w:t>管理局</w:t>
            </w:r>
            <w:r>
              <w:rPr>
                <w:sz w:val="21"/>
                <w:szCs w:val="21"/>
              </w:rPr>
              <w:t>颁发的《</w:t>
            </w:r>
            <w:r>
              <w:rPr>
                <w:rFonts w:hint="eastAsia"/>
                <w:sz w:val="21"/>
                <w:szCs w:val="21"/>
              </w:rPr>
              <w:t>安全</w:t>
            </w:r>
            <w:r>
              <w:rPr>
                <w:sz w:val="21"/>
                <w:szCs w:val="21"/>
              </w:rPr>
              <w:t>设施设计审</w:t>
            </w:r>
            <w:r>
              <w:rPr>
                <w:rFonts w:hint="eastAsia"/>
                <w:sz w:val="21"/>
                <w:szCs w:val="21"/>
              </w:rPr>
              <w:t>查</w:t>
            </w:r>
            <w:r>
              <w:rPr>
                <w:sz w:val="21"/>
                <w:szCs w:val="21"/>
              </w:rPr>
              <w:t>批复》。</w:t>
            </w:r>
          </w:p>
        </w:tc>
        <w:tc>
          <w:tcPr>
            <w:tcW w:w="454" w:type="pct"/>
            <w:noWrap w:val="0"/>
            <w:vAlign w:val="center"/>
          </w:tcPr>
          <w:p w14:paraId="3C21C3DE">
            <w:pPr>
              <w:pStyle w:val="27"/>
              <w:bidi w:val="0"/>
              <w:rPr>
                <w:sz w:val="21"/>
                <w:szCs w:val="21"/>
              </w:rPr>
            </w:pPr>
            <w:r>
              <w:rPr>
                <w:sz w:val="21"/>
                <w:szCs w:val="21"/>
              </w:rPr>
              <w:t>符合</w:t>
            </w:r>
          </w:p>
        </w:tc>
      </w:tr>
      <w:tr w14:paraId="44153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22" w:type="pct"/>
            <w:noWrap w:val="0"/>
            <w:vAlign w:val="center"/>
          </w:tcPr>
          <w:p w14:paraId="36AABCD3">
            <w:pPr>
              <w:pStyle w:val="27"/>
              <w:bidi w:val="0"/>
              <w:rPr>
                <w:sz w:val="21"/>
                <w:szCs w:val="21"/>
              </w:rPr>
            </w:pPr>
            <w:r>
              <w:rPr>
                <w:sz w:val="21"/>
                <w:szCs w:val="21"/>
              </w:rPr>
              <w:t>5</w:t>
            </w:r>
          </w:p>
        </w:tc>
        <w:tc>
          <w:tcPr>
            <w:tcW w:w="553" w:type="pct"/>
            <w:noWrap w:val="0"/>
            <w:vAlign w:val="center"/>
          </w:tcPr>
          <w:p w14:paraId="60C67B3B">
            <w:pPr>
              <w:pStyle w:val="27"/>
              <w:bidi w:val="0"/>
              <w:rPr>
                <w:sz w:val="21"/>
                <w:szCs w:val="21"/>
              </w:rPr>
            </w:pPr>
            <w:r>
              <w:rPr>
                <w:sz w:val="21"/>
                <w:szCs w:val="21"/>
              </w:rPr>
              <w:t>安全</w:t>
            </w:r>
          </w:p>
          <w:p w14:paraId="21C4FDAD">
            <w:pPr>
              <w:pStyle w:val="27"/>
              <w:bidi w:val="0"/>
              <w:rPr>
                <w:sz w:val="21"/>
                <w:szCs w:val="21"/>
              </w:rPr>
            </w:pPr>
            <w:r>
              <w:rPr>
                <w:sz w:val="21"/>
                <w:szCs w:val="21"/>
              </w:rPr>
              <w:t>设施</w:t>
            </w:r>
          </w:p>
          <w:p w14:paraId="6E29EBD7">
            <w:pPr>
              <w:pStyle w:val="27"/>
              <w:bidi w:val="0"/>
              <w:rPr>
                <w:sz w:val="21"/>
                <w:szCs w:val="21"/>
              </w:rPr>
            </w:pPr>
            <w:r>
              <w:rPr>
                <w:sz w:val="21"/>
                <w:szCs w:val="21"/>
              </w:rPr>
              <w:t>验收</w:t>
            </w:r>
          </w:p>
          <w:p w14:paraId="3DFFDB68">
            <w:pPr>
              <w:pStyle w:val="27"/>
              <w:bidi w:val="0"/>
              <w:rPr>
                <w:sz w:val="21"/>
                <w:szCs w:val="21"/>
              </w:rPr>
            </w:pPr>
            <w:r>
              <w:rPr>
                <w:sz w:val="21"/>
                <w:szCs w:val="21"/>
              </w:rPr>
              <w:t>评价</w:t>
            </w:r>
          </w:p>
        </w:tc>
        <w:tc>
          <w:tcPr>
            <w:tcW w:w="949" w:type="pct"/>
            <w:noWrap w:val="0"/>
            <w:vAlign w:val="center"/>
          </w:tcPr>
          <w:p w14:paraId="768F951F">
            <w:pPr>
              <w:pStyle w:val="27"/>
              <w:bidi w:val="0"/>
              <w:rPr>
                <w:sz w:val="21"/>
                <w:szCs w:val="21"/>
              </w:rPr>
            </w:pPr>
            <w:r>
              <w:rPr>
                <w:sz w:val="21"/>
                <w:szCs w:val="21"/>
              </w:rPr>
              <w:t>《建设项目安全设施</w:t>
            </w:r>
            <w:r>
              <w:rPr>
                <w:rFonts w:hint="eastAsia"/>
                <w:sz w:val="21"/>
                <w:szCs w:val="21"/>
                <w:lang w:eastAsia="zh-CN"/>
              </w:rPr>
              <w:t>“</w:t>
            </w:r>
            <w:r>
              <w:rPr>
                <w:sz w:val="21"/>
                <w:szCs w:val="21"/>
              </w:rPr>
              <w:t>三同时</w:t>
            </w:r>
            <w:r>
              <w:rPr>
                <w:rFonts w:hint="eastAsia"/>
                <w:sz w:val="21"/>
                <w:szCs w:val="21"/>
                <w:lang w:eastAsia="zh-CN"/>
              </w:rPr>
              <w:t>”</w:t>
            </w:r>
            <w:r>
              <w:rPr>
                <w:sz w:val="21"/>
                <w:szCs w:val="21"/>
              </w:rPr>
              <w:t>监督管理暂行办法》</w:t>
            </w:r>
          </w:p>
        </w:tc>
        <w:tc>
          <w:tcPr>
            <w:tcW w:w="677" w:type="pct"/>
            <w:noWrap w:val="0"/>
            <w:vAlign w:val="center"/>
          </w:tcPr>
          <w:p w14:paraId="199E1ED2">
            <w:pPr>
              <w:pStyle w:val="27"/>
              <w:bidi w:val="0"/>
              <w:rPr>
                <w:sz w:val="21"/>
                <w:szCs w:val="21"/>
              </w:rPr>
            </w:pPr>
            <w:r>
              <w:rPr>
                <w:sz w:val="21"/>
                <w:szCs w:val="21"/>
              </w:rPr>
              <w:t>现场查阅材料</w:t>
            </w:r>
          </w:p>
        </w:tc>
        <w:tc>
          <w:tcPr>
            <w:tcW w:w="2043" w:type="pct"/>
            <w:noWrap w:val="0"/>
            <w:vAlign w:val="center"/>
          </w:tcPr>
          <w:p w14:paraId="43CFD683">
            <w:pPr>
              <w:pStyle w:val="27"/>
              <w:bidi w:val="0"/>
              <w:jc w:val="both"/>
              <w:rPr>
                <w:sz w:val="21"/>
                <w:szCs w:val="21"/>
              </w:rPr>
            </w:pPr>
            <w:r>
              <w:rPr>
                <w:rFonts w:hint="eastAsia"/>
                <w:sz w:val="21"/>
                <w:szCs w:val="21"/>
              </w:rPr>
              <w:t>202</w:t>
            </w:r>
            <w:r>
              <w:rPr>
                <w:rFonts w:hint="eastAsia"/>
                <w:sz w:val="21"/>
                <w:szCs w:val="21"/>
                <w:lang w:val="en-US" w:eastAsia="zh-CN"/>
              </w:rPr>
              <w:t>5</w:t>
            </w:r>
            <w:r>
              <w:rPr>
                <w:rFonts w:hint="eastAsia"/>
                <w:sz w:val="21"/>
                <w:szCs w:val="21"/>
              </w:rPr>
              <w:t>年</w:t>
            </w:r>
            <w:r>
              <w:rPr>
                <w:rFonts w:hint="eastAsia"/>
                <w:sz w:val="21"/>
                <w:szCs w:val="21"/>
                <w:lang w:val="en-US" w:eastAsia="zh-CN"/>
              </w:rPr>
              <w:t>2</w:t>
            </w:r>
            <w:r>
              <w:rPr>
                <w:rFonts w:hint="eastAsia"/>
                <w:sz w:val="21"/>
                <w:szCs w:val="21"/>
              </w:rPr>
              <w:t>月，由</w:t>
            </w:r>
            <w:r>
              <w:rPr>
                <w:rFonts w:hint="eastAsia"/>
                <w:sz w:val="21"/>
                <w:szCs w:val="21"/>
                <w:lang w:eastAsia="zh-CN"/>
              </w:rPr>
              <w:t>辽宁诺诚安全科技有限公司</w:t>
            </w:r>
            <w:r>
              <w:rPr>
                <w:rFonts w:hint="eastAsia"/>
                <w:sz w:val="21"/>
                <w:szCs w:val="21"/>
              </w:rPr>
              <w:t>编制安全设施验收评价报告，</w:t>
            </w:r>
            <w:r>
              <w:rPr>
                <w:sz w:val="21"/>
                <w:szCs w:val="21"/>
              </w:rPr>
              <w:t>验收评价单位资质证书编号：APJ-（</w:t>
            </w:r>
            <w:r>
              <w:rPr>
                <w:rFonts w:hint="eastAsia"/>
                <w:sz w:val="21"/>
                <w:szCs w:val="21"/>
                <w:lang w:val="en-US" w:eastAsia="zh-CN"/>
              </w:rPr>
              <w:t>辽</w:t>
            </w:r>
            <w:r>
              <w:rPr>
                <w:sz w:val="21"/>
                <w:szCs w:val="21"/>
              </w:rPr>
              <w:t>）-0</w:t>
            </w:r>
            <w:r>
              <w:rPr>
                <w:rFonts w:hint="eastAsia"/>
                <w:sz w:val="21"/>
                <w:szCs w:val="21"/>
                <w:lang w:val="en-US" w:eastAsia="zh-CN"/>
              </w:rPr>
              <w:t>21</w:t>
            </w:r>
            <w:r>
              <w:rPr>
                <w:rFonts w:hint="eastAsia"/>
                <w:sz w:val="21"/>
                <w:szCs w:val="21"/>
                <w:lang w:eastAsia="zh-CN"/>
              </w:rPr>
              <w:t>，</w:t>
            </w:r>
            <w:r>
              <w:rPr>
                <w:rFonts w:hint="eastAsia"/>
                <w:sz w:val="21"/>
                <w:szCs w:val="21"/>
                <w:lang w:val="en-US" w:eastAsia="zh-CN"/>
              </w:rPr>
              <w:t>验收</w:t>
            </w:r>
            <w:r>
              <w:rPr>
                <w:rFonts w:hint="eastAsia"/>
                <w:sz w:val="21"/>
                <w:szCs w:val="21"/>
                <w:lang w:eastAsia="zh-CN"/>
              </w:rPr>
              <w:t>评价单位具备金属非金属矿山行业评价资质。</w:t>
            </w:r>
          </w:p>
        </w:tc>
        <w:tc>
          <w:tcPr>
            <w:tcW w:w="454" w:type="pct"/>
            <w:noWrap w:val="0"/>
            <w:vAlign w:val="center"/>
          </w:tcPr>
          <w:p w14:paraId="1AC43531">
            <w:pPr>
              <w:pStyle w:val="27"/>
              <w:bidi w:val="0"/>
              <w:rPr>
                <w:sz w:val="21"/>
                <w:szCs w:val="21"/>
              </w:rPr>
            </w:pPr>
            <w:r>
              <w:rPr>
                <w:sz w:val="21"/>
                <w:szCs w:val="21"/>
              </w:rPr>
              <w:t>符合</w:t>
            </w:r>
          </w:p>
        </w:tc>
      </w:tr>
      <w:tr w14:paraId="3078A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22" w:type="pct"/>
            <w:noWrap w:val="0"/>
            <w:vAlign w:val="center"/>
          </w:tcPr>
          <w:p w14:paraId="5F9CAEF3">
            <w:pPr>
              <w:pStyle w:val="27"/>
              <w:bidi w:val="0"/>
              <w:rPr>
                <w:sz w:val="21"/>
                <w:szCs w:val="21"/>
              </w:rPr>
            </w:pPr>
            <w:r>
              <w:rPr>
                <w:sz w:val="21"/>
                <w:szCs w:val="21"/>
              </w:rPr>
              <w:t>6</w:t>
            </w:r>
          </w:p>
        </w:tc>
        <w:tc>
          <w:tcPr>
            <w:tcW w:w="553" w:type="pct"/>
            <w:noWrap w:val="0"/>
            <w:vAlign w:val="center"/>
          </w:tcPr>
          <w:p w14:paraId="2D6D767F">
            <w:pPr>
              <w:pStyle w:val="27"/>
              <w:bidi w:val="0"/>
              <w:rPr>
                <w:sz w:val="21"/>
                <w:szCs w:val="21"/>
              </w:rPr>
            </w:pPr>
            <w:r>
              <w:rPr>
                <w:sz w:val="21"/>
                <w:szCs w:val="21"/>
              </w:rPr>
              <w:t>施工</w:t>
            </w:r>
          </w:p>
          <w:p w14:paraId="4F0FCFDC">
            <w:pPr>
              <w:pStyle w:val="27"/>
              <w:bidi w:val="0"/>
              <w:rPr>
                <w:sz w:val="21"/>
                <w:szCs w:val="21"/>
              </w:rPr>
            </w:pPr>
            <w:r>
              <w:rPr>
                <w:sz w:val="21"/>
                <w:szCs w:val="21"/>
              </w:rPr>
              <w:t>单位</w:t>
            </w:r>
          </w:p>
        </w:tc>
        <w:tc>
          <w:tcPr>
            <w:tcW w:w="949" w:type="pct"/>
            <w:noWrap w:val="0"/>
            <w:vAlign w:val="center"/>
          </w:tcPr>
          <w:p w14:paraId="6B75EE6A">
            <w:pPr>
              <w:pStyle w:val="27"/>
              <w:bidi w:val="0"/>
              <w:rPr>
                <w:sz w:val="21"/>
                <w:szCs w:val="21"/>
              </w:rPr>
            </w:pPr>
            <w:r>
              <w:rPr>
                <w:sz w:val="21"/>
                <w:szCs w:val="21"/>
              </w:rPr>
              <w:t>《建设项目安全设施</w:t>
            </w:r>
            <w:r>
              <w:rPr>
                <w:rFonts w:hint="eastAsia"/>
                <w:sz w:val="21"/>
                <w:szCs w:val="21"/>
                <w:lang w:eastAsia="zh-CN"/>
              </w:rPr>
              <w:t>“</w:t>
            </w:r>
            <w:r>
              <w:rPr>
                <w:sz w:val="21"/>
                <w:szCs w:val="21"/>
              </w:rPr>
              <w:t>三同时</w:t>
            </w:r>
            <w:r>
              <w:rPr>
                <w:rFonts w:hint="eastAsia"/>
                <w:sz w:val="21"/>
                <w:szCs w:val="21"/>
                <w:lang w:eastAsia="zh-CN"/>
              </w:rPr>
              <w:t>”</w:t>
            </w:r>
            <w:r>
              <w:rPr>
                <w:sz w:val="21"/>
                <w:szCs w:val="21"/>
              </w:rPr>
              <w:t>监督管理办法（修订）》</w:t>
            </w:r>
          </w:p>
        </w:tc>
        <w:tc>
          <w:tcPr>
            <w:tcW w:w="677" w:type="pct"/>
            <w:noWrap w:val="0"/>
            <w:vAlign w:val="center"/>
          </w:tcPr>
          <w:p w14:paraId="1AE44F25">
            <w:pPr>
              <w:pStyle w:val="27"/>
              <w:bidi w:val="0"/>
              <w:rPr>
                <w:sz w:val="21"/>
                <w:szCs w:val="21"/>
              </w:rPr>
            </w:pPr>
            <w:r>
              <w:rPr>
                <w:sz w:val="21"/>
                <w:szCs w:val="21"/>
              </w:rPr>
              <w:t>现场查阅材料</w:t>
            </w:r>
          </w:p>
        </w:tc>
        <w:tc>
          <w:tcPr>
            <w:tcW w:w="2043" w:type="pct"/>
            <w:noWrap w:val="0"/>
            <w:vAlign w:val="center"/>
          </w:tcPr>
          <w:p w14:paraId="6ABB0EA6">
            <w:pPr>
              <w:pStyle w:val="27"/>
              <w:bidi w:val="0"/>
              <w:jc w:val="both"/>
              <w:rPr>
                <w:sz w:val="21"/>
                <w:szCs w:val="21"/>
              </w:rPr>
            </w:pPr>
            <w:r>
              <w:rPr>
                <w:sz w:val="21"/>
                <w:szCs w:val="21"/>
              </w:rPr>
              <w:t>施工单位为</w:t>
            </w:r>
            <w:r>
              <w:rPr>
                <w:rFonts w:hint="eastAsia"/>
                <w:sz w:val="21"/>
                <w:szCs w:val="21"/>
                <w:lang w:eastAsia="zh-CN"/>
              </w:rPr>
              <w:t>辽宁泓远建设有限公司</w:t>
            </w:r>
            <w:r>
              <w:rPr>
                <w:sz w:val="21"/>
                <w:szCs w:val="21"/>
              </w:rPr>
              <w:t>，具有矿山工程资质、具有有效的《安全生产许可证》。安全设施与主体工程同时施工，符合《安全设施</w:t>
            </w:r>
            <w:r>
              <w:rPr>
                <w:rFonts w:hint="eastAsia"/>
                <w:sz w:val="21"/>
                <w:szCs w:val="21"/>
              </w:rPr>
              <w:t>设计</w:t>
            </w:r>
            <w:r>
              <w:rPr>
                <w:sz w:val="21"/>
                <w:szCs w:val="21"/>
              </w:rPr>
              <w:t>》。工程结束后，绘制竣工图并编写施工</w:t>
            </w:r>
            <w:r>
              <w:rPr>
                <w:rFonts w:hint="eastAsia"/>
                <w:sz w:val="21"/>
                <w:szCs w:val="21"/>
                <w:lang w:eastAsia="zh-CN"/>
              </w:rPr>
              <w:t>《竣工报告》</w:t>
            </w:r>
            <w:r>
              <w:rPr>
                <w:sz w:val="21"/>
                <w:szCs w:val="21"/>
              </w:rPr>
              <w:t>。</w:t>
            </w:r>
          </w:p>
          <w:p w14:paraId="01B1BE95">
            <w:pPr>
              <w:pStyle w:val="27"/>
              <w:bidi w:val="0"/>
              <w:jc w:val="both"/>
              <w:rPr>
                <w:rFonts w:hint="eastAsia"/>
                <w:sz w:val="21"/>
                <w:szCs w:val="21"/>
                <w:lang w:eastAsia="zh-CN"/>
              </w:rPr>
            </w:pPr>
            <w:r>
              <w:rPr>
                <w:rFonts w:hint="eastAsia"/>
                <w:sz w:val="21"/>
                <w:szCs w:val="21"/>
                <w:lang w:eastAsia="zh-CN"/>
              </w:rPr>
              <w:t>建筑业企业资质证书编号：D321175827，资质类别及等级：矿山工程施工总承包</w:t>
            </w:r>
            <w:r>
              <w:rPr>
                <w:rFonts w:hint="eastAsia"/>
                <w:sz w:val="21"/>
                <w:szCs w:val="21"/>
                <w:lang w:val="en-US" w:eastAsia="zh-CN"/>
              </w:rPr>
              <w:t>叁</w:t>
            </w:r>
            <w:r>
              <w:rPr>
                <w:rFonts w:hint="eastAsia"/>
                <w:sz w:val="21"/>
                <w:szCs w:val="21"/>
                <w:lang w:eastAsia="zh-CN"/>
              </w:rPr>
              <w:t>级。</w:t>
            </w:r>
          </w:p>
        </w:tc>
        <w:tc>
          <w:tcPr>
            <w:tcW w:w="454" w:type="pct"/>
            <w:noWrap w:val="0"/>
            <w:vAlign w:val="center"/>
          </w:tcPr>
          <w:p w14:paraId="26418BA5">
            <w:pPr>
              <w:pStyle w:val="27"/>
              <w:bidi w:val="0"/>
              <w:rPr>
                <w:sz w:val="21"/>
                <w:szCs w:val="21"/>
              </w:rPr>
            </w:pPr>
            <w:r>
              <w:rPr>
                <w:sz w:val="21"/>
                <w:szCs w:val="21"/>
              </w:rPr>
              <w:t>符合</w:t>
            </w:r>
          </w:p>
        </w:tc>
      </w:tr>
      <w:tr w14:paraId="546C3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22" w:type="pct"/>
            <w:noWrap w:val="0"/>
            <w:vAlign w:val="center"/>
          </w:tcPr>
          <w:p w14:paraId="15A8AF4B">
            <w:pPr>
              <w:pStyle w:val="27"/>
              <w:bidi w:val="0"/>
              <w:rPr>
                <w:sz w:val="21"/>
                <w:szCs w:val="21"/>
              </w:rPr>
            </w:pPr>
            <w:r>
              <w:rPr>
                <w:sz w:val="21"/>
                <w:szCs w:val="21"/>
              </w:rPr>
              <w:t>7</w:t>
            </w:r>
          </w:p>
        </w:tc>
        <w:tc>
          <w:tcPr>
            <w:tcW w:w="553" w:type="pct"/>
            <w:noWrap w:val="0"/>
            <w:vAlign w:val="center"/>
          </w:tcPr>
          <w:p w14:paraId="7A7155A6">
            <w:pPr>
              <w:pStyle w:val="27"/>
              <w:bidi w:val="0"/>
              <w:rPr>
                <w:sz w:val="21"/>
                <w:szCs w:val="21"/>
              </w:rPr>
            </w:pPr>
            <w:r>
              <w:rPr>
                <w:sz w:val="21"/>
                <w:szCs w:val="21"/>
              </w:rPr>
              <w:t>监理</w:t>
            </w:r>
          </w:p>
          <w:p w14:paraId="38F41AC9">
            <w:pPr>
              <w:pStyle w:val="27"/>
              <w:bidi w:val="0"/>
              <w:rPr>
                <w:sz w:val="21"/>
                <w:szCs w:val="21"/>
              </w:rPr>
            </w:pPr>
            <w:r>
              <w:rPr>
                <w:sz w:val="21"/>
                <w:szCs w:val="21"/>
              </w:rPr>
              <w:t>单位</w:t>
            </w:r>
          </w:p>
        </w:tc>
        <w:tc>
          <w:tcPr>
            <w:tcW w:w="949" w:type="pct"/>
            <w:noWrap w:val="0"/>
            <w:vAlign w:val="center"/>
          </w:tcPr>
          <w:p w14:paraId="277224CB">
            <w:pPr>
              <w:pStyle w:val="27"/>
              <w:bidi w:val="0"/>
              <w:rPr>
                <w:sz w:val="21"/>
                <w:szCs w:val="21"/>
              </w:rPr>
            </w:pPr>
            <w:r>
              <w:rPr>
                <w:sz w:val="21"/>
                <w:szCs w:val="21"/>
              </w:rPr>
              <w:t>《建设项目安全设施</w:t>
            </w:r>
            <w:r>
              <w:rPr>
                <w:rFonts w:hint="eastAsia"/>
                <w:sz w:val="21"/>
                <w:szCs w:val="21"/>
                <w:lang w:eastAsia="zh-CN"/>
              </w:rPr>
              <w:t>“</w:t>
            </w:r>
            <w:r>
              <w:rPr>
                <w:sz w:val="21"/>
                <w:szCs w:val="21"/>
              </w:rPr>
              <w:t>三同时</w:t>
            </w:r>
            <w:r>
              <w:rPr>
                <w:rFonts w:hint="eastAsia"/>
                <w:sz w:val="21"/>
                <w:szCs w:val="21"/>
                <w:lang w:eastAsia="zh-CN"/>
              </w:rPr>
              <w:t>”</w:t>
            </w:r>
            <w:r>
              <w:rPr>
                <w:sz w:val="21"/>
                <w:szCs w:val="21"/>
              </w:rPr>
              <w:t>监督管理办法（修订）》</w:t>
            </w:r>
          </w:p>
        </w:tc>
        <w:tc>
          <w:tcPr>
            <w:tcW w:w="677" w:type="pct"/>
            <w:noWrap w:val="0"/>
            <w:vAlign w:val="center"/>
          </w:tcPr>
          <w:p w14:paraId="6AB76F01">
            <w:pPr>
              <w:pStyle w:val="27"/>
              <w:bidi w:val="0"/>
              <w:rPr>
                <w:sz w:val="21"/>
                <w:szCs w:val="21"/>
              </w:rPr>
            </w:pPr>
            <w:r>
              <w:rPr>
                <w:sz w:val="21"/>
                <w:szCs w:val="21"/>
              </w:rPr>
              <w:t>现场查阅材料</w:t>
            </w:r>
          </w:p>
        </w:tc>
        <w:tc>
          <w:tcPr>
            <w:tcW w:w="2043" w:type="pct"/>
            <w:noWrap w:val="0"/>
            <w:vAlign w:val="center"/>
          </w:tcPr>
          <w:p w14:paraId="6F6E3C5A">
            <w:pPr>
              <w:pStyle w:val="27"/>
              <w:bidi w:val="0"/>
              <w:jc w:val="both"/>
              <w:rPr>
                <w:rFonts w:hint="eastAsia"/>
                <w:sz w:val="21"/>
                <w:szCs w:val="21"/>
              </w:rPr>
            </w:pPr>
            <w:r>
              <w:rPr>
                <w:sz w:val="21"/>
                <w:szCs w:val="21"/>
              </w:rPr>
              <w:t>工程监理单位为</w:t>
            </w:r>
            <w:r>
              <w:rPr>
                <w:rFonts w:hint="eastAsia"/>
                <w:sz w:val="21"/>
                <w:szCs w:val="21"/>
                <w:lang w:eastAsia="zh-CN"/>
              </w:rPr>
              <w:t>吉林东北亚国际工程技术集团有限公司</w:t>
            </w:r>
            <w:r>
              <w:rPr>
                <w:sz w:val="21"/>
                <w:szCs w:val="21"/>
              </w:rPr>
              <w:t>，具备矿山工程监理资质</w:t>
            </w:r>
            <w:r>
              <w:rPr>
                <w:rFonts w:hint="eastAsia"/>
                <w:sz w:val="21"/>
                <w:szCs w:val="21"/>
              </w:rPr>
              <w:t>，</w:t>
            </w:r>
            <w:r>
              <w:rPr>
                <w:sz w:val="21"/>
                <w:szCs w:val="21"/>
              </w:rPr>
              <w:t>工程结束后编写施工</w:t>
            </w:r>
            <w:r>
              <w:rPr>
                <w:rFonts w:hint="eastAsia"/>
                <w:sz w:val="21"/>
                <w:szCs w:val="21"/>
                <w:lang w:eastAsia="zh-CN"/>
              </w:rPr>
              <w:t>《监理报告》</w:t>
            </w:r>
            <w:r>
              <w:rPr>
                <w:sz w:val="21"/>
                <w:szCs w:val="21"/>
              </w:rPr>
              <w:t>。证书编号：</w:t>
            </w:r>
            <w:r>
              <w:rPr>
                <w:rFonts w:hint="eastAsia"/>
                <w:sz w:val="21"/>
                <w:szCs w:val="21"/>
                <w:lang w:eastAsia="zh-CN"/>
              </w:rPr>
              <w:t>E122001599</w:t>
            </w:r>
            <w:r>
              <w:rPr>
                <w:sz w:val="21"/>
                <w:szCs w:val="21"/>
              </w:rPr>
              <w:t>；业务范围：矿山工程监理</w:t>
            </w:r>
            <w:r>
              <w:rPr>
                <w:rFonts w:hint="eastAsia"/>
                <w:sz w:val="21"/>
                <w:szCs w:val="21"/>
                <w:lang w:eastAsia="zh-CN"/>
              </w:rPr>
              <w:t>甲</w:t>
            </w:r>
            <w:r>
              <w:rPr>
                <w:sz w:val="21"/>
                <w:szCs w:val="21"/>
              </w:rPr>
              <w:t>级</w:t>
            </w:r>
            <w:r>
              <w:rPr>
                <w:rFonts w:hint="eastAsia"/>
                <w:sz w:val="21"/>
                <w:szCs w:val="21"/>
              </w:rPr>
              <w:t>。</w:t>
            </w:r>
          </w:p>
        </w:tc>
        <w:tc>
          <w:tcPr>
            <w:tcW w:w="454" w:type="pct"/>
            <w:noWrap w:val="0"/>
            <w:vAlign w:val="center"/>
          </w:tcPr>
          <w:p w14:paraId="22485B15">
            <w:pPr>
              <w:pStyle w:val="27"/>
              <w:bidi w:val="0"/>
              <w:rPr>
                <w:sz w:val="21"/>
                <w:szCs w:val="21"/>
              </w:rPr>
            </w:pPr>
            <w:r>
              <w:rPr>
                <w:sz w:val="21"/>
                <w:szCs w:val="21"/>
              </w:rPr>
              <w:t>符合</w:t>
            </w:r>
          </w:p>
        </w:tc>
      </w:tr>
      <w:tr w14:paraId="16A9F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22" w:type="pct"/>
            <w:noWrap w:val="0"/>
            <w:vAlign w:val="center"/>
          </w:tcPr>
          <w:p w14:paraId="3CA8DC02">
            <w:pPr>
              <w:pStyle w:val="27"/>
              <w:bidi w:val="0"/>
              <w:rPr>
                <w:rFonts w:hint="eastAsia"/>
                <w:sz w:val="21"/>
                <w:szCs w:val="21"/>
                <w:lang w:val="en-US" w:eastAsia="zh-CN"/>
              </w:rPr>
            </w:pPr>
            <w:r>
              <w:rPr>
                <w:rFonts w:hint="eastAsia"/>
                <w:sz w:val="21"/>
                <w:szCs w:val="21"/>
                <w:lang w:val="en-US" w:eastAsia="zh-CN"/>
              </w:rPr>
              <w:t>8</w:t>
            </w:r>
          </w:p>
        </w:tc>
        <w:tc>
          <w:tcPr>
            <w:tcW w:w="553" w:type="pct"/>
            <w:noWrap w:val="0"/>
            <w:vAlign w:val="center"/>
          </w:tcPr>
          <w:p w14:paraId="15991EC7">
            <w:pPr>
              <w:pStyle w:val="27"/>
              <w:bidi w:val="0"/>
              <w:rPr>
                <w:rFonts w:hint="eastAsia"/>
                <w:sz w:val="21"/>
                <w:szCs w:val="21"/>
                <w:lang w:val="en-US" w:eastAsia="zh-CN"/>
              </w:rPr>
            </w:pPr>
            <w:r>
              <w:rPr>
                <w:rFonts w:hint="eastAsia"/>
                <w:sz w:val="21"/>
                <w:szCs w:val="21"/>
                <w:lang w:val="en-US" w:eastAsia="zh-CN"/>
              </w:rPr>
              <w:t>试运行</w:t>
            </w:r>
          </w:p>
        </w:tc>
        <w:tc>
          <w:tcPr>
            <w:tcW w:w="949" w:type="pct"/>
            <w:noWrap w:val="0"/>
            <w:vAlign w:val="center"/>
          </w:tcPr>
          <w:p w14:paraId="08A2D19C">
            <w:pPr>
              <w:pStyle w:val="27"/>
              <w:bidi w:val="0"/>
              <w:rPr>
                <w:sz w:val="21"/>
                <w:szCs w:val="21"/>
                <w:lang w:val="en-US" w:eastAsia="zh-CN"/>
              </w:rPr>
            </w:pPr>
            <w:r>
              <w:rPr>
                <w:sz w:val="21"/>
                <w:szCs w:val="21"/>
              </w:rPr>
              <w:t>《建设项目安全设施</w:t>
            </w:r>
            <w:r>
              <w:rPr>
                <w:rFonts w:hint="eastAsia"/>
                <w:sz w:val="21"/>
                <w:szCs w:val="21"/>
                <w:lang w:eastAsia="zh-CN"/>
              </w:rPr>
              <w:t>“</w:t>
            </w:r>
            <w:r>
              <w:rPr>
                <w:sz w:val="21"/>
                <w:szCs w:val="21"/>
              </w:rPr>
              <w:t>三同时</w:t>
            </w:r>
            <w:r>
              <w:rPr>
                <w:rFonts w:hint="eastAsia"/>
                <w:sz w:val="21"/>
                <w:szCs w:val="21"/>
                <w:lang w:eastAsia="zh-CN"/>
              </w:rPr>
              <w:t>”</w:t>
            </w:r>
            <w:r>
              <w:rPr>
                <w:sz w:val="21"/>
                <w:szCs w:val="21"/>
              </w:rPr>
              <w:t>监督管理办法》</w:t>
            </w:r>
          </w:p>
        </w:tc>
        <w:tc>
          <w:tcPr>
            <w:tcW w:w="677" w:type="pct"/>
            <w:noWrap w:val="0"/>
            <w:vAlign w:val="center"/>
          </w:tcPr>
          <w:p w14:paraId="5C18424F">
            <w:pPr>
              <w:pStyle w:val="27"/>
              <w:bidi w:val="0"/>
              <w:rPr>
                <w:sz w:val="21"/>
                <w:szCs w:val="21"/>
                <w:lang w:val="en-US" w:eastAsia="zh-CN"/>
              </w:rPr>
            </w:pPr>
            <w:r>
              <w:rPr>
                <w:sz w:val="21"/>
                <w:szCs w:val="21"/>
              </w:rPr>
              <w:t>现场查阅材料</w:t>
            </w:r>
          </w:p>
        </w:tc>
        <w:tc>
          <w:tcPr>
            <w:tcW w:w="2043" w:type="pct"/>
            <w:noWrap w:val="0"/>
            <w:vAlign w:val="center"/>
          </w:tcPr>
          <w:p w14:paraId="3D8837EA">
            <w:pPr>
              <w:pStyle w:val="27"/>
              <w:bidi w:val="0"/>
              <w:jc w:val="both"/>
              <w:rPr>
                <w:sz w:val="21"/>
                <w:szCs w:val="21"/>
              </w:rPr>
            </w:pPr>
            <w:r>
              <w:rPr>
                <w:rFonts w:hint="eastAsia"/>
                <w:sz w:val="21"/>
                <w:szCs w:val="21"/>
                <w:lang w:val="en-US" w:eastAsia="zh-CN"/>
              </w:rPr>
              <w:t>该项目进行了30天试生产运行，在试生产运行期间，企业根据试生产的实际情况，进行了自查，并编制了自查及试运行报告。</w:t>
            </w:r>
          </w:p>
        </w:tc>
        <w:tc>
          <w:tcPr>
            <w:tcW w:w="454" w:type="pct"/>
            <w:noWrap w:val="0"/>
            <w:vAlign w:val="center"/>
          </w:tcPr>
          <w:p w14:paraId="1562CD74">
            <w:pPr>
              <w:pStyle w:val="27"/>
              <w:bidi w:val="0"/>
              <w:rPr>
                <w:sz w:val="21"/>
                <w:szCs w:val="21"/>
              </w:rPr>
            </w:pPr>
            <w:r>
              <w:rPr>
                <w:sz w:val="21"/>
                <w:szCs w:val="21"/>
              </w:rPr>
              <w:t>符合</w:t>
            </w:r>
          </w:p>
        </w:tc>
      </w:tr>
    </w:tbl>
    <w:p w14:paraId="77161A06">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评价单元小结：</w:t>
      </w:r>
    </w:p>
    <w:p w14:paraId="359FB871">
      <w:pPr>
        <w:pStyle w:val="18"/>
        <w:bidi w:val="0"/>
      </w:pPr>
      <w:r>
        <w:rPr>
          <w:rFonts w:hint="eastAsia"/>
          <w:lang w:eastAsia="zh-CN"/>
        </w:rPr>
        <w:t>该项目具有合法资质、核准批复文件、《初步设计》、《安全设施设计》、《竣工报告》及《监理报告》，项目完工及试运行情况良好，编制单位合法合规。通过对该项目的建设程序符合性进行检查，该项目的建设程序符合国家有关法律、法规、标准和规范的规定和要求。</w:t>
      </w:r>
    </w:p>
    <w:p w14:paraId="48666A8B">
      <w:pPr>
        <w:pStyle w:val="24"/>
        <w:bidi w:val="0"/>
        <w:ind w:left="0" w:leftChars="0" w:firstLine="0" w:firstLineChars="0"/>
        <w:rPr>
          <w:rFonts w:hint="eastAsia"/>
          <w:lang w:val="en-US" w:eastAsia="zh-CN"/>
        </w:rPr>
      </w:pPr>
      <w:bookmarkStart w:id="13" w:name="_Toc22600"/>
      <w:bookmarkStart w:id="14" w:name="_Toc28909"/>
      <w:bookmarkStart w:id="15" w:name="_Toc30522"/>
      <w:bookmarkStart w:id="16" w:name="_Toc12955"/>
      <w:bookmarkStart w:id="17" w:name="_Toc20958"/>
      <w:bookmarkStart w:id="18" w:name="_Toc5147"/>
      <w:bookmarkStart w:id="19" w:name="_Toc26699"/>
      <w:bookmarkStart w:id="20" w:name="_Toc25840"/>
      <w:bookmarkStart w:id="21" w:name="_Toc607"/>
      <w:bookmarkStart w:id="22" w:name="_Toc27286"/>
      <w:bookmarkStart w:id="23" w:name="_Toc26503"/>
      <w:bookmarkStart w:id="24" w:name="_Toc26624"/>
      <w:bookmarkStart w:id="25" w:name="_Toc28257"/>
      <w:bookmarkStart w:id="26" w:name="_Toc28988"/>
      <w:bookmarkStart w:id="27" w:name="_Toc23918"/>
      <w:bookmarkStart w:id="28" w:name="_Toc13446"/>
      <w:bookmarkStart w:id="29" w:name="_Toc32201"/>
      <w:bookmarkStart w:id="30" w:name="_Toc3431"/>
      <w:bookmarkStart w:id="31" w:name="_Toc2038"/>
      <w:bookmarkStart w:id="32" w:name="_Toc4591"/>
      <w:r>
        <w:t>露天采场</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r>
        <w:rPr>
          <w:rFonts w:hint="eastAsia"/>
          <w:lang w:val="en-US" w:eastAsia="zh-CN"/>
        </w:rPr>
        <w:t>单元</w:t>
      </w:r>
      <w:bookmarkEnd w:id="32"/>
    </w:p>
    <w:p w14:paraId="62757177">
      <w:pPr>
        <w:pStyle w:val="18"/>
        <w:bidi w:val="0"/>
        <w:rPr>
          <w:rFonts w:hint="eastAsia"/>
          <w:lang w:val="en-US" w:eastAsia="zh-CN"/>
        </w:rPr>
      </w:pPr>
      <w:r>
        <w:rPr>
          <w:rFonts w:hint="eastAsia"/>
          <w:lang w:val="en-US" w:eastAsia="zh-CN"/>
        </w:rPr>
        <w:t>根据《金属非金属矿山建设项目安全设施目录（试行）》（国家安全监管总局令第75号）和金属非金属露天矿山建设项目安全设施竣工验收表，评价组采用检查表法，对该矿山露天采场进行符合性检查、评价（见表3.2-1）。</w:t>
      </w:r>
    </w:p>
    <w:p w14:paraId="2BAEFFE0">
      <w:pPr>
        <w:pStyle w:val="26"/>
        <w:bidi w:val="0"/>
      </w:pPr>
      <w:r>
        <w:t>表3</w:t>
      </w:r>
      <w:r>
        <w:rPr>
          <w:rFonts w:hint="eastAsia"/>
          <w:lang w:val="en-US" w:eastAsia="zh-CN"/>
        </w:rPr>
        <w:t>.</w:t>
      </w:r>
      <w:r>
        <w:t>2-1露天采场符合性检查表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7"/>
        <w:gridCol w:w="1752"/>
        <w:gridCol w:w="1790"/>
        <w:gridCol w:w="1169"/>
        <w:gridCol w:w="2269"/>
        <w:gridCol w:w="1002"/>
      </w:tblGrid>
      <w:tr w14:paraId="53FB2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blHeader/>
          <w:jc w:val="center"/>
        </w:trPr>
        <w:tc>
          <w:tcPr>
            <w:tcW w:w="315" w:type="pct"/>
            <w:noWrap w:val="0"/>
            <w:vAlign w:val="center"/>
          </w:tcPr>
          <w:p w14:paraId="53451339">
            <w:pPr>
              <w:pStyle w:val="27"/>
              <w:bidi w:val="0"/>
              <w:rPr>
                <w:b/>
                <w:bCs/>
                <w:sz w:val="21"/>
                <w:szCs w:val="21"/>
              </w:rPr>
            </w:pPr>
            <w:r>
              <w:rPr>
                <w:b/>
                <w:bCs/>
                <w:sz w:val="21"/>
                <w:szCs w:val="21"/>
              </w:rPr>
              <w:t>序号</w:t>
            </w:r>
          </w:p>
        </w:tc>
        <w:tc>
          <w:tcPr>
            <w:tcW w:w="1028" w:type="pct"/>
            <w:noWrap w:val="0"/>
            <w:vAlign w:val="center"/>
          </w:tcPr>
          <w:p w14:paraId="5BEE2ECE">
            <w:pPr>
              <w:pStyle w:val="27"/>
              <w:bidi w:val="0"/>
              <w:rPr>
                <w:b/>
                <w:bCs/>
                <w:sz w:val="21"/>
                <w:szCs w:val="21"/>
              </w:rPr>
            </w:pPr>
            <w:r>
              <w:rPr>
                <w:b/>
                <w:bCs/>
                <w:sz w:val="21"/>
                <w:szCs w:val="21"/>
              </w:rPr>
              <w:t>检查内容</w:t>
            </w:r>
          </w:p>
        </w:tc>
        <w:tc>
          <w:tcPr>
            <w:tcW w:w="1050" w:type="pct"/>
            <w:noWrap w:val="0"/>
            <w:vAlign w:val="center"/>
          </w:tcPr>
          <w:p w14:paraId="33480533">
            <w:pPr>
              <w:pStyle w:val="27"/>
              <w:bidi w:val="0"/>
              <w:rPr>
                <w:b/>
                <w:bCs/>
                <w:sz w:val="21"/>
                <w:szCs w:val="21"/>
              </w:rPr>
            </w:pPr>
            <w:r>
              <w:rPr>
                <w:b/>
                <w:bCs/>
                <w:sz w:val="21"/>
                <w:szCs w:val="21"/>
              </w:rPr>
              <w:t>检查依据</w:t>
            </w:r>
          </w:p>
        </w:tc>
        <w:tc>
          <w:tcPr>
            <w:tcW w:w="686" w:type="pct"/>
            <w:noWrap w:val="0"/>
            <w:vAlign w:val="center"/>
          </w:tcPr>
          <w:p w14:paraId="75938B05">
            <w:pPr>
              <w:pStyle w:val="27"/>
              <w:bidi w:val="0"/>
              <w:rPr>
                <w:b/>
                <w:bCs/>
                <w:sz w:val="21"/>
                <w:szCs w:val="21"/>
              </w:rPr>
            </w:pPr>
            <w:r>
              <w:rPr>
                <w:b/>
                <w:bCs/>
                <w:sz w:val="21"/>
                <w:szCs w:val="21"/>
              </w:rPr>
              <w:t>检查方法</w:t>
            </w:r>
          </w:p>
        </w:tc>
        <w:tc>
          <w:tcPr>
            <w:tcW w:w="1331" w:type="pct"/>
            <w:noWrap w:val="0"/>
            <w:vAlign w:val="center"/>
          </w:tcPr>
          <w:p w14:paraId="486EB6CE">
            <w:pPr>
              <w:pStyle w:val="27"/>
              <w:bidi w:val="0"/>
              <w:rPr>
                <w:b/>
                <w:bCs/>
                <w:sz w:val="21"/>
                <w:szCs w:val="21"/>
              </w:rPr>
            </w:pPr>
            <w:r>
              <w:rPr>
                <w:b/>
                <w:bCs/>
                <w:sz w:val="21"/>
                <w:szCs w:val="21"/>
              </w:rPr>
              <w:t>检查情况</w:t>
            </w:r>
          </w:p>
        </w:tc>
        <w:tc>
          <w:tcPr>
            <w:tcW w:w="588" w:type="pct"/>
            <w:noWrap w:val="0"/>
            <w:vAlign w:val="center"/>
          </w:tcPr>
          <w:p w14:paraId="336C5B9C">
            <w:pPr>
              <w:pStyle w:val="27"/>
              <w:bidi w:val="0"/>
              <w:rPr>
                <w:b/>
                <w:bCs/>
                <w:sz w:val="21"/>
                <w:szCs w:val="21"/>
              </w:rPr>
            </w:pPr>
            <w:r>
              <w:rPr>
                <w:b/>
                <w:bCs/>
                <w:sz w:val="21"/>
                <w:szCs w:val="21"/>
              </w:rPr>
              <w:t>检查</w:t>
            </w:r>
          </w:p>
          <w:p w14:paraId="7A249033">
            <w:pPr>
              <w:pStyle w:val="27"/>
              <w:bidi w:val="0"/>
              <w:rPr>
                <w:b/>
                <w:bCs/>
                <w:sz w:val="21"/>
                <w:szCs w:val="21"/>
              </w:rPr>
            </w:pPr>
            <w:r>
              <w:rPr>
                <w:b/>
                <w:bCs/>
                <w:sz w:val="21"/>
                <w:szCs w:val="21"/>
              </w:rPr>
              <w:t>结果</w:t>
            </w:r>
          </w:p>
        </w:tc>
      </w:tr>
      <w:tr w14:paraId="6C222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5" w:type="pct"/>
            <w:noWrap w:val="0"/>
            <w:vAlign w:val="center"/>
          </w:tcPr>
          <w:p w14:paraId="69E426C3">
            <w:pPr>
              <w:pStyle w:val="27"/>
              <w:bidi w:val="0"/>
              <w:rPr>
                <w:sz w:val="21"/>
                <w:szCs w:val="21"/>
              </w:rPr>
            </w:pPr>
            <w:r>
              <w:rPr>
                <w:sz w:val="21"/>
                <w:szCs w:val="21"/>
              </w:rPr>
              <w:t>1</w:t>
            </w:r>
          </w:p>
        </w:tc>
        <w:tc>
          <w:tcPr>
            <w:tcW w:w="1028" w:type="pct"/>
            <w:noWrap w:val="0"/>
            <w:vAlign w:val="center"/>
          </w:tcPr>
          <w:p w14:paraId="04B6CEF3">
            <w:pPr>
              <w:pStyle w:val="27"/>
              <w:bidi w:val="0"/>
              <w:rPr>
                <w:sz w:val="21"/>
                <w:szCs w:val="21"/>
              </w:rPr>
            </w:pPr>
            <w:r>
              <w:rPr>
                <w:sz w:val="21"/>
                <w:szCs w:val="21"/>
              </w:rPr>
              <w:t>安全平台宽度为</w:t>
            </w:r>
            <w:r>
              <w:rPr>
                <w:rFonts w:hint="eastAsia"/>
                <w:sz w:val="21"/>
                <w:szCs w:val="21"/>
                <w:lang w:val="en-US" w:eastAsia="zh-CN"/>
              </w:rPr>
              <w:t>6</w:t>
            </w:r>
            <w:r>
              <w:rPr>
                <w:sz w:val="21"/>
                <w:szCs w:val="21"/>
              </w:rPr>
              <w:t>m。</w:t>
            </w:r>
          </w:p>
        </w:tc>
        <w:tc>
          <w:tcPr>
            <w:tcW w:w="1050" w:type="pct"/>
            <w:noWrap w:val="0"/>
            <w:vAlign w:val="center"/>
          </w:tcPr>
          <w:p w14:paraId="327FE4E1">
            <w:pPr>
              <w:pStyle w:val="27"/>
              <w:bidi w:val="0"/>
              <w:rPr>
                <w:sz w:val="21"/>
                <w:szCs w:val="21"/>
              </w:rPr>
            </w:pPr>
            <w:r>
              <w:rPr>
                <w:sz w:val="21"/>
                <w:szCs w:val="21"/>
              </w:rPr>
              <w:t>《</w:t>
            </w:r>
            <w:r>
              <w:rPr>
                <w:rFonts w:hint="eastAsia"/>
                <w:sz w:val="21"/>
                <w:szCs w:val="21"/>
              </w:rPr>
              <w:t>安全设施设计</w:t>
            </w:r>
            <w:r>
              <w:rPr>
                <w:sz w:val="21"/>
                <w:szCs w:val="21"/>
              </w:rPr>
              <w:t>》</w:t>
            </w:r>
          </w:p>
        </w:tc>
        <w:tc>
          <w:tcPr>
            <w:tcW w:w="686" w:type="pct"/>
            <w:noWrap w:val="0"/>
            <w:vAlign w:val="center"/>
          </w:tcPr>
          <w:p w14:paraId="0E8FA1C4">
            <w:pPr>
              <w:pStyle w:val="27"/>
              <w:bidi w:val="0"/>
              <w:rPr>
                <w:sz w:val="21"/>
                <w:szCs w:val="21"/>
              </w:rPr>
            </w:pPr>
            <w:r>
              <w:rPr>
                <w:sz w:val="21"/>
                <w:szCs w:val="21"/>
              </w:rPr>
              <w:t>现场检查</w:t>
            </w:r>
          </w:p>
        </w:tc>
        <w:tc>
          <w:tcPr>
            <w:tcW w:w="1331" w:type="pct"/>
            <w:noWrap w:val="0"/>
            <w:vAlign w:val="center"/>
          </w:tcPr>
          <w:p w14:paraId="46B6F9C6">
            <w:pPr>
              <w:pStyle w:val="27"/>
              <w:bidi w:val="0"/>
              <w:rPr>
                <w:rFonts w:hint="default"/>
                <w:sz w:val="21"/>
                <w:szCs w:val="21"/>
                <w:lang w:val="en-US" w:eastAsia="zh-CN"/>
              </w:rPr>
            </w:pPr>
            <w:r>
              <w:rPr>
                <w:rFonts w:hint="eastAsia"/>
                <w:sz w:val="21"/>
                <w:szCs w:val="21"/>
                <w:lang w:val="en-US" w:eastAsia="zh-CN"/>
              </w:rPr>
              <w:t>安全平台宽度6m</w:t>
            </w:r>
          </w:p>
        </w:tc>
        <w:tc>
          <w:tcPr>
            <w:tcW w:w="588" w:type="pct"/>
            <w:noWrap w:val="0"/>
            <w:vAlign w:val="center"/>
          </w:tcPr>
          <w:p w14:paraId="5C3ABD64">
            <w:pPr>
              <w:pStyle w:val="27"/>
              <w:bidi w:val="0"/>
              <w:rPr>
                <w:sz w:val="21"/>
                <w:szCs w:val="21"/>
              </w:rPr>
            </w:pPr>
            <w:r>
              <w:rPr>
                <w:sz w:val="21"/>
                <w:szCs w:val="21"/>
              </w:rPr>
              <w:t>符合</w:t>
            </w:r>
          </w:p>
        </w:tc>
      </w:tr>
      <w:tr w14:paraId="7E70F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15" w:type="pct"/>
            <w:noWrap w:val="0"/>
            <w:vAlign w:val="center"/>
          </w:tcPr>
          <w:p w14:paraId="0AA9EBA0">
            <w:pPr>
              <w:pStyle w:val="27"/>
              <w:bidi w:val="0"/>
              <w:rPr>
                <w:sz w:val="21"/>
                <w:szCs w:val="21"/>
              </w:rPr>
            </w:pPr>
            <w:r>
              <w:rPr>
                <w:sz w:val="21"/>
                <w:szCs w:val="21"/>
              </w:rPr>
              <w:t>2</w:t>
            </w:r>
          </w:p>
        </w:tc>
        <w:tc>
          <w:tcPr>
            <w:tcW w:w="1028" w:type="pct"/>
            <w:noWrap w:val="0"/>
            <w:vAlign w:val="center"/>
          </w:tcPr>
          <w:p w14:paraId="3761321B">
            <w:pPr>
              <w:pStyle w:val="27"/>
              <w:bidi w:val="0"/>
              <w:rPr>
                <w:sz w:val="21"/>
                <w:szCs w:val="21"/>
              </w:rPr>
            </w:pPr>
            <w:r>
              <w:rPr>
                <w:sz w:val="21"/>
                <w:szCs w:val="21"/>
              </w:rPr>
              <w:t>清扫平台宽度为</w:t>
            </w:r>
            <w:r>
              <w:rPr>
                <w:rFonts w:hint="eastAsia"/>
                <w:sz w:val="21"/>
                <w:szCs w:val="21"/>
                <w:lang w:val="en-US" w:eastAsia="zh-CN"/>
              </w:rPr>
              <w:t>8</w:t>
            </w:r>
            <w:r>
              <w:rPr>
                <w:sz w:val="21"/>
                <w:szCs w:val="21"/>
              </w:rPr>
              <w:t>m</w:t>
            </w:r>
            <w:r>
              <w:rPr>
                <w:rFonts w:hint="eastAsia"/>
                <w:sz w:val="21"/>
                <w:szCs w:val="21"/>
              </w:rPr>
              <w:t>。</w:t>
            </w:r>
          </w:p>
        </w:tc>
        <w:tc>
          <w:tcPr>
            <w:tcW w:w="1050" w:type="pct"/>
            <w:noWrap w:val="0"/>
            <w:vAlign w:val="center"/>
          </w:tcPr>
          <w:p w14:paraId="34476F9A">
            <w:pPr>
              <w:pStyle w:val="27"/>
              <w:bidi w:val="0"/>
              <w:rPr>
                <w:sz w:val="21"/>
                <w:szCs w:val="21"/>
              </w:rPr>
            </w:pPr>
            <w:r>
              <w:rPr>
                <w:sz w:val="21"/>
                <w:szCs w:val="21"/>
              </w:rPr>
              <w:t>《</w:t>
            </w:r>
            <w:r>
              <w:rPr>
                <w:rFonts w:hint="eastAsia"/>
                <w:sz w:val="21"/>
                <w:szCs w:val="21"/>
              </w:rPr>
              <w:t>安全设施设计</w:t>
            </w:r>
            <w:r>
              <w:rPr>
                <w:sz w:val="21"/>
                <w:szCs w:val="21"/>
              </w:rPr>
              <w:t>》</w:t>
            </w:r>
          </w:p>
        </w:tc>
        <w:tc>
          <w:tcPr>
            <w:tcW w:w="686" w:type="pct"/>
            <w:noWrap w:val="0"/>
            <w:vAlign w:val="center"/>
          </w:tcPr>
          <w:p w14:paraId="33814007">
            <w:pPr>
              <w:pStyle w:val="27"/>
              <w:bidi w:val="0"/>
              <w:rPr>
                <w:sz w:val="21"/>
                <w:szCs w:val="21"/>
              </w:rPr>
            </w:pPr>
            <w:r>
              <w:rPr>
                <w:sz w:val="21"/>
                <w:szCs w:val="21"/>
              </w:rPr>
              <w:t>现场检查</w:t>
            </w:r>
          </w:p>
        </w:tc>
        <w:tc>
          <w:tcPr>
            <w:tcW w:w="1331" w:type="pct"/>
            <w:noWrap w:val="0"/>
            <w:vAlign w:val="center"/>
          </w:tcPr>
          <w:p w14:paraId="5A1AB92A">
            <w:pPr>
              <w:pStyle w:val="27"/>
              <w:bidi w:val="0"/>
              <w:rPr>
                <w:rFonts w:hint="default"/>
                <w:sz w:val="21"/>
                <w:szCs w:val="21"/>
                <w:lang w:val="en-US" w:eastAsia="zh-CN"/>
              </w:rPr>
            </w:pPr>
            <w:r>
              <w:rPr>
                <w:rFonts w:hint="eastAsia"/>
                <w:sz w:val="21"/>
                <w:szCs w:val="21"/>
                <w:lang w:val="en-US" w:eastAsia="zh-CN"/>
              </w:rPr>
              <w:t>清扫平台宽度8m</w:t>
            </w:r>
          </w:p>
        </w:tc>
        <w:tc>
          <w:tcPr>
            <w:tcW w:w="588" w:type="pct"/>
            <w:noWrap w:val="0"/>
            <w:vAlign w:val="center"/>
          </w:tcPr>
          <w:p w14:paraId="3208C63B">
            <w:pPr>
              <w:pStyle w:val="27"/>
              <w:bidi w:val="0"/>
              <w:rPr>
                <w:sz w:val="21"/>
                <w:szCs w:val="21"/>
              </w:rPr>
            </w:pPr>
            <w:r>
              <w:rPr>
                <w:sz w:val="21"/>
                <w:szCs w:val="21"/>
              </w:rPr>
              <w:t>符合</w:t>
            </w:r>
          </w:p>
        </w:tc>
      </w:tr>
      <w:tr w14:paraId="6AD90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15" w:type="pct"/>
            <w:noWrap w:val="0"/>
            <w:vAlign w:val="center"/>
          </w:tcPr>
          <w:p w14:paraId="3581028C">
            <w:pPr>
              <w:pStyle w:val="27"/>
              <w:bidi w:val="0"/>
              <w:rPr>
                <w:rFonts w:hint="eastAsia"/>
                <w:sz w:val="21"/>
                <w:szCs w:val="21"/>
              </w:rPr>
            </w:pPr>
            <w:r>
              <w:rPr>
                <w:rFonts w:hint="eastAsia"/>
                <w:sz w:val="21"/>
                <w:szCs w:val="21"/>
              </w:rPr>
              <w:t>3</w:t>
            </w:r>
          </w:p>
        </w:tc>
        <w:tc>
          <w:tcPr>
            <w:tcW w:w="1028" w:type="pct"/>
            <w:noWrap w:val="0"/>
            <w:vAlign w:val="center"/>
          </w:tcPr>
          <w:p w14:paraId="6C62B8AF">
            <w:pPr>
              <w:pStyle w:val="27"/>
              <w:bidi w:val="0"/>
              <w:rPr>
                <w:sz w:val="21"/>
                <w:szCs w:val="21"/>
              </w:rPr>
            </w:pPr>
            <w:r>
              <w:rPr>
                <w:rFonts w:hint="eastAsia"/>
                <w:sz w:val="21"/>
                <w:szCs w:val="21"/>
                <w:lang w:val="en-US" w:eastAsia="zh-CN"/>
              </w:rPr>
              <w:t>工作台阶高10m，并段后20</w:t>
            </w:r>
            <w:r>
              <w:rPr>
                <w:sz w:val="21"/>
                <w:szCs w:val="21"/>
              </w:rPr>
              <w:t>m。</w:t>
            </w:r>
          </w:p>
        </w:tc>
        <w:tc>
          <w:tcPr>
            <w:tcW w:w="1050" w:type="pct"/>
            <w:noWrap w:val="0"/>
            <w:vAlign w:val="center"/>
          </w:tcPr>
          <w:p w14:paraId="1B3D1C3D">
            <w:pPr>
              <w:pStyle w:val="27"/>
              <w:bidi w:val="0"/>
              <w:rPr>
                <w:sz w:val="21"/>
                <w:szCs w:val="21"/>
              </w:rPr>
            </w:pPr>
            <w:r>
              <w:rPr>
                <w:sz w:val="21"/>
                <w:szCs w:val="21"/>
              </w:rPr>
              <w:t>《</w:t>
            </w:r>
            <w:r>
              <w:rPr>
                <w:rFonts w:hint="eastAsia"/>
                <w:sz w:val="21"/>
                <w:szCs w:val="21"/>
              </w:rPr>
              <w:t>安全设施设计</w:t>
            </w:r>
            <w:r>
              <w:rPr>
                <w:sz w:val="21"/>
                <w:szCs w:val="21"/>
              </w:rPr>
              <w:t>》</w:t>
            </w:r>
          </w:p>
        </w:tc>
        <w:tc>
          <w:tcPr>
            <w:tcW w:w="686" w:type="pct"/>
            <w:noWrap w:val="0"/>
            <w:vAlign w:val="center"/>
          </w:tcPr>
          <w:p w14:paraId="553D169C">
            <w:pPr>
              <w:pStyle w:val="27"/>
              <w:bidi w:val="0"/>
              <w:rPr>
                <w:sz w:val="21"/>
                <w:szCs w:val="21"/>
              </w:rPr>
            </w:pPr>
            <w:r>
              <w:rPr>
                <w:sz w:val="21"/>
                <w:szCs w:val="21"/>
              </w:rPr>
              <w:t>现场检查</w:t>
            </w:r>
          </w:p>
        </w:tc>
        <w:tc>
          <w:tcPr>
            <w:tcW w:w="1331" w:type="pct"/>
            <w:noWrap w:val="0"/>
            <w:vAlign w:val="center"/>
          </w:tcPr>
          <w:p w14:paraId="116B2B1B">
            <w:pPr>
              <w:pStyle w:val="27"/>
              <w:bidi w:val="0"/>
              <w:rPr>
                <w:sz w:val="21"/>
                <w:szCs w:val="21"/>
              </w:rPr>
            </w:pPr>
            <w:r>
              <w:rPr>
                <w:rFonts w:hint="eastAsia"/>
                <w:sz w:val="21"/>
                <w:szCs w:val="21"/>
                <w:lang w:val="en-US" w:eastAsia="zh-CN"/>
              </w:rPr>
              <w:t>+100m工作台阶高10m</w:t>
            </w:r>
          </w:p>
        </w:tc>
        <w:tc>
          <w:tcPr>
            <w:tcW w:w="588" w:type="pct"/>
            <w:noWrap w:val="0"/>
            <w:vAlign w:val="center"/>
          </w:tcPr>
          <w:p w14:paraId="1B29058E">
            <w:pPr>
              <w:pStyle w:val="27"/>
              <w:bidi w:val="0"/>
              <w:rPr>
                <w:sz w:val="21"/>
                <w:szCs w:val="21"/>
              </w:rPr>
            </w:pPr>
            <w:r>
              <w:rPr>
                <w:sz w:val="21"/>
                <w:szCs w:val="21"/>
              </w:rPr>
              <w:t>符合</w:t>
            </w:r>
          </w:p>
        </w:tc>
      </w:tr>
      <w:tr w14:paraId="4D108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15" w:type="pct"/>
            <w:noWrap w:val="0"/>
            <w:vAlign w:val="center"/>
          </w:tcPr>
          <w:p w14:paraId="1DC05F76">
            <w:pPr>
              <w:pStyle w:val="27"/>
              <w:bidi w:val="0"/>
              <w:rPr>
                <w:rFonts w:hint="eastAsia"/>
                <w:sz w:val="21"/>
                <w:szCs w:val="21"/>
              </w:rPr>
            </w:pPr>
            <w:r>
              <w:rPr>
                <w:rFonts w:hint="eastAsia"/>
                <w:sz w:val="21"/>
                <w:szCs w:val="21"/>
              </w:rPr>
              <w:t>4</w:t>
            </w:r>
          </w:p>
        </w:tc>
        <w:tc>
          <w:tcPr>
            <w:tcW w:w="1028" w:type="pct"/>
            <w:noWrap w:val="0"/>
            <w:vAlign w:val="center"/>
          </w:tcPr>
          <w:p w14:paraId="274D3161">
            <w:pPr>
              <w:pStyle w:val="27"/>
              <w:bidi w:val="0"/>
              <w:rPr>
                <w:rFonts w:hint="eastAsia"/>
                <w:sz w:val="21"/>
                <w:szCs w:val="21"/>
              </w:rPr>
            </w:pPr>
            <w:r>
              <w:rPr>
                <w:rFonts w:hint="eastAsia"/>
                <w:sz w:val="21"/>
                <w:szCs w:val="21"/>
                <w:lang w:eastAsia="zh-CN"/>
              </w:rPr>
              <w:t>最小工作平台宽度为</w:t>
            </w:r>
            <w:r>
              <w:rPr>
                <w:rFonts w:hint="eastAsia"/>
                <w:sz w:val="21"/>
                <w:szCs w:val="21"/>
                <w:lang w:val="en-US" w:eastAsia="zh-CN"/>
              </w:rPr>
              <w:t>3</w:t>
            </w:r>
            <w:r>
              <w:rPr>
                <w:rFonts w:hint="eastAsia"/>
                <w:sz w:val="21"/>
                <w:szCs w:val="21"/>
              </w:rPr>
              <w:t>0</w:t>
            </w:r>
            <w:r>
              <w:rPr>
                <w:sz w:val="21"/>
                <w:szCs w:val="21"/>
              </w:rPr>
              <w:t>m。</w:t>
            </w:r>
          </w:p>
        </w:tc>
        <w:tc>
          <w:tcPr>
            <w:tcW w:w="1050" w:type="pct"/>
            <w:noWrap w:val="0"/>
            <w:vAlign w:val="center"/>
          </w:tcPr>
          <w:p w14:paraId="34513E4E">
            <w:pPr>
              <w:pStyle w:val="27"/>
              <w:bidi w:val="0"/>
              <w:rPr>
                <w:sz w:val="21"/>
                <w:szCs w:val="21"/>
              </w:rPr>
            </w:pPr>
            <w:r>
              <w:rPr>
                <w:sz w:val="21"/>
                <w:szCs w:val="21"/>
              </w:rPr>
              <w:t>《</w:t>
            </w:r>
            <w:r>
              <w:rPr>
                <w:rFonts w:hint="eastAsia"/>
                <w:sz w:val="21"/>
                <w:szCs w:val="21"/>
              </w:rPr>
              <w:t>安全设施设计</w:t>
            </w:r>
            <w:r>
              <w:rPr>
                <w:sz w:val="21"/>
                <w:szCs w:val="21"/>
              </w:rPr>
              <w:t>》</w:t>
            </w:r>
          </w:p>
        </w:tc>
        <w:tc>
          <w:tcPr>
            <w:tcW w:w="686" w:type="pct"/>
            <w:noWrap w:val="0"/>
            <w:vAlign w:val="center"/>
          </w:tcPr>
          <w:p w14:paraId="6D7C5071">
            <w:pPr>
              <w:pStyle w:val="27"/>
              <w:bidi w:val="0"/>
              <w:rPr>
                <w:sz w:val="21"/>
                <w:szCs w:val="21"/>
              </w:rPr>
            </w:pPr>
            <w:r>
              <w:rPr>
                <w:sz w:val="21"/>
                <w:szCs w:val="21"/>
              </w:rPr>
              <w:t>现场检查</w:t>
            </w:r>
          </w:p>
        </w:tc>
        <w:tc>
          <w:tcPr>
            <w:tcW w:w="1331" w:type="pct"/>
            <w:noWrap w:val="0"/>
            <w:vAlign w:val="center"/>
          </w:tcPr>
          <w:p w14:paraId="467E1814">
            <w:pPr>
              <w:pStyle w:val="27"/>
              <w:bidi w:val="0"/>
              <w:rPr>
                <w:rFonts w:hint="default"/>
                <w:sz w:val="21"/>
                <w:szCs w:val="21"/>
                <w:lang w:val="en-US" w:eastAsia="zh-CN"/>
              </w:rPr>
            </w:pPr>
            <w:r>
              <w:rPr>
                <w:rFonts w:hint="eastAsia"/>
                <w:sz w:val="21"/>
                <w:szCs w:val="21"/>
                <w:lang w:val="en-US" w:eastAsia="zh-CN"/>
              </w:rPr>
              <w:t>+80</w:t>
            </w:r>
            <w:r>
              <w:rPr>
                <w:rFonts w:hint="eastAsia"/>
                <w:sz w:val="21"/>
                <w:szCs w:val="21"/>
              </w:rPr>
              <w:t>m</w:t>
            </w:r>
            <w:r>
              <w:rPr>
                <w:rFonts w:hint="eastAsia"/>
                <w:sz w:val="21"/>
                <w:szCs w:val="21"/>
                <w:lang w:val="en-US" w:eastAsia="zh-CN"/>
              </w:rPr>
              <w:t>水平形成</w:t>
            </w:r>
            <w:r>
              <w:rPr>
                <w:rFonts w:hint="eastAsia"/>
                <w:sz w:val="21"/>
                <w:szCs w:val="21"/>
              </w:rPr>
              <w:t>工作平台宽度</w:t>
            </w:r>
            <w:r>
              <w:rPr>
                <w:rFonts w:hint="eastAsia"/>
                <w:sz w:val="21"/>
                <w:szCs w:val="21"/>
                <w:lang w:val="en-US" w:eastAsia="zh-CN"/>
              </w:rPr>
              <w:t>大于30</w:t>
            </w:r>
            <w:r>
              <w:rPr>
                <w:rFonts w:hint="eastAsia"/>
                <w:sz w:val="21"/>
                <w:szCs w:val="21"/>
              </w:rPr>
              <w:t>m</w:t>
            </w:r>
          </w:p>
        </w:tc>
        <w:tc>
          <w:tcPr>
            <w:tcW w:w="588" w:type="pct"/>
            <w:noWrap w:val="0"/>
            <w:vAlign w:val="center"/>
          </w:tcPr>
          <w:p w14:paraId="4F59B560">
            <w:pPr>
              <w:pStyle w:val="27"/>
              <w:bidi w:val="0"/>
              <w:rPr>
                <w:sz w:val="21"/>
                <w:szCs w:val="21"/>
              </w:rPr>
            </w:pPr>
            <w:r>
              <w:rPr>
                <w:sz w:val="21"/>
                <w:szCs w:val="21"/>
              </w:rPr>
              <w:t>符合</w:t>
            </w:r>
          </w:p>
        </w:tc>
      </w:tr>
      <w:tr w14:paraId="39CD6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15" w:type="pct"/>
            <w:noWrap w:val="0"/>
            <w:vAlign w:val="center"/>
          </w:tcPr>
          <w:p w14:paraId="5670DACC">
            <w:pPr>
              <w:pStyle w:val="27"/>
              <w:bidi w:val="0"/>
              <w:rPr>
                <w:rFonts w:hint="eastAsia"/>
                <w:sz w:val="21"/>
                <w:szCs w:val="21"/>
              </w:rPr>
            </w:pPr>
            <w:r>
              <w:rPr>
                <w:rFonts w:hint="eastAsia"/>
                <w:sz w:val="21"/>
                <w:szCs w:val="21"/>
              </w:rPr>
              <w:t>5</w:t>
            </w:r>
          </w:p>
        </w:tc>
        <w:tc>
          <w:tcPr>
            <w:tcW w:w="1028" w:type="pct"/>
            <w:noWrap w:val="0"/>
            <w:vAlign w:val="center"/>
          </w:tcPr>
          <w:p w14:paraId="145CD73D">
            <w:pPr>
              <w:pStyle w:val="27"/>
              <w:bidi w:val="0"/>
              <w:rPr>
                <w:sz w:val="21"/>
                <w:szCs w:val="21"/>
              </w:rPr>
            </w:pPr>
            <w:r>
              <w:rPr>
                <w:sz w:val="21"/>
                <w:szCs w:val="21"/>
              </w:rPr>
              <w:t>台阶</w:t>
            </w:r>
            <w:r>
              <w:rPr>
                <w:rFonts w:hint="eastAsia"/>
                <w:sz w:val="21"/>
                <w:szCs w:val="21"/>
                <w:lang w:val="en-US" w:eastAsia="zh-CN"/>
              </w:rPr>
              <w:t>坡面</w:t>
            </w:r>
            <w:r>
              <w:rPr>
                <w:sz w:val="21"/>
                <w:szCs w:val="21"/>
              </w:rPr>
              <w:t>角为</w:t>
            </w:r>
            <w:r>
              <w:rPr>
                <w:rFonts w:hint="eastAsia"/>
                <w:sz w:val="21"/>
                <w:szCs w:val="21"/>
                <w:lang w:val="en-US" w:eastAsia="zh-CN"/>
              </w:rPr>
              <w:t>65</w:t>
            </w:r>
            <w:r>
              <w:rPr>
                <w:sz w:val="21"/>
                <w:szCs w:val="21"/>
              </w:rPr>
              <w:t>°。</w:t>
            </w:r>
          </w:p>
        </w:tc>
        <w:tc>
          <w:tcPr>
            <w:tcW w:w="1050" w:type="pct"/>
            <w:noWrap w:val="0"/>
            <w:vAlign w:val="center"/>
          </w:tcPr>
          <w:p w14:paraId="2B00E8F8">
            <w:pPr>
              <w:pStyle w:val="27"/>
              <w:bidi w:val="0"/>
              <w:rPr>
                <w:sz w:val="21"/>
                <w:szCs w:val="21"/>
              </w:rPr>
            </w:pPr>
            <w:r>
              <w:rPr>
                <w:sz w:val="21"/>
                <w:szCs w:val="21"/>
              </w:rPr>
              <w:t>《</w:t>
            </w:r>
            <w:r>
              <w:rPr>
                <w:rFonts w:hint="eastAsia"/>
                <w:sz w:val="21"/>
                <w:szCs w:val="21"/>
              </w:rPr>
              <w:t>安全设施设计</w:t>
            </w:r>
            <w:r>
              <w:rPr>
                <w:sz w:val="21"/>
                <w:szCs w:val="21"/>
              </w:rPr>
              <w:t>》</w:t>
            </w:r>
          </w:p>
        </w:tc>
        <w:tc>
          <w:tcPr>
            <w:tcW w:w="686" w:type="pct"/>
            <w:noWrap w:val="0"/>
            <w:vAlign w:val="center"/>
          </w:tcPr>
          <w:p w14:paraId="591DBBA8">
            <w:pPr>
              <w:pStyle w:val="27"/>
              <w:bidi w:val="0"/>
              <w:rPr>
                <w:sz w:val="21"/>
                <w:szCs w:val="21"/>
              </w:rPr>
            </w:pPr>
            <w:r>
              <w:rPr>
                <w:sz w:val="21"/>
                <w:szCs w:val="21"/>
              </w:rPr>
              <w:t>现场检查</w:t>
            </w:r>
          </w:p>
        </w:tc>
        <w:tc>
          <w:tcPr>
            <w:tcW w:w="1331" w:type="pct"/>
            <w:noWrap w:val="0"/>
            <w:vAlign w:val="center"/>
          </w:tcPr>
          <w:p w14:paraId="69E5F78B">
            <w:pPr>
              <w:pStyle w:val="27"/>
              <w:bidi w:val="0"/>
              <w:rPr>
                <w:sz w:val="21"/>
                <w:szCs w:val="21"/>
              </w:rPr>
            </w:pPr>
            <w:r>
              <w:rPr>
                <w:rFonts w:hint="eastAsia"/>
                <w:sz w:val="21"/>
                <w:szCs w:val="21"/>
              </w:rPr>
              <w:t>生产台阶坡面角</w:t>
            </w:r>
            <w:r>
              <w:rPr>
                <w:rFonts w:hint="eastAsia"/>
                <w:sz w:val="21"/>
                <w:szCs w:val="21"/>
                <w:lang w:val="en-US" w:eastAsia="zh-CN"/>
              </w:rPr>
              <w:t>65</w:t>
            </w:r>
            <w:r>
              <w:rPr>
                <w:rFonts w:hint="eastAsia"/>
                <w:sz w:val="21"/>
                <w:szCs w:val="21"/>
              </w:rPr>
              <w:t>°</w:t>
            </w:r>
          </w:p>
        </w:tc>
        <w:tc>
          <w:tcPr>
            <w:tcW w:w="588" w:type="pct"/>
            <w:noWrap w:val="0"/>
            <w:vAlign w:val="center"/>
          </w:tcPr>
          <w:p w14:paraId="46FD026B">
            <w:pPr>
              <w:pStyle w:val="27"/>
              <w:bidi w:val="0"/>
              <w:rPr>
                <w:sz w:val="21"/>
                <w:szCs w:val="21"/>
              </w:rPr>
            </w:pPr>
            <w:r>
              <w:rPr>
                <w:sz w:val="21"/>
                <w:szCs w:val="21"/>
              </w:rPr>
              <w:t>符合</w:t>
            </w:r>
          </w:p>
        </w:tc>
      </w:tr>
      <w:tr w14:paraId="27AB1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315" w:type="pct"/>
            <w:noWrap w:val="0"/>
            <w:vAlign w:val="center"/>
          </w:tcPr>
          <w:p w14:paraId="0E4CB6BD">
            <w:pPr>
              <w:pStyle w:val="27"/>
              <w:bidi w:val="0"/>
              <w:rPr>
                <w:rFonts w:hint="eastAsia"/>
                <w:sz w:val="21"/>
                <w:szCs w:val="21"/>
              </w:rPr>
            </w:pPr>
            <w:r>
              <w:rPr>
                <w:rFonts w:hint="eastAsia"/>
                <w:sz w:val="21"/>
                <w:szCs w:val="21"/>
              </w:rPr>
              <w:t>6</w:t>
            </w:r>
          </w:p>
        </w:tc>
        <w:tc>
          <w:tcPr>
            <w:tcW w:w="1028" w:type="pct"/>
            <w:noWrap w:val="0"/>
            <w:vAlign w:val="center"/>
          </w:tcPr>
          <w:p w14:paraId="3B19B30F">
            <w:pPr>
              <w:pStyle w:val="27"/>
              <w:bidi w:val="0"/>
              <w:rPr>
                <w:sz w:val="21"/>
                <w:szCs w:val="21"/>
              </w:rPr>
            </w:pPr>
            <w:r>
              <w:rPr>
                <w:rFonts w:hint="eastAsia"/>
                <w:sz w:val="21"/>
                <w:szCs w:val="21"/>
              </w:rPr>
              <w:t>最终</w:t>
            </w:r>
            <w:r>
              <w:rPr>
                <w:sz w:val="21"/>
                <w:szCs w:val="21"/>
              </w:rPr>
              <w:t>边坡角为</w:t>
            </w:r>
            <w:r>
              <w:rPr>
                <w:rFonts w:hint="eastAsia"/>
                <w:sz w:val="21"/>
                <w:szCs w:val="21"/>
                <w:lang w:val="en-US" w:eastAsia="zh-CN"/>
              </w:rPr>
              <w:t>46-53</w:t>
            </w:r>
            <w:r>
              <w:rPr>
                <w:sz w:val="21"/>
                <w:szCs w:val="21"/>
              </w:rPr>
              <w:t>°。</w:t>
            </w:r>
          </w:p>
        </w:tc>
        <w:tc>
          <w:tcPr>
            <w:tcW w:w="1050" w:type="pct"/>
            <w:noWrap w:val="0"/>
            <w:vAlign w:val="center"/>
          </w:tcPr>
          <w:p w14:paraId="3675415D">
            <w:pPr>
              <w:pStyle w:val="27"/>
              <w:bidi w:val="0"/>
              <w:rPr>
                <w:sz w:val="21"/>
                <w:szCs w:val="21"/>
              </w:rPr>
            </w:pPr>
            <w:r>
              <w:rPr>
                <w:sz w:val="21"/>
                <w:szCs w:val="21"/>
              </w:rPr>
              <w:t>《</w:t>
            </w:r>
            <w:r>
              <w:rPr>
                <w:rFonts w:hint="eastAsia"/>
                <w:sz w:val="21"/>
                <w:szCs w:val="21"/>
              </w:rPr>
              <w:t>安全设施设计</w:t>
            </w:r>
            <w:r>
              <w:rPr>
                <w:sz w:val="21"/>
                <w:szCs w:val="21"/>
              </w:rPr>
              <w:t>》</w:t>
            </w:r>
          </w:p>
        </w:tc>
        <w:tc>
          <w:tcPr>
            <w:tcW w:w="686" w:type="pct"/>
            <w:noWrap w:val="0"/>
            <w:vAlign w:val="center"/>
          </w:tcPr>
          <w:p w14:paraId="6444A5E4">
            <w:pPr>
              <w:pStyle w:val="27"/>
              <w:bidi w:val="0"/>
              <w:rPr>
                <w:sz w:val="21"/>
                <w:szCs w:val="21"/>
              </w:rPr>
            </w:pPr>
            <w:r>
              <w:rPr>
                <w:sz w:val="21"/>
                <w:szCs w:val="21"/>
              </w:rPr>
              <w:t>现场检查</w:t>
            </w:r>
          </w:p>
        </w:tc>
        <w:tc>
          <w:tcPr>
            <w:tcW w:w="1331" w:type="pct"/>
            <w:noWrap w:val="0"/>
            <w:vAlign w:val="center"/>
          </w:tcPr>
          <w:p w14:paraId="1F90C615">
            <w:pPr>
              <w:pStyle w:val="27"/>
              <w:bidi w:val="0"/>
              <w:rPr>
                <w:sz w:val="21"/>
                <w:szCs w:val="21"/>
              </w:rPr>
            </w:pPr>
            <w:r>
              <w:rPr>
                <w:rFonts w:hint="eastAsia"/>
                <w:sz w:val="21"/>
                <w:szCs w:val="21"/>
                <w:lang w:val="en-US" w:eastAsia="zh-CN"/>
              </w:rPr>
              <w:t>阶段</w:t>
            </w:r>
            <w:r>
              <w:rPr>
                <w:sz w:val="21"/>
                <w:szCs w:val="21"/>
              </w:rPr>
              <w:t>边坡角为</w:t>
            </w:r>
            <w:r>
              <w:rPr>
                <w:rFonts w:hint="eastAsia"/>
                <w:sz w:val="21"/>
                <w:szCs w:val="21"/>
                <w:lang w:val="en-US" w:eastAsia="zh-CN"/>
              </w:rPr>
              <w:t>53</w:t>
            </w:r>
            <w:r>
              <w:rPr>
                <w:sz w:val="21"/>
                <w:szCs w:val="21"/>
              </w:rPr>
              <w:t>°</w:t>
            </w:r>
          </w:p>
        </w:tc>
        <w:tc>
          <w:tcPr>
            <w:tcW w:w="588" w:type="pct"/>
            <w:noWrap w:val="0"/>
            <w:vAlign w:val="center"/>
          </w:tcPr>
          <w:p w14:paraId="51716108">
            <w:pPr>
              <w:pStyle w:val="27"/>
              <w:bidi w:val="0"/>
              <w:rPr>
                <w:rFonts w:hint="eastAsia"/>
                <w:sz w:val="21"/>
                <w:szCs w:val="21"/>
                <w:lang w:eastAsia="zh-CN"/>
              </w:rPr>
            </w:pPr>
            <w:r>
              <w:rPr>
                <w:sz w:val="21"/>
                <w:szCs w:val="21"/>
              </w:rPr>
              <w:t>符合</w:t>
            </w:r>
          </w:p>
        </w:tc>
      </w:tr>
      <w:tr w14:paraId="1BB69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315" w:type="pct"/>
            <w:noWrap w:val="0"/>
            <w:vAlign w:val="center"/>
          </w:tcPr>
          <w:p w14:paraId="366416B6">
            <w:pPr>
              <w:pStyle w:val="27"/>
              <w:bidi w:val="0"/>
              <w:rPr>
                <w:rFonts w:hint="eastAsia"/>
                <w:sz w:val="21"/>
                <w:szCs w:val="21"/>
              </w:rPr>
            </w:pPr>
            <w:r>
              <w:rPr>
                <w:rFonts w:hint="eastAsia"/>
                <w:sz w:val="21"/>
                <w:szCs w:val="21"/>
              </w:rPr>
              <w:t>7</w:t>
            </w:r>
          </w:p>
        </w:tc>
        <w:tc>
          <w:tcPr>
            <w:tcW w:w="1028" w:type="pct"/>
            <w:noWrap w:val="0"/>
            <w:vAlign w:val="center"/>
          </w:tcPr>
          <w:p w14:paraId="4289FD44">
            <w:pPr>
              <w:pStyle w:val="27"/>
              <w:bidi w:val="0"/>
              <w:rPr>
                <w:rFonts w:hint="eastAsia"/>
                <w:sz w:val="21"/>
                <w:szCs w:val="21"/>
                <w:lang w:val="en-US" w:eastAsia="zh-CN"/>
              </w:rPr>
            </w:pPr>
            <w:r>
              <w:rPr>
                <w:rFonts w:hint="eastAsia"/>
                <w:sz w:val="21"/>
                <w:szCs w:val="21"/>
                <w:lang w:val="en-US" w:eastAsia="zh-CN"/>
              </w:rPr>
              <w:t>爆破采用控制爆破，减轻上部作业对安全层的影响</w:t>
            </w:r>
            <w:r>
              <w:rPr>
                <w:rFonts w:hint="eastAsia"/>
                <w:sz w:val="21"/>
                <w:szCs w:val="21"/>
              </w:rPr>
              <w:t>。</w:t>
            </w:r>
          </w:p>
        </w:tc>
        <w:tc>
          <w:tcPr>
            <w:tcW w:w="1050" w:type="pct"/>
            <w:noWrap w:val="0"/>
            <w:vAlign w:val="center"/>
          </w:tcPr>
          <w:p w14:paraId="76642721">
            <w:pPr>
              <w:pStyle w:val="27"/>
              <w:bidi w:val="0"/>
              <w:rPr>
                <w:sz w:val="21"/>
                <w:szCs w:val="21"/>
                <w:lang w:val="en-US" w:eastAsia="zh-CN"/>
              </w:rPr>
            </w:pPr>
            <w:r>
              <w:rPr>
                <w:sz w:val="21"/>
                <w:szCs w:val="21"/>
              </w:rPr>
              <w:t>《</w:t>
            </w:r>
            <w:r>
              <w:rPr>
                <w:rFonts w:hint="eastAsia"/>
                <w:sz w:val="21"/>
                <w:szCs w:val="21"/>
              </w:rPr>
              <w:t>安全设施设计</w:t>
            </w:r>
            <w:r>
              <w:rPr>
                <w:sz w:val="21"/>
                <w:szCs w:val="21"/>
              </w:rPr>
              <w:t>》</w:t>
            </w:r>
          </w:p>
        </w:tc>
        <w:tc>
          <w:tcPr>
            <w:tcW w:w="686" w:type="pct"/>
            <w:noWrap w:val="0"/>
            <w:vAlign w:val="center"/>
          </w:tcPr>
          <w:p w14:paraId="088B26FB">
            <w:pPr>
              <w:pStyle w:val="27"/>
              <w:bidi w:val="0"/>
              <w:rPr>
                <w:sz w:val="21"/>
                <w:szCs w:val="21"/>
                <w:lang w:val="en-US" w:eastAsia="zh-CN"/>
              </w:rPr>
            </w:pPr>
            <w:r>
              <w:rPr>
                <w:sz w:val="21"/>
                <w:szCs w:val="21"/>
              </w:rPr>
              <w:t>现场检查</w:t>
            </w:r>
          </w:p>
        </w:tc>
        <w:tc>
          <w:tcPr>
            <w:tcW w:w="1331" w:type="pct"/>
            <w:noWrap w:val="0"/>
            <w:vAlign w:val="center"/>
          </w:tcPr>
          <w:p w14:paraId="289D5E87">
            <w:pPr>
              <w:pStyle w:val="27"/>
              <w:bidi w:val="0"/>
              <w:rPr>
                <w:sz w:val="21"/>
                <w:szCs w:val="21"/>
                <w:lang w:val="en-US" w:eastAsia="zh-CN"/>
              </w:rPr>
            </w:pPr>
            <w:r>
              <w:rPr>
                <w:rFonts w:hint="eastAsia"/>
                <w:sz w:val="21"/>
                <w:szCs w:val="21"/>
                <w:lang w:val="en-US" w:eastAsia="zh-CN"/>
              </w:rPr>
              <w:t>爆破采用控制爆破</w:t>
            </w:r>
          </w:p>
        </w:tc>
        <w:tc>
          <w:tcPr>
            <w:tcW w:w="588" w:type="pct"/>
            <w:noWrap w:val="0"/>
            <w:vAlign w:val="center"/>
          </w:tcPr>
          <w:p w14:paraId="1295AA6B">
            <w:pPr>
              <w:pStyle w:val="27"/>
              <w:bidi w:val="0"/>
              <w:rPr>
                <w:sz w:val="21"/>
                <w:szCs w:val="21"/>
                <w:lang w:val="en-US" w:eastAsia="zh-CN"/>
              </w:rPr>
            </w:pPr>
            <w:r>
              <w:rPr>
                <w:sz w:val="21"/>
                <w:szCs w:val="21"/>
              </w:rPr>
              <w:t>符合</w:t>
            </w:r>
          </w:p>
        </w:tc>
      </w:tr>
      <w:tr w14:paraId="311E6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315" w:type="pct"/>
            <w:noWrap w:val="0"/>
            <w:vAlign w:val="center"/>
          </w:tcPr>
          <w:p w14:paraId="4F4FD76E">
            <w:pPr>
              <w:pStyle w:val="27"/>
              <w:bidi w:val="0"/>
              <w:rPr>
                <w:rFonts w:hint="eastAsia" w:eastAsia="宋体"/>
                <w:sz w:val="21"/>
                <w:szCs w:val="21"/>
                <w:lang w:val="en-US" w:eastAsia="zh-CN"/>
              </w:rPr>
            </w:pPr>
            <w:r>
              <w:rPr>
                <w:rFonts w:hint="eastAsia"/>
                <w:sz w:val="21"/>
                <w:szCs w:val="21"/>
                <w:lang w:val="en-US" w:eastAsia="zh-CN"/>
              </w:rPr>
              <w:t>8</w:t>
            </w:r>
          </w:p>
        </w:tc>
        <w:tc>
          <w:tcPr>
            <w:tcW w:w="1028" w:type="pct"/>
            <w:noWrap w:val="0"/>
            <w:vAlign w:val="center"/>
          </w:tcPr>
          <w:p w14:paraId="631BE16D">
            <w:pPr>
              <w:pStyle w:val="27"/>
              <w:bidi w:val="0"/>
              <w:rPr>
                <w:rFonts w:hint="eastAsia"/>
                <w:sz w:val="21"/>
                <w:szCs w:val="21"/>
                <w:lang w:val="en-US" w:eastAsia="zh-CN"/>
              </w:rPr>
            </w:pPr>
            <w:r>
              <w:rPr>
                <w:rFonts w:hint="eastAsia"/>
                <w:sz w:val="21"/>
                <w:szCs w:val="21"/>
                <w:lang w:val="en-US" w:eastAsia="zh-CN"/>
              </w:rPr>
              <w:t>露天采场所设的边界安全护栏</w:t>
            </w:r>
          </w:p>
        </w:tc>
        <w:tc>
          <w:tcPr>
            <w:tcW w:w="1050" w:type="pct"/>
            <w:noWrap w:val="0"/>
            <w:vAlign w:val="center"/>
          </w:tcPr>
          <w:p w14:paraId="748CF84A">
            <w:pPr>
              <w:pStyle w:val="27"/>
              <w:bidi w:val="0"/>
              <w:rPr>
                <w:sz w:val="21"/>
                <w:szCs w:val="21"/>
              </w:rPr>
            </w:pPr>
            <w:r>
              <w:rPr>
                <w:sz w:val="21"/>
                <w:szCs w:val="21"/>
              </w:rPr>
              <w:t>《</w:t>
            </w:r>
            <w:r>
              <w:rPr>
                <w:rFonts w:hint="eastAsia"/>
                <w:sz w:val="21"/>
                <w:szCs w:val="21"/>
              </w:rPr>
              <w:t>安全设施设计</w:t>
            </w:r>
            <w:r>
              <w:rPr>
                <w:sz w:val="21"/>
                <w:szCs w:val="21"/>
              </w:rPr>
              <w:t>》</w:t>
            </w:r>
          </w:p>
        </w:tc>
        <w:tc>
          <w:tcPr>
            <w:tcW w:w="686" w:type="pct"/>
            <w:noWrap w:val="0"/>
            <w:vAlign w:val="center"/>
          </w:tcPr>
          <w:p w14:paraId="34ABDF06">
            <w:pPr>
              <w:pStyle w:val="27"/>
              <w:bidi w:val="0"/>
              <w:rPr>
                <w:sz w:val="21"/>
                <w:szCs w:val="21"/>
              </w:rPr>
            </w:pPr>
            <w:r>
              <w:rPr>
                <w:sz w:val="21"/>
                <w:szCs w:val="21"/>
              </w:rPr>
              <w:t>现场检查</w:t>
            </w:r>
          </w:p>
        </w:tc>
        <w:tc>
          <w:tcPr>
            <w:tcW w:w="1331" w:type="pct"/>
            <w:noWrap w:val="0"/>
            <w:vAlign w:val="center"/>
          </w:tcPr>
          <w:p w14:paraId="416A2676">
            <w:pPr>
              <w:pStyle w:val="27"/>
              <w:bidi w:val="0"/>
              <w:rPr>
                <w:rFonts w:hint="eastAsia"/>
                <w:sz w:val="21"/>
                <w:szCs w:val="21"/>
                <w:lang w:val="en-US" w:eastAsia="zh-CN"/>
              </w:rPr>
            </w:pPr>
            <w:r>
              <w:rPr>
                <w:rFonts w:hint="eastAsia"/>
                <w:sz w:val="21"/>
                <w:szCs w:val="21"/>
                <w:lang w:val="en-US" w:eastAsia="zh-CN"/>
              </w:rPr>
              <w:t>采场设置有边界安全护栏</w:t>
            </w:r>
          </w:p>
        </w:tc>
        <w:tc>
          <w:tcPr>
            <w:tcW w:w="588" w:type="pct"/>
            <w:noWrap w:val="0"/>
            <w:vAlign w:val="center"/>
          </w:tcPr>
          <w:p w14:paraId="2F4E95F2">
            <w:pPr>
              <w:pStyle w:val="27"/>
              <w:bidi w:val="0"/>
              <w:rPr>
                <w:sz w:val="21"/>
                <w:szCs w:val="21"/>
              </w:rPr>
            </w:pPr>
            <w:r>
              <w:rPr>
                <w:sz w:val="21"/>
                <w:szCs w:val="21"/>
              </w:rPr>
              <w:t>符合</w:t>
            </w:r>
          </w:p>
        </w:tc>
      </w:tr>
      <w:tr w14:paraId="4CD9E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315" w:type="pct"/>
            <w:noWrap w:val="0"/>
            <w:vAlign w:val="center"/>
          </w:tcPr>
          <w:p w14:paraId="3CAB998D">
            <w:pPr>
              <w:pStyle w:val="27"/>
              <w:bidi w:val="0"/>
              <w:rPr>
                <w:rFonts w:hint="default"/>
                <w:sz w:val="21"/>
                <w:szCs w:val="21"/>
                <w:lang w:val="en-US" w:eastAsia="zh-CN"/>
              </w:rPr>
            </w:pPr>
            <w:r>
              <w:rPr>
                <w:rFonts w:hint="eastAsia"/>
                <w:sz w:val="21"/>
                <w:szCs w:val="21"/>
                <w:lang w:val="en-US" w:eastAsia="zh-CN"/>
              </w:rPr>
              <w:t>9</w:t>
            </w:r>
          </w:p>
        </w:tc>
        <w:tc>
          <w:tcPr>
            <w:tcW w:w="1028" w:type="pct"/>
            <w:noWrap w:val="0"/>
            <w:vAlign w:val="center"/>
          </w:tcPr>
          <w:p w14:paraId="33411359">
            <w:pPr>
              <w:pStyle w:val="27"/>
              <w:bidi w:val="0"/>
              <w:rPr>
                <w:rFonts w:hint="default"/>
                <w:sz w:val="21"/>
                <w:szCs w:val="21"/>
                <w:lang w:val="en-US" w:eastAsia="zh-CN"/>
              </w:rPr>
            </w:pPr>
            <w:r>
              <w:rPr>
                <w:rFonts w:hint="eastAsia"/>
                <w:sz w:val="21"/>
                <w:szCs w:val="21"/>
                <w:lang w:val="en-US" w:eastAsia="zh-CN"/>
              </w:rPr>
              <w:t>设立滚石挡墙</w:t>
            </w:r>
          </w:p>
        </w:tc>
        <w:tc>
          <w:tcPr>
            <w:tcW w:w="1050" w:type="pct"/>
            <w:noWrap w:val="0"/>
            <w:vAlign w:val="center"/>
          </w:tcPr>
          <w:p w14:paraId="789BEC17">
            <w:pPr>
              <w:pStyle w:val="27"/>
              <w:bidi w:val="0"/>
              <w:rPr>
                <w:sz w:val="21"/>
                <w:szCs w:val="21"/>
              </w:rPr>
            </w:pPr>
            <w:r>
              <w:rPr>
                <w:sz w:val="21"/>
                <w:szCs w:val="21"/>
              </w:rPr>
              <w:t>《</w:t>
            </w:r>
            <w:r>
              <w:rPr>
                <w:rFonts w:hint="eastAsia"/>
                <w:sz w:val="21"/>
                <w:szCs w:val="21"/>
              </w:rPr>
              <w:t>安全设施设计</w:t>
            </w:r>
            <w:r>
              <w:rPr>
                <w:sz w:val="21"/>
                <w:szCs w:val="21"/>
              </w:rPr>
              <w:t>》</w:t>
            </w:r>
          </w:p>
        </w:tc>
        <w:tc>
          <w:tcPr>
            <w:tcW w:w="686" w:type="pct"/>
            <w:noWrap w:val="0"/>
            <w:vAlign w:val="center"/>
          </w:tcPr>
          <w:p w14:paraId="31B98C16">
            <w:pPr>
              <w:pStyle w:val="27"/>
              <w:bidi w:val="0"/>
              <w:rPr>
                <w:sz w:val="21"/>
                <w:szCs w:val="21"/>
              </w:rPr>
            </w:pPr>
            <w:r>
              <w:rPr>
                <w:sz w:val="21"/>
                <w:szCs w:val="21"/>
              </w:rPr>
              <w:t>现场检查</w:t>
            </w:r>
          </w:p>
        </w:tc>
        <w:tc>
          <w:tcPr>
            <w:tcW w:w="1331" w:type="pct"/>
            <w:noWrap w:val="0"/>
            <w:vAlign w:val="center"/>
          </w:tcPr>
          <w:p w14:paraId="400F921D">
            <w:pPr>
              <w:pStyle w:val="27"/>
              <w:bidi w:val="0"/>
              <w:rPr>
                <w:rFonts w:hint="eastAsia"/>
                <w:sz w:val="21"/>
                <w:szCs w:val="21"/>
                <w:lang w:val="en-US" w:eastAsia="zh-CN"/>
              </w:rPr>
            </w:pPr>
            <w:r>
              <w:rPr>
                <w:rFonts w:hint="eastAsia"/>
                <w:sz w:val="21"/>
                <w:szCs w:val="21"/>
                <w:lang w:val="en-US" w:eastAsia="zh-CN"/>
              </w:rPr>
              <w:t>在110m水平设置滚石挡墙，尺寸：1.5m×2m×2.5m，80m长</w:t>
            </w:r>
          </w:p>
        </w:tc>
        <w:tc>
          <w:tcPr>
            <w:tcW w:w="588" w:type="pct"/>
            <w:noWrap w:val="0"/>
            <w:vAlign w:val="center"/>
          </w:tcPr>
          <w:p w14:paraId="22836739">
            <w:pPr>
              <w:pStyle w:val="27"/>
              <w:bidi w:val="0"/>
              <w:rPr>
                <w:sz w:val="21"/>
                <w:szCs w:val="21"/>
              </w:rPr>
            </w:pPr>
            <w:r>
              <w:rPr>
                <w:sz w:val="21"/>
                <w:szCs w:val="21"/>
              </w:rPr>
              <w:t>符合</w:t>
            </w:r>
          </w:p>
        </w:tc>
      </w:tr>
      <w:tr w14:paraId="5276C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15" w:type="pct"/>
            <w:noWrap w:val="0"/>
            <w:vAlign w:val="center"/>
          </w:tcPr>
          <w:p w14:paraId="564CF2F2">
            <w:pPr>
              <w:pStyle w:val="27"/>
              <w:bidi w:val="0"/>
              <w:rPr>
                <w:rFonts w:hint="default" w:eastAsia="宋体"/>
                <w:sz w:val="21"/>
                <w:szCs w:val="21"/>
                <w:lang w:val="en-US" w:eastAsia="zh-CN"/>
              </w:rPr>
            </w:pPr>
            <w:r>
              <w:rPr>
                <w:rFonts w:hint="eastAsia"/>
                <w:sz w:val="21"/>
                <w:szCs w:val="21"/>
                <w:lang w:val="en-US" w:eastAsia="zh-CN"/>
              </w:rPr>
              <w:t>10</w:t>
            </w:r>
          </w:p>
        </w:tc>
        <w:tc>
          <w:tcPr>
            <w:tcW w:w="1028" w:type="pct"/>
            <w:noWrap w:val="0"/>
            <w:vAlign w:val="center"/>
          </w:tcPr>
          <w:p w14:paraId="4CBED5D5">
            <w:pPr>
              <w:pStyle w:val="27"/>
              <w:bidi w:val="0"/>
              <w:rPr>
                <w:sz w:val="21"/>
                <w:szCs w:val="21"/>
                <w:lang w:val="en-US" w:eastAsia="zh-CN"/>
              </w:rPr>
            </w:pPr>
            <w:r>
              <w:rPr>
                <w:rFonts w:hint="default"/>
                <w:sz w:val="21"/>
                <w:szCs w:val="21"/>
                <w:lang w:val="en-US" w:eastAsia="zh-CN"/>
              </w:rPr>
              <w:t>应保持设备撤离退路畅通，确保发生险情时能及时将设备撤离至安全地带</w:t>
            </w:r>
            <w:r>
              <w:rPr>
                <w:sz w:val="21"/>
                <w:szCs w:val="21"/>
              </w:rPr>
              <w:t>。</w:t>
            </w:r>
          </w:p>
        </w:tc>
        <w:tc>
          <w:tcPr>
            <w:tcW w:w="1050" w:type="pct"/>
            <w:noWrap w:val="0"/>
            <w:vAlign w:val="center"/>
          </w:tcPr>
          <w:p w14:paraId="7E926420">
            <w:pPr>
              <w:pStyle w:val="27"/>
              <w:bidi w:val="0"/>
              <w:rPr>
                <w:sz w:val="21"/>
                <w:szCs w:val="21"/>
                <w:lang w:val="en-US" w:eastAsia="zh-CN"/>
              </w:rPr>
            </w:pPr>
            <w:r>
              <w:rPr>
                <w:sz w:val="21"/>
                <w:szCs w:val="21"/>
              </w:rPr>
              <w:t>《</w:t>
            </w:r>
            <w:r>
              <w:rPr>
                <w:rFonts w:hint="eastAsia"/>
                <w:sz w:val="21"/>
                <w:szCs w:val="21"/>
              </w:rPr>
              <w:t>安全设施设计</w:t>
            </w:r>
            <w:r>
              <w:rPr>
                <w:sz w:val="21"/>
                <w:szCs w:val="21"/>
              </w:rPr>
              <w:t>》</w:t>
            </w:r>
          </w:p>
        </w:tc>
        <w:tc>
          <w:tcPr>
            <w:tcW w:w="686" w:type="pct"/>
            <w:noWrap w:val="0"/>
            <w:vAlign w:val="center"/>
          </w:tcPr>
          <w:p w14:paraId="6C9F495B">
            <w:pPr>
              <w:pStyle w:val="27"/>
              <w:bidi w:val="0"/>
              <w:rPr>
                <w:sz w:val="21"/>
                <w:szCs w:val="21"/>
                <w:lang w:val="en-US" w:eastAsia="zh-CN"/>
              </w:rPr>
            </w:pPr>
            <w:r>
              <w:rPr>
                <w:sz w:val="21"/>
                <w:szCs w:val="21"/>
              </w:rPr>
              <w:t>现场检查</w:t>
            </w:r>
          </w:p>
        </w:tc>
        <w:tc>
          <w:tcPr>
            <w:tcW w:w="1331" w:type="pct"/>
            <w:noWrap w:val="0"/>
            <w:vAlign w:val="center"/>
          </w:tcPr>
          <w:p w14:paraId="4BA170A3">
            <w:pPr>
              <w:pStyle w:val="27"/>
              <w:bidi w:val="0"/>
              <w:rPr>
                <w:rFonts w:hint="eastAsia"/>
                <w:sz w:val="21"/>
                <w:szCs w:val="21"/>
                <w:lang w:val="en-US" w:eastAsia="zh-CN"/>
              </w:rPr>
            </w:pPr>
            <w:r>
              <w:rPr>
                <w:rFonts w:hint="eastAsia"/>
                <w:sz w:val="21"/>
                <w:szCs w:val="21"/>
                <w:lang w:eastAsia="zh-CN"/>
              </w:rPr>
              <w:t>通行路线顺畅</w:t>
            </w:r>
          </w:p>
        </w:tc>
        <w:tc>
          <w:tcPr>
            <w:tcW w:w="588" w:type="pct"/>
            <w:noWrap w:val="0"/>
            <w:vAlign w:val="center"/>
          </w:tcPr>
          <w:p w14:paraId="0EC12260">
            <w:pPr>
              <w:pStyle w:val="27"/>
              <w:bidi w:val="0"/>
              <w:rPr>
                <w:sz w:val="21"/>
                <w:szCs w:val="21"/>
                <w:lang w:val="en-US" w:eastAsia="zh-CN"/>
              </w:rPr>
            </w:pPr>
            <w:r>
              <w:rPr>
                <w:sz w:val="21"/>
                <w:szCs w:val="21"/>
              </w:rPr>
              <w:t>符合</w:t>
            </w:r>
          </w:p>
        </w:tc>
      </w:tr>
    </w:tbl>
    <w:p w14:paraId="7FF25512">
      <w:pPr>
        <w:pStyle w:val="26"/>
        <w:bidi w:val="0"/>
      </w:pPr>
      <w:r>
        <w:t>表3</w:t>
      </w:r>
      <w:r>
        <w:rPr>
          <w:rFonts w:hint="eastAsia"/>
          <w:lang w:val="en-US" w:eastAsia="zh-CN"/>
        </w:rPr>
        <w:t>.</w:t>
      </w:r>
      <w:r>
        <w:t>2-2穿孔爆破安全检查表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51"/>
        <w:gridCol w:w="2538"/>
        <w:gridCol w:w="1597"/>
        <w:gridCol w:w="719"/>
        <w:gridCol w:w="2279"/>
        <w:gridCol w:w="835"/>
      </w:tblGrid>
      <w:tr w14:paraId="310FF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 w:type="pct"/>
            <w:noWrap w:val="0"/>
            <w:vAlign w:val="center"/>
          </w:tcPr>
          <w:p w14:paraId="5E65FAD5">
            <w:pPr>
              <w:pStyle w:val="27"/>
              <w:bidi w:val="0"/>
              <w:rPr>
                <w:b/>
                <w:bCs/>
                <w:sz w:val="21"/>
                <w:szCs w:val="21"/>
              </w:rPr>
            </w:pPr>
            <w:r>
              <w:rPr>
                <w:b/>
                <w:bCs/>
                <w:sz w:val="21"/>
                <w:szCs w:val="21"/>
              </w:rPr>
              <w:t>序号</w:t>
            </w:r>
          </w:p>
        </w:tc>
        <w:tc>
          <w:tcPr>
            <w:tcW w:w="1489" w:type="pct"/>
            <w:noWrap w:val="0"/>
            <w:vAlign w:val="center"/>
          </w:tcPr>
          <w:p w14:paraId="14741DB0">
            <w:pPr>
              <w:pStyle w:val="27"/>
              <w:bidi w:val="0"/>
              <w:rPr>
                <w:b/>
                <w:bCs/>
                <w:sz w:val="21"/>
                <w:szCs w:val="21"/>
              </w:rPr>
            </w:pPr>
            <w:r>
              <w:rPr>
                <w:b/>
                <w:bCs/>
                <w:sz w:val="21"/>
                <w:szCs w:val="21"/>
              </w:rPr>
              <w:t>检查内容</w:t>
            </w:r>
          </w:p>
        </w:tc>
        <w:tc>
          <w:tcPr>
            <w:tcW w:w="937" w:type="pct"/>
            <w:noWrap w:val="0"/>
            <w:vAlign w:val="center"/>
          </w:tcPr>
          <w:p w14:paraId="20156678">
            <w:pPr>
              <w:pStyle w:val="27"/>
              <w:bidi w:val="0"/>
              <w:rPr>
                <w:b/>
                <w:bCs/>
                <w:sz w:val="21"/>
                <w:szCs w:val="21"/>
              </w:rPr>
            </w:pPr>
            <w:r>
              <w:rPr>
                <w:b/>
                <w:bCs/>
                <w:sz w:val="21"/>
                <w:szCs w:val="21"/>
              </w:rPr>
              <w:t>检查依据</w:t>
            </w:r>
          </w:p>
        </w:tc>
        <w:tc>
          <w:tcPr>
            <w:tcW w:w="422" w:type="pct"/>
            <w:noWrap w:val="0"/>
            <w:vAlign w:val="center"/>
          </w:tcPr>
          <w:p w14:paraId="23839583">
            <w:pPr>
              <w:pStyle w:val="27"/>
              <w:bidi w:val="0"/>
              <w:rPr>
                <w:b/>
                <w:bCs/>
                <w:sz w:val="21"/>
                <w:szCs w:val="21"/>
              </w:rPr>
            </w:pPr>
            <w:r>
              <w:rPr>
                <w:b/>
                <w:bCs/>
                <w:sz w:val="21"/>
                <w:szCs w:val="21"/>
              </w:rPr>
              <w:t>检查方法</w:t>
            </w:r>
          </w:p>
        </w:tc>
        <w:tc>
          <w:tcPr>
            <w:tcW w:w="1337" w:type="pct"/>
            <w:noWrap w:val="0"/>
            <w:vAlign w:val="center"/>
          </w:tcPr>
          <w:p w14:paraId="3D5FEF89">
            <w:pPr>
              <w:pStyle w:val="27"/>
              <w:bidi w:val="0"/>
              <w:rPr>
                <w:b/>
                <w:bCs/>
                <w:sz w:val="21"/>
                <w:szCs w:val="21"/>
              </w:rPr>
            </w:pPr>
            <w:r>
              <w:rPr>
                <w:b/>
                <w:bCs/>
                <w:sz w:val="21"/>
                <w:szCs w:val="21"/>
              </w:rPr>
              <w:t>检查情况</w:t>
            </w:r>
          </w:p>
        </w:tc>
        <w:tc>
          <w:tcPr>
            <w:tcW w:w="489" w:type="pct"/>
            <w:noWrap w:val="0"/>
            <w:vAlign w:val="center"/>
          </w:tcPr>
          <w:p w14:paraId="4F6CB436">
            <w:pPr>
              <w:pStyle w:val="27"/>
              <w:bidi w:val="0"/>
              <w:rPr>
                <w:b/>
                <w:bCs/>
                <w:sz w:val="21"/>
                <w:szCs w:val="21"/>
              </w:rPr>
            </w:pPr>
            <w:r>
              <w:rPr>
                <w:b/>
                <w:bCs/>
                <w:sz w:val="21"/>
                <w:szCs w:val="21"/>
              </w:rPr>
              <w:t>检查</w:t>
            </w:r>
          </w:p>
          <w:p w14:paraId="45589F9B">
            <w:pPr>
              <w:pStyle w:val="27"/>
              <w:bidi w:val="0"/>
              <w:rPr>
                <w:b/>
                <w:bCs/>
                <w:sz w:val="21"/>
                <w:szCs w:val="21"/>
              </w:rPr>
            </w:pPr>
            <w:r>
              <w:rPr>
                <w:b/>
                <w:bCs/>
                <w:sz w:val="21"/>
                <w:szCs w:val="21"/>
              </w:rPr>
              <w:t>结果</w:t>
            </w:r>
          </w:p>
        </w:tc>
      </w:tr>
      <w:tr w14:paraId="59095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 w:type="pct"/>
            <w:noWrap w:val="0"/>
            <w:vAlign w:val="center"/>
          </w:tcPr>
          <w:p w14:paraId="02883A8D">
            <w:pPr>
              <w:pStyle w:val="27"/>
              <w:bidi w:val="0"/>
              <w:rPr>
                <w:sz w:val="21"/>
                <w:szCs w:val="21"/>
              </w:rPr>
            </w:pPr>
            <w:r>
              <w:rPr>
                <w:sz w:val="21"/>
                <w:szCs w:val="21"/>
              </w:rPr>
              <w:t>1</w:t>
            </w:r>
          </w:p>
        </w:tc>
        <w:tc>
          <w:tcPr>
            <w:tcW w:w="1489" w:type="pct"/>
            <w:noWrap w:val="0"/>
            <w:vAlign w:val="center"/>
          </w:tcPr>
          <w:p w14:paraId="5AD4CB14">
            <w:pPr>
              <w:pStyle w:val="27"/>
              <w:bidi w:val="0"/>
              <w:rPr>
                <w:sz w:val="21"/>
                <w:szCs w:val="21"/>
              </w:rPr>
            </w:pPr>
            <w:r>
              <w:rPr>
                <w:sz w:val="21"/>
                <w:szCs w:val="21"/>
              </w:rPr>
              <w:t>潜孔钻机应使用湿式凿岩，作业人员应佩戴防尘口罩。</w:t>
            </w:r>
          </w:p>
        </w:tc>
        <w:tc>
          <w:tcPr>
            <w:tcW w:w="937" w:type="pct"/>
            <w:noWrap w:val="0"/>
            <w:vAlign w:val="center"/>
          </w:tcPr>
          <w:p w14:paraId="7FED3FF7">
            <w:pPr>
              <w:pStyle w:val="27"/>
              <w:bidi w:val="0"/>
              <w:rPr>
                <w:sz w:val="21"/>
                <w:szCs w:val="21"/>
              </w:rPr>
            </w:pPr>
            <w:r>
              <w:rPr>
                <w:sz w:val="21"/>
                <w:szCs w:val="21"/>
              </w:rPr>
              <w:t>《</w:t>
            </w:r>
            <w:r>
              <w:rPr>
                <w:rFonts w:hint="eastAsia"/>
                <w:sz w:val="21"/>
                <w:szCs w:val="21"/>
              </w:rPr>
              <w:t>安全设施设计</w:t>
            </w:r>
            <w:r>
              <w:rPr>
                <w:sz w:val="21"/>
                <w:szCs w:val="21"/>
              </w:rPr>
              <w:t>》</w:t>
            </w:r>
          </w:p>
        </w:tc>
        <w:tc>
          <w:tcPr>
            <w:tcW w:w="422" w:type="pct"/>
            <w:noWrap w:val="0"/>
            <w:vAlign w:val="center"/>
          </w:tcPr>
          <w:p w14:paraId="6B3E5CD6">
            <w:pPr>
              <w:pStyle w:val="27"/>
              <w:bidi w:val="0"/>
              <w:rPr>
                <w:sz w:val="21"/>
                <w:szCs w:val="21"/>
              </w:rPr>
            </w:pPr>
            <w:r>
              <w:rPr>
                <w:sz w:val="21"/>
                <w:szCs w:val="21"/>
              </w:rPr>
              <w:t>现场检查</w:t>
            </w:r>
          </w:p>
        </w:tc>
        <w:tc>
          <w:tcPr>
            <w:tcW w:w="1337" w:type="pct"/>
            <w:noWrap w:val="0"/>
            <w:vAlign w:val="center"/>
          </w:tcPr>
          <w:p w14:paraId="6CCA355E">
            <w:pPr>
              <w:pStyle w:val="27"/>
              <w:bidi w:val="0"/>
              <w:rPr>
                <w:sz w:val="21"/>
                <w:szCs w:val="21"/>
              </w:rPr>
            </w:pPr>
            <w:r>
              <w:rPr>
                <w:rFonts w:hint="eastAsia"/>
                <w:sz w:val="21"/>
                <w:szCs w:val="21"/>
              </w:rPr>
              <w:t>钻孔作业人员配备防尘口罩。</w:t>
            </w:r>
          </w:p>
        </w:tc>
        <w:tc>
          <w:tcPr>
            <w:tcW w:w="489" w:type="pct"/>
            <w:noWrap w:val="0"/>
            <w:vAlign w:val="center"/>
          </w:tcPr>
          <w:p w14:paraId="094E337F">
            <w:pPr>
              <w:pStyle w:val="27"/>
              <w:bidi w:val="0"/>
              <w:rPr>
                <w:sz w:val="21"/>
                <w:szCs w:val="21"/>
              </w:rPr>
            </w:pPr>
            <w:r>
              <w:rPr>
                <w:sz w:val="21"/>
                <w:szCs w:val="21"/>
              </w:rPr>
              <w:t>符合</w:t>
            </w:r>
          </w:p>
        </w:tc>
      </w:tr>
      <w:tr w14:paraId="0FDAB4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 w:type="pct"/>
            <w:noWrap w:val="0"/>
            <w:vAlign w:val="center"/>
          </w:tcPr>
          <w:p w14:paraId="2431A929">
            <w:pPr>
              <w:pStyle w:val="27"/>
              <w:bidi w:val="0"/>
              <w:rPr>
                <w:sz w:val="21"/>
                <w:szCs w:val="21"/>
              </w:rPr>
            </w:pPr>
            <w:r>
              <w:rPr>
                <w:sz w:val="21"/>
                <w:szCs w:val="21"/>
              </w:rPr>
              <w:t>2</w:t>
            </w:r>
          </w:p>
        </w:tc>
        <w:tc>
          <w:tcPr>
            <w:tcW w:w="1489" w:type="pct"/>
            <w:noWrap w:val="0"/>
            <w:vAlign w:val="center"/>
          </w:tcPr>
          <w:p w14:paraId="5658E09A">
            <w:pPr>
              <w:pStyle w:val="27"/>
              <w:bidi w:val="0"/>
              <w:rPr>
                <w:rFonts w:hint="eastAsia"/>
                <w:sz w:val="21"/>
                <w:szCs w:val="21"/>
              </w:rPr>
            </w:pPr>
            <w:r>
              <w:rPr>
                <w:rFonts w:hint="eastAsia"/>
                <w:sz w:val="21"/>
                <w:szCs w:val="21"/>
              </w:rPr>
              <w:t>民爆公司负责编制《爆破设计》，采用逐孔起爆等控制爆破方法。</w:t>
            </w:r>
          </w:p>
        </w:tc>
        <w:tc>
          <w:tcPr>
            <w:tcW w:w="937" w:type="pct"/>
            <w:noWrap w:val="0"/>
            <w:vAlign w:val="center"/>
          </w:tcPr>
          <w:p w14:paraId="74C3638E">
            <w:pPr>
              <w:pStyle w:val="27"/>
              <w:bidi w:val="0"/>
              <w:rPr>
                <w:sz w:val="21"/>
                <w:szCs w:val="21"/>
              </w:rPr>
            </w:pPr>
            <w:r>
              <w:rPr>
                <w:sz w:val="21"/>
                <w:szCs w:val="21"/>
              </w:rPr>
              <w:t>《</w:t>
            </w:r>
            <w:r>
              <w:rPr>
                <w:rFonts w:hint="eastAsia"/>
                <w:sz w:val="21"/>
                <w:szCs w:val="21"/>
              </w:rPr>
              <w:t>安全设施设计</w:t>
            </w:r>
            <w:r>
              <w:rPr>
                <w:sz w:val="21"/>
                <w:szCs w:val="21"/>
              </w:rPr>
              <w:t>》</w:t>
            </w:r>
          </w:p>
        </w:tc>
        <w:tc>
          <w:tcPr>
            <w:tcW w:w="422" w:type="pct"/>
            <w:noWrap w:val="0"/>
            <w:vAlign w:val="center"/>
          </w:tcPr>
          <w:p w14:paraId="13E530BC">
            <w:pPr>
              <w:pStyle w:val="27"/>
              <w:bidi w:val="0"/>
              <w:rPr>
                <w:sz w:val="21"/>
                <w:szCs w:val="21"/>
              </w:rPr>
            </w:pPr>
            <w:r>
              <w:rPr>
                <w:sz w:val="21"/>
                <w:szCs w:val="21"/>
              </w:rPr>
              <w:t>现场检查</w:t>
            </w:r>
          </w:p>
        </w:tc>
        <w:tc>
          <w:tcPr>
            <w:tcW w:w="1337" w:type="pct"/>
            <w:noWrap w:val="0"/>
            <w:vAlign w:val="center"/>
          </w:tcPr>
          <w:p w14:paraId="76E1872D">
            <w:pPr>
              <w:pStyle w:val="27"/>
              <w:bidi w:val="0"/>
              <w:rPr>
                <w:sz w:val="21"/>
                <w:szCs w:val="21"/>
              </w:rPr>
            </w:pPr>
            <w:r>
              <w:rPr>
                <w:sz w:val="21"/>
                <w:szCs w:val="21"/>
              </w:rPr>
              <w:t>制定了爆破作业安全规程。规程以规定相应的内容，并严格按照此规定执行</w:t>
            </w:r>
            <w:r>
              <w:rPr>
                <w:rFonts w:hint="eastAsia"/>
                <w:sz w:val="21"/>
                <w:szCs w:val="21"/>
              </w:rPr>
              <w:t>。</w:t>
            </w:r>
          </w:p>
        </w:tc>
        <w:tc>
          <w:tcPr>
            <w:tcW w:w="489" w:type="pct"/>
            <w:noWrap w:val="0"/>
            <w:vAlign w:val="center"/>
          </w:tcPr>
          <w:p w14:paraId="6C37B114">
            <w:pPr>
              <w:pStyle w:val="27"/>
              <w:bidi w:val="0"/>
              <w:rPr>
                <w:sz w:val="21"/>
                <w:szCs w:val="21"/>
              </w:rPr>
            </w:pPr>
            <w:r>
              <w:rPr>
                <w:sz w:val="21"/>
                <w:szCs w:val="21"/>
              </w:rPr>
              <w:t>符合</w:t>
            </w:r>
          </w:p>
        </w:tc>
      </w:tr>
      <w:tr w14:paraId="4AE5B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 w:type="pct"/>
            <w:noWrap w:val="0"/>
            <w:vAlign w:val="center"/>
          </w:tcPr>
          <w:p w14:paraId="27CFA4E1">
            <w:pPr>
              <w:pStyle w:val="27"/>
              <w:bidi w:val="0"/>
              <w:rPr>
                <w:sz w:val="21"/>
                <w:szCs w:val="21"/>
              </w:rPr>
            </w:pPr>
            <w:r>
              <w:rPr>
                <w:sz w:val="21"/>
                <w:szCs w:val="21"/>
              </w:rPr>
              <w:t>3</w:t>
            </w:r>
          </w:p>
        </w:tc>
        <w:tc>
          <w:tcPr>
            <w:tcW w:w="1489" w:type="pct"/>
            <w:noWrap w:val="0"/>
            <w:vAlign w:val="center"/>
          </w:tcPr>
          <w:p w14:paraId="3E5DAAC9">
            <w:pPr>
              <w:pStyle w:val="27"/>
              <w:bidi w:val="0"/>
              <w:rPr>
                <w:sz w:val="21"/>
                <w:szCs w:val="21"/>
              </w:rPr>
            </w:pPr>
            <w:r>
              <w:rPr>
                <w:sz w:val="21"/>
                <w:szCs w:val="21"/>
              </w:rPr>
              <w:t>为保证爆破作业安全，在采场附近合适位置设置可移动式避炮棚。</w:t>
            </w:r>
          </w:p>
        </w:tc>
        <w:tc>
          <w:tcPr>
            <w:tcW w:w="937" w:type="pct"/>
            <w:noWrap w:val="0"/>
            <w:vAlign w:val="center"/>
          </w:tcPr>
          <w:p w14:paraId="08CB8E36">
            <w:pPr>
              <w:pStyle w:val="27"/>
              <w:bidi w:val="0"/>
              <w:rPr>
                <w:sz w:val="21"/>
                <w:szCs w:val="21"/>
              </w:rPr>
            </w:pPr>
            <w:r>
              <w:rPr>
                <w:sz w:val="21"/>
                <w:szCs w:val="21"/>
              </w:rPr>
              <w:t>《</w:t>
            </w:r>
            <w:r>
              <w:rPr>
                <w:rFonts w:hint="eastAsia"/>
                <w:sz w:val="21"/>
                <w:szCs w:val="21"/>
              </w:rPr>
              <w:t>安全设施设计</w:t>
            </w:r>
            <w:r>
              <w:rPr>
                <w:sz w:val="21"/>
                <w:szCs w:val="21"/>
              </w:rPr>
              <w:t>》</w:t>
            </w:r>
          </w:p>
        </w:tc>
        <w:tc>
          <w:tcPr>
            <w:tcW w:w="422" w:type="pct"/>
            <w:noWrap w:val="0"/>
            <w:vAlign w:val="center"/>
          </w:tcPr>
          <w:p w14:paraId="2E509FD3">
            <w:pPr>
              <w:pStyle w:val="27"/>
              <w:bidi w:val="0"/>
              <w:rPr>
                <w:sz w:val="21"/>
                <w:szCs w:val="21"/>
              </w:rPr>
            </w:pPr>
            <w:r>
              <w:rPr>
                <w:sz w:val="21"/>
                <w:szCs w:val="21"/>
              </w:rPr>
              <w:t>现场检查</w:t>
            </w:r>
          </w:p>
        </w:tc>
        <w:tc>
          <w:tcPr>
            <w:tcW w:w="1337" w:type="pct"/>
            <w:noWrap w:val="0"/>
            <w:vAlign w:val="center"/>
          </w:tcPr>
          <w:p w14:paraId="399B4D04">
            <w:pPr>
              <w:pStyle w:val="27"/>
              <w:bidi w:val="0"/>
              <w:rPr>
                <w:sz w:val="21"/>
                <w:szCs w:val="21"/>
              </w:rPr>
            </w:pPr>
            <w:r>
              <w:rPr>
                <w:rFonts w:hint="eastAsia"/>
                <w:sz w:val="21"/>
                <w:szCs w:val="21"/>
              </w:rPr>
              <w:t>露天采场现场</w:t>
            </w:r>
            <w:r>
              <w:rPr>
                <w:sz w:val="21"/>
                <w:szCs w:val="21"/>
              </w:rPr>
              <w:t>已设置</w:t>
            </w:r>
            <w:r>
              <w:rPr>
                <w:rFonts w:hint="eastAsia"/>
                <w:sz w:val="21"/>
                <w:szCs w:val="21"/>
              </w:rPr>
              <w:t>，避炮棚采用钢板制作。</w:t>
            </w:r>
          </w:p>
        </w:tc>
        <w:tc>
          <w:tcPr>
            <w:tcW w:w="489" w:type="pct"/>
            <w:noWrap w:val="0"/>
            <w:vAlign w:val="center"/>
          </w:tcPr>
          <w:p w14:paraId="412D894D">
            <w:pPr>
              <w:pStyle w:val="27"/>
              <w:bidi w:val="0"/>
              <w:rPr>
                <w:sz w:val="21"/>
                <w:szCs w:val="21"/>
              </w:rPr>
            </w:pPr>
            <w:r>
              <w:rPr>
                <w:sz w:val="21"/>
                <w:szCs w:val="21"/>
              </w:rPr>
              <w:t>符合</w:t>
            </w:r>
          </w:p>
        </w:tc>
      </w:tr>
      <w:tr w14:paraId="58A4C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323" w:type="pct"/>
            <w:noWrap w:val="0"/>
            <w:vAlign w:val="center"/>
          </w:tcPr>
          <w:p w14:paraId="14CE61BC">
            <w:pPr>
              <w:pStyle w:val="27"/>
              <w:bidi w:val="0"/>
              <w:rPr>
                <w:sz w:val="21"/>
                <w:szCs w:val="21"/>
              </w:rPr>
            </w:pPr>
            <w:r>
              <w:rPr>
                <w:sz w:val="21"/>
                <w:szCs w:val="21"/>
              </w:rPr>
              <w:t>4</w:t>
            </w:r>
          </w:p>
        </w:tc>
        <w:tc>
          <w:tcPr>
            <w:tcW w:w="1489" w:type="pct"/>
            <w:noWrap w:val="0"/>
            <w:vAlign w:val="center"/>
          </w:tcPr>
          <w:p w14:paraId="2EFC74E7">
            <w:pPr>
              <w:pStyle w:val="27"/>
              <w:bidi w:val="0"/>
              <w:rPr>
                <w:rFonts w:hint="eastAsia"/>
                <w:sz w:val="21"/>
                <w:szCs w:val="21"/>
              </w:rPr>
            </w:pPr>
            <w:r>
              <w:rPr>
                <w:rFonts w:hint="eastAsia"/>
                <w:sz w:val="21"/>
                <w:szCs w:val="21"/>
              </w:rPr>
              <w:t>本项目爆破危险距离为背坡方向</w:t>
            </w:r>
            <w:r>
              <w:rPr>
                <w:rFonts w:hint="eastAsia"/>
                <w:sz w:val="21"/>
                <w:szCs w:val="21"/>
                <w:lang w:eastAsia="zh-CN"/>
              </w:rPr>
              <w:t>+200m</w:t>
            </w:r>
            <w:r>
              <w:rPr>
                <w:rFonts w:hint="eastAsia"/>
                <w:sz w:val="21"/>
                <w:szCs w:val="21"/>
              </w:rPr>
              <w:t>、顺坡方向300m。爆破前应将潜孔钻机、挖掘机、装载机、自卸汽车等移动设备开到安全地点，起爆前应将采场内、临时办公室和机修间等无关人员及采场内设备全部撤出，并在爆破警戒线处挂上</w:t>
            </w:r>
            <w:r>
              <w:rPr>
                <w:rFonts w:hint="eastAsia"/>
                <w:sz w:val="21"/>
                <w:szCs w:val="21"/>
                <w:lang w:eastAsia="zh-CN"/>
              </w:rPr>
              <w:t>“</w:t>
            </w:r>
            <w:r>
              <w:rPr>
                <w:rFonts w:hint="eastAsia"/>
                <w:sz w:val="21"/>
                <w:szCs w:val="21"/>
              </w:rPr>
              <w:t>爆破危险区，禁止通行</w:t>
            </w:r>
            <w:r>
              <w:rPr>
                <w:rFonts w:hint="eastAsia"/>
                <w:sz w:val="21"/>
                <w:szCs w:val="21"/>
                <w:lang w:eastAsia="zh-CN"/>
              </w:rPr>
              <w:t>”</w:t>
            </w:r>
            <w:r>
              <w:rPr>
                <w:rFonts w:hint="eastAsia"/>
                <w:sz w:val="21"/>
                <w:szCs w:val="21"/>
              </w:rPr>
              <w:t>的标志；做好安全警戒工作，爆破期间严禁车辆及人员进入爆破警戒线内。</w:t>
            </w:r>
          </w:p>
        </w:tc>
        <w:tc>
          <w:tcPr>
            <w:tcW w:w="937" w:type="pct"/>
            <w:noWrap w:val="0"/>
            <w:vAlign w:val="center"/>
          </w:tcPr>
          <w:p w14:paraId="4E21DFE6">
            <w:pPr>
              <w:pStyle w:val="27"/>
              <w:bidi w:val="0"/>
              <w:rPr>
                <w:sz w:val="21"/>
                <w:szCs w:val="21"/>
              </w:rPr>
            </w:pPr>
            <w:r>
              <w:rPr>
                <w:sz w:val="21"/>
                <w:szCs w:val="21"/>
              </w:rPr>
              <w:t>《</w:t>
            </w:r>
            <w:r>
              <w:rPr>
                <w:rFonts w:hint="eastAsia"/>
                <w:sz w:val="21"/>
                <w:szCs w:val="21"/>
              </w:rPr>
              <w:t>安全设施设计</w:t>
            </w:r>
            <w:r>
              <w:rPr>
                <w:sz w:val="21"/>
                <w:szCs w:val="21"/>
              </w:rPr>
              <w:t>》</w:t>
            </w:r>
          </w:p>
        </w:tc>
        <w:tc>
          <w:tcPr>
            <w:tcW w:w="422" w:type="pct"/>
            <w:noWrap w:val="0"/>
            <w:vAlign w:val="center"/>
          </w:tcPr>
          <w:p w14:paraId="63E6488A">
            <w:pPr>
              <w:pStyle w:val="27"/>
              <w:bidi w:val="0"/>
              <w:rPr>
                <w:sz w:val="21"/>
                <w:szCs w:val="21"/>
              </w:rPr>
            </w:pPr>
            <w:r>
              <w:rPr>
                <w:sz w:val="21"/>
                <w:szCs w:val="21"/>
              </w:rPr>
              <w:t>现场检查</w:t>
            </w:r>
          </w:p>
        </w:tc>
        <w:tc>
          <w:tcPr>
            <w:tcW w:w="1337" w:type="pct"/>
            <w:noWrap w:val="0"/>
            <w:vAlign w:val="center"/>
          </w:tcPr>
          <w:p w14:paraId="5A41425F">
            <w:pPr>
              <w:pStyle w:val="27"/>
              <w:bidi w:val="0"/>
              <w:rPr>
                <w:sz w:val="21"/>
                <w:szCs w:val="21"/>
              </w:rPr>
            </w:pPr>
            <w:r>
              <w:rPr>
                <w:sz w:val="21"/>
                <w:szCs w:val="21"/>
              </w:rPr>
              <w:t>矿山圈定了爆破警戒（300m），设置了安全警示标志，爆破时撤离至安全地点。</w:t>
            </w:r>
          </w:p>
          <w:p w14:paraId="0D206508">
            <w:pPr>
              <w:pStyle w:val="27"/>
              <w:bidi w:val="0"/>
              <w:rPr>
                <w:sz w:val="21"/>
                <w:szCs w:val="21"/>
              </w:rPr>
            </w:pPr>
            <w:r>
              <w:rPr>
                <w:sz w:val="21"/>
                <w:szCs w:val="21"/>
              </w:rPr>
              <w:t>爆破作业由爆破公司实施，配置有警示旗、报警器、警戒带。</w:t>
            </w:r>
          </w:p>
        </w:tc>
        <w:tc>
          <w:tcPr>
            <w:tcW w:w="489" w:type="pct"/>
            <w:noWrap w:val="0"/>
            <w:vAlign w:val="center"/>
          </w:tcPr>
          <w:p w14:paraId="47D68343">
            <w:pPr>
              <w:pStyle w:val="27"/>
              <w:bidi w:val="0"/>
              <w:rPr>
                <w:sz w:val="21"/>
                <w:szCs w:val="21"/>
              </w:rPr>
            </w:pPr>
            <w:r>
              <w:rPr>
                <w:sz w:val="21"/>
                <w:szCs w:val="21"/>
              </w:rPr>
              <w:t>符合</w:t>
            </w:r>
          </w:p>
        </w:tc>
      </w:tr>
      <w:tr w14:paraId="08AFF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 w:type="pct"/>
            <w:noWrap w:val="0"/>
            <w:vAlign w:val="center"/>
          </w:tcPr>
          <w:p w14:paraId="29806DBC">
            <w:pPr>
              <w:pStyle w:val="27"/>
              <w:bidi w:val="0"/>
              <w:rPr>
                <w:sz w:val="21"/>
                <w:szCs w:val="21"/>
              </w:rPr>
            </w:pPr>
            <w:r>
              <w:rPr>
                <w:sz w:val="21"/>
                <w:szCs w:val="21"/>
              </w:rPr>
              <w:t>5</w:t>
            </w:r>
          </w:p>
        </w:tc>
        <w:tc>
          <w:tcPr>
            <w:tcW w:w="1489" w:type="pct"/>
            <w:noWrap w:val="0"/>
            <w:vAlign w:val="center"/>
          </w:tcPr>
          <w:p w14:paraId="7815129D">
            <w:pPr>
              <w:pStyle w:val="27"/>
              <w:bidi w:val="0"/>
              <w:rPr>
                <w:rFonts w:hint="eastAsia"/>
                <w:sz w:val="21"/>
                <w:szCs w:val="21"/>
              </w:rPr>
            </w:pPr>
            <w:r>
              <w:rPr>
                <w:sz w:val="21"/>
                <w:szCs w:val="21"/>
              </w:rPr>
              <w:t>爆破作业必须严格执行国家有关民用爆炸物品和爆破作业的安全规定，由取得爆破作业人员资格证书的专职爆破员进行爆破作业，设置爆破警戒范围</w:t>
            </w:r>
            <w:r>
              <w:rPr>
                <w:rFonts w:hint="eastAsia"/>
                <w:sz w:val="21"/>
                <w:szCs w:val="21"/>
              </w:rPr>
              <w:t>。</w:t>
            </w:r>
          </w:p>
        </w:tc>
        <w:tc>
          <w:tcPr>
            <w:tcW w:w="937" w:type="pct"/>
            <w:noWrap w:val="0"/>
            <w:vAlign w:val="center"/>
          </w:tcPr>
          <w:p w14:paraId="4CD11CF1">
            <w:pPr>
              <w:pStyle w:val="27"/>
              <w:bidi w:val="0"/>
              <w:rPr>
                <w:sz w:val="21"/>
                <w:szCs w:val="21"/>
              </w:rPr>
            </w:pPr>
            <w:r>
              <w:rPr>
                <w:sz w:val="21"/>
                <w:szCs w:val="21"/>
              </w:rPr>
              <w:t>《</w:t>
            </w:r>
            <w:r>
              <w:rPr>
                <w:rFonts w:hint="eastAsia"/>
                <w:sz w:val="21"/>
                <w:szCs w:val="21"/>
              </w:rPr>
              <w:t>安全设施设计</w:t>
            </w:r>
            <w:r>
              <w:rPr>
                <w:sz w:val="21"/>
                <w:szCs w:val="21"/>
              </w:rPr>
              <w:t>》</w:t>
            </w:r>
          </w:p>
        </w:tc>
        <w:tc>
          <w:tcPr>
            <w:tcW w:w="422" w:type="pct"/>
            <w:noWrap w:val="0"/>
            <w:vAlign w:val="center"/>
          </w:tcPr>
          <w:p w14:paraId="6B3CB0D8">
            <w:pPr>
              <w:pStyle w:val="27"/>
              <w:bidi w:val="0"/>
              <w:rPr>
                <w:sz w:val="21"/>
                <w:szCs w:val="21"/>
              </w:rPr>
            </w:pPr>
            <w:r>
              <w:rPr>
                <w:sz w:val="21"/>
                <w:szCs w:val="21"/>
              </w:rPr>
              <w:t>查阅资料</w:t>
            </w:r>
          </w:p>
          <w:p w14:paraId="187A45B7">
            <w:pPr>
              <w:pStyle w:val="27"/>
              <w:bidi w:val="0"/>
              <w:rPr>
                <w:sz w:val="21"/>
                <w:szCs w:val="21"/>
              </w:rPr>
            </w:pPr>
            <w:r>
              <w:rPr>
                <w:sz w:val="21"/>
                <w:szCs w:val="21"/>
              </w:rPr>
              <w:t>现场检查</w:t>
            </w:r>
          </w:p>
        </w:tc>
        <w:tc>
          <w:tcPr>
            <w:tcW w:w="1337" w:type="pct"/>
            <w:noWrap w:val="0"/>
            <w:vAlign w:val="center"/>
          </w:tcPr>
          <w:p w14:paraId="613AB47C">
            <w:pPr>
              <w:pStyle w:val="27"/>
              <w:bidi w:val="0"/>
              <w:rPr>
                <w:sz w:val="21"/>
                <w:szCs w:val="21"/>
              </w:rPr>
            </w:pPr>
            <w:r>
              <w:rPr>
                <w:rFonts w:hint="eastAsia"/>
                <w:sz w:val="21"/>
                <w:szCs w:val="21"/>
              </w:rPr>
              <w:t>民爆公司具有爆破资质，</w:t>
            </w:r>
            <w:r>
              <w:rPr>
                <w:rFonts w:hint="eastAsia"/>
                <w:sz w:val="21"/>
                <w:szCs w:val="21"/>
                <w:lang w:eastAsia="zh-CN"/>
              </w:rPr>
              <w:t>海城市聚威爆破有限公司</w:t>
            </w:r>
            <w:r>
              <w:rPr>
                <w:rFonts w:hint="eastAsia"/>
                <w:sz w:val="21"/>
                <w:szCs w:val="21"/>
              </w:rPr>
              <w:t>，资质号：2100001300</w:t>
            </w:r>
            <w:r>
              <w:rPr>
                <w:rFonts w:hint="eastAsia"/>
                <w:sz w:val="21"/>
                <w:szCs w:val="21"/>
                <w:lang w:val="en-US" w:eastAsia="zh-CN"/>
              </w:rPr>
              <w:t>223</w:t>
            </w:r>
            <w:r>
              <w:rPr>
                <w:rFonts w:hint="eastAsia"/>
                <w:sz w:val="21"/>
                <w:szCs w:val="21"/>
              </w:rPr>
              <w:t>，有效期至202</w:t>
            </w:r>
            <w:r>
              <w:rPr>
                <w:rFonts w:hint="eastAsia"/>
                <w:sz w:val="21"/>
                <w:szCs w:val="21"/>
                <w:lang w:val="en-US" w:eastAsia="zh-CN"/>
              </w:rPr>
              <w:t>5</w:t>
            </w:r>
            <w:r>
              <w:rPr>
                <w:rFonts w:hint="eastAsia"/>
                <w:sz w:val="21"/>
                <w:szCs w:val="21"/>
              </w:rPr>
              <w:t>年</w:t>
            </w:r>
            <w:r>
              <w:rPr>
                <w:rFonts w:hint="eastAsia"/>
                <w:sz w:val="21"/>
                <w:szCs w:val="21"/>
                <w:lang w:val="en-US" w:eastAsia="zh-CN"/>
              </w:rPr>
              <w:t>6</w:t>
            </w:r>
            <w:r>
              <w:rPr>
                <w:rFonts w:hint="eastAsia"/>
                <w:sz w:val="21"/>
                <w:szCs w:val="21"/>
              </w:rPr>
              <w:t>月</w:t>
            </w:r>
            <w:r>
              <w:rPr>
                <w:rFonts w:hint="eastAsia"/>
                <w:sz w:val="21"/>
                <w:szCs w:val="21"/>
                <w:lang w:val="en-US" w:eastAsia="zh-CN"/>
              </w:rPr>
              <w:t>2</w:t>
            </w:r>
            <w:r>
              <w:rPr>
                <w:rFonts w:hint="eastAsia"/>
                <w:sz w:val="21"/>
                <w:szCs w:val="21"/>
              </w:rPr>
              <w:t>日</w:t>
            </w:r>
          </w:p>
        </w:tc>
        <w:tc>
          <w:tcPr>
            <w:tcW w:w="489" w:type="pct"/>
            <w:noWrap w:val="0"/>
            <w:vAlign w:val="center"/>
          </w:tcPr>
          <w:p w14:paraId="6FFB6D79">
            <w:pPr>
              <w:pStyle w:val="27"/>
              <w:bidi w:val="0"/>
              <w:rPr>
                <w:sz w:val="21"/>
                <w:szCs w:val="21"/>
              </w:rPr>
            </w:pPr>
            <w:r>
              <w:rPr>
                <w:sz w:val="21"/>
                <w:szCs w:val="21"/>
              </w:rPr>
              <w:t>符合</w:t>
            </w:r>
          </w:p>
        </w:tc>
      </w:tr>
      <w:tr w14:paraId="03F4BF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 w:type="pct"/>
            <w:noWrap w:val="0"/>
            <w:vAlign w:val="center"/>
          </w:tcPr>
          <w:p w14:paraId="0663ACC2">
            <w:pPr>
              <w:pStyle w:val="27"/>
              <w:bidi w:val="0"/>
              <w:rPr>
                <w:sz w:val="21"/>
                <w:szCs w:val="21"/>
              </w:rPr>
            </w:pPr>
            <w:r>
              <w:rPr>
                <w:sz w:val="21"/>
                <w:szCs w:val="21"/>
              </w:rPr>
              <w:t>6</w:t>
            </w:r>
          </w:p>
        </w:tc>
        <w:tc>
          <w:tcPr>
            <w:tcW w:w="1489" w:type="pct"/>
            <w:noWrap w:val="0"/>
            <w:vAlign w:val="center"/>
          </w:tcPr>
          <w:p w14:paraId="5FACF2A2">
            <w:pPr>
              <w:pStyle w:val="27"/>
              <w:bidi w:val="0"/>
              <w:rPr>
                <w:rFonts w:hint="eastAsia"/>
                <w:sz w:val="21"/>
                <w:szCs w:val="21"/>
              </w:rPr>
            </w:pPr>
            <w:r>
              <w:rPr>
                <w:rFonts w:hint="eastAsia"/>
                <w:sz w:val="21"/>
                <w:szCs w:val="21"/>
              </w:rPr>
              <w:t>严格爆破器材的使用管理，当日剩余的爆破器材必须清点返回民爆公司保管，严禁乱放、乱扔、私存和转让他人。</w:t>
            </w:r>
          </w:p>
        </w:tc>
        <w:tc>
          <w:tcPr>
            <w:tcW w:w="937" w:type="pct"/>
            <w:noWrap w:val="0"/>
            <w:vAlign w:val="center"/>
          </w:tcPr>
          <w:p w14:paraId="0EC3B7DC">
            <w:pPr>
              <w:pStyle w:val="27"/>
              <w:bidi w:val="0"/>
              <w:rPr>
                <w:sz w:val="21"/>
                <w:szCs w:val="21"/>
              </w:rPr>
            </w:pPr>
            <w:r>
              <w:rPr>
                <w:sz w:val="21"/>
                <w:szCs w:val="21"/>
              </w:rPr>
              <w:t>《</w:t>
            </w:r>
            <w:r>
              <w:rPr>
                <w:rFonts w:hint="eastAsia"/>
                <w:sz w:val="21"/>
                <w:szCs w:val="21"/>
              </w:rPr>
              <w:t>安全设施设计</w:t>
            </w:r>
            <w:r>
              <w:rPr>
                <w:sz w:val="21"/>
                <w:szCs w:val="21"/>
              </w:rPr>
              <w:t>》</w:t>
            </w:r>
          </w:p>
        </w:tc>
        <w:tc>
          <w:tcPr>
            <w:tcW w:w="422" w:type="pct"/>
            <w:noWrap w:val="0"/>
            <w:vAlign w:val="center"/>
          </w:tcPr>
          <w:p w14:paraId="1AE83741">
            <w:pPr>
              <w:pStyle w:val="27"/>
              <w:bidi w:val="0"/>
              <w:rPr>
                <w:sz w:val="21"/>
                <w:szCs w:val="21"/>
              </w:rPr>
            </w:pPr>
            <w:r>
              <w:rPr>
                <w:sz w:val="21"/>
                <w:szCs w:val="21"/>
              </w:rPr>
              <w:t>现场检查</w:t>
            </w:r>
          </w:p>
        </w:tc>
        <w:tc>
          <w:tcPr>
            <w:tcW w:w="1337" w:type="pct"/>
            <w:noWrap w:val="0"/>
            <w:vAlign w:val="center"/>
          </w:tcPr>
          <w:p w14:paraId="4C537911">
            <w:pPr>
              <w:pStyle w:val="27"/>
              <w:bidi w:val="0"/>
              <w:rPr>
                <w:sz w:val="21"/>
                <w:szCs w:val="21"/>
              </w:rPr>
            </w:pPr>
            <w:r>
              <w:rPr>
                <w:rFonts w:hint="eastAsia"/>
                <w:sz w:val="21"/>
                <w:szCs w:val="21"/>
              </w:rPr>
              <w:t>民爆公司负责爆破器材的统一管理，</w:t>
            </w:r>
            <w:r>
              <w:rPr>
                <w:sz w:val="21"/>
                <w:szCs w:val="21"/>
              </w:rPr>
              <w:t>按照制度执行。</w:t>
            </w:r>
          </w:p>
        </w:tc>
        <w:tc>
          <w:tcPr>
            <w:tcW w:w="489" w:type="pct"/>
            <w:noWrap w:val="0"/>
            <w:vAlign w:val="center"/>
          </w:tcPr>
          <w:p w14:paraId="7E9037D4">
            <w:pPr>
              <w:pStyle w:val="27"/>
              <w:bidi w:val="0"/>
              <w:rPr>
                <w:sz w:val="21"/>
                <w:szCs w:val="21"/>
              </w:rPr>
            </w:pPr>
            <w:r>
              <w:rPr>
                <w:sz w:val="21"/>
                <w:szCs w:val="21"/>
              </w:rPr>
              <w:t>符合</w:t>
            </w:r>
          </w:p>
        </w:tc>
      </w:tr>
    </w:tbl>
    <w:p w14:paraId="55F2146A">
      <w:pPr>
        <w:pStyle w:val="26"/>
        <w:bidi w:val="0"/>
      </w:pPr>
      <w:r>
        <w:t>表3</w:t>
      </w:r>
      <w:r>
        <w:rPr>
          <w:rFonts w:hint="eastAsia"/>
          <w:lang w:val="en-US" w:eastAsia="zh-CN"/>
        </w:rPr>
        <w:t>.</w:t>
      </w:r>
      <w:r>
        <w:t>2-3铲装作业安全检查表</w:t>
      </w:r>
    </w:p>
    <w:tbl>
      <w:tblPr>
        <w:tblStyle w:val="2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9"/>
        <w:gridCol w:w="2511"/>
        <w:gridCol w:w="1404"/>
        <w:gridCol w:w="1089"/>
        <w:gridCol w:w="2112"/>
        <w:gridCol w:w="782"/>
      </w:tblGrid>
      <w:tr w14:paraId="797AD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63" w:type="pct"/>
            <w:noWrap w:val="0"/>
            <w:vAlign w:val="center"/>
          </w:tcPr>
          <w:p w14:paraId="5F0C65B6">
            <w:pPr>
              <w:pStyle w:val="27"/>
              <w:bidi w:val="0"/>
              <w:rPr>
                <w:b/>
                <w:bCs/>
                <w:sz w:val="21"/>
                <w:szCs w:val="21"/>
              </w:rPr>
            </w:pPr>
            <w:r>
              <w:rPr>
                <w:b/>
                <w:bCs/>
                <w:sz w:val="21"/>
                <w:szCs w:val="21"/>
              </w:rPr>
              <w:t>序号</w:t>
            </w:r>
          </w:p>
        </w:tc>
        <w:tc>
          <w:tcPr>
            <w:tcW w:w="1473" w:type="pct"/>
            <w:noWrap w:val="0"/>
            <w:vAlign w:val="center"/>
          </w:tcPr>
          <w:p w14:paraId="7FEB8CC7">
            <w:pPr>
              <w:pStyle w:val="27"/>
              <w:bidi w:val="0"/>
              <w:rPr>
                <w:b/>
                <w:bCs/>
                <w:sz w:val="21"/>
                <w:szCs w:val="21"/>
              </w:rPr>
            </w:pPr>
            <w:r>
              <w:rPr>
                <w:b/>
                <w:bCs/>
                <w:sz w:val="21"/>
                <w:szCs w:val="21"/>
              </w:rPr>
              <w:t>检查内容</w:t>
            </w:r>
          </w:p>
        </w:tc>
        <w:tc>
          <w:tcPr>
            <w:tcW w:w="824" w:type="pct"/>
            <w:noWrap w:val="0"/>
            <w:vAlign w:val="center"/>
          </w:tcPr>
          <w:p w14:paraId="2A1C8768">
            <w:pPr>
              <w:pStyle w:val="27"/>
              <w:bidi w:val="0"/>
              <w:rPr>
                <w:b/>
                <w:bCs/>
                <w:sz w:val="21"/>
                <w:szCs w:val="21"/>
              </w:rPr>
            </w:pPr>
            <w:r>
              <w:rPr>
                <w:b/>
                <w:bCs/>
                <w:sz w:val="21"/>
                <w:szCs w:val="21"/>
              </w:rPr>
              <w:t>检查依据</w:t>
            </w:r>
          </w:p>
        </w:tc>
        <w:tc>
          <w:tcPr>
            <w:tcW w:w="639" w:type="pct"/>
            <w:noWrap w:val="0"/>
            <w:vAlign w:val="center"/>
          </w:tcPr>
          <w:p w14:paraId="4E3D63CD">
            <w:pPr>
              <w:pStyle w:val="27"/>
              <w:bidi w:val="0"/>
              <w:rPr>
                <w:b/>
                <w:bCs/>
                <w:sz w:val="21"/>
                <w:szCs w:val="21"/>
              </w:rPr>
            </w:pPr>
            <w:r>
              <w:rPr>
                <w:b/>
                <w:bCs/>
                <w:sz w:val="21"/>
                <w:szCs w:val="21"/>
              </w:rPr>
              <w:t>检查方法</w:t>
            </w:r>
          </w:p>
        </w:tc>
        <w:tc>
          <w:tcPr>
            <w:tcW w:w="1239" w:type="pct"/>
            <w:noWrap w:val="0"/>
            <w:vAlign w:val="center"/>
          </w:tcPr>
          <w:p w14:paraId="33A31F6A">
            <w:pPr>
              <w:pStyle w:val="27"/>
              <w:bidi w:val="0"/>
              <w:rPr>
                <w:b/>
                <w:bCs/>
                <w:sz w:val="21"/>
                <w:szCs w:val="21"/>
              </w:rPr>
            </w:pPr>
            <w:r>
              <w:rPr>
                <w:b/>
                <w:bCs/>
                <w:sz w:val="21"/>
                <w:szCs w:val="21"/>
              </w:rPr>
              <w:t>检查情况</w:t>
            </w:r>
          </w:p>
        </w:tc>
        <w:tc>
          <w:tcPr>
            <w:tcW w:w="459" w:type="pct"/>
            <w:noWrap w:val="0"/>
            <w:vAlign w:val="center"/>
          </w:tcPr>
          <w:p w14:paraId="7A2DBDC8">
            <w:pPr>
              <w:pStyle w:val="27"/>
              <w:bidi w:val="0"/>
              <w:rPr>
                <w:b/>
                <w:bCs/>
                <w:sz w:val="21"/>
                <w:szCs w:val="21"/>
              </w:rPr>
            </w:pPr>
            <w:r>
              <w:rPr>
                <w:b/>
                <w:bCs/>
                <w:sz w:val="21"/>
                <w:szCs w:val="21"/>
              </w:rPr>
              <w:t>检查</w:t>
            </w:r>
          </w:p>
          <w:p w14:paraId="79505FAF">
            <w:pPr>
              <w:pStyle w:val="27"/>
              <w:bidi w:val="0"/>
              <w:rPr>
                <w:b/>
                <w:bCs/>
                <w:sz w:val="21"/>
                <w:szCs w:val="21"/>
              </w:rPr>
            </w:pPr>
            <w:r>
              <w:rPr>
                <w:b/>
                <w:bCs/>
                <w:sz w:val="21"/>
                <w:szCs w:val="21"/>
              </w:rPr>
              <w:t>结果</w:t>
            </w:r>
          </w:p>
        </w:tc>
      </w:tr>
      <w:tr w14:paraId="1C8FA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363" w:type="pct"/>
            <w:noWrap w:val="0"/>
            <w:vAlign w:val="center"/>
          </w:tcPr>
          <w:p w14:paraId="023D9691">
            <w:pPr>
              <w:pStyle w:val="27"/>
              <w:bidi w:val="0"/>
              <w:rPr>
                <w:sz w:val="21"/>
                <w:szCs w:val="21"/>
              </w:rPr>
            </w:pPr>
            <w:r>
              <w:rPr>
                <w:sz w:val="21"/>
                <w:szCs w:val="21"/>
              </w:rPr>
              <w:t>1</w:t>
            </w:r>
          </w:p>
        </w:tc>
        <w:tc>
          <w:tcPr>
            <w:tcW w:w="1473" w:type="pct"/>
            <w:noWrap w:val="0"/>
            <w:vAlign w:val="center"/>
          </w:tcPr>
          <w:p w14:paraId="15F69364">
            <w:pPr>
              <w:pStyle w:val="27"/>
              <w:bidi w:val="0"/>
              <w:rPr>
                <w:rFonts w:hint="eastAsia"/>
                <w:sz w:val="21"/>
                <w:szCs w:val="21"/>
              </w:rPr>
            </w:pPr>
            <w:r>
              <w:rPr>
                <w:sz w:val="21"/>
                <w:szCs w:val="21"/>
              </w:rPr>
              <w:t>铲装矿石时，严禁超载</w:t>
            </w:r>
            <w:r>
              <w:rPr>
                <w:rFonts w:hint="eastAsia"/>
                <w:sz w:val="21"/>
                <w:szCs w:val="21"/>
              </w:rPr>
              <w:t>。</w:t>
            </w:r>
          </w:p>
        </w:tc>
        <w:tc>
          <w:tcPr>
            <w:tcW w:w="824" w:type="pct"/>
            <w:noWrap w:val="0"/>
            <w:vAlign w:val="center"/>
          </w:tcPr>
          <w:p w14:paraId="5EC8D2D7">
            <w:pPr>
              <w:pStyle w:val="27"/>
              <w:bidi w:val="0"/>
              <w:rPr>
                <w:sz w:val="21"/>
                <w:szCs w:val="21"/>
              </w:rPr>
            </w:pPr>
            <w:r>
              <w:rPr>
                <w:sz w:val="21"/>
                <w:szCs w:val="21"/>
              </w:rPr>
              <w:t>《</w:t>
            </w:r>
            <w:r>
              <w:rPr>
                <w:rFonts w:hint="eastAsia"/>
                <w:sz w:val="21"/>
                <w:szCs w:val="21"/>
              </w:rPr>
              <w:t>安全设施设计</w:t>
            </w:r>
            <w:r>
              <w:rPr>
                <w:sz w:val="21"/>
                <w:szCs w:val="21"/>
              </w:rPr>
              <w:t>》</w:t>
            </w:r>
          </w:p>
        </w:tc>
        <w:tc>
          <w:tcPr>
            <w:tcW w:w="639" w:type="pct"/>
            <w:noWrap w:val="0"/>
            <w:vAlign w:val="center"/>
          </w:tcPr>
          <w:p w14:paraId="4044E710">
            <w:pPr>
              <w:pStyle w:val="27"/>
              <w:bidi w:val="0"/>
              <w:rPr>
                <w:sz w:val="21"/>
                <w:szCs w:val="21"/>
              </w:rPr>
            </w:pPr>
            <w:r>
              <w:rPr>
                <w:sz w:val="21"/>
                <w:szCs w:val="21"/>
              </w:rPr>
              <w:t>现场检查</w:t>
            </w:r>
          </w:p>
        </w:tc>
        <w:tc>
          <w:tcPr>
            <w:tcW w:w="1239" w:type="pct"/>
            <w:noWrap w:val="0"/>
            <w:vAlign w:val="center"/>
          </w:tcPr>
          <w:p w14:paraId="56F657D0">
            <w:pPr>
              <w:pStyle w:val="27"/>
              <w:bidi w:val="0"/>
              <w:rPr>
                <w:rFonts w:hint="eastAsia"/>
                <w:sz w:val="21"/>
                <w:szCs w:val="21"/>
              </w:rPr>
            </w:pPr>
            <w:r>
              <w:rPr>
                <w:sz w:val="21"/>
                <w:szCs w:val="21"/>
              </w:rPr>
              <w:t>未见超载现象</w:t>
            </w:r>
            <w:r>
              <w:rPr>
                <w:rFonts w:hint="eastAsia"/>
                <w:sz w:val="21"/>
                <w:szCs w:val="21"/>
              </w:rPr>
              <w:t>。</w:t>
            </w:r>
          </w:p>
        </w:tc>
        <w:tc>
          <w:tcPr>
            <w:tcW w:w="459" w:type="pct"/>
            <w:noWrap w:val="0"/>
            <w:vAlign w:val="center"/>
          </w:tcPr>
          <w:p w14:paraId="62A5200F">
            <w:pPr>
              <w:pStyle w:val="27"/>
              <w:bidi w:val="0"/>
              <w:rPr>
                <w:sz w:val="21"/>
                <w:szCs w:val="21"/>
              </w:rPr>
            </w:pPr>
            <w:r>
              <w:rPr>
                <w:sz w:val="21"/>
                <w:szCs w:val="21"/>
              </w:rPr>
              <w:t>符合</w:t>
            </w:r>
          </w:p>
        </w:tc>
      </w:tr>
      <w:tr w14:paraId="7F1B7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noWrap w:val="0"/>
            <w:vAlign w:val="center"/>
          </w:tcPr>
          <w:p w14:paraId="1BD34793">
            <w:pPr>
              <w:pStyle w:val="27"/>
              <w:bidi w:val="0"/>
              <w:rPr>
                <w:sz w:val="21"/>
                <w:szCs w:val="21"/>
              </w:rPr>
            </w:pPr>
            <w:r>
              <w:rPr>
                <w:sz w:val="21"/>
                <w:szCs w:val="21"/>
              </w:rPr>
              <w:t>2</w:t>
            </w:r>
          </w:p>
        </w:tc>
        <w:tc>
          <w:tcPr>
            <w:tcW w:w="1473" w:type="pct"/>
            <w:noWrap w:val="0"/>
            <w:vAlign w:val="center"/>
          </w:tcPr>
          <w:p w14:paraId="7DE4D2B2">
            <w:pPr>
              <w:pStyle w:val="27"/>
              <w:bidi w:val="0"/>
              <w:rPr>
                <w:rFonts w:hint="eastAsia"/>
                <w:sz w:val="21"/>
                <w:szCs w:val="21"/>
              </w:rPr>
            </w:pPr>
            <w:r>
              <w:rPr>
                <w:sz w:val="21"/>
                <w:szCs w:val="21"/>
              </w:rPr>
              <w:t>采掘设备运转时，禁止人员对其转动部分进行检修、注油和清扫</w:t>
            </w:r>
            <w:r>
              <w:rPr>
                <w:rFonts w:hint="eastAsia"/>
                <w:sz w:val="21"/>
                <w:szCs w:val="21"/>
              </w:rPr>
              <w:t>。</w:t>
            </w:r>
          </w:p>
        </w:tc>
        <w:tc>
          <w:tcPr>
            <w:tcW w:w="824" w:type="pct"/>
            <w:noWrap w:val="0"/>
            <w:vAlign w:val="center"/>
          </w:tcPr>
          <w:p w14:paraId="643C9A28">
            <w:pPr>
              <w:pStyle w:val="27"/>
              <w:bidi w:val="0"/>
              <w:rPr>
                <w:sz w:val="21"/>
                <w:szCs w:val="21"/>
              </w:rPr>
            </w:pPr>
            <w:r>
              <w:rPr>
                <w:sz w:val="21"/>
                <w:szCs w:val="21"/>
              </w:rPr>
              <w:t>《</w:t>
            </w:r>
            <w:r>
              <w:rPr>
                <w:rFonts w:hint="eastAsia"/>
                <w:sz w:val="21"/>
                <w:szCs w:val="21"/>
              </w:rPr>
              <w:t>安全设施设计</w:t>
            </w:r>
            <w:r>
              <w:rPr>
                <w:sz w:val="21"/>
                <w:szCs w:val="21"/>
              </w:rPr>
              <w:t>》</w:t>
            </w:r>
          </w:p>
        </w:tc>
        <w:tc>
          <w:tcPr>
            <w:tcW w:w="639" w:type="pct"/>
            <w:noWrap w:val="0"/>
            <w:vAlign w:val="center"/>
          </w:tcPr>
          <w:p w14:paraId="533F36B1">
            <w:pPr>
              <w:pStyle w:val="27"/>
              <w:bidi w:val="0"/>
              <w:rPr>
                <w:sz w:val="21"/>
                <w:szCs w:val="21"/>
              </w:rPr>
            </w:pPr>
            <w:r>
              <w:rPr>
                <w:sz w:val="21"/>
                <w:szCs w:val="21"/>
              </w:rPr>
              <w:t>现场检查</w:t>
            </w:r>
          </w:p>
        </w:tc>
        <w:tc>
          <w:tcPr>
            <w:tcW w:w="1239" w:type="pct"/>
            <w:noWrap w:val="0"/>
            <w:vAlign w:val="center"/>
          </w:tcPr>
          <w:p w14:paraId="3B85930A">
            <w:pPr>
              <w:pStyle w:val="27"/>
              <w:bidi w:val="0"/>
              <w:rPr>
                <w:rFonts w:hint="eastAsia"/>
                <w:sz w:val="21"/>
                <w:szCs w:val="21"/>
              </w:rPr>
            </w:pPr>
            <w:r>
              <w:rPr>
                <w:sz w:val="21"/>
                <w:szCs w:val="21"/>
              </w:rPr>
              <w:t>禁止人员对其转动部分进行检修、注油和清扫</w:t>
            </w:r>
            <w:r>
              <w:rPr>
                <w:rFonts w:hint="eastAsia"/>
                <w:sz w:val="21"/>
                <w:szCs w:val="21"/>
              </w:rPr>
              <w:t>。</w:t>
            </w:r>
          </w:p>
        </w:tc>
        <w:tc>
          <w:tcPr>
            <w:tcW w:w="459" w:type="pct"/>
            <w:noWrap w:val="0"/>
            <w:vAlign w:val="center"/>
          </w:tcPr>
          <w:p w14:paraId="6FF90B59">
            <w:pPr>
              <w:pStyle w:val="27"/>
              <w:bidi w:val="0"/>
              <w:rPr>
                <w:sz w:val="21"/>
                <w:szCs w:val="21"/>
              </w:rPr>
            </w:pPr>
            <w:r>
              <w:rPr>
                <w:sz w:val="21"/>
                <w:szCs w:val="21"/>
              </w:rPr>
              <w:t>符合</w:t>
            </w:r>
          </w:p>
        </w:tc>
      </w:tr>
      <w:tr w14:paraId="11A2E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noWrap w:val="0"/>
            <w:vAlign w:val="center"/>
          </w:tcPr>
          <w:p w14:paraId="0D04F748">
            <w:pPr>
              <w:pStyle w:val="27"/>
              <w:bidi w:val="0"/>
              <w:rPr>
                <w:sz w:val="21"/>
                <w:szCs w:val="21"/>
              </w:rPr>
            </w:pPr>
            <w:r>
              <w:rPr>
                <w:sz w:val="21"/>
                <w:szCs w:val="21"/>
              </w:rPr>
              <w:t>3</w:t>
            </w:r>
          </w:p>
        </w:tc>
        <w:tc>
          <w:tcPr>
            <w:tcW w:w="1473" w:type="pct"/>
            <w:noWrap w:val="0"/>
            <w:vAlign w:val="center"/>
          </w:tcPr>
          <w:p w14:paraId="4EFDDDB7">
            <w:pPr>
              <w:pStyle w:val="27"/>
              <w:bidi w:val="0"/>
              <w:rPr>
                <w:rFonts w:hint="eastAsia"/>
                <w:sz w:val="21"/>
                <w:szCs w:val="21"/>
              </w:rPr>
            </w:pPr>
            <w:r>
              <w:rPr>
                <w:sz w:val="21"/>
                <w:szCs w:val="21"/>
              </w:rPr>
              <w:t>挖掘机的停留、挖掘作业等，严格执行挖掘机的安全操作规程</w:t>
            </w:r>
            <w:r>
              <w:rPr>
                <w:rFonts w:hint="eastAsia"/>
                <w:sz w:val="21"/>
                <w:szCs w:val="21"/>
              </w:rPr>
              <w:t>。</w:t>
            </w:r>
          </w:p>
        </w:tc>
        <w:tc>
          <w:tcPr>
            <w:tcW w:w="824" w:type="pct"/>
            <w:noWrap w:val="0"/>
            <w:vAlign w:val="center"/>
          </w:tcPr>
          <w:p w14:paraId="406A3504">
            <w:pPr>
              <w:pStyle w:val="27"/>
              <w:bidi w:val="0"/>
              <w:rPr>
                <w:sz w:val="21"/>
                <w:szCs w:val="21"/>
              </w:rPr>
            </w:pPr>
            <w:r>
              <w:rPr>
                <w:sz w:val="21"/>
                <w:szCs w:val="21"/>
              </w:rPr>
              <w:t>《</w:t>
            </w:r>
            <w:r>
              <w:rPr>
                <w:rFonts w:hint="eastAsia"/>
                <w:sz w:val="21"/>
                <w:szCs w:val="21"/>
              </w:rPr>
              <w:t>安全设施设计</w:t>
            </w:r>
            <w:r>
              <w:rPr>
                <w:sz w:val="21"/>
                <w:szCs w:val="21"/>
              </w:rPr>
              <w:t>》</w:t>
            </w:r>
          </w:p>
        </w:tc>
        <w:tc>
          <w:tcPr>
            <w:tcW w:w="639" w:type="pct"/>
            <w:noWrap w:val="0"/>
            <w:vAlign w:val="center"/>
          </w:tcPr>
          <w:p w14:paraId="0413A5A3">
            <w:pPr>
              <w:pStyle w:val="27"/>
              <w:bidi w:val="0"/>
              <w:rPr>
                <w:sz w:val="21"/>
                <w:szCs w:val="21"/>
              </w:rPr>
            </w:pPr>
            <w:r>
              <w:rPr>
                <w:sz w:val="21"/>
                <w:szCs w:val="21"/>
              </w:rPr>
              <w:t>现场检查</w:t>
            </w:r>
          </w:p>
        </w:tc>
        <w:tc>
          <w:tcPr>
            <w:tcW w:w="1239" w:type="pct"/>
            <w:noWrap w:val="0"/>
            <w:vAlign w:val="center"/>
          </w:tcPr>
          <w:p w14:paraId="5ABC9039">
            <w:pPr>
              <w:pStyle w:val="27"/>
              <w:bidi w:val="0"/>
              <w:rPr>
                <w:rFonts w:hint="eastAsia"/>
                <w:sz w:val="21"/>
                <w:szCs w:val="21"/>
              </w:rPr>
            </w:pPr>
            <w:r>
              <w:rPr>
                <w:sz w:val="21"/>
                <w:szCs w:val="21"/>
              </w:rPr>
              <w:t>严格执行挖掘机的安全操作规程</w:t>
            </w:r>
            <w:r>
              <w:rPr>
                <w:rFonts w:hint="eastAsia"/>
                <w:sz w:val="21"/>
                <w:szCs w:val="21"/>
              </w:rPr>
              <w:t>。</w:t>
            </w:r>
          </w:p>
        </w:tc>
        <w:tc>
          <w:tcPr>
            <w:tcW w:w="459" w:type="pct"/>
            <w:noWrap w:val="0"/>
            <w:vAlign w:val="center"/>
          </w:tcPr>
          <w:p w14:paraId="4F671A97">
            <w:pPr>
              <w:pStyle w:val="27"/>
              <w:bidi w:val="0"/>
              <w:rPr>
                <w:sz w:val="21"/>
                <w:szCs w:val="21"/>
              </w:rPr>
            </w:pPr>
            <w:r>
              <w:rPr>
                <w:sz w:val="21"/>
                <w:szCs w:val="21"/>
              </w:rPr>
              <w:t>符合</w:t>
            </w:r>
          </w:p>
        </w:tc>
      </w:tr>
      <w:tr w14:paraId="3D109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noWrap w:val="0"/>
            <w:vAlign w:val="center"/>
          </w:tcPr>
          <w:p w14:paraId="1FF8ACA9">
            <w:pPr>
              <w:pStyle w:val="27"/>
              <w:bidi w:val="0"/>
              <w:rPr>
                <w:sz w:val="21"/>
                <w:szCs w:val="21"/>
              </w:rPr>
            </w:pPr>
            <w:r>
              <w:rPr>
                <w:sz w:val="21"/>
                <w:szCs w:val="21"/>
              </w:rPr>
              <w:t>4</w:t>
            </w:r>
          </w:p>
        </w:tc>
        <w:tc>
          <w:tcPr>
            <w:tcW w:w="1473" w:type="pct"/>
            <w:noWrap w:val="0"/>
            <w:vAlign w:val="center"/>
          </w:tcPr>
          <w:p w14:paraId="26331817">
            <w:pPr>
              <w:pStyle w:val="27"/>
              <w:bidi w:val="0"/>
              <w:rPr>
                <w:sz w:val="21"/>
                <w:szCs w:val="21"/>
              </w:rPr>
            </w:pPr>
            <w:r>
              <w:rPr>
                <w:sz w:val="21"/>
                <w:szCs w:val="21"/>
              </w:rPr>
              <w:t>挖掘机工作时，其平衡装置外型的垂直投影到阶段坡底的水平距离，应不小于1m。</w:t>
            </w:r>
          </w:p>
        </w:tc>
        <w:tc>
          <w:tcPr>
            <w:tcW w:w="824" w:type="pct"/>
            <w:noWrap w:val="0"/>
            <w:vAlign w:val="center"/>
          </w:tcPr>
          <w:p w14:paraId="655D5486">
            <w:pPr>
              <w:pStyle w:val="27"/>
              <w:bidi w:val="0"/>
              <w:rPr>
                <w:sz w:val="21"/>
                <w:szCs w:val="21"/>
              </w:rPr>
            </w:pPr>
            <w:r>
              <w:rPr>
                <w:sz w:val="21"/>
                <w:szCs w:val="21"/>
              </w:rPr>
              <w:t>《</w:t>
            </w:r>
            <w:r>
              <w:rPr>
                <w:rFonts w:hint="eastAsia"/>
                <w:sz w:val="21"/>
                <w:szCs w:val="21"/>
              </w:rPr>
              <w:t>安全设施设计</w:t>
            </w:r>
            <w:r>
              <w:rPr>
                <w:sz w:val="21"/>
                <w:szCs w:val="21"/>
              </w:rPr>
              <w:t>》</w:t>
            </w:r>
          </w:p>
        </w:tc>
        <w:tc>
          <w:tcPr>
            <w:tcW w:w="639" w:type="pct"/>
            <w:noWrap w:val="0"/>
            <w:vAlign w:val="center"/>
          </w:tcPr>
          <w:p w14:paraId="3BC04A02">
            <w:pPr>
              <w:pStyle w:val="27"/>
              <w:bidi w:val="0"/>
              <w:rPr>
                <w:sz w:val="21"/>
                <w:szCs w:val="21"/>
              </w:rPr>
            </w:pPr>
            <w:r>
              <w:rPr>
                <w:sz w:val="21"/>
                <w:szCs w:val="21"/>
              </w:rPr>
              <w:t>现场检查</w:t>
            </w:r>
          </w:p>
        </w:tc>
        <w:tc>
          <w:tcPr>
            <w:tcW w:w="1239" w:type="pct"/>
            <w:noWrap w:val="0"/>
            <w:vAlign w:val="center"/>
          </w:tcPr>
          <w:p w14:paraId="558BACA3">
            <w:pPr>
              <w:pStyle w:val="27"/>
              <w:bidi w:val="0"/>
              <w:rPr>
                <w:rFonts w:hint="eastAsia"/>
                <w:sz w:val="21"/>
                <w:szCs w:val="21"/>
              </w:rPr>
            </w:pPr>
            <w:r>
              <w:rPr>
                <w:sz w:val="21"/>
                <w:szCs w:val="21"/>
              </w:rPr>
              <w:t>平衡装置外型的垂直投影到阶段坡底的水平距离不小于1m</w:t>
            </w:r>
            <w:r>
              <w:rPr>
                <w:rFonts w:hint="eastAsia"/>
                <w:sz w:val="21"/>
                <w:szCs w:val="21"/>
              </w:rPr>
              <w:t>。</w:t>
            </w:r>
          </w:p>
        </w:tc>
        <w:tc>
          <w:tcPr>
            <w:tcW w:w="459" w:type="pct"/>
            <w:noWrap w:val="0"/>
            <w:vAlign w:val="center"/>
          </w:tcPr>
          <w:p w14:paraId="207C2D31">
            <w:pPr>
              <w:pStyle w:val="27"/>
              <w:bidi w:val="0"/>
              <w:rPr>
                <w:sz w:val="21"/>
                <w:szCs w:val="21"/>
              </w:rPr>
            </w:pPr>
            <w:r>
              <w:rPr>
                <w:sz w:val="21"/>
                <w:szCs w:val="21"/>
              </w:rPr>
              <w:t>符合</w:t>
            </w:r>
          </w:p>
        </w:tc>
      </w:tr>
      <w:tr w14:paraId="4663D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noWrap w:val="0"/>
            <w:vAlign w:val="center"/>
          </w:tcPr>
          <w:p w14:paraId="14B4085F">
            <w:pPr>
              <w:pStyle w:val="27"/>
              <w:bidi w:val="0"/>
              <w:rPr>
                <w:sz w:val="21"/>
                <w:szCs w:val="21"/>
              </w:rPr>
            </w:pPr>
            <w:r>
              <w:rPr>
                <w:sz w:val="21"/>
                <w:szCs w:val="21"/>
              </w:rPr>
              <w:t>5</w:t>
            </w:r>
          </w:p>
        </w:tc>
        <w:tc>
          <w:tcPr>
            <w:tcW w:w="1473" w:type="pct"/>
            <w:noWrap w:val="0"/>
            <w:vAlign w:val="center"/>
          </w:tcPr>
          <w:p w14:paraId="5FB722E3">
            <w:pPr>
              <w:pStyle w:val="27"/>
              <w:bidi w:val="0"/>
              <w:rPr>
                <w:rFonts w:hint="eastAsia"/>
                <w:sz w:val="21"/>
                <w:szCs w:val="21"/>
              </w:rPr>
            </w:pPr>
            <w:r>
              <w:rPr>
                <w:sz w:val="21"/>
                <w:szCs w:val="21"/>
              </w:rPr>
              <w:t>装车时，禁止检查、维护车辆；驾驶员不得离开驾驶室，并不得将头和手臂伸出驾驶室外</w:t>
            </w:r>
            <w:r>
              <w:rPr>
                <w:rFonts w:hint="eastAsia"/>
                <w:sz w:val="21"/>
                <w:szCs w:val="21"/>
              </w:rPr>
              <w:t>。</w:t>
            </w:r>
          </w:p>
        </w:tc>
        <w:tc>
          <w:tcPr>
            <w:tcW w:w="824" w:type="pct"/>
            <w:noWrap w:val="0"/>
            <w:vAlign w:val="center"/>
          </w:tcPr>
          <w:p w14:paraId="6F1E2081">
            <w:pPr>
              <w:pStyle w:val="27"/>
              <w:bidi w:val="0"/>
              <w:rPr>
                <w:sz w:val="21"/>
                <w:szCs w:val="21"/>
              </w:rPr>
            </w:pPr>
            <w:r>
              <w:rPr>
                <w:sz w:val="21"/>
                <w:szCs w:val="21"/>
              </w:rPr>
              <w:t>《</w:t>
            </w:r>
            <w:r>
              <w:rPr>
                <w:rFonts w:hint="eastAsia"/>
                <w:sz w:val="21"/>
                <w:szCs w:val="21"/>
              </w:rPr>
              <w:t>安全设施设计</w:t>
            </w:r>
            <w:r>
              <w:rPr>
                <w:sz w:val="21"/>
                <w:szCs w:val="21"/>
              </w:rPr>
              <w:t>》</w:t>
            </w:r>
          </w:p>
        </w:tc>
        <w:tc>
          <w:tcPr>
            <w:tcW w:w="639" w:type="pct"/>
            <w:noWrap w:val="0"/>
            <w:vAlign w:val="center"/>
          </w:tcPr>
          <w:p w14:paraId="401D1476">
            <w:pPr>
              <w:pStyle w:val="27"/>
              <w:bidi w:val="0"/>
              <w:rPr>
                <w:sz w:val="21"/>
                <w:szCs w:val="21"/>
              </w:rPr>
            </w:pPr>
            <w:r>
              <w:rPr>
                <w:sz w:val="21"/>
                <w:szCs w:val="21"/>
              </w:rPr>
              <w:t>现场检查</w:t>
            </w:r>
          </w:p>
        </w:tc>
        <w:tc>
          <w:tcPr>
            <w:tcW w:w="1239" w:type="pct"/>
            <w:noWrap w:val="0"/>
            <w:vAlign w:val="center"/>
          </w:tcPr>
          <w:p w14:paraId="04E91CF8">
            <w:pPr>
              <w:pStyle w:val="27"/>
              <w:bidi w:val="0"/>
              <w:rPr>
                <w:rFonts w:hint="eastAsia"/>
                <w:sz w:val="21"/>
                <w:szCs w:val="21"/>
              </w:rPr>
            </w:pPr>
            <w:r>
              <w:rPr>
                <w:sz w:val="21"/>
                <w:szCs w:val="21"/>
              </w:rPr>
              <w:t>按规定</w:t>
            </w:r>
            <w:r>
              <w:rPr>
                <w:rFonts w:hint="eastAsia"/>
                <w:sz w:val="21"/>
                <w:szCs w:val="21"/>
                <w:lang w:val="en-US" w:eastAsia="zh-CN"/>
              </w:rPr>
              <w:t>操作</w:t>
            </w:r>
            <w:r>
              <w:rPr>
                <w:sz w:val="21"/>
                <w:szCs w:val="21"/>
              </w:rPr>
              <w:t>执行</w:t>
            </w:r>
            <w:r>
              <w:rPr>
                <w:rFonts w:hint="eastAsia"/>
                <w:sz w:val="21"/>
                <w:szCs w:val="21"/>
              </w:rPr>
              <w:t>。</w:t>
            </w:r>
          </w:p>
        </w:tc>
        <w:tc>
          <w:tcPr>
            <w:tcW w:w="459" w:type="pct"/>
            <w:noWrap w:val="0"/>
            <w:vAlign w:val="center"/>
          </w:tcPr>
          <w:p w14:paraId="601B022B">
            <w:pPr>
              <w:pStyle w:val="27"/>
              <w:bidi w:val="0"/>
              <w:rPr>
                <w:sz w:val="21"/>
                <w:szCs w:val="21"/>
              </w:rPr>
            </w:pPr>
            <w:r>
              <w:rPr>
                <w:sz w:val="21"/>
                <w:szCs w:val="21"/>
              </w:rPr>
              <w:t>符合</w:t>
            </w:r>
          </w:p>
        </w:tc>
      </w:tr>
      <w:tr w14:paraId="2AAA2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noWrap w:val="0"/>
            <w:vAlign w:val="center"/>
          </w:tcPr>
          <w:p w14:paraId="128A969F">
            <w:pPr>
              <w:pStyle w:val="27"/>
              <w:bidi w:val="0"/>
              <w:rPr>
                <w:sz w:val="21"/>
                <w:szCs w:val="21"/>
              </w:rPr>
            </w:pPr>
            <w:r>
              <w:rPr>
                <w:sz w:val="21"/>
                <w:szCs w:val="21"/>
              </w:rPr>
              <w:t>6</w:t>
            </w:r>
          </w:p>
        </w:tc>
        <w:tc>
          <w:tcPr>
            <w:tcW w:w="1473" w:type="pct"/>
            <w:noWrap w:val="0"/>
            <w:vAlign w:val="center"/>
          </w:tcPr>
          <w:p w14:paraId="19BBF73C">
            <w:pPr>
              <w:pStyle w:val="27"/>
              <w:bidi w:val="0"/>
              <w:rPr>
                <w:sz w:val="21"/>
                <w:szCs w:val="21"/>
              </w:rPr>
            </w:pPr>
            <w:r>
              <w:rPr>
                <w:sz w:val="21"/>
                <w:szCs w:val="21"/>
              </w:rPr>
              <w:t>禁止采用溜车方式发动车辆，下坡行驶严禁空档滑行。在坡道上停车时，司机不能离开，必须使用停车制动，并采取安全措施。</w:t>
            </w:r>
          </w:p>
        </w:tc>
        <w:tc>
          <w:tcPr>
            <w:tcW w:w="824" w:type="pct"/>
            <w:noWrap w:val="0"/>
            <w:vAlign w:val="center"/>
          </w:tcPr>
          <w:p w14:paraId="05E7B702">
            <w:pPr>
              <w:pStyle w:val="27"/>
              <w:bidi w:val="0"/>
              <w:rPr>
                <w:sz w:val="21"/>
                <w:szCs w:val="21"/>
              </w:rPr>
            </w:pPr>
            <w:r>
              <w:rPr>
                <w:sz w:val="21"/>
                <w:szCs w:val="21"/>
              </w:rPr>
              <w:t>《</w:t>
            </w:r>
            <w:r>
              <w:rPr>
                <w:rFonts w:hint="eastAsia"/>
                <w:sz w:val="21"/>
                <w:szCs w:val="21"/>
              </w:rPr>
              <w:t>安全设施设计</w:t>
            </w:r>
            <w:r>
              <w:rPr>
                <w:sz w:val="21"/>
                <w:szCs w:val="21"/>
              </w:rPr>
              <w:t>》</w:t>
            </w:r>
          </w:p>
        </w:tc>
        <w:tc>
          <w:tcPr>
            <w:tcW w:w="639" w:type="pct"/>
            <w:noWrap w:val="0"/>
            <w:vAlign w:val="center"/>
          </w:tcPr>
          <w:p w14:paraId="6FC468A7">
            <w:pPr>
              <w:pStyle w:val="27"/>
              <w:bidi w:val="0"/>
              <w:rPr>
                <w:sz w:val="21"/>
                <w:szCs w:val="21"/>
              </w:rPr>
            </w:pPr>
            <w:r>
              <w:rPr>
                <w:sz w:val="21"/>
                <w:szCs w:val="21"/>
              </w:rPr>
              <w:t>现场检查</w:t>
            </w:r>
          </w:p>
        </w:tc>
        <w:tc>
          <w:tcPr>
            <w:tcW w:w="1239" w:type="pct"/>
            <w:noWrap w:val="0"/>
            <w:vAlign w:val="center"/>
          </w:tcPr>
          <w:p w14:paraId="77830E41">
            <w:pPr>
              <w:pStyle w:val="27"/>
              <w:bidi w:val="0"/>
              <w:rPr>
                <w:sz w:val="21"/>
                <w:szCs w:val="21"/>
              </w:rPr>
            </w:pPr>
            <w:r>
              <w:rPr>
                <w:sz w:val="21"/>
                <w:szCs w:val="21"/>
              </w:rPr>
              <w:t>按规定</w:t>
            </w:r>
            <w:r>
              <w:rPr>
                <w:rFonts w:hint="eastAsia"/>
                <w:sz w:val="21"/>
                <w:szCs w:val="21"/>
                <w:lang w:val="en-US" w:eastAsia="zh-CN"/>
              </w:rPr>
              <w:t>操作</w:t>
            </w:r>
            <w:r>
              <w:rPr>
                <w:sz w:val="21"/>
                <w:szCs w:val="21"/>
              </w:rPr>
              <w:t>执行</w:t>
            </w:r>
            <w:r>
              <w:rPr>
                <w:rFonts w:hint="eastAsia"/>
                <w:sz w:val="21"/>
                <w:szCs w:val="21"/>
              </w:rPr>
              <w:t>。</w:t>
            </w:r>
          </w:p>
        </w:tc>
        <w:tc>
          <w:tcPr>
            <w:tcW w:w="459" w:type="pct"/>
            <w:noWrap w:val="0"/>
            <w:vAlign w:val="center"/>
          </w:tcPr>
          <w:p w14:paraId="50423687">
            <w:pPr>
              <w:pStyle w:val="27"/>
              <w:bidi w:val="0"/>
              <w:rPr>
                <w:sz w:val="21"/>
                <w:szCs w:val="21"/>
              </w:rPr>
            </w:pPr>
            <w:r>
              <w:rPr>
                <w:sz w:val="21"/>
                <w:szCs w:val="21"/>
              </w:rPr>
              <w:t>符合</w:t>
            </w:r>
          </w:p>
        </w:tc>
      </w:tr>
      <w:tr w14:paraId="093A88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noWrap w:val="0"/>
            <w:vAlign w:val="center"/>
          </w:tcPr>
          <w:p w14:paraId="74333E4C">
            <w:pPr>
              <w:pStyle w:val="27"/>
              <w:bidi w:val="0"/>
              <w:rPr>
                <w:sz w:val="21"/>
                <w:szCs w:val="21"/>
              </w:rPr>
            </w:pPr>
            <w:r>
              <w:rPr>
                <w:sz w:val="21"/>
                <w:szCs w:val="21"/>
              </w:rPr>
              <w:t>7</w:t>
            </w:r>
          </w:p>
        </w:tc>
        <w:tc>
          <w:tcPr>
            <w:tcW w:w="1473" w:type="pct"/>
            <w:noWrap w:val="0"/>
            <w:vAlign w:val="center"/>
          </w:tcPr>
          <w:p w14:paraId="57D3AD58">
            <w:pPr>
              <w:pStyle w:val="27"/>
              <w:bidi w:val="0"/>
              <w:rPr>
                <w:rFonts w:hint="eastAsia"/>
                <w:sz w:val="21"/>
                <w:szCs w:val="21"/>
              </w:rPr>
            </w:pPr>
            <w:r>
              <w:rPr>
                <w:sz w:val="21"/>
                <w:szCs w:val="21"/>
              </w:rPr>
              <w:t>铲装作业时，防止铲装设备发生高处坠落</w:t>
            </w:r>
            <w:r>
              <w:rPr>
                <w:rFonts w:hint="eastAsia"/>
                <w:sz w:val="21"/>
                <w:szCs w:val="21"/>
              </w:rPr>
              <w:t>。</w:t>
            </w:r>
          </w:p>
        </w:tc>
        <w:tc>
          <w:tcPr>
            <w:tcW w:w="824" w:type="pct"/>
            <w:noWrap w:val="0"/>
            <w:vAlign w:val="center"/>
          </w:tcPr>
          <w:p w14:paraId="646D7C98">
            <w:pPr>
              <w:pStyle w:val="27"/>
              <w:bidi w:val="0"/>
              <w:rPr>
                <w:sz w:val="21"/>
                <w:szCs w:val="21"/>
              </w:rPr>
            </w:pPr>
            <w:r>
              <w:rPr>
                <w:sz w:val="21"/>
                <w:szCs w:val="21"/>
              </w:rPr>
              <w:t>《</w:t>
            </w:r>
            <w:r>
              <w:rPr>
                <w:rFonts w:hint="eastAsia"/>
                <w:sz w:val="21"/>
                <w:szCs w:val="21"/>
              </w:rPr>
              <w:t>安全设施设计</w:t>
            </w:r>
            <w:r>
              <w:rPr>
                <w:sz w:val="21"/>
                <w:szCs w:val="21"/>
              </w:rPr>
              <w:t>》</w:t>
            </w:r>
          </w:p>
        </w:tc>
        <w:tc>
          <w:tcPr>
            <w:tcW w:w="639" w:type="pct"/>
            <w:noWrap w:val="0"/>
            <w:vAlign w:val="center"/>
          </w:tcPr>
          <w:p w14:paraId="733DFE9F">
            <w:pPr>
              <w:pStyle w:val="27"/>
              <w:bidi w:val="0"/>
              <w:rPr>
                <w:sz w:val="21"/>
                <w:szCs w:val="21"/>
              </w:rPr>
            </w:pPr>
            <w:r>
              <w:rPr>
                <w:sz w:val="21"/>
                <w:szCs w:val="21"/>
              </w:rPr>
              <w:t>现场检查</w:t>
            </w:r>
          </w:p>
        </w:tc>
        <w:tc>
          <w:tcPr>
            <w:tcW w:w="1239" w:type="pct"/>
            <w:noWrap w:val="0"/>
            <w:vAlign w:val="center"/>
          </w:tcPr>
          <w:p w14:paraId="6AF565FC">
            <w:pPr>
              <w:pStyle w:val="27"/>
              <w:bidi w:val="0"/>
              <w:rPr>
                <w:rFonts w:hint="eastAsia"/>
                <w:sz w:val="21"/>
                <w:szCs w:val="21"/>
              </w:rPr>
            </w:pPr>
            <w:r>
              <w:rPr>
                <w:sz w:val="21"/>
                <w:szCs w:val="21"/>
              </w:rPr>
              <w:t>按规定</w:t>
            </w:r>
            <w:r>
              <w:rPr>
                <w:rFonts w:hint="eastAsia"/>
                <w:sz w:val="21"/>
                <w:szCs w:val="21"/>
                <w:lang w:val="en-US" w:eastAsia="zh-CN"/>
              </w:rPr>
              <w:t>操作</w:t>
            </w:r>
            <w:r>
              <w:rPr>
                <w:sz w:val="21"/>
                <w:szCs w:val="21"/>
              </w:rPr>
              <w:t>执行</w:t>
            </w:r>
            <w:r>
              <w:rPr>
                <w:rFonts w:hint="eastAsia"/>
                <w:sz w:val="21"/>
                <w:szCs w:val="21"/>
              </w:rPr>
              <w:t>。</w:t>
            </w:r>
          </w:p>
        </w:tc>
        <w:tc>
          <w:tcPr>
            <w:tcW w:w="459" w:type="pct"/>
            <w:noWrap w:val="0"/>
            <w:vAlign w:val="center"/>
          </w:tcPr>
          <w:p w14:paraId="3CE4EF93">
            <w:pPr>
              <w:pStyle w:val="27"/>
              <w:bidi w:val="0"/>
              <w:rPr>
                <w:sz w:val="21"/>
                <w:szCs w:val="21"/>
              </w:rPr>
            </w:pPr>
            <w:r>
              <w:rPr>
                <w:sz w:val="21"/>
                <w:szCs w:val="21"/>
              </w:rPr>
              <w:t>符合</w:t>
            </w:r>
          </w:p>
        </w:tc>
      </w:tr>
      <w:tr w14:paraId="1CFA8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noWrap w:val="0"/>
            <w:vAlign w:val="center"/>
          </w:tcPr>
          <w:p w14:paraId="2D1BDE93">
            <w:pPr>
              <w:pStyle w:val="27"/>
              <w:bidi w:val="0"/>
              <w:rPr>
                <w:rFonts w:hint="eastAsia"/>
                <w:sz w:val="21"/>
                <w:szCs w:val="21"/>
              </w:rPr>
            </w:pPr>
            <w:r>
              <w:rPr>
                <w:rFonts w:hint="eastAsia"/>
                <w:sz w:val="21"/>
                <w:szCs w:val="21"/>
              </w:rPr>
              <w:t>8</w:t>
            </w:r>
          </w:p>
        </w:tc>
        <w:tc>
          <w:tcPr>
            <w:tcW w:w="1473" w:type="pct"/>
            <w:noWrap w:val="0"/>
            <w:vAlign w:val="center"/>
          </w:tcPr>
          <w:p w14:paraId="5FB15739">
            <w:pPr>
              <w:pStyle w:val="27"/>
              <w:bidi w:val="0"/>
              <w:rPr>
                <w:rFonts w:hint="eastAsia"/>
                <w:sz w:val="21"/>
                <w:szCs w:val="21"/>
              </w:rPr>
            </w:pPr>
            <w:r>
              <w:rPr>
                <w:sz w:val="21"/>
                <w:szCs w:val="21"/>
              </w:rPr>
              <w:t>为保证装车安全，卸矿时铲斗不得从汽车驾驶室上方转过，铲斗下张放矿时其斗尖应保证高于车厢内矿面1.0m以上，对正常尺寸大块不得装于车厢侧邦一侧，对超尺寸大块不得装车</w:t>
            </w:r>
            <w:r>
              <w:rPr>
                <w:rFonts w:hint="eastAsia"/>
                <w:sz w:val="21"/>
                <w:szCs w:val="21"/>
              </w:rPr>
              <w:t>。</w:t>
            </w:r>
          </w:p>
        </w:tc>
        <w:tc>
          <w:tcPr>
            <w:tcW w:w="824" w:type="pct"/>
            <w:noWrap w:val="0"/>
            <w:vAlign w:val="center"/>
          </w:tcPr>
          <w:p w14:paraId="11B2F04C">
            <w:pPr>
              <w:pStyle w:val="27"/>
              <w:bidi w:val="0"/>
              <w:rPr>
                <w:sz w:val="21"/>
                <w:szCs w:val="21"/>
              </w:rPr>
            </w:pPr>
            <w:r>
              <w:rPr>
                <w:sz w:val="21"/>
                <w:szCs w:val="21"/>
              </w:rPr>
              <w:t>《</w:t>
            </w:r>
            <w:r>
              <w:rPr>
                <w:rFonts w:hint="eastAsia"/>
                <w:sz w:val="21"/>
                <w:szCs w:val="21"/>
              </w:rPr>
              <w:t>安全设施设计</w:t>
            </w:r>
            <w:r>
              <w:rPr>
                <w:sz w:val="21"/>
                <w:szCs w:val="21"/>
              </w:rPr>
              <w:t>》</w:t>
            </w:r>
          </w:p>
        </w:tc>
        <w:tc>
          <w:tcPr>
            <w:tcW w:w="639" w:type="pct"/>
            <w:noWrap w:val="0"/>
            <w:vAlign w:val="center"/>
          </w:tcPr>
          <w:p w14:paraId="1B0F9F69">
            <w:pPr>
              <w:pStyle w:val="27"/>
              <w:bidi w:val="0"/>
              <w:rPr>
                <w:sz w:val="21"/>
                <w:szCs w:val="21"/>
              </w:rPr>
            </w:pPr>
            <w:r>
              <w:rPr>
                <w:sz w:val="21"/>
                <w:szCs w:val="21"/>
              </w:rPr>
              <w:t>现场检查</w:t>
            </w:r>
          </w:p>
        </w:tc>
        <w:tc>
          <w:tcPr>
            <w:tcW w:w="1239" w:type="pct"/>
            <w:noWrap w:val="0"/>
            <w:vAlign w:val="center"/>
          </w:tcPr>
          <w:p w14:paraId="0A5D644E">
            <w:pPr>
              <w:pStyle w:val="27"/>
              <w:bidi w:val="0"/>
              <w:rPr>
                <w:rFonts w:hint="eastAsia"/>
                <w:sz w:val="21"/>
                <w:szCs w:val="21"/>
              </w:rPr>
            </w:pPr>
            <w:r>
              <w:rPr>
                <w:sz w:val="21"/>
                <w:szCs w:val="21"/>
              </w:rPr>
              <w:t>现场检查符合要求</w:t>
            </w:r>
            <w:r>
              <w:rPr>
                <w:rFonts w:hint="eastAsia"/>
                <w:sz w:val="21"/>
                <w:szCs w:val="21"/>
              </w:rPr>
              <w:t>。</w:t>
            </w:r>
          </w:p>
        </w:tc>
        <w:tc>
          <w:tcPr>
            <w:tcW w:w="459" w:type="pct"/>
            <w:noWrap w:val="0"/>
            <w:vAlign w:val="center"/>
          </w:tcPr>
          <w:p w14:paraId="18D1C7A1">
            <w:pPr>
              <w:pStyle w:val="27"/>
              <w:bidi w:val="0"/>
              <w:rPr>
                <w:sz w:val="21"/>
                <w:szCs w:val="21"/>
              </w:rPr>
            </w:pPr>
            <w:r>
              <w:rPr>
                <w:sz w:val="21"/>
                <w:szCs w:val="21"/>
              </w:rPr>
              <w:t>符合</w:t>
            </w:r>
          </w:p>
        </w:tc>
      </w:tr>
    </w:tbl>
    <w:p w14:paraId="721FC6FA">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eastAsia="宋体"/>
          <w:lang w:eastAsia="zh-CN"/>
        </w:rPr>
      </w:pPr>
      <w:bookmarkStart w:id="33" w:name="_Toc17928"/>
      <w:r>
        <w:rPr>
          <w:rFonts w:hint="eastAsia"/>
        </w:rPr>
        <w:t>边坡稳定性分析与评价</w:t>
      </w:r>
      <w:bookmarkEnd w:id="33"/>
      <w:r>
        <w:rPr>
          <w:rFonts w:hint="eastAsia"/>
          <w:lang w:eastAsia="zh-CN"/>
        </w:rPr>
        <w:t>：</w:t>
      </w:r>
    </w:p>
    <w:p w14:paraId="181B7BA4">
      <w:pPr>
        <w:pStyle w:val="18"/>
        <w:bidi w:val="0"/>
        <w:rPr>
          <w:rFonts w:hint="default"/>
          <w:lang w:val="en-US" w:eastAsia="zh-CN"/>
        </w:rPr>
      </w:pPr>
      <w:r>
        <w:rPr>
          <w:rFonts w:hint="eastAsia"/>
          <w:lang w:val="en-US" w:eastAsia="zh-CN"/>
        </w:rPr>
        <w:t>2024年6月，沈阳一方正和工程技术咨询有限公司编制《海城市荣富耐火材料有限公司菱镁矿边坡稳定性评价报告》，根据赤平投影图对岩层和节理裂隙产状与坡面的关系分析，以及对边坡稳定性计算分析，可以得出如下结论：</w:t>
      </w:r>
    </w:p>
    <w:p w14:paraId="0CE15957">
      <w:pPr>
        <w:pStyle w:val="18"/>
        <w:bidi w:val="0"/>
        <w:rPr>
          <w:rFonts w:hint="default"/>
          <w:lang w:val="en-US" w:eastAsia="zh-CN"/>
        </w:rPr>
      </w:pPr>
      <w:r>
        <w:rPr>
          <w:rFonts w:hint="default"/>
          <w:lang w:val="en-US" w:eastAsia="zh-CN"/>
        </w:rPr>
        <w:t>北侧为岩质边坡，边坡裸露岩石为菱镁大理岩和白云石大理岩。坡面与岩层面倾向一致，但岩层倾角大于边坡倾角，属于较稳定结构，但是内部存在有一组破碎带，推测为层间破碎，经计算分析，假设存在最大荷载情况下沿该层间破碎带滑动的稳定系数为19.546，边坡整体处于稳定状态。</w:t>
      </w:r>
    </w:p>
    <w:p w14:paraId="292F0E45">
      <w:pPr>
        <w:pStyle w:val="18"/>
        <w:bidi w:val="0"/>
        <w:rPr>
          <w:rFonts w:hint="default"/>
          <w:lang w:val="en-US" w:eastAsia="zh-CN"/>
        </w:rPr>
      </w:pPr>
      <w:bookmarkStart w:id="34" w:name="_Toc15141"/>
      <w:r>
        <w:rPr>
          <w:rFonts w:hint="eastAsia"/>
          <w:lang w:val="en-US" w:eastAsia="zh-CN"/>
        </w:rPr>
        <w:t>评价单元小结：</w:t>
      </w:r>
    </w:p>
    <w:p w14:paraId="503C92C6">
      <w:pPr>
        <w:pStyle w:val="18"/>
        <w:bidi w:val="0"/>
      </w:pPr>
      <w:r>
        <w:rPr>
          <w:rFonts w:hint="eastAsia"/>
          <w:lang w:val="en-US" w:eastAsia="zh-CN"/>
        </w:rPr>
        <w:t>通过用安全检查表对该矿山采场单元进行了24项的检查，全部符合要求。检查结果表明，海城市荣富耐火材料有限公司镁矿（菱镁石、滑石）露天矿山建设项目露天采场单元符合设计要求，满足安全生产条件</w:t>
      </w:r>
      <w:r>
        <w:t>。</w:t>
      </w:r>
    </w:p>
    <w:p w14:paraId="2AEDCCB0">
      <w:pPr>
        <w:pStyle w:val="24"/>
        <w:bidi w:val="0"/>
        <w:ind w:left="0" w:leftChars="0" w:firstLine="0" w:firstLineChars="0"/>
        <w:rPr>
          <w:rFonts w:hint="eastAsia"/>
          <w:lang w:val="en-US" w:eastAsia="zh-CN"/>
        </w:rPr>
      </w:pPr>
      <w:bookmarkStart w:id="35" w:name="_Toc27599"/>
      <w:bookmarkStart w:id="36" w:name="_Toc22814"/>
      <w:bookmarkStart w:id="37" w:name="_Toc17778"/>
      <w:bookmarkStart w:id="38" w:name="_Toc2846"/>
      <w:bookmarkStart w:id="39" w:name="_Toc21019"/>
      <w:bookmarkStart w:id="40" w:name="_Toc21440"/>
      <w:bookmarkStart w:id="41" w:name="_Toc24857"/>
      <w:bookmarkStart w:id="42" w:name="_Toc5853"/>
      <w:bookmarkStart w:id="43" w:name="_Toc29903"/>
      <w:bookmarkStart w:id="44" w:name="_Toc30753"/>
      <w:bookmarkStart w:id="45" w:name="_Toc10518"/>
      <w:bookmarkStart w:id="46" w:name="_Toc28523"/>
      <w:bookmarkStart w:id="47" w:name="_Toc17266"/>
      <w:bookmarkStart w:id="48" w:name="_Toc16180"/>
      <w:bookmarkStart w:id="49" w:name="_Toc22830"/>
      <w:bookmarkStart w:id="50" w:name="_Toc7803"/>
      <w:bookmarkStart w:id="51" w:name="_Toc14348"/>
      <w:bookmarkStart w:id="52" w:name="_Toc782"/>
      <w:bookmarkStart w:id="53" w:name="_Toc18129"/>
      <w:r>
        <w:t>矿岩运输系统</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r>
        <w:rPr>
          <w:rFonts w:hint="eastAsia"/>
          <w:lang w:val="en-US" w:eastAsia="zh-CN"/>
        </w:rPr>
        <w:t>单元</w:t>
      </w:r>
      <w:bookmarkEnd w:id="53"/>
    </w:p>
    <w:p w14:paraId="167EB018">
      <w:pPr>
        <w:pStyle w:val="18"/>
        <w:bidi w:val="0"/>
      </w:pPr>
      <w:r>
        <w:t>根据《金属非金属矿山建设项目安全设施目录（试行）》（国家安全监管总局令第75号）金属非金属露天矿山建设项目安全设施竣工验收表，</w:t>
      </w:r>
      <w:r>
        <w:rPr>
          <w:rFonts w:hint="eastAsia"/>
          <w:lang w:val="en-US" w:eastAsia="zh-CN"/>
        </w:rPr>
        <w:t>评价组使用安全检查表法，</w:t>
      </w:r>
      <w:r>
        <w:t>对</w:t>
      </w:r>
      <w:r>
        <w:rPr>
          <w:rFonts w:hint="eastAsia"/>
          <w:lang w:val="en-US" w:eastAsia="zh-CN"/>
        </w:rPr>
        <w:t>该项目</w:t>
      </w:r>
      <w:r>
        <w:t>矿岩运输系统进行符合性评价</w:t>
      </w:r>
      <w:r>
        <w:rPr>
          <w:rFonts w:hint="eastAsia"/>
          <w:lang w:eastAsia="zh-CN"/>
        </w:rPr>
        <w:t>（</w:t>
      </w:r>
      <w:r>
        <w:rPr>
          <w:rFonts w:hint="eastAsia"/>
          <w:lang w:val="en-US" w:eastAsia="zh-CN"/>
        </w:rPr>
        <w:t>见表3.3-1</w:t>
      </w:r>
      <w:r>
        <w:rPr>
          <w:rFonts w:hint="eastAsia"/>
          <w:lang w:eastAsia="zh-CN"/>
        </w:rPr>
        <w:t>）</w:t>
      </w:r>
      <w:r>
        <w:t>。</w:t>
      </w:r>
    </w:p>
    <w:p w14:paraId="58B8C761">
      <w:pPr>
        <w:pStyle w:val="26"/>
        <w:bidi w:val="0"/>
      </w:pPr>
      <w:r>
        <w:t>表3</w:t>
      </w:r>
      <w:r>
        <w:rPr>
          <w:rFonts w:hint="eastAsia"/>
          <w:lang w:val="en-US" w:eastAsia="zh-CN"/>
        </w:rPr>
        <w:t>.</w:t>
      </w:r>
      <w:r>
        <w:t>3-1矿岩运输符合性安全检查表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4"/>
        <w:gridCol w:w="2719"/>
        <w:gridCol w:w="1050"/>
        <w:gridCol w:w="1040"/>
        <w:gridCol w:w="2308"/>
        <w:gridCol w:w="718"/>
      </w:tblGrid>
      <w:tr w14:paraId="50E84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jc w:val="center"/>
        </w:trPr>
        <w:tc>
          <w:tcPr>
            <w:tcW w:w="401" w:type="pct"/>
            <w:noWrap w:val="0"/>
            <w:vAlign w:val="center"/>
          </w:tcPr>
          <w:p w14:paraId="11C1FAAF">
            <w:pPr>
              <w:pStyle w:val="27"/>
              <w:bidi w:val="0"/>
              <w:rPr>
                <w:b/>
                <w:bCs/>
                <w:sz w:val="21"/>
                <w:szCs w:val="21"/>
              </w:rPr>
            </w:pPr>
            <w:r>
              <w:rPr>
                <w:b/>
                <w:bCs/>
                <w:sz w:val="21"/>
                <w:szCs w:val="21"/>
              </w:rPr>
              <w:t>序号</w:t>
            </w:r>
          </w:p>
        </w:tc>
        <w:tc>
          <w:tcPr>
            <w:tcW w:w="1595" w:type="pct"/>
            <w:noWrap w:val="0"/>
            <w:vAlign w:val="center"/>
          </w:tcPr>
          <w:p w14:paraId="08529CFD">
            <w:pPr>
              <w:pStyle w:val="27"/>
              <w:bidi w:val="0"/>
              <w:rPr>
                <w:b/>
                <w:bCs/>
                <w:sz w:val="21"/>
                <w:szCs w:val="21"/>
              </w:rPr>
            </w:pPr>
            <w:r>
              <w:rPr>
                <w:b/>
                <w:bCs/>
                <w:sz w:val="21"/>
                <w:szCs w:val="21"/>
              </w:rPr>
              <w:t>检查</w:t>
            </w:r>
          </w:p>
          <w:p w14:paraId="7E805C35">
            <w:pPr>
              <w:pStyle w:val="27"/>
              <w:bidi w:val="0"/>
              <w:rPr>
                <w:b/>
                <w:bCs/>
                <w:sz w:val="21"/>
                <w:szCs w:val="21"/>
              </w:rPr>
            </w:pPr>
            <w:r>
              <w:rPr>
                <w:b/>
                <w:bCs/>
                <w:sz w:val="21"/>
                <w:szCs w:val="21"/>
              </w:rPr>
              <w:t>内容</w:t>
            </w:r>
          </w:p>
        </w:tc>
        <w:tc>
          <w:tcPr>
            <w:tcW w:w="616" w:type="pct"/>
            <w:noWrap w:val="0"/>
            <w:vAlign w:val="center"/>
          </w:tcPr>
          <w:p w14:paraId="7100ED82">
            <w:pPr>
              <w:pStyle w:val="27"/>
              <w:bidi w:val="0"/>
              <w:rPr>
                <w:b/>
                <w:bCs/>
                <w:sz w:val="21"/>
                <w:szCs w:val="21"/>
              </w:rPr>
            </w:pPr>
            <w:r>
              <w:rPr>
                <w:b/>
                <w:bCs/>
                <w:sz w:val="21"/>
                <w:szCs w:val="21"/>
              </w:rPr>
              <w:t>检查</w:t>
            </w:r>
          </w:p>
          <w:p w14:paraId="6552C0EA">
            <w:pPr>
              <w:pStyle w:val="27"/>
              <w:bidi w:val="0"/>
              <w:rPr>
                <w:b/>
                <w:bCs/>
                <w:sz w:val="21"/>
                <w:szCs w:val="21"/>
              </w:rPr>
            </w:pPr>
            <w:r>
              <w:rPr>
                <w:b/>
                <w:bCs/>
                <w:sz w:val="21"/>
                <w:szCs w:val="21"/>
              </w:rPr>
              <w:t>依据</w:t>
            </w:r>
          </w:p>
        </w:tc>
        <w:tc>
          <w:tcPr>
            <w:tcW w:w="610" w:type="pct"/>
            <w:noWrap w:val="0"/>
            <w:vAlign w:val="center"/>
          </w:tcPr>
          <w:p w14:paraId="7AD36041">
            <w:pPr>
              <w:pStyle w:val="27"/>
              <w:bidi w:val="0"/>
              <w:rPr>
                <w:b/>
                <w:bCs/>
                <w:sz w:val="21"/>
                <w:szCs w:val="21"/>
              </w:rPr>
            </w:pPr>
            <w:r>
              <w:rPr>
                <w:b/>
                <w:bCs/>
                <w:sz w:val="21"/>
                <w:szCs w:val="21"/>
              </w:rPr>
              <w:t>检查方法</w:t>
            </w:r>
          </w:p>
        </w:tc>
        <w:tc>
          <w:tcPr>
            <w:tcW w:w="1354" w:type="pct"/>
            <w:noWrap w:val="0"/>
            <w:vAlign w:val="center"/>
          </w:tcPr>
          <w:p w14:paraId="499B2B2D">
            <w:pPr>
              <w:pStyle w:val="27"/>
              <w:bidi w:val="0"/>
              <w:rPr>
                <w:b/>
                <w:bCs/>
                <w:sz w:val="21"/>
                <w:szCs w:val="21"/>
              </w:rPr>
            </w:pPr>
            <w:r>
              <w:rPr>
                <w:b/>
                <w:bCs/>
                <w:sz w:val="21"/>
                <w:szCs w:val="21"/>
              </w:rPr>
              <w:t>检查情况</w:t>
            </w:r>
          </w:p>
        </w:tc>
        <w:tc>
          <w:tcPr>
            <w:tcW w:w="421" w:type="pct"/>
            <w:noWrap w:val="0"/>
            <w:vAlign w:val="center"/>
          </w:tcPr>
          <w:p w14:paraId="7F07331D">
            <w:pPr>
              <w:pStyle w:val="27"/>
              <w:bidi w:val="0"/>
              <w:rPr>
                <w:b/>
                <w:bCs/>
                <w:sz w:val="21"/>
                <w:szCs w:val="21"/>
              </w:rPr>
            </w:pPr>
            <w:r>
              <w:rPr>
                <w:b/>
                <w:bCs/>
                <w:sz w:val="21"/>
                <w:szCs w:val="21"/>
              </w:rPr>
              <w:t>检查结果</w:t>
            </w:r>
          </w:p>
        </w:tc>
      </w:tr>
      <w:tr w14:paraId="4BB62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5" w:hRule="atLeast"/>
          <w:jc w:val="center"/>
        </w:trPr>
        <w:tc>
          <w:tcPr>
            <w:tcW w:w="401" w:type="pct"/>
            <w:noWrap w:val="0"/>
            <w:vAlign w:val="center"/>
          </w:tcPr>
          <w:p w14:paraId="50F47EE3">
            <w:pPr>
              <w:pStyle w:val="27"/>
              <w:bidi w:val="0"/>
              <w:rPr>
                <w:sz w:val="21"/>
                <w:szCs w:val="21"/>
              </w:rPr>
            </w:pPr>
            <w:r>
              <w:rPr>
                <w:sz w:val="21"/>
                <w:szCs w:val="21"/>
              </w:rPr>
              <w:t>1</w:t>
            </w:r>
          </w:p>
        </w:tc>
        <w:tc>
          <w:tcPr>
            <w:tcW w:w="1595" w:type="pct"/>
            <w:noWrap w:val="0"/>
            <w:vAlign w:val="center"/>
          </w:tcPr>
          <w:p w14:paraId="79758A50">
            <w:pPr>
              <w:pStyle w:val="27"/>
              <w:bidi w:val="0"/>
              <w:rPr>
                <w:rFonts w:hint="eastAsia"/>
                <w:sz w:val="21"/>
                <w:szCs w:val="21"/>
              </w:rPr>
            </w:pPr>
            <w:r>
              <w:rPr>
                <w:rFonts w:hint="eastAsia"/>
                <w:sz w:val="21"/>
                <w:szCs w:val="21"/>
                <w:lang w:val="en-US" w:eastAsia="zh-CN"/>
              </w:rPr>
              <w:t>运输道路道路等级为三级，采用双车道，根据《厂矿道路设计规范》的要求，双车道道路宽度8m，单车道4.5m，</w:t>
            </w:r>
            <w:r>
              <w:rPr>
                <w:rFonts w:hint="eastAsia"/>
                <w:sz w:val="21"/>
                <w:szCs w:val="21"/>
              </w:rPr>
              <w:t>道路最大限坡8%。</w:t>
            </w:r>
          </w:p>
        </w:tc>
        <w:tc>
          <w:tcPr>
            <w:tcW w:w="616" w:type="pct"/>
            <w:noWrap w:val="0"/>
            <w:vAlign w:val="center"/>
          </w:tcPr>
          <w:p w14:paraId="0379378A">
            <w:pPr>
              <w:pStyle w:val="27"/>
              <w:bidi w:val="0"/>
              <w:rPr>
                <w:sz w:val="21"/>
                <w:szCs w:val="21"/>
              </w:rPr>
            </w:pPr>
            <w:r>
              <w:rPr>
                <w:sz w:val="21"/>
                <w:szCs w:val="21"/>
              </w:rPr>
              <w:t>《</w:t>
            </w:r>
            <w:r>
              <w:rPr>
                <w:rFonts w:hint="eastAsia"/>
                <w:sz w:val="21"/>
                <w:szCs w:val="21"/>
              </w:rPr>
              <w:t>安全设施设计</w:t>
            </w:r>
            <w:r>
              <w:rPr>
                <w:sz w:val="21"/>
                <w:szCs w:val="21"/>
              </w:rPr>
              <w:t>》</w:t>
            </w:r>
          </w:p>
        </w:tc>
        <w:tc>
          <w:tcPr>
            <w:tcW w:w="610" w:type="pct"/>
            <w:noWrap w:val="0"/>
            <w:vAlign w:val="center"/>
          </w:tcPr>
          <w:p w14:paraId="34604EC3">
            <w:pPr>
              <w:pStyle w:val="27"/>
              <w:bidi w:val="0"/>
              <w:rPr>
                <w:sz w:val="21"/>
                <w:szCs w:val="21"/>
              </w:rPr>
            </w:pPr>
            <w:r>
              <w:rPr>
                <w:sz w:val="21"/>
                <w:szCs w:val="21"/>
              </w:rPr>
              <w:t>现场检查</w:t>
            </w:r>
          </w:p>
        </w:tc>
        <w:tc>
          <w:tcPr>
            <w:tcW w:w="1354" w:type="pct"/>
            <w:noWrap w:val="0"/>
            <w:vAlign w:val="center"/>
          </w:tcPr>
          <w:p w14:paraId="7D6FFD8B">
            <w:pPr>
              <w:pStyle w:val="27"/>
              <w:bidi w:val="0"/>
              <w:rPr>
                <w:sz w:val="21"/>
                <w:szCs w:val="21"/>
              </w:rPr>
            </w:pPr>
            <w:r>
              <w:rPr>
                <w:sz w:val="21"/>
                <w:szCs w:val="21"/>
              </w:rPr>
              <w:t>矿区内</w:t>
            </w:r>
            <w:r>
              <w:rPr>
                <w:rFonts w:hint="eastAsia"/>
                <w:sz w:val="21"/>
                <w:szCs w:val="21"/>
              </w:rPr>
              <w:t>运输道路采用</w:t>
            </w:r>
            <w:r>
              <w:rPr>
                <w:rFonts w:hint="eastAsia"/>
                <w:sz w:val="21"/>
                <w:szCs w:val="21"/>
                <w:lang w:val="en-US" w:eastAsia="zh-CN"/>
              </w:rPr>
              <w:t>三</w:t>
            </w:r>
            <w:r>
              <w:rPr>
                <w:rFonts w:hint="eastAsia"/>
                <w:sz w:val="21"/>
                <w:szCs w:val="21"/>
              </w:rPr>
              <w:t>级道路，碎石铺路，</w:t>
            </w:r>
            <w:r>
              <w:rPr>
                <w:rFonts w:hint="eastAsia"/>
                <w:sz w:val="21"/>
                <w:szCs w:val="21"/>
                <w:lang w:val="en-US" w:eastAsia="zh-CN"/>
              </w:rPr>
              <w:t>双车道道路宽度8m，单车道4.5m，</w:t>
            </w:r>
            <w:r>
              <w:rPr>
                <w:rFonts w:hint="eastAsia"/>
                <w:sz w:val="21"/>
                <w:szCs w:val="21"/>
              </w:rPr>
              <w:t>最大纵坡坡度</w:t>
            </w:r>
            <w:r>
              <w:rPr>
                <w:rFonts w:hint="eastAsia"/>
                <w:sz w:val="21"/>
                <w:szCs w:val="21"/>
                <w:lang w:val="en-US" w:eastAsia="zh-CN"/>
              </w:rPr>
              <w:t>8</w:t>
            </w:r>
            <w:r>
              <w:rPr>
                <w:rFonts w:hint="eastAsia"/>
                <w:sz w:val="21"/>
                <w:szCs w:val="21"/>
              </w:rPr>
              <w:t>%。</w:t>
            </w:r>
          </w:p>
        </w:tc>
        <w:tc>
          <w:tcPr>
            <w:tcW w:w="421" w:type="pct"/>
            <w:noWrap w:val="0"/>
            <w:vAlign w:val="center"/>
          </w:tcPr>
          <w:p w14:paraId="69F55E66">
            <w:pPr>
              <w:pStyle w:val="27"/>
              <w:bidi w:val="0"/>
              <w:rPr>
                <w:sz w:val="21"/>
                <w:szCs w:val="21"/>
              </w:rPr>
            </w:pPr>
            <w:r>
              <w:rPr>
                <w:sz w:val="21"/>
                <w:szCs w:val="21"/>
              </w:rPr>
              <w:t>符合</w:t>
            </w:r>
          </w:p>
        </w:tc>
      </w:tr>
      <w:tr w14:paraId="74DC3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9" w:hRule="atLeast"/>
          <w:jc w:val="center"/>
        </w:trPr>
        <w:tc>
          <w:tcPr>
            <w:tcW w:w="401" w:type="pct"/>
            <w:noWrap w:val="0"/>
            <w:vAlign w:val="center"/>
          </w:tcPr>
          <w:p w14:paraId="7D688B45">
            <w:pPr>
              <w:pStyle w:val="27"/>
              <w:bidi w:val="0"/>
              <w:rPr>
                <w:sz w:val="21"/>
                <w:szCs w:val="21"/>
              </w:rPr>
            </w:pPr>
            <w:r>
              <w:rPr>
                <w:sz w:val="21"/>
                <w:szCs w:val="21"/>
              </w:rPr>
              <w:t>2</w:t>
            </w:r>
          </w:p>
        </w:tc>
        <w:tc>
          <w:tcPr>
            <w:tcW w:w="1595" w:type="pct"/>
            <w:noWrap w:val="0"/>
            <w:vAlign w:val="center"/>
          </w:tcPr>
          <w:p w14:paraId="130B2BBF">
            <w:pPr>
              <w:pStyle w:val="27"/>
              <w:bidi w:val="0"/>
              <w:rPr>
                <w:rFonts w:hint="eastAsia"/>
                <w:sz w:val="21"/>
                <w:szCs w:val="21"/>
              </w:rPr>
            </w:pPr>
            <w:r>
              <w:rPr>
                <w:rFonts w:hint="eastAsia"/>
                <w:sz w:val="21"/>
                <w:szCs w:val="21"/>
              </w:rPr>
              <w:t>矿区运输道路应设置道路安全警示标志，主要包括（限速、禁止超车等），在道路外侧应设置挡墙。</w:t>
            </w:r>
          </w:p>
        </w:tc>
        <w:tc>
          <w:tcPr>
            <w:tcW w:w="616" w:type="pct"/>
            <w:noWrap w:val="0"/>
            <w:vAlign w:val="center"/>
          </w:tcPr>
          <w:p w14:paraId="415C3820">
            <w:pPr>
              <w:pStyle w:val="27"/>
              <w:bidi w:val="0"/>
              <w:rPr>
                <w:sz w:val="21"/>
                <w:szCs w:val="21"/>
              </w:rPr>
            </w:pPr>
            <w:r>
              <w:rPr>
                <w:sz w:val="21"/>
                <w:szCs w:val="21"/>
              </w:rPr>
              <w:t>《</w:t>
            </w:r>
            <w:r>
              <w:rPr>
                <w:rFonts w:hint="eastAsia"/>
                <w:sz w:val="21"/>
                <w:szCs w:val="21"/>
              </w:rPr>
              <w:t>安全设施设计</w:t>
            </w:r>
            <w:r>
              <w:rPr>
                <w:sz w:val="21"/>
                <w:szCs w:val="21"/>
              </w:rPr>
              <w:t>》</w:t>
            </w:r>
          </w:p>
        </w:tc>
        <w:tc>
          <w:tcPr>
            <w:tcW w:w="610" w:type="pct"/>
            <w:noWrap w:val="0"/>
            <w:vAlign w:val="center"/>
          </w:tcPr>
          <w:p w14:paraId="1AFD9AE1">
            <w:pPr>
              <w:pStyle w:val="27"/>
              <w:bidi w:val="0"/>
              <w:rPr>
                <w:sz w:val="21"/>
                <w:szCs w:val="21"/>
              </w:rPr>
            </w:pPr>
            <w:r>
              <w:rPr>
                <w:sz w:val="21"/>
                <w:szCs w:val="21"/>
              </w:rPr>
              <w:t>现场检查</w:t>
            </w:r>
          </w:p>
        </w:tc>
        <w:tc>
          <w:tcPr>
            <w:tcW w:w="1354" w:type="pct"/>
            <w:noWrap w:val="0"/>
            <w:vAlign w:val="center"/>
          </w:tcPr>
          <w:p w14:paraId="1DA1F5BA">
            <w:pPr>
              <w:pStyle w:val="27"/>
              <w:bidi w:val="0"/>
              <w:rPr>
                <w:sz w:val="21"/>
                <w:szCs w:val="21"/>
              </w:rPr>
            </w:pPr>
            <w:r>
              <w:rPr>
                <w:sz w:val="21"/>
                <w:szCs w:val="21"/>
              </w:rPr>
              <w:t>矿山设置了</w:t>
            </w:r>
            <w:r>
              <w:rPr>
                <w:rFonts w:hint="eastAsia"/>
                <w:sz w:val="21"/>
                <w:szCs w:val="21"/>
                <w:lang w:eastAsia="zh-CN"/>
              </w:rPr>
              <w:t>“</w:t>
            </w:r>
            <w:r>
              <w:rPr>
                <w:rFonts w:hint="eastAsia"/>
                <w:sz w:val="21"/>
                <w:szCs w:val="21"/>
              </w:rPr>
              <w:t>下坡</w:t>
            </w:r>
            <w:r>
              <w:rPr>
                <w:sz w:val="21"/>
                <w:szCs w:val="21"/>
              </w:rPr>
              <w:t>道路、减速慢行</w:t>
            </w:r>
            <w:r>
              <w:rPr>
                <w:rFonts w:hint="eastAsia"/>
                <w:sz w:val="21"/>
                <w:szCs w:val="21"/>
                <w:lang w:eastAsia="zh-CN"/>
              </w:rPr>
              <w:t>”</w:t>
            </w:r>
            <w:r>
              <w:rPr>
                <w:rFonts w:hint="eastAsia"/>
                <w:sz w:val="21"/>
                <w:szCs w:val="21"/>
              </w:rPr>
              <w:t>和</w:t>
            </w:r>
            <w:r>
              <w:rPr>
                <w:rFonts w:hint="eastAsia"/>
                <w:sz w:val="21"/>
                <w:szCs w:val="21"/>
                <w:lang w:eastAsia="zh-CN"/>
              </w:rPr>
              <w:t>“</w:t>
            </w:r>
            <w:r>
              <w:rPr>
                <w:rFonts w:hint="eastAsia"/>
                <w:sz w:val="21"/>
                <w:szCs w:val="21"/>
                <w:lang w:val="en-US" w:eastAsia="zh-CN"/>
              </w:rPr>
              <w:t>1</w:t>
            </w:r>
            <w:r>
              <w:rPr>
                <w:rFonts w:hint="eastAsia"/>
                <w:sz w:val="21"/>
                <w:szCs w:val="21"/>
              </w:rPr>
              <w:t>5km限速</w:t>
            </w:r>
            <w:r>
              <w:rPr>
                <w:rFonts w:hint="eastAsia"/>
                <w:sz w:val="21"/>
                <w:szCs w:val="21"/>
                <w:lang w:eastAsia="zh-CN"/>
              </w:rPr>
              <w:t>”</w:t>
            </w:r>
            <w:r>
              <w:rPr>
                <w:rFonts w:hint="eastAsia"/>
                <w:sz w:val="21"/>
                <w:szCs w:val="21"/>
              </w:rPr>
              <w:t>等</w:t>
            </w:r>
            <w:r>
              <w:rPr>
                <w:sz w:val="21"/>
                <w:szCs w:val="21"/>
              </w:rPr>
              <w:t>警示标志</w:t>
            </w:r>
            <w:r>
              <w:rPr>
                <w:rFonts w:hint="eastAsia"/>
                <w:sz w:val="21"/>
                <w:szCs w:val="21"/>
              </w:rPr>
              <w:t>，道路外坡设置挡车墙</w:t>
            </w:r>
          </w:p>
        </w:tc>
        <w:tc>
          <w:tcPr>
            <w:tcW w:w="421" w:type="pct"/>
            <w:noWrap w:val="0"/>
            <w:vAlign w:val="center"/>
          </w:tcPr>
          <w:p w14:paraId="7023BF88">
            <w:pPr>
              <w:pStyle w:val="27"/>
              <w:bidi w:val="0"/>
              <w:rPr>
                <w:sz w:val="21"/>
                <w:szCs w:val="21"/>
              </w:rPr>
            </w:pPr>
            <w:r>
              <w:rPr>
                <w:sz w:val="21"/>
                <w:szCs w:val="21"/>
              </w:rPr>
              <w:t>符合</w:t>
            </w:r>
          </w:p>
        </w:tc>
      </w:tr>
      <w:tr w14:paraId="7C675B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401" w:type="pct"/>
            <w:noWrap w:val="0"/>
            <w:vAlign w:val="center"/>
          </w:tcPr>
          <w:p w14:paraId="1EE3046F">
            <w:pPr>
              <w:pStyle w:val="27"/>
              <w:bidi w:val="0"/>
              <w:rPr>
                <w:sz w:val="21"/>
                <w:szCs w:val="21"/>
              </w:rPr>
            </w:pPr>
            <w:r>
              <w:rPr>
                <w:sz w:val="21"/>
                <w:szCs w:val="21"/>
              </w:rPr>
              <w:t>3</w:t>
            </w:r>
          </w:p>
        </w:tc>
        <w:tc>
          <w:tcPr>
            <w:tcW w:w="1595" w:type="pct"/>
            <w:noWrap w:val="0"/>
            <w:vAlign w:val="center"/>
          </w:tcPr>
          <w:p w14:paraId="036AF959">
            <w:pPr>
              <w:pStyle w:val="27"/>
              <w:bidi w:val="0"/>
              <w:rPr>
                <w:rFonts w:hint="eastAsia"/>
                <w:sz w:val="21"/>
                <w:szCs w:val="21"/>
              </w:rPr>
            </w:pPr>
            <w:r>
              <w:rPr>
                <w:rFonts w:hint="eastAsia"/>
                <w:sz w:val="21"/>
                <w:szCs w:val="21"/>
              </w:rPr>
              <w:t>车辆在矿区道路上宜中速行驶，弯道和坡道应限速行驶，转弯处严禁超车。</w:t>
            </w:r>
          </w:p>
        </w:tc>
        <w:tc>
          <w:tcPr>
            <w:tcW w:w="616" w:type="pct"/>
            <w:noWrap w:val="0"/>
            <w:vAlign w:val="center"/>
          </w:tcPr>
          <w:p w14:paraId="7610A007">
            <w:pPr>
              <w:pStyle w:val="27"/>
              <w:bidi w:val="0"/>
              <w:rPr>
                <w:sz w:val="21"/>
                <w:szCs w:val="21"/>
              </w:rPr>
            </w:pPr>
            <w:r>
              <w:rPr>
                <w:sz w:val="21"/>
                <w:szCs w:val="21"/>
              </w:rPr>
              <w:t>《</w:t>
            </w:r>
            <w:r>
              <w:rPr>
                <w:rFonts w:hint="eastAsia"/>
                <w:sz w:val="21"/>
                <w:szCs w:val="21"/>
              </w:rPr>
              <w:t>安全设施设计</w:t>
            </w:r>
            <w:r>
              <w:rPr>
                <w:sz w:val="21"/>
                <w:szCs w:val="21"/>
              </w:rPr>
              <w:t>》</w:t>
            </w:r>
          </w:p>
        </w:tc>
        <w:tc>
          <w:tcPr>
            <w:tcW w:w="610" w:type="pct"/>
            <w:noWrap w:val="0"/>
            <w:vAlign w:val="center"/>
          </w:tcPr>
          <w:p w14:paraId="76C2AA36">
            <w:pPr>
              <w:pStyle w:val="27"/>
              <w:bidi w:val="0"/>
              <w:rPr>
                <w:sz w:val="21"/>
                <w:szCs w:val="21"/>
              </w:rPr>
            </w:pPr>
            <w:r>
              <w:rPr>
                <w:sz w:val="21"/>
                <w:szCs w:val="21"/>
              </w:rPr>
              <w:t>现场检查</w:t>
            </w:r>
          </w:p>
        </w:tc>
        <w:tc>
          <w:tcPr>
            <w:tcW w:w="1354" w:type="pct"/>
            <w:noWrap w:val="0"/>
            <w:vAlign w:val="center"/>
          </w:tcPr>
          <w:p w14:paraId="2FAA6F93">
            <w:pPr>
              <w:pStyle w:val="27"/>
              <w:bidi w:val="0"/>
              <w:rPr>
                <w:sz w:val="21"/>
                <w:szCs w:val="21"/>
              </w:rPr>
            </w:pPr>
            <w:r>
              <w:rPr>
                <w:rFonts w:hint="eastAsia"/>
                <w:sz w:val="21"/>
                <w:szCs w:val="21"/>
              </w:rPr>
              <w:t>车辆在运输道路居中缓慢行驶</w:t>
            </w:r>
            <w:r>
              <w:rPr>
                <w:sz w:val="21"/>
                <w:szCs w:val="21"/>
              </w:rPr>
              <w:t>。</w:t>
            </w:r>
          </w:p>
        </w:tc>
        <w:tc>
          <w:tcPr>
            <w:tcW w:w="421" w:type="pct"/>
            <w:noWrap w:val="0"/>
            <w:vAlign w:val="center"/>
          </w:tcPr>
          <w:p w14:paraId="25E1E1A7">
            <w:pPr>
              <w:pStyle w:val="27"/>
              <w:bidi w:val="0"/>
              <w:rPr>
                <w:sz w:val="21"/>
                <w:szCs w:val="21"/>
              </w:rPr>
            </w:pPr>
            <w:r>
              <w:rPr>
                <w:sz w:val="21"/>
                <w:szCs w:val="21"/>
              </w:rPr>
              <w:t>符合</w:t>
            </w:r>
          </w:p>
        </w:tc>
      </w:tr>
      <w:tr w14:paraId="0B7A98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07" w:hRule="atLeast"/>
          <w:jc w:val="center"/>
        </w:trPr>
        <w:tc>
          <w:tcPr>
            <w:tcW w:w="401" w:type="pct"/>
            <w:noWrap w:val="0"/>
            <w:vAlign w:val="center"/>
          </w:tcPr>
          <w:p w14:paraId="39DF0649">
            <w:pPr>
              <w:pStyle w:val="27"/>
              <w:bidi w:val="0"/>
              <w:rPr>
                <w:sz w:val="21"/>
                <w:szCs w:val="21"/>
              </w:rPr>
            </w:pPr>
            <w:r>
              <w:rPr>
                <w:sz w:val="21"/>
                <w:szCs w:val="21"/>
              </w:rPr>
              <w:t>4</w:t>
            </w:r>
          </w:p>
        </w:tc>
        <w:tc>
          <w:tcPr>
            <w:tcW w:w="1595" w:type="pct"/>
            <w:noWrap w:val="0"/>
            <w:vAlign w:val="center"/>
          </w:tcPr>
          <w:p w14:paraId="7E20E7B2">
            <w:pPr>
              <w:pStyle w:val="27"/>
              <w:bidi w:val="0"/>
              <w:rPr>
                <w:rFonts w:hint="eastAsia"/>
                <w:sz w:val="21"/>
                <w:szCs w:val="21"/>
              </w:rPr>
            </w:pPr>
            <w:r>
              <w:rPr>
                <w:rFonts w:hint="eastAsia"/>
                <w:sz w:val="21"/>
                <w:szCs w:val="21"/>
              </w:rPr>
              <w:t>装车时，禁止检查、维护车辆；驾驶员不得离开驾驶室，并不得将头和手臂伸出驾驶室外。</w:t>
            </w:r>
          </w:p>
        </w:tc>
        <w:tc>
          <w:tcPr>
            <w:tcW w:w="616" w:type="pct"/>
            <w:noWrap w:val="0"/>
            <w:vAlign w:val="center"/>
          </w:tcPr>
          <w:p w14:paraId="195A2403">
            <w:pPr>
              <w:pStyle w:val="27"/>
              <w:bidi w:val="0"/>
              <w:rPr>
                <w:sz w:val="21"/>
                <w:szCs w:val="21"/>
              </w:rPr>
            </w:pPr>
            <w:r>
              <w:rPr>
                <w:sz w:val="21"/>
                <w:szCs w:val="21"/>
              </w:rPr>
              <w:t>《</w:t>
            </w:r>
            <w:r>
              <w:rPr>
                <w:rFonts w:hint="eastAsia"/>
                <w:sz w:val="21"/>
                <w:szCs w:val="21"/>
              </w:rPr>
              <w:t>安全设施设计</w:t>
            </w:r>
            <w:r>
              <w:rPr>
                <w:sz w:val="21"/>
                <w:szCs w:val="21"/>
              </w:rPr>
              <w:t>》</w:t>
            </w:r>
          </w:p>
        </w:tc>
        <w:tc>
          <w:tcPr>
            <w:tcW w:w="610" w:type="pct"/>
            <w:noWrap w:val="0"/>
            <w:vAlign w:val="center"/>
          </w:tcPr>
          <w:p w14:paraId="284730BA">
            <w:pPr>
              <w:pStyle w:val="27"/>
              <w:bidi w:val="0"/>
              <w:rPr>
                <w:sz w:val="21"/>
                <w:szCs w:val="21"/>
              </w:rPr>
            </w:pPr>
            <w:r>
              <w:rPr>
                <w:sz w:val="21"/>
                <w:szCs w:val="21"/>
              </w:rPr>
              <w:t>现场检查</w:t>
            </w:r>
          </w:p>
        </w:tc>
        <w:tc>
          <w:tcPr>
            <w:tcW w:w="1354" w:type="pct"/>
            <w:noWrap w:val="0"/>
            <w:vAlign w:val="center"/>
          </w:tcPr>
          <w:p w14:paraId="506A0FB1">
            <w:pPr>
              <w:pStyle w:val="27"/>
              <w:bidi w:val="0"/>
              <w:rPr>
                <w:sz w:val="21"/>
                <w:szCs w:val="21"/>
              </w:rPr>
            </w:pPr>
            <w:r>
              <w:rPr>
                <w:rFonts w:hint="eastAsia"/>
                <w:sz w:val="21"/>
                <w:szCs w:val="21"/>
              </w:rPr>
              <w:t>装车时，驾驶员不离开车辆，头手不伸出窗外，不检查车辆</w:t>
            </w:r>
            <w:r>
              <w:rPr>
                <w:sz w:val="21"/>
                <w:szCs w:val="21"/>
              </w:rPr>
              <w:t>。</w:t>
            </w:r>
          </w:p>
        </w:tc>
        <w:tc>
          <w:tcPr>
            <w:tcW w:w="421" w:type="pct"/>
            <w:noWrap w:val="0"/>
            <w:vAlign w:val="center"/>
          </w:tcPr>
          <w:p w14:paraId="123386C2">
            <w:pPr>
              <w:pStyle w:val="27"/>
              <w:bidi w:val="0"/>
              <w:rPr>
                <w:sz w:val="21"/>
                <w:szCs w:val="21"/>
              </w:rPr>
            </w:pPr>
            <w:r>
              <w:rPr>
                <w:sz w:val="21"/>
                <w:szCs w:val="21"/>
              </w:rPr>
              <w:t>符合</w:t>
            </w:r>
          </w:p>
        </w:tc>
      </w:tr>
      <w:tr w14:paraId="56DFB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jc w:val="center"/>
        </w:trPr>
        <w:tc>
          <w:tcPr>
            <w:tcW w:w="401" w:type="pct"/>
            <w:noWrap w:val="0"/>
            <w:vAlign w:val="center"/>
          </w:tcPr>
          <w:p w14:paraId="2A4481BD">
            <w:pPr>
              <w:pStyle w:val="27"/>
              <w:bidi w:val="0"/>
              <w:rPr>
                <w:rFonts w:hint="eastAsia"/>
                <w:sz w:val="21"/>
                <w:szCs w:val="21"/>
              </w:rPr>
            </w:pPr>
            <w:r>
              <w:rPr>
                <w:rFonts w:hint="eastAsia"/>
                <w:sz w:val="21"/>
                <w:szCs w:val="21"/>
              </w:rPr>
              <w:t>5</w:t>
            </w:r>
          </w:p>
        </w:tc>
        <w:tc>
          <w:tcPr>
            <w:tcW w:w="1595" w:type="pct"/>
            <w:noWrap w:val="0"/>
            <w:vAlign w:val="center"/>
          </w:tcPr>
          <w:p w14:paraId="0931F1BD">
            <w:pPr>
              <w:pStyle w:val="27"/>
              <w:bidi w:val="0"/>
              <w:rPr>
                <w:rFonts w:hint="eastAsia"/>
                <w:sz w:val="21"/>
                <w:szCs w:val="21"/>
              </w:rPr>
            </w:pPr>
            <w:r>
              <w:rPr>
                <w:rFonts w:hint="eastAsia"/>
                <w:sz w:val="21"/>
                <w:szCs w:val="21"/>
              </w:rPr>
              <w:t>装矿平台要有足够的调车场地，并在边坡处设置挡车墙。</w:t>
            </w:r>
          </w:p>
        </w:tc>
        <w:tc>
          <w:tcPr>
            <w:tcW w:w="616" w:type="pct"/>
            <w:noWrap w:val="0"/>
            <w:vAlign w:val="center"/>
          </w:tcPr>
          <w:p w14:paraId="6AEF083F">
            <w:pPr>
              <w:pStyle w:val="27"/>
              <w:bidi w:val="0"/>
              <w:rPr>
                <w:sz w:val="21"/>
                <w:szCs w:val="21"/>
              </w:rPr>
            </w:pPr>
            <w:r>
              <w:rPr>
                <w:sz w:val="21"/>
                <w:szCs w:val="21"/>
              </w:rPr>
              <w:t>《</w:t>
            </w:r>
            <w:r>
              <w:rPr>
                <w:rFonts w:hint="eastAsia"/>
                <w:sz w:val="21"/>
                <w:szCs w:val="21"/>
              </w:rPr>
              <w:t>安全设施设计</w:t>
            </w:r>
            <w:r>
              <w:rPr>
                <w:sz w:val="21"/>
                <w:szCs w:val="21"/>
              </w:rPr>
              <w:t>》</w:t>
            </w:r>
          </w:p>
        </w:tc>
        <w:tc>
          <w:tcPr>
            <w:tcW w:w="610" w:type="pct"/>
            <w:noWrap w:val="0"/>
            <w:vAlign w:val="center"/>
          </w:tcPr>
          <w:p w14:paraId="29802566">
            <w:pPr>
              <w:pStyle w:val="27"/>
              <w:bidi w:val="0"/>
              <w:rPr>
                <w:sz w:val="21"/>
                <w:szCs w:val="21"/>
              </w:rPr>
            </w:pPr>
            <w:r>
              <w:rPr>
                <w:sz w:val="21"/>
                <w:szCs w:val="21"/>
              </w:rPr>
              <w:t>现场检查</w:t>
            </w:r>
          </w:p>
        </w:tc>
        <w:tc>
          <w:tcPr>
            <w:tcW w:w="1354" w:type="pct"/>
            <w:noWrap w:val="0"/>
            <w:vAlign w:val="center"/>
          </w:tcPr>
          <w:p w14:paraId="2568649F">
            <w:pPr>
              <w:pStyle w:val="27"/>
              <w:bidi w:val="0"/>
              <w:rPr>
                <w:sz w:val="21"/>
                <w:szCs w:val="21"/>
              </w:rPr>
            </w:pPr>
            <w:r>
              <w:rPr>
                <w:rFonts w:hint="eastAsia"/>
                <w:sz w:val="21"/>
                <w:szCs w:val="21"/>
              </w:rPr>
              <w:t>装矿平台宽度30m，边坡底部设置顶部宽0.5m，底部宽度1.</w:t>
            </w:r>
            <w:r>
              <w:rPr>
                <w:rFonts w:hint="eastAsia"/>
                <w:sz w:val="21"/>
                <w:szCs w:val="21"/>
                <w:lang w:val="en-US" w:eastAsia="zh-CN"/>
              </w:rPr>
              <w:t>1</w:t>
            </w:r>
            <w:r>
              <w:rPr>
                <w:rFonts w:hint="eastAsia"/>
                <w:sz w:val="21"/>
                <w:szCs w:val="21"/>
              </w:rPr>
              <w:t>m，高度0.7m，废石堆砌</w:t>
            </w:r>
            <w:r>
              <w:rPr>
                <w:rFonts w:hint="eastAsia"/>
                <w:sz w:val="21"/>
                <w:szCs w:val="21"/>
                <w:lang w:val="en-US" w:eastAsia="zh-CN"/>
              </w:rPr>
              <w:t>的</w:t>
            </w:r>
            <w:r>
              <w:rPr>
                <w:rFonts w:hint="eastAsia"/>
                <w:sz w:val="21"/>
                <w:szCs w:val="21"/>
              </w:rPr>
              <w:t>挡车墙。</w:t>
            </w:r>
          </w:p>
        </w:tc>
        <w:tc>
          <w:tcPr>
            <w:tcW w:w="421" w:type="pct"/>
            <w:noWrap w:val="0"/>
            <w:vAlign w:val="center"/>
          </w:tcPr>
          <w:p w14:paraId="68532BF5">
            <w:pPr>
              <w:pStyle w:val="27"/>
              <w:bidi w:val="0"/>
              <w:rPr>
                <w:sz w:val="21"/>
                <w:szCs w:val="21"/>
              </w:rPr>
            </w:pPr>
            <w:r>
              <w:rPr>
                <w:sz w:val="21"/>
                <w:szCs w:val="21"/>
              </w:rPr>
              <w:t>符合</w:t>
            </w:r>
          </w:p>
        </w:tc>
      </w:tr>
      <w:tr w14:paraId="7AA09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0" w:hRule="atLeast"/>
          <w:jc w:val="center"/>
        </w:trPr>
        <w:tc>
          <w:tcPr>
            <w:tcW w:w="401" w:type="pct"/>
            <w:noWrap w:val="0"/>
            <w:vAlign w:val="center"/>
          </w:tcPr>
          <w:p w14:paraId="56AE72FA">
            <w:pPr>
              <w:pStyle w:val="27"/>
              <w:bidi w:val="0"/>
              <w:rPr>
                <w:rFonts w:hint="eastAsia"/>
                <w:sz w:val="21"/>
                <w:szCs w:val="21"/>
              </w:rPr>
            </w:pPr>
            <w:r>
              <w:rPr>
                <w:rFonts w:hint="eastAsia"/>
                <w:sz w:val="21"/>
                <w:szCs w:val="21"/>
              </w:rPr>
              <w:t>6</w:t>
            </w:r>
          </w:p>
        </w:tc>
        <w:tc>
          <w:tcPr>
            <w:tcW w:w="1595" w:type="pct"/>
            <w:noWrap w:val="0"/>
            <w:vAlign w:val="center"/>
          </w:tcPr>
          <w:p w14:paraId="4B7FC8CC">
            <w:pPr>
              <w:pStyle w:val="27"/>
              <w:bidi w:val="0"/>
              <w:rPr>
                <w:rFonts w:hint="eastAsia"/>
                <w:sz w:val="21"/>
                <w:szCs w:val="21"/>
              </w:rPr>
            </w:pPr>
            <w:r>
              <w:rPr>
                <w:rFonts w:hint="eastAsia"/>
                <w:sz w:val="21"/>
                <w:szCs w:val="21"/>
              </w:rPr>
              <w:t>禁止采用溜车方式发动车辆，下坡行驶严禁空档滑行。在坡道上停车时，司机不能离开，必须使用停车制动，并采取安全措施。</w:t>
            </w:r>
          </w:p>
        </w:tc>
        <w:tc>
          <w:tcPr>
            <w:tcW w:w="616" w:type="pct"/>
            <w:noWrap w:val="0"/>
            <w:vAlign w:val="center"/>
          </w:tcPr>
          <w:p w14:paraId="55CC008A">
            <w:pPr>
              <w:pStyle w:val="27"/>
              <w:bidi w:val="0"/>
              <w:rPr>
                <w:sz w:val="21"/>
                <w:szCs w:val="21"/>
              </w:rPr>
            </w:pPr>
            <w:r>
              <w:rPr>
                <w:sz w:val="21"/>
                <w:szCs w:val="21"/>
              </w:rPr>
              <w:t>《</w:t>
            </w:r>
            <w:r>
              <w:rPr>
                <w:rFonts w:hint="eastAsia"/>
                <w:sz w:val="21"/>
                <w:szCs w:val="21"/>
              </w:rPr>
              <w:t>安全设施设计</w:t>
            </w:r>
            <w:r>
              <w:rPr>
                <w:sz w:val="21"/>
                <w:szCs w:val="21"/>
              </w:rPr>
              <w:t>》</w:t>
            </w:r>
          </w:p>
        </w:tc>
        <w:tc>
          <w:tcPr>
            <w:tcW w:w="610" w:type="pct"/>
            <w:noWrap w:val="0"/>
            <w:vAlign w:val="center"/>
          </w:tcPr>
          <w:p w14:paraId="24187D76">
            <w:pPr>
              <w:pStyle w:val="27"/>
              <w:bidi w:val="0"/>
              <w:rPr>
                <w:sz w:val="21"/>
                <w:szCs w:val="21"/>
              </w:rPr>
            </w:pPr>
            <w:r>
              <w:rPr>
                <w:sz w:val="21"/>
                <w:szCs w:val="21"/>
              </w:rPr>
              <w:t>现场检查</w:t>
            </w:r>
          </w:p>
        </w:tc>
        <w:tc>
          <w:tcPr>
            <w:tcW w:w="1354" w:type="pct"/>
            <w:noWrap w:val="0"/>
            <w:vAlign w:val="center"/>
          </w:tcPr>
          <w:p w14:paraId="303A2F91">
            <w:pPr>
              <w:pStyle w:val="27"/>
              <w:bidi w:val="0"/>
              <w:rPr>
                <w:sz w:val="21"/>
                <w:szCs w:val="21"/>
              </w:rPr>
            </w:pPr>
            <w:r>
              <w:rPr>
                <w:rFonts w:hint="eastAsia"/>
                <w:sz w:val="21"/>
                <w:szCs w:val="21"/>
              </w:rPr>
              <w:t>按规定</w:t>
            </w:r>
            <w:r>
              <w:rPr>
                <w:rFonts w:hint="eastAsia"/>
                <w:sz w:val="21"/>
                <w:szCs w:val="21"/>
                <w:lang w:val="en-US" w:eastAsia="zh-CN"/>
              </w:rPr>
              <w:t>操作</w:t>
            </w:r>
            <w:r>
              <w:rPr>
                <w:rFonts w:hint="eastAsia"/>
                <w:sz w:val="21"/>
                <w:szCs w:val="21"/>
              </w:rPr>
              <w:t>执行。</w:t>
            </w:r>
          </w:p>
        </w:tc>
        <w:tc>
          <w:tcPr>
            <w:tcW w:w="421" w:type="pct"/>
            <w:noWrap w:val="0"/>
            <w:vAlign w:val="center"/>
          </w:tcPr>
          <w:p w14:paraId="24961A6A">
            <w:pPr>
              <w:pStyle w:val="27"/>
              <w:bidi w:val="0"/>
              <w:rPr>
                <w:sz w:val="21"/>
                <w:szCs w:val="21"/>
              </w:rPr>
            </w:pPr>
            <w:r>
              <w:rPr>
                <w:sz w:val="21"/>
                <w:szCs w:val="21"/>
              </w:rPr>
              <w:t>符合</w:t>
            </w:r>
          </w:p>
        </w:tc>
      </w:tr>
    </w:tbl>
    <w:p w14:paraId="34C0A3C8">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rPr>
      </w:pPr>
      <w:bookmarkStart w:id="54" w:name="_Toc18323"/>
      <w:bookmarkStart w:id="55" w:name="_Toc32226"/>
      <w:bookmarkStart w:id="56" w:name="_Toc18852"/>
      <w:bookmarkStart w:id="57" w:name="_Toc20727"/>
      <w:bookmarkStart w:id="58" w:name="_Toc26570"/>
      <w:bookmarkStart w:id="59" w:name="_Toc3418"/>
      <w:bookmarkStart w:id="60" w:name="_Toc11710"/>
      <w:bookmarkStart w:id="61" w:name="_Toc26016"/>
      <w:bookmarkStart w:id="62" w:name="_Toc25218"/>
      <w:bookmarkStart w:id="63" w:name="_Toc14744"/>
      <w:bookmarkStart w:id="64" w:name="_Toc7531"/>
      <w:bookmarkStart w:id="65" w:name="_Toc483865741"/>
      <w:bookmarkStart w:id="66" w:name="_Toc29083"/>
      <w:bookmarkStart w:id="67" w:name="_Toc24518"/>
      <w:bookmarkStart w:id="68" w:name="_Toc27750"/>
      <w:bookmarkStart w:id="69" w:name="_Toc454614328"/>
      <w:bookmarkStart w:id="70" w:name="_Toc476244169"/>
      <w:bookmarkStart w:id="71" w:name="_Toc14249"/>
      <w:bookmarkStart w:id="72" w:name="_Toc19811"/>
      <w:r>
        <w:rPr>
          <w:rFonts w:hint="eastAsia"/>
          <w:lang w:val="en-US" w:eastAsia="zh-CN"/>
        </w:rPr>
        <w:t>评价</w:t>
      </w:r>
      <w:r>
        <w:rPr>
          <w:rFonts w:hint="eastAsia"/>
        </w:rPr>
        <w:t>单元小结</w:t>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3FEDB268">
      <w:pPr>
        <w:pStyle w:val="18"/>
        <w:bidi w:val="0"/>
      </w:pPr>
      <w:r>
        <w:rPr>
          <w:rFonts w:hint="eastAsia"/>
        </w:rPr>
        <w:t>对该矿山矿岩运输单元进行了</w:t>
      </w:r>
      <w:r>
        <w:rPr>
          <w:rFonts w:hint="eastAsia"/>
          <w:lang w:val="en-US" w:eastAsia="zh-CN"/>
        </w:rPr>
        <w:t>6</w:t>
      </w:r>
      <w:r>
        <w:rPr>
          <w:rFonts w:hint="eastAsia"/>
        </w:rPr>
        <w:t>项检查，全部符合要求。检查结果表明，海城市荣富耐火材料有限公司镁矿（菱镁石、滑石）露天矿山建设项目矿岩运输单元符合设计要求，满足安全生产条件</w:t>
      </w:r>
      <w:r>
        <w:rPr>
          <w:b/>
          <w:bCs/>
        </w:rPr>
        <w:t>。</w:t>
      </w:r>
    </w:p>
    <w:p w14:paraId="24A2C3B6">
      <w:pPr>
        <w:pStyle w:val="24"/>
        <w:bidi w:val="0"/>
        <w:ind w:left="0" w:leftChars="0" w:firstLine="0" w:firstLineChars="0"/>
        <w:rPr>
          <w:rFonts w:hint="eastAsia"/>
          <w:lang w:val="en-US" w:eastAsia="zh-CN"/>
        </w:rPr>
      </w:pPr>
      <w:bookmarkStart w:id="73" w:name="_Toc10987"/>
      <w:bookmarkStart w:id="74" w:name="_Toc28495"/>
      <w:bookmarkStart w:id="75" w:name="_Toc23567"/>
      <w:bookmarkStart w:id="76" w:name="_Toc3417"/>
      <w:bookmarkStart w:id="77" w:name="_Toc30860"/>
      <w:bookmarkStart w:id="78" w:name="_Toc2272"/>
      <w:bookmarkStart w:id="79" w:name="_Toc31306"/>
      <w:bookmarkStart w:id="80" w:name="_Toc14762"/>
      <w:bookmarkStart w:id="81" w:name="_Toc13578"/>
      <w:bookmarkStart w:id="82" w:name="_Toc4451"/>
      <w:bookmarkStart w:id="83" w:name="_Toc3176"/>
      <w:bookmarkStart w:id="84" w:name="_Toc32151"/>
      <w:bookmarkStart w:id="85" w:name="_Toc29103"/>
      <w:bookmarkStart w:id="86" w:name="_Toc15474"/>
      <w:bookmarkStart w:id="87" w:name="_Toc11959"/>
      <w:bookmarkStart w:id="88" w:name="_Toc32403"/>
      <w:bookmarkStart w:id="89" w:name="_Toc24701"/>
      <w:bookmarkStart w:id="90" w:name="_Toc10680"/>
      <w:bookmarkStart w:id="91" w:name="_Toc18736"/>
      <w:bookmarkStart w:id="92" w:name="_Toc4143"/>
      <w:r>
        <w:t>采场防排水系统</w:t>
      </w:r>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r>
        <w:rPr>
          <w:rFonts w:hint="eastAsia"/>
          <w:lang w:val="en-US" w:eastAsia="zh-CN"/>
        </w:rPr>
        <w:t>单元</w:t>
      </w:r>
      <w:bookmarkEnd w:id="92"/>
    </w:p>
    <w:p w14:paraId="1AE266EA">
      <w:pPr>
        <w:pStyle w:val="18"/>
        <w:bidi w:val="0"/>
        <w:rPr>
          <w:rFonts w:hint="eastAsia"/>
          <w:lang w:eastAsia="zh-CN"/>
        </w:rPr>
      </w:pPr>
      <w:r>
        <w:rPr>
          <w:rFonts w:hint="eastAsia"/>
          <w:lang w:eastAsia="zh-CN"/>
        </w:rPr>
        <w:t>对采场防排水单元采用安全检查表法进行评价，检查结果详见下表3.4-1。</w:t>
      </w:r>
    </w:p>
    <w:p w14:paraId="5FAB3F32">
      <w:pPr>
        <w:rPr>
          <w:rFonts w:hint="eastAsia"/>
          <w:lang w:eastAsia="zh-CN"/>
        </w:rPr>
      </w:pPr>
      <w:r>
        <w:rPr>
          <w:rFonts w:hint="eastAsia"/>
          <w:lang w:eastAsia="zh-CN"/>
        </w:rPr>
        <w:br w:type="page"/>
      </w:r>
    </w:p>
    <w:p w14:paraId="49000753">
      <w:pPr>
        <w:pStyle w:val="26"/>
        <w:bidi w:val="0"/>
        <w:rPr>
          <w:rFonts w:hint="eastAsia"/>
          <w:lang w:eastAsia="zh-CN"/>
        </w:rPr>
      </w:pPr>
      <w:r>
        <w:rPr>
          <w:rFonts w:hint="eastAsia"/>
          <w:lang w:eastAsia="zh-CN"/>
        </w:rPr>
        <w:t>表3.4-1 防排水单元安全检查表</w:t>
      </w:r>
    </w:p>
    <w:tbl>
      <w:tblPr>
        <w:tblStyle w:val="20"/>
        <w:tblW w:w="4950" w:type="pct"/>
        <w:tblInd w:w="-10" w:type="dxa"/>
        <w:tblLayout w:type="fixed"/>
        <w:tblCellMar>
          <w:top w:w="0" w:type="dxa"/>
          <w:left w:w="108" w:type="dxa"/>
          <w:bottom w:w="0" w:type="dxa"/>
          <w:right w:w="108" w:type="dxa"/>
        </w:tblCellMar>
      </w:tblPr>
      <w:tblGrid>
        <w:gridCol w:w="692"/>
        <w:gridCol w:w="2677"/>
        <w:gridCol w:w="1709"/>
        <w:gridCol w:w="2557"/>
        <w:gridCol w:w="802"/>
      </w:tblGrid>
      <w:tr w14:paraId="62D7F182">
        <w:tblPrEx>
          <w:tblCellMar>
            <w:top w:w="0" w:type="dxa"/>
            <w:left w:w="108" w:type="dxa"/>
            <w:bottom w:w="0" w:type="dxa"/>
            <w:right w:w="108" w:type="dxa"/>
          </w:tblCellMar>
        </w:tblPrEx>
        <w:trPr>
          <w:cantSplit/>
          <w:trHeight w:val="510" w:hRule="atLeast"/>
          <w:tblHeader/>
        </w:trPr>
        <w:tc>
          <w:tcPr>
            <w:tcW w:w="692" w:type="dxa"/>
            <w:tcBorders>
              <w:top w:val="single" w:color="000000" w:sz="4" w:space="0"/>
              <w:left w:val="single" w:color="000000" w:sz="4" w:space="0"/>
              <w:bottom w:val="single" w:color="000000" w:sz="4" w:space="0"/>
              <w:right w:val="single" w:color="000000" w:sz="4" w:space="0"/>
            </w:tcBorders>
            <w:noWrap w:val="0"/>
            <w:vAlign w:val="center"/>
          </w:tcPr>
          <w:p w14:paraId="14268A33">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b/>
                <w:bCs/>
                <w:color w:val="000000"/>
                <w:sz w:val="21"/>
                <w:szCs w:val="21"/>
              </w:rPr>
            </w:pPr>
            <w:r>
              <w:rPr>
                <w:rFonts w:hint="eastAsia" w:ascii="Times New Roman" w:hAnsi="Times New Roman" w:eastAsia="宋体" w:cs="宋体"/>
                <w:b/>
                <w:bCs/>
                <w:color w:val="000000"/>
                <w:sz w:val="21"/>
                <w:szCs w:val="21"/>
              </w:rPr>
              <w:t>序号</w:t>
            </w:r>
          </w:p>
        </w:tc>
        <w:tc>
          <w:tcPr>
            <w:tcW w:w="2677" w:type="dxa"/>
            <w:tcBorders>
              <w:top w:val="single" w:color="000000" w:sz="4" w:space="0"/>
              <w:left w:val="single" w:color="000000" w:sz="4" w:space="0"/>
              <w:bottom w:val="single" w:color="000000" w:sz="4" w:space="0"/>
              <w:right w:val="single" w:color="000000" w:sz="4" w:space="0"/>
            </w:tcBorders>
            <w:noWrap w:val="0"/>
            <w:vAlign w:val="center"/>
          </w:tcPr>
          <w:p w14:paraId="480C0FC4">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b/>
                <w:bCs/>
                <w:color w:val="000000"/>
                <w:sz w:val="21"/>
                <w:szCs w:val="21"/>
              </w:rPr>
            </w:pPr>
            <w:r>
              <w:rPr>
                <w:rFonts w:hint="eastAsia" w:ascii="Times New Roman" w:hAnsi="Times New Roman" w:eastAsia="宋体" w:cs="宋体"/>
                <w:b/>
                <w:bCs/>
                <w:color w:val="000000"/>
                <w:sz w:val="21"/>
                <w:szCs w:val="21"/>
              </w:rPr>
              <w:t>检查内容</w:t>
            </w: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009246C9">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b/>
                <w:bCs/>
                <w:color w:val="000000"/>
                <w:sz w:val="21"/>
                <w:szCs w:val="21"/>
              </w:rPr>
            </w:pPr>
            <w:r>
              <w:rPr>
                <w:rFonts w:hint="eastAsia" w:ascii="Times New Roman" w:hAnsi="Times New Roman" w:eastAsia="宋体" w:cs="宋体"/>
                <w:b/>
                <w:bCs/>
                <w:color w:val="000000"/>
                <w:sz w:val="21"/>
                <w:szCs w:val="21"/>
              </w:rPr>
              <w:t>依据标准</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14:paraId="32BBC3C9">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b/>
                <w:bCs/>
                <w:color w:val="000000"/>
                <w:sz w:val="21"/>
                <w:szCs w:val="21"/>
              </w:rPr>
            </w:pPr>
            <w:r>
              <w:rPr>
                <w:b/>
                <w:bCs/>
                <w:sz w:val="21"/>
                <w:szCs w:val="21"/>
              </w:rPr>
              <w:t>检查情况</w:t>
            </w:r>
          </w:p>
        </w:tc>
        <w:tc>
          <w:tcPr>
            <w:tcW w:w="802" w:type="dxa"/>
            <w:tcBorders>
              <w:top w:val="single" w:color="000000" w:sz="4" w:space="0"/>
              <w:left w:val="single" w:color="000000" w:sz="4" w:space="0"/>
              <w:bottom w:val="single" w:color="000000" w:sz="4" w:space="0"/>
              <w:right w:val="single" w:color="000000" w:sz="4" w:space="0"/>
            </w:tcBorders>
            <w:noWrap w:val="0"/>
            <w:vAlign w:val="center"/>
          </w:tcPr>
          <w:p w14:paraId="52835F21">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b/>
                <w:bCs/>
                <w:color w:val="000000"/>
                <w:sz w:val="21"/>
                <w:szCs w:val="21"/>
              </w:rPr>
            </w:pPr>
            <w:r>
              <w:rPr>
                <w:rFonts w:hint="eastAsia" w:ascii="Times New Roman" w:hAnsi="Times New Roman" w:eastAsia="宋体" w:cs="宋体"/>
                <w:b/>
                <w:bCs/>
                <w:color w:val="000000"/>
                <w:sz w:val="21"/>
                <w:szCs w:val="21"/>
              </w:rPr>
              <w:t>结论</w:t>
            </w:r>
          </w:p>
        </w:tc>
      </w:tr>
      <w:tr w14:paraId="5A24D1BA">
        <w:tblPrEx>
          <w:tblCellMar>
            <w:top w:w="0" w:type="dxa"/>
            <w:left w:w="108" w:type="dxa"/>
            <w:bottom w:w="0" w:type="dxa"/>
            <w:right w:w="108" w:type="dxa"/>
          </w:tblCellMar>
        </w:tblPrEx>
        <w:trPr>
          <w:cantSplit/>
          <w:trHeight w:val="510" w:hRule="atLeast"/>
        </w:trPr>
        <w:tc>
          <w:tcPr>
            <w:tcW w:w="692" w:type="dxa"/>
            <w:tcBorders>
              <w:top w:val="single" w:color="000000" w:sz="4" w:space="0"/>
              <w:left w:val="single" w:color="000000" w:sz="4" w:space="0"/>
              <w:bottom w:val="single" w:color="000000" w:sz="4" w:space="0"/>
              <w:right w:val="single" w:color="000000" w:sz="4" w:space="0"/>
            </w:tcBorders>
            <w:noWrap w:val="0"/>
            <w:vAlign w:val="center"/>
          </w:tcPr>
          <w:p w14:paraId="22CFE1B4">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1</w:t>
            </w:r>
          </w:p>
        </w:tc>
        <w:tc>
          <w:tcPr>
            <w:tcW w:w="2677" w:type="dxa"/>
            <w:tcBorders>
              <w:top w:val="single" w:color="000000" w:sz="4" w:space="0"/>
              <w:left w:val="single" w:color="000000" w:sz="4" w:space="0"/>
              <w:bottom w:val="single" w:color="000000" w:sz="4" w:space="0"/>
              <w:right w:val="single" w:color="000000" w:sz="4" w:space="0"/>
            </w:tcBorders>
            <w:noWrap w:val="0"/>
            <w:vAlign w:val="center"/>
          </w:tcPr>
          <w:p w14:paraId="05EEBC7E">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矿区北部57m以上为山坡露天采场，可自流排水。北部57m水平标高以下为深凹露天采场，采用机械排水方式排水。</w:t>
            </w: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4CE79B74">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《安全设施设计》</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14:paraId="120BF983">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矿山北部57m</w:t>
            </w:r>
            <w:r>
              <w:rPr>
                <w:rFonts w:hint="eastAsia" w:ascii="Times New Roman" w:hAnsi="Times New Roman" w:eastAsia="宋体" w:cs="宋体"/>
                <w:color w:val="000000"/>
                <w:sz w:val="21"/>
                <w:szCs w:val="21"/>
                <w:lang w:val="en-US" w:eastAsia="zh-CN"/>
              </w:rPr>
              <w:t>标高以上</w:t>
            </w:r>
            <w:r>
              <w:rPr>
                <w:rFonts w:hint="eastAsia" w:ascii="Times New Roman" w:hAnsi="Times New Roman" w:eastAsia="宋体" w:cs="宋体"/>
                <w:color w:val="000000"/>
                <w:sz w:val="21"/>
                <w:szCs w:val="21"/>
              </w:rPr>
              <w:t>为山坡露天开采，57m</w:t>
            </w:r>
            <w:r>
              <w:rPr>
                <w:rFonts w:hint="eastAsia" w:ascii="Times New Roman" w:hAnsi="Times New Roman" w:eastAsia="宋体" w:cs="宋体"/>
                <w:color w:val="000000"/>
                <w:sz w:val="21"/>
                <w:szCs w:val="21"/>
                <w:lang w:val="en-US" w:eastAsia="zh-CN"/>
              </w:rPr>
              <w:t>标高以下为深凹露天采场，在-10m标高设有3台250DL（R）432-60×2型水泵，排水管路为两条273×6.5mm无缝钢管</w:t>
            </w:r>
            <w:r>
              <w:rPr>
                <w:rFonts w:hint="eastAsia" w:ascii="Times New Roman" w:hAnsi="Times New Roman" w:eastAsia="宋体" w:cs="宋体"/>
                <w:color w:val="000000"/>
                <w:sz w:val="21"/>
                <w:szCs w:val="21"/>
              </w:rPr>
              <w:t>。</w:t>
            </w:r>
          </w:p>
        </w:tc>
        <w:tc>
          <w:tcPr>
            <w:tcW w:w="802" w:type="dxa"/>
            <w:tcBorders>
              <w:top w:val="single" w:color="000000" w:sz="4" w:space="0"/>
              <w:left w:val="single" w:color="000000" w:sz="4" w:space="0"/>
              <w:bottom w:val="single" w:color="000000" w:sz="4" w:space="0"/>
              <w:right w:val="single" w:color="000000" w:sz="4" w:space="0"/>
            </w:tcBorders>
            <w:noWrap w:val="0"/>
            <w:vAlign w:val="center"/>
          </w:tcPr>
          <w:p w14:paraId="2A477CB3">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符合</w:t>
            </w:r>
          </w:p>
          <w:p w14:paraId="326DF60C">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要求</w:t>
            </w:r>
          </w:p>
        </w:tc>
      </w:tr>
      <w:tr w14:paraId="0ADC62F6">
        <w:tblPrEx>
          <w:tblCellMar>
            <w:top w:w="0" w:type="dxa"/>
            <w:left w:w="108" w:type="dxa"/>
            <w:bottom w:w="0" w:type="dxa"/>
            <w:right w:w="108" w:type="dxa"/>
          </w:tblCellMar>
        </w:tblPrEx>
        <w:trPr>
          <w:cantSplit/>
          <w:trHeight w:val="510" w:hRule="atLeast"/>
        </w:trPr>
        <w:tc>
          <w:tcPr>
            <w:tcW w:w="692" w:type="dxa"/>
            <w:tcBorders>
              <w:top w:val="single" w:color="000000" w:sz="4" w:space="0"/>
              <w:left w:val="single" w:color="000000" w:sz="4" w:space="0"/>
              <w:bottom w:val="single" w:color="000000" w:sz="4" w:space="0"/>
              <w:right w:val="single" w:color="000000" w:sz="4" w:space="0"/>
            </w:tcBorders>
            <w:noWrap w:val="0"/>
            <w:vAlign w:val="center"/>
          </w:tcPr>
          <w:p w14:paraId="63CEFC4B">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lang w:val="en-US" w:eastAsia="zh-CN"/>
              </w:rPr>
            </w:pPr>
            <w:r>
              <w:rPr>
                <w:rFonts w:hint="eastAsia" w:ascii="Times New Roman" w:hAnsi="Times New Roman" w:eastAsia="宋体" w:cs="宋体"/>
                <w:color w:val="000000"/>
                <w:sz w:val="21"/>
                <w:szCs w:val="21"/>
                <w:lang w:val="en-US" w:eastAsia="zh-CN"/>
              </w:rPr>
              <w:t>2</w:t>
            </w:r>
          </w:p>
        </w:tc>
        <w:tc>
          <w:tcPr>
            <w:tcW w:w="2677" w:type="dxa"/>
            <w:tcBorders>
              <w:top w:val="single" w:color="000000" w:sz="4" w:space="0"/>
              <w:left w:val="single" w:color="000000" w:sz="4" w:space="0"/>
              <w:bottom w:val="single" w:color="000000" w:sz="4" w:space="0"/>
              <w:right w:val="single" w:color="000000" w:sz="4" w:space="0"/>
            </w:tcBorders>
            <w:noWrap w:val="0"/>
            <w:vAlign w:val="center"/>
          </w:tcPr>
          <w:p w14:paraId="54D75D15">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泵站设置在坑底集水池附近，随采场工作面的下降而下降。集水池尺寸为20m×10m×10m（长×宽×深）。</w:t>
            </w: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191E6E0E">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《安全设施设计》</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14:paraId="43659F3C">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lang w:eastAsia="zh-CN"/>
              </w:rPr>
            </w:pPr>
            <w:r>
              <w:rPr>
                <w:rFonts w:hint="eastAsia" w:ascii="Times New Roman" w:hAnsi="Times New Roman" w:eastAsia="宋体" w:cs="宋体"/>
                <w:color w:val="000000"/>
                <w:sz w:val="21"/>
                <w:szCs w:val="21"/>
              </w:rPr>
              <w:t>在坑底设置一处集水坑</w:t>
            </w:r>
            <w:r>
              <w:rPr>
                <w:rFonts w:hint="eastAsia" w:ascii="Times New Roman" w:hAnsi="Times New Roman" w:eastAsia="宋体" w:cs="宋体"/>
                <w:color w:val="000000"/>
                <w:sz w:val="21"/>
                <w:szCs w:val="21"/>
                <w:lang w:eastAsia="zh-CN"/>
              </w:rPr>
              <w:t>，尺寸为20m×10m×10m。</w:t>
            </w:r>
          </w:p>
        </w:tc>
        <w:tc>
          <w:tcPr>
            <w:tcW w:w="802" w:type="dxa"/>
            <w:tcBorders>
              <w:top w:val="single" w:color="000000" w:sz="4" w:space="0"/>
              <w:left w:val="single" w:color="000000" w:sz="4" w:space="0"/>
              <w:bottom w:val="single" w:color="000000" w:sz="4" w:space="0"/>
              <w:right w:val="single" w:color="000000" w:sz="4" w:space="0"/>
            </w:tcBorders>
            <w:noWrap w:val="0"/>
            <w:vAlign w:val="center"/>
          </w:tcPr>
          <w:p w14:paraId="15B4348F">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符合</w:t>
            </w:r>
          </w:p>
          <w:p w14:paraId="4015E0CB">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要求</w:t>
            </w:r>
          </w:p>
        </w:tc>
      </w:tr>
      <w:tr w14:paraId="06F41115">
        <w:tblPrEx>
          <w:tblCellMar>
            <w:top w:w="0" w:type="dxa"/>
            <w:left w:w="108" w:type="dxa"/>
            <w:bottom w:w="0" w:type="dxa"/>
            <w:right w:w="108" w:type="dxa"/>
          </w:tblCellMar>
        </w:tblPrEx>
        <w:trPr>
          <w:cantSplit/>
          <w:trHeight w:val="510" w:hRule="atLeast"/>
        </w:trPr>
        <w:tc>
          <w:tcPr>
            <w:tcW w:w="692" w:type="dxa"/>
            <w:tcBorders>
              <w:top w:val="single" w:color="000000" w:sz="4" w:space="0"/>
              <w:left w:val="single" w:color="000000" w:sz="4" w:space="0"/>
              <w:bottom w:val="single" w:color="000000" w:sz="4" w:space="0"/>
              <w:right w:val="single" w:color="000000" w:sz="4" w:space="0"/>
            </w:tcBorders>
            <w:noWrap w:val="0"/>
            <w:vAlign w:val="center"/>
          </w:tcPr>
          <w:p w14:paraId="3F976967">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lang w:eastAsia="zh-CN"/>
              </w:rPr>
            </w:pPr>
            <w:r>
              <w:rPr>
                <w:rFonts w:hint="eastAsia" w:ascii="Times New Roman" w:hAnsi="Times New Roman" w:eastAsia="宋体" w:cs="宋体"/>
                <w:color w:val="000000"/>
                <w:sz w:val="21"/>
                <w:szCs w:val="21"/>
                <w:lang w:val="en-US" w:eastAsia="zh-CN"/>
              </w:rPr>
              <w:t>3</w:t>
            </w:r>
          </w:p>
        </w:tc>
        <w:tc>
          <w:tcPr>
            <w:tcW w:w="2677" w:type="dxa"/>
            <w:tcBorders>
              <w:top w:val="single" w:color="000000" w:sz="4" w:space="0"/>
              <w:left w:val="single" w:color="000000" w:sz="4" w:space="0"/>
              <w:bottom w:val="single" w:color="000000" w:sz="4" w:space="0"/>
              <w:right w:val="single" w:color="000000" w:sz="4" w:space="0"/>
            </w:tcBorders>
            <w:noWrap w:val="0"/>
            <w:vAlign w:val="center"/>
          </w:tcPr>
          <w:p w14:paraId="1370C8DE">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受洪水威胁的露天采场应设置地面防洪工程</w:t>
            </w:r>
          </w:p>
        </w:tc>
        <w:tc>
          <w:tcPr>
            <w:tcW w:w="1709" w:type="dxa"/>
            <w:tcBorders>
              <w:top w:val="single" w:color="000000" w:sz="4" w:space="0"/>
              <w:left w:val="single" w:color="000000" w:sz="4" w:space="0"/>
              <w:bottom w:val="single" w:color="000000" w:sz="4" w:space="0"/>
              <w:right w:val="single" w:color="000000" w:sz="4" w:space="0"/>
            </w:tcBorders>
            <w:noWrap w:val="0"/>
            <w:vAlign w:val="center"/>
          </w:tcPr>
          <w:p w14:paraId="5B8FC6BB">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《金属非金属矿山安全规程》</w:t>
            </w:r>
          </w:p>
          <w:p w14:paraId="1D1692BB">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（GB 16423- 2020）5.7.1.4条</w:t>
            </w:r>
          </w:p>
        </w:tc>
        <w:tc>
          <w:tcPr>
            <w:tcW w:w="2557" w:type="dxa"/>
            <w:tcBorders>
              <w:top w:val="single" w:color="000000" w:sz="4" w:space="0"/>
              <w:left w:val="single" w:color="000000" w:sz="4" w:space="0"/>
              <w:bottom w:val="single" w:color="000000" w:sz="4" w:space="0"/>
              <w:right w:val="single" w:color="000000" w:sz="4" w:space="0"/>
            </w:tcBorders>
            <w:noWrap w:val="0"/>
            <w:vAlign w:val="center"/>
          </w:tcPr>
          <w:p w14:paraId="25CED35A">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采场不受洪水倒灌的影响</w:t>
            </w:r>
          </w:p>
        </w:tc>
        <w:tc>
          <w:tcPr>
            <w:tcW w:w="802" w:type="dxa"/>
            <w:tcBorders>
              <w:top w:val="single" w:color="000000" w:sz="4" w:space="0"/>
              <w:left w:val="single" w:color="000000" w:sz="4" w:space="0"/>
              <w:bottom w:val="single" w:color="000000" w:sz="4" w:space="0"/>
              <w:right w:val="single" w:color="000000" w:sz="4" w:space="0"/>
            </w:tcBorders>
            <w:noWrap w:val="0"/>
            <w:vAlign w:val="center"/>
          </w:tcPr>
          <w:p w14:paraId="65D21B42">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符合</w:t>
            </w:r>
          </w:p>
          <w:p w14:paraId="518E3386">
            <w:pPr>
              <w:pStyle w:val="36"/>
              <w:keepNext w:val="0"/>
              <w:keepLines w:val="0"/>
              <w:pageBreakBefore w:val="0"/>
              <w:widowControl w:val="0"/>
              <w:kinsoku/>
              <w:wordWrap/>
              <w:overflowPunct/>
              <w:topLinePunct w:val="0"/>
              <w:autoSpaceDE/>
              <w:autoSpaceDN/>
              <w:bidi w:val="0"/>
              <w:adjustRightInd w:val="0"/>
              <w:snapToGrid w:val="0"/>
              <w:spacing w:line="240" w:lineRule="auto"/>
              <w:textAlignment w:val="auto"/>
              <w:rPr>
                <w:rFonts w:hint="eastAsia" w:ascii="Times New Roman" w:hAnsi="Times New Roman" w:eastAsia="宋体" w:cs="宋体"/>
                <w:color w:val="000000"/>
                <w:sz w:val="21"/>
                <w:szCs w:val="21"/>
              </w:rPr>
            </w:pPr>
            <w:r>
              <w:rPr>
                <w:rFonts w:hint="eastAsia" w:ascii="Times New Roman" w:hAnsi="Times New Roman" w:eastAsia="宋体" w:cs="宋体"/>
                <w:color w:val="000000"/>
                <w:sz w:val="21"/>
                <w:szCs w:val="21"/>
              </w:rPr>
              <w:t>要求</w:t>
            </w:r>
          </w:p>
        </w:tc>
      </w:tr>
    </w:tbl>
    <w:p w14:paraId="446E14C1">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default"/>
          <w:lang w:val="en-US" w:eastAsia="zh-CN"/>
        </w:rPr>
      </w:pPr>
      <w:r>
        <w:rPr>
          <w:rFonts w:hint="eastAsia"/>
          <w:lang w:val="en-US" w:eastAsia="zh-CN"/>
        </w:rPr>
        <w:t>评价单元小结：</w:t>
      </w:r>
    </w:p>
    <w:p w14:paraId="0E0E0DD2">
      <w:pPr>
        <w:pStyle w:val="18"/>
        <w:bidi w:val="0"/>
      </w:pPr>
      <w:r>
        <w:rPr>
          <w:rFonts w:hint="eastAsia"/>
        </w:rPr>
        <w:t>对该矿山采场防排水单元进行了</w:t>
      </w:r>
      <w:r>
        <w:rPr>
          <w:rFonts w:hint="eastAsia"/>
          <w:lang w:val="en-US" w:eastAsia="zh-CN"/>
        </w:rPr>
        <w:t>3</w:t>
      </w:r>
      <w:r>
        <w:rPr>
          <w:rFonts w:hint="eastAsia"/>
        </w:rPr>
        <w:t>项检查，全部符合要求。检查结果表明，海城市荣富耐火材料有限公司镁矿（菱镁石、滑石）露天矿山建设项目采场防排水单元符合设计要求，满足安全生产条件。</w:t>
      </w:r>
    </w:p>
    <w:p w14:paraId="29133475">
      <w:pPr>
        <w:pStyle w:val="24"/>
        <w:bidi w:val="0"/>
        <w:ind w:left="0" w:leftChars="0" w:firstLine="0" w:firstLineChars="0"/>
        <w:rPr>
          <w:rFonts w:hint="eastAsia"/>
          <w:lang w:eastAsia="zh-CN"/>
        </w:rPr>
      </w:pPr>
      <w:bookmarkStart w:id="93" w:name="_Toc5137"/>
      <w:bookmarkStart w:id="94" w:name="_Toc16650"/>
      <w:bookmarkStart w:id="95" w:name="_Toc5031"/>
      <w:bookmarkStart w:id="96" w:name="_Toc29941"/>
      <w:bookmarkStart w:id="97" w:name="_Toc21721"/>
      <w:bookmarkStart w:id="98" w:name="_Toc232"/>
      <w:bookmarkStart w:id="99" w:name="_Toc6057"/>
      <w:bookmarkStart w:id="100" w:name="_Toc17854"/>
      <w:bookmarkStart w:id="101" w:name="_Toc19935"/>
      <w:bookmarkStart w:id="102" w:name="_Toc29630"/>
      <w:bookmarkStart w:id="103" w:name="_Toc13025"/>
      <w:bookmarkStart w:id="104" w:name="_Toc15540"/>
      <w:bookmarkStart w:id="105" w:name="_Toc11887"/>
      <w:bookmarkStart w:id="106" w:name="_Toc8717"/>
      <w:bookmarkStart w:id="107" w:name="_Toc13420"/>
      <w:bookmarkStart w:id="108" w:name="_Toc25190"/>
      <w:bookmarkStart w:id="109" w:name="_Toc21804"/>
      <w:bookmarkStart w:id="110" w:name="_Toc2187"/>
      <w:bookmarkStart w:id="111" w:name="_Toc19816"/>
      <w:bookmarkStart w:id="112" w:name="_Toc14456"/>
      <w:r>
        <w:t>供配电与</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r>
        <w:rPr>
          <w:rFonts w:hint="eastAsia"/>
          <w:lang w:eastAsia="zh-CN"/>
        </w:rPr>
        <w:t>通讯系统</w:t>
      </w:r>
      <w:bookmarkEnd w:id="112"/>
    </w:p>
    <w:p w14:paraId="556B01DA">
      <w:pPr>
        <w:pStyle w:val="25"/>
        <w:bidi w:val="0"/>
        <w:ind w:left="720" w:leftChars="0" w:hanging="720" w:firstLineChars="0"/>
        <w:rPr>
          <w:rFonts w:hint="eastAsia"/>
        </w:rPr>
      </w:pPr>
      <w:bookmarkStart w:id="113" w:name="_Toc19192"/>
      <w:bookmarkStart w:id="114" w:name="_Toc17643"/>
      <w:bookmarkStart w:id="115" w:name="_Toc2759"/>
      <w:bookmarkStart w:id="116" w:name="_Toc28055"/>
      <w:bookmarkStart w:id="117" w:name="_Toc11871"/>
      <w:bookmarkStart w:id="118" w:name="_Toc26030"/>
      <w:bookmarkStart w:id="119" w:name="_Toc12741"/>
      <w:bookmarkStart w:id="120" w:name="_Toc25215"/>
      <w:bookmarkStart w:id="121" w:name="_Toc8753"/>
      <w:bookmarkStart w:id="122" w:name="_Toc16580"/>
      <w:bookmarkStart w:id="123" w:name="_Toc27387"/>
      <w:bookmarkStart w:id="124" w:name="_Toc10494"/>
      <w:bookmarkStart w:id="125" w:name="_Toc27899"/>
      <w:r>
        <w:rPr>
          <w:rFonts w:hint="eastAsia"/>
        </w:rPr>
        <w:t>供配电与</w:t>
      </w:r>
      <w:r>
        <w:rPr>
          <w:rFonts w:hint="eastAsia"/>
          <w:lang w:eastAsia="zh-CN"/>
        </w:rPr>
        <w:t>通讯系统</w:t>
      </w:r>
      <w:r>
        <w:rPr>
          <w:rFonts w:hint="eastAsia"/>
        </w:rPr>
        <w:t>符合性评价</w:t>
      </w:r>
      <w:bookmarkEnd w:id="113"/>
      <w:bookmarkEnd w:id="114"/>
      <w:bookmarkEnd w:id="115"/>
      <w:bookmarkEnd w:id="116"/>
      <w:bookmarkEnd w:id="117"/>
      <w:bookmarkEnd w:id="118"/>
      <w:bookmarkEnd w:id="119"/>
      <w:bookmarkEnd w:id="120"/>
      <w:bookmarkEnd w:id="121"/>
      <w:bookmarkEnd w:id="122"/>
      <w:bookmarkEnd w:id="123"/>
      <w:bookmarkEnd w:id="124"/>
      <w:bookmarkEnd w:id="125"/>
    </w:p>
    <w:p w14:paraId="1C7F97B8">
      <w:pPr>
        <w:pStyle w:val="18"/>
        <w:bidi w:val="0"/>
      </w:pPr>
      <w:r>
        <w:t>根据《金属非金属矿山建设项目安全设施目录（试行）》（国家安全监管总局令第75号）及金属非金属露天矿山建设项目安全设施竣工验收表，</w:t>
      </w:r>
      <w:r>
        <w:rPr>
          <w:rFonts w:hint="eastAsia"/>
          <w:lang w:val="en-US" w:eastAsia="zh-CN"/>
        </w:rPr>
        <w:t>评价组</w:t>
      </w:r>
      <w:r>
        <w:t>采用检查表</w:t>
      </w:r>
      <w:r>
        <w:rPr>
          <w:rFonts w:hint="eastAsia"/>
          <w:lang w:val="en-US" w:eastAsia="zh-CN"/>
        </w:rPr>
        <w:t>法，</w:t>
      </w:r>
      <w:r>
        <w:t>对</w:t>
      </w:r>
      <w:r>
        <w:rPr>
          <w:rFonts w:hint="eastAsia"/>
          <w:lang w:val="en-US" w:eastAsia="zh-CN"/>
        </w:rPr>
        <w:t>该</w:t>
      </w:r>
      <w:r>
        <w:t>矿山供配电</w:t>
      </w:r>
      <w:r>
        <w:rPr>
          <w:rFonts w:hint="eastAsia"/>
          <w:lang w:val="en-US" w:eastAsia="zh-CN"/>
        </w:rPr>
        <w:t>与通讯系统单元，</w:t>
      </w:r>
      <w:r>
        <w:t>进行符合性评价</w:t>
      </w:r>
      <w:r>
        <w:rPr>
          <w:rFonts w:hint="eastAsia"/>
          <w:lang w:eastAsia="zh-CN"/>
        </w:rPr>
        <w:t>（</w:t>
      </w:r>
      <w:r>
        <w:rPr>
          <w:rFonts w:hint="eastAsia"/>
          <w:lang w:val="en-US" w:eastAsia="zh-CN"/>
        </w:rPr>
        <w:t>见表3.5-1</w:t>
      </w:r>
      <w:r>
        <w:rPr>
          <w:rFonts w:hint="eastAsia"/>
          <w:lang w:eastAsia="zh-CN"/>
        </w:rPr>
        <w:t>）</w:t>
      </w:r>
      <w:r>
        <w:t>。</w:t>
      </w:r>
    </w:p>
    <w:p w14:paraId="6E5FEAC3">
      <w:pPr>
        <w:pStyle w:val="26"/>
        <w:bidi w:val="0"/>
      </w:pPr>
      <w:r>
        <w:t>表3</w:t>
      </w:r>
      <w:r>
        <w:rPr>
          <w:rFonts w:hint="eastAsia"/>
          <w:lang w:val="en-US" w:eastAsia="zh-CN"/>
        </w:rPr>
        <w:t>.</w:t>
      </w:r>
      <w:r>
        <w:t>5-1供配电及</w:t>
      </w:r>
      <w:r>
        <w:rPr>
          <w:rFonts w:hint="eastAsia"/>
          <w:lang w:eastAsia="zh-CN"/>
        </w:rPr>
        <w:t>通讯系统</w:t>
      </w:r>
      <w:r>
        <w:t>符合性检查表</w:t>
      </w:r>
    </w:p>
    <w:tbl>
      <w:tblPr>
        <w:tblStyle w:val="2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4"/>
        <w:gridCol w:w="1529"/>
        <w:gridCol w:w="1147"/>
        <w:gridCol w:w="1147"/>
        <w:gridCol w:w="3308"/>
        <w:gridCol w:w="672"/>
      </w:tblGrid>
      <w:tr w14:paraId="12B5A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blHeader/>
          <w:jc w:val="center"/>
        </w:trPr>
        <w:tc>
          <w:tcPr>
            <w:tcW w:w="419" w:type="pct"/>
            <w:noWrap w:val="0"/>
            <w:vAlign w:val="center"/>
          </w:tcPr>
          <w:p w14:paraId="75778D2C">
            <w:pPr>
              <w:pStyle w:val="27"/>
              <w:bidi w:val="0"/>
              <w:rPr>
                <w:b/>
                <w:bCs/>
                <w:sz w:val="21"/>
                <w:szCs w:val="21"/>
              </w:rPr>
            </w:pPr>
            <w:r>
              <w:rPr>
                <w:b/>
                <w:bCs/>
                <w:sz w:val="21"/>
                <w:szCs w:val="21"/>
              </w:rPr>
              <w:t>序号</w:t>
            </w:r>
          </w:p>
        </w:tc>
        <w:tc>
          <w:tcPr>
            <w:tcW w:w="897" w:type="pct"/>
            <w:noWrap w:val="0"/>
            <w:vAlign w:val="center"/>
          </w:tcPr>
          <w:p w14:paraId="4BAB2695">
            <w:pPr>
              <w:pStyle w:val="27"/>
              <w:bidi w:val="0"/>
              <w:rPr>
                <w:b/>
                <w:bCs/>
                <w:sz w:val="21"/>
                <w:szCs w:val="21"/>
              </w:rPr>
            </w:pPr>
            <w:r>
              <w:rPr>
                <w:b/>
                <w:bCs/>
                <w:sz w:val="21"/>
                <w:szCs w:val="21"/>
              </w:rPr>
              <w:t>检查内容</w:t>
            </w:r>
          </w:p>
        </w:tc>
        <w:tc>
          <w:tcPr>
            <w:tcW w:w="673" w:type="pct"/>
            <w:noWrap w:val="0"/>
            <w:vAlign w:val="center"/>
          </w:tcPr>
          <w:p w14:paraId="2A63C69B">
            <w:pPr>
              <w:pStyle w:val="27"/>
              <w:bidi w:val="0"/>
              <w:rPr>
                <w:b/>
                <w:bCs/>
                <w:sz w:val="21"/>
                <w:szCs w:val="21"/>
              </w:rPr>
            </w:pPr>
            <w:r>
              <w:rPr>
                <w:b/>
                <w:bCs/>
                <w:sz w:val="21"/>
                <w:szCs w:val="21"/>
              </w:rPr>
              <w:t>检查依据</w:t>
            </w:r>
          </w:p>
        </w:tc>
        <w:tc>
          <w:tcPr>
            <w:tcW w:w="673" w:type="pct"/>
            <w:noWrap w:val="0"/>
            <w:vAlign w:val="center"/>
          </w:tcPr>
          <w:p w14:paraId="44A3BFC1">
            <w:pPr>
              <w:pStyle w:val="27"/>
              <w:bidi w:val="0"/>
              <w:rPr>
                <w:b/>
                <w:bCs/>
                <w:sz w:val="21"/>
                <w:szCs w:val="21"/>
              </w:rPr>
            </w:pPr>
            <w:r>
              <w:rPr>
                <w:b/>
                <w:bCs/>
                <w:sz w:val="21"/>
                <w:szCs w:val="21"/>
              </w:rPr>
              <w:t>检查方法</w:t>
            </w:r>
          </w:p>
        </w:tc>
        <w:tc>
          <w:tcPr>
            <w:tcW w:w="1941" w:type="pct"/>
            <w:noWrap w:val="0"/>
            <w:vAlign w:val="center"/>
          </w:tcPr>
          <w:p w14:paraId="264A65AD">
            <w:pPr>
              <w:pStyle w:val="27"/>
              <w:bidi w:val="0"/>
              <w:rPr>
                <w:b/>
                <w:bCs/>
                <w:sz w:val="21"/>
                <w:szCs w:val="21"/>
              </w:rPr>
            </w:pPr>
            <w:r>
              <w:rPr>
                <w:b/>
                <w:bCs/>
                <w:sz w:val="21"/>
                <w:szCs w:val="21"/>
              </w:rPr>
              <w:t>检查情况</w:t>
            </w:r>
          </w:p>
        </w:tc>
        <w:tc>
          <w:tcPr>
            <w:tcW w:w="394" w:type="pct"/>
            <w:noWrap w:val="0"/>
            <w:vAlign w:val="center"/>
          </w:tcPr>
          <w:p w14:paraId="2C22FE84">
            <w:pPr>
              <w:pStyle w:val="27"/>
              <w:bidi w:val="0"/>
              <w:rPr>
                <w:b/>
                <w:bCs/>
                <w:sz w:val="21"/>
                <w:szCs w:val="21"/>
              </w:rPr>
            </w:pPr>
            <w:r>
              <w:rPr>
                <w:b/>
                <w:bCs/>
                <w:sz w:val="21"/>
                <w:szCs w:val="21"/>
              </w:rPr>
              <w:t>检查</w:t>
            </w:r>
          </w:p>
          <w:p w14:paraId="6AE61DA6">
            <w:pPr>
              <w:pStyle w:val="27"/>
              <w:bidi w:val="0"/>
              <w:rPr>
                <w:b/>
                <w:bCs/>
                <w:sz w:val="21"/>
                <w:szCs w:val="21"/>
              </w:rPr>
            </w:pPr>
            <w:r>
              <w:rPr>
                <w:b/>
                <w:bCs/>
                <w:sz w:val="21"/>
                <w:szCs w:val="21"/>
              </w:rPr>
              <w:t>结果</w:t>
            </w:r>
          </w:p>
        </w:tc>
      </w:tr>
      <w:tr w14:paraId="60134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419" w:type="pct"/>
            <w:noWrap w:val="0"/>
            <w:vAlign w:val="center"/>
          </w:tcPr>
          <w:p w14:paraId="502084AE">
            <w:pPr>
              <w:pStyle w:val="27"/>
              <w:bidi w:val="0"/>
              <w:rPr>
                <w:sz w:val="21"/>
                <w:szCs w:val="21"/>
              </w:rPr>
            </w:pPr>
            <w:r>
              <w:rPr>
                <w:sz w:val="21"/>
                <w:szCs w:val="21"/>
              </w:rPr>
              <w:t>1</w:t>
            </w:r>
          </w:p>
        </w:tc>
        <w:tc>
          <w:tcPr>
            <w:tcW w:w="897" w:type="pct"/>
            <w:noWrap w:val="0"/>
            <w:vAlign w:val="center"/>
          </w:tcPr>
          <w:p w14:paraId="780A7D5B">
            <w:pPr>
              <w:pStyle w:val="27"/>
              <w:bidi w:val="0"/>
              <w:rPr>
                <w:rFonts w:hint="eastAsia"/>
                <w:sz w:val="21"/>
                <w:szCs w:val="21"/>
              </w:rPr>
            </w:pPr>
            <w:r>
              <w:rPr>
                <w:sz w:val="21"/>
                <w:szCs w:val="21"/>
              </w:rPr>
              <w:t>矿山电源、线路、地面</w:t>
            </w:r>
            <w:r>
              <w:rPr>
                <w:rFonts w:hint="eastAsia"/>
                <w:sz w:val="21"/>
                <w:szCs w:val="21"/>
              </w:rPr>
              <w:t>。</w:t>
            </w:r>
          </w:p>
        </w:tc>
        <w:tc>
          <w:tcPr>
            <w:tcW w:w="673" w:type="pct"/>
            <w:noWrap w:val="0"/>
            <w:vAlign w:val="center"/>
          </w:tcPr>
          <w:p w14:paraId="010FF5F2">
            <w:pPr>
              <w:pStyle w:val="27"/>
              <w:bidi w:val="0"/>
              <w:rPr>
                <w:sz w:val="21"/>
                <w:szCs w:val="21"/>
              </w:rPr>
            </w:pPr>
            <w:r>
              <w:rPr>
                <w:sz w:val="21"/>
                <w:szCs w:val="21"/>
              </w:rPr>
              <w:t>《</w:t>
            </w:r>
            <w:r>
              <w:rPr>
                <w:rFonts w:hint="eastAsia"/>
                <w:sz w:val="21"/>
                <w:szCs w:val="21"/>
              </w:rPr>
              <w:t>安全设施设计</w:t>
            </w:r>
            <w:r>
              <w:rPr>
                <w:sz w:val="21"/>
                <w:szCs w:val="21"/>
              </w:rPr>
              <w:t>》</w:t>
            </w:r>
          </w:p>
        </w:tc>
        <w:tc>
          <w:tcPr>
            <w:tcW w:w="673" w:type="pct"/>
            <w:noWrap w:val="0"/>
            <w:vAlign w:val="center"/>
          </w:tcPr>
          <w:p w14:paraId="57661FF1">
            <w:pPr>
              <w:pStyle w:val="27"/>
              <w:bidi w:val="0"/>
              <w:rPr>
                <w:sz w:val="21"/>
                <w:szCs w:val="21"/>
              </w:rPr>
            </w:pPr>
            <w:r>
              <w:rPr>
                <w:sz w:val="21"/>
                <w:szCs w:val="21"/>
              </w:rPr>
              <w:t>现场检查</w:t>
            </w:r>
          </w:p>
        </w:tc>
        <w:tc>
          <w:tcPr>
            <w:tcW w:w="1941" w:type="pct"/>
            <w:noWrap w:val="0"/>
            <w:vAlign w:val="center"/>
          </w:tcPr>
          <w:p w14:paraId="49DBFA3C">
            <w:pPr>
              <w:pStyle w:val="27"/>
              <w:bidi w:val="0"/>
              <w:rPr>
                <w:rFonts w:hint="default"/>
                <w:sz w:val="21"/>
                <w:szCs w:val="21"/>
              </w:rPr>
            </w:pPr>
            <w:r>
              <w:rPr>
                <w:rFonts w:hint="default"/>
                <w:sz w:val="21"/>
                <w:szCs w:val="21"/>
              </w:rPr>
              <w:t>矿区主供电源引自当地10kV变电所，采用架空线路至矿区变电所。</w:t>
            </w:r>
          </w:p>
          <w:p w14:paraId="1BD1D2BA">
            <w:pPr>
              <w:pStyle w:val="27"/>
              <w:bidi w:val="0"/>
              <w:rPr>
                <w:sz w:val="21"/>
                <w:szCs w:val="21"/>
              </w:rPr>
            </w:pPr>
            <w:r>
              <w:rPr>
                <w:rFonts w:hint="default"/>
                <w:sz w:val="21"/>
                <w:szCs w:val="21"/>
              </w:rPr>
              <w:t>矿区变电所利用矿区原有</w:t>
            </w:r>
            <w:r>
              <w:rPr>
                <w:rFonts w:hint="eastAsia"/>
                <w:sz w:val="21"/>
                <w:szCs w:val="21"/>
                <w:lang w:eastAsia="zh-CN"/>
              </w:rPr>
              <w:t>一</w:t>
            </w:r>
            <w:r>
              <w:rPr>
                <w:rFonts w:hint="default"/>
                <w:sz w:val="21"/>
                <w:szCs w:val="21"/>
              </w:rPr>
              <w:t>台型号S</w:t>
            </w:r>
            <w:r>
              <w:rPr>
                <w:rFonts w:hint="default"/>
                <w:sz w:val="21"/>
                <w:szCs w:val="21"/>
                <w:lang w:val="en-US" w:eastAsia="zh-CN"/>
              </w:rPr>
              <w:t>11</w:t>
            </w:r>
            <w:r>
              <w:rPr>
                <w:rFonts w:hint="default"/>
                <w:sz w:val="21"/>
                <w:szCs w:val="21"/>
                <w:lang w:eastAsia="zh-CN"/>
              </w:rPr>
              <w:t>-60</w:t>
            </w:r>
            <w:r>
              <w:rPr>
                <w:rFonts w:hint="default"/>
                <w:sz w:val="21"/>
                <w:szCs w:val="21"/>
                <w:lang w:val="en-US" w:eastAsia="zh-CN"/>
              </w:rPr>
              <w:t>0</w:t>
            </w:r>
            <w:r>
              <w:rPr>
                <w:rFonts w:hint="default"/>
                <w:sz w:val="21"/>
                <w:szCs w:val="21"/>
              </w:rPr>
              <w:t>/</w:t>
            </w:r>
            <w:r>
              <w:rPr>
                <w:rFonts w:hint="default"/>
                <w:sz w:val="21"/>
                <w:szCs w:val="21"/>
                <w:lang w:val="en-US" w:eastAsia="zh-CN"/>
              </w:rPr>
              <w:t>10</w:t>
            </w:r>
            <w:r>
              <w:rPr>
                <w:rFonts w:hint="default"/>
                <w:sz w:val="21"/>
                <w:szCs w:val="21"/>
              </w:rPr>
              <w:t xml:space="preserve"> </w:t>
            </w:r>
            <w:r>
              <w:rPr>
                <w:rFonts w:hint="default"/>
                <w:sz w:val="21"/>
                <w:szCs w:val="21"/>
                <w:lang w:val="en-US" w:eastAsia="zh-CN"/>
              </w:rPr>
              <w:t>10</w:t>
            </w:r>
            <w:r>
              <w:rPr>
                <w:rFonts w:hint="default"/>
                <w:sz w:val="21"/>
                <w:szCs w:val="21"/>
              </w:rPr>
              <w:t xml:space="preserve">/0.4kV </w:t>
            </w:r>
            <w:r>
              <w:rPr>
                <w:rFonts w:hint="default"/>
                <w:sz w:val="21"/>
                <w:szCs w:val="21"/>
                <w:lang w:val="en-US" w:eastAsia="zh-CN"/>
              </w:rPr>
              <w:t>500</w:t>
            </w:r>
            <w:r>
              <w:rPr>
                <w:rFonts w:hint="default"/>
                <w:sz w:val="21"/>
                <w:szCs w:val="21"/>
              </w:rPr>
              <w:t>kVA</w:t>
            </w:r>
            <w:r>
              <w:rPr>
                <w:rFonts w:hint="eastAsia"/>
                <w:sz w:val="21"/>
                <w:szCs w:val="21"/>
                <w:lang w:eastAsia="zh-CN"/>
              </w:rPr>
              <w:t>的</w:t>
            </w:r>
            <w:r>
              <w:rPr>
                <w:rFonts w:hint="default"/>
                <w:sz w:val="21"/>
                <w:szCs w:val="21"/>
              </w:rPr>
              <w:t>变压器</w:t>
            </w:r>
            <w:r>
              <w:rPr>
                <w:rFonts w:hint="eastAsia"/>
                <w:sz w:val="21"/>
                <w:szCs w:val="21"/>
                <w:lang w:eastAsia="zh-CN"/>
              </w:rPr>
              <w:t>为露天矿区照明供电</w:t>
            </w:r>
            <w:r>
              <w:rPr>
                <w:sz w:val="21"/>
                <w:szCs w:val="21"/>
              </w:rPr>
              <w:t>。</w:t>
            </w:r>
          </w:p>
        </w:tc>
        <w:tc>
          <w:tcPr>
            <w:tcW w:w="394" w:type="pct"/>
            <w:noWrap w:val="0"/>
            <w:vAlign w:val="center"/>
          </w:tcPr>
          <w:p w14:paraId="66D661F0">
            <w:pPr>
              <w:pStyle w:val="27"/>
              <w:bidi w:val="0"/>
              <w:rPr>
                <w:sz w:val="21"/>
                <w:szCs w:val="21"/>
              </w:rPr>
            </w:pPr>
            <w:r>
              <w:rPr>
                <w:sz w:val="21"/>
                <w:szCs w:val="21"/>
              </w:rPr>
              <w:t>符合</w:t>
            </w:r>
          </w:p>
        </w:tc>
      </w:tr>
      <w:tr w14:paraId="164DB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419" w:type="pct"/>
            <w:noWrap w:val="0"/>
            <w:vAlign w:val="center"/>
          </w:tcPr>
          <w:p w14:paraId="0AE0637E">
            <w:pPr>
              <w:pStyle w:val="27"/>
              <w:bidi w:val="0"/>
              <w:rPr>
                <w:rFonts w:hint="eastAsia"/>
                <w:sz w:val="21"/>
                <w:szCs w:val="21"/>
                <w:lang w:eastAsia="zh-CN"/>
              </w:rPr>
            </w:pPr>
            <w:r>
              <w:rPr>
                <w:rFonts w:hint="eastAsia"/>
                <w:sz w:val="21"/>
                <w:szCs w:val="21"/>
                <w:lang w:val="en-US" w:eastAsia="zh-CN"/>
              </w:rPr>
              <w:t>2</w:t>
            </w:r>
          </w:p>
        </w:tc>
        <w:tc>
          <w:tcPr>
            <w:tcW w:w="897" w:type="pct"/>
            <w:noWrap w:val="0"/>
            <w:vAlign w:val="center"/>
          </w:tcPr>
          <w:p w14:paraId="42FFD0D6">
            <w:pPr>
              <w:pStyle w:val="27"/>
              <w:bidi w:val="0"/>
              <w:rPr>
                <w:rFonts w:hint="eastAsia"/>
                <w:sz w:val="21"/>
                <w:szCs w:val="21"/>
              </w:rPr>
            </w:pPr>
            <w:r>
              <w:rPr>
                <w:sz w:val="21"/>
                <w:szCs w:val="21"/>
              </w:rPr>
              <w:t>通信联络系统</w:t>
            </w:r>
            <w:r>
              <w:rPr>
                <w:rFonts w:hint="eastAsia"/>
                <w:sz w:val="21"/>
                <w:szCs w:val="21"/>
              </w:rPr>
              <w:t>。</w:t>
            </w:r>
          </w:p>
        </w:tc>
        <w:tc>
          <w:tcPr>
            <w:tcW w:w="673" w:type="pct"/>
            <w:noWrap w:val="0"/>
            <w:vAlign w:val="center"/>
          </w:tcPr>
          <w:p w14:paraId="7BBCE581">
            <w:pPr>
              <w:pStyle w:val="27"/>
              <w:bidi w:val="0"/>
              <w:rPr>
                <w:sz w:val="21"/>
                <w:szCs w:val="21"/>
              </w:rPr>
            </w:pPr>
            <w:r>
              <w:rPr>
                <w:sz w:val="21"/>
                <w:szCs w:val="21"/>
              </w:rPr>
              <w:t>《</w:t>
            </w:r>
            <w:r>
              <w:rPr>
                <w:rFonts w:hint="eastAsia"/>
                <w:sz w:val="21"/>
                <w:szCs w:val="21"/>
              </w:rPr>
              <w:t>安全设施设计</w:t>
            </w:r>
            <w:r>
              <w:rPr>
                <w:sz w:val="21"/>
                <w:szCs w:val="21"/>
              </w:rPr>
              <w:t>》</w:t>
            </w:r>
          </w:p>
        </w:tc>
        <w:tc>
          <w:tcPr>
            <w:tcW w:w="673" w:type="pct"/>
            <w:noWrap w:val="0"/>
            <w:vAlign w:val="center"/>
          </w:tcPr>
          <w:p w14:paraId="0B471654">
            <w:pPr>
              <w:pStyle w:val="27"/>
              <w:bidi w:val="0"/>
              <w:rPr>
                <w:sz w:val="21"/>
                <w:szCs w:val="21"/>
              </w:rPr>
            </w:pPr>
            <w:r>
              <w:rPr>
                <w:sz w:val="21"/>
                <w:szCs w:val="21"/>
              </w:rPr>
              <w:t>现场检查</w:t>
            </w:r>
          </w:p>
        </w:tc>
        <w:tc>
          <w:tcPr>
            <w:tcW w:w="1941" w:type="pct"/>
            <w:noWrap w:val="0"/>
            <w:vAlign w:val="center"/>
          </w:tcPr>
          <w:p w14:paraId="5DB546FB">
            <w:pPr>
              <w:pStyle w:val="27"/>
              <w:bidi w:val="0"/>
              <w:rPr>
                <w:sz w:val="21"/>
                <w:szCs w:val="21"/>
              </w:rPr>
            </w:pPr>
            <w:r>
              <w:rPr>
                <w:sz w:val="21"/>
                <w:szCs w:val="21"/>
              </w:rPr>
              <w:t>矿区为中国移动、中国电信和中国联通网络覆盖区，通信极为方便。</w:t>
            </w:r>
          </w:p>
        </w:tc>
        <w:tc>
          <w:tcPr>
            <w:tcW w:w="394" w:type="pct"/>
            <w:noWrap w:val="0"/>
            <w:vAlign w:val="center"/>
          </w:tcPr>
          <w:p w14:paraId="6AAEF415">
            <w:pPr>
              <w:pStyle w:val="27"/>
              <w:bidi w:val="0"/>
              <w:rPr>
                <w:sz w:val="21"/>
                <w:szCs w:val="21"/>
              </w:rPr>
            </w:pPr>
            <w:r>
              <w:rPr>
                <w:sz w:val="21"/>
                <w:szCs w:val="21"/>
              </w:rPr>
              <w:t>符合</w:t>
            </w:r>
          </w:p>
        </w:tc>
      </w:tr>
      <w:tr w14:paraId="6FC44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jc w:val="center"/>
        </w:trPr>
        <w:tc>
          <w:tcPr>
            <w:tcW w:w="419" w:type="pct"/>
            <w:noWrap w:val="0"/>
            <w:vAlign w:val="center"/>
          </w:tcPr>
          <w:p w14:paraId="6C9820CB">
            <w:pPr>
              <w:pStyle w:val="27"/>
              <w:bidi w:val="0"/>
              <w:rPr>
                <w:rFonts w:hint="eastAsia"/>
                <w:sz w:val="21"/>
                <w:szCs w:val="21"/>
                <w:lang w:eastAsia="zh-CN"/>
              </w:rPr>
            </w:pPr>
            <w:r>
              <w:rPr>
                <w:rFonts w:hint="eastAsia"/>
                <w:sz w:val="21"/>
                <w:szCs w:val="21"/>
                <w:lang w:val="en-US" w:eastAsia="zh-CN"/>
              </w:rPr>
              <w:t>3</w:t>
            </w:r>
          </w:p>
        </w:tc>
        <w:tc>
          <w:tcPr>
            <w:tcW w:w="897" w:type="pct"/>
            <w:noWrap w:val="0"/>
            <w:vAlign w:val="center"/>
          </w:tcPr>
          <w:p w14:paraId="438A7D33">
            <w:pPr>
              <w:pStyle w:val="27"/>
              <w:bidi w:val="0"/>
              <w:rPr>
                <w:rFonts w:hint="eastAsia"/>
                <w:sz w:val="21"/>
                <w:szCs w:val="21"/>
              </w:rPr>
            </w:pPr>
            <w:r>
              <w:rPr>
                <w:sz w:val="21"/>
                <w:szCs w:val="21"/>
              </w:rPr>
              <w:t>信号系统</w:t>
            </w:r>
            <w:r>
              <w:rPr>
                <w:rFonts w:hint="eastAsia"/>
                <w:sz w:val="21"/>
                <w:szCs w:val="21"/>
              </w:rPr>
              <w:t>。</w:t>
            </w:r>
          </w:p>
        </w:tc>
        <w:tc>
          <w:tcPr>
            <w:tcW w:w="673" w:type="pct"/>
            <w:noWrap w:val="0"/>
            <w:vAlign w:val="center"/>
          </w:tcPr>
          <w:p w14:paraId="01B5B5F9">
            <w:pPr>
              <w:pStyle w:val="27"/>
              <w:bidi w:val="0"/>
              <w:rPr>
                <w:sz w:val="21"/>
                <w:szCs w:val="21"/>
              </w:rPr>
            </w:pPr>
            <w:r>
              <w:rPr>
                <w:sz w:val="21"/>
                <w:szCs w:val="21"/>
              </w:rPr>
              <w:t>《</w:t>
            </w:r>
            <w:r>
              <w:rPr>
                <w:rFonts w:hint="eastAsia"/>
                <w:sz w:val="21"/>
                <w:szCs w:val="21"/>
              </w:rPr>
              <w:t>安全设施设计</w:t>
            </w:r>
            <w:r>
              <w:rPr>
                <w:sz w:val="21"/>
                <w:szCs w:val="21"/>
              </w:rPr>
              <w:t>》</w:t>
            </w:r>
          </w:p>
        </w:tc>
        <w:tc>
          <w:tcPr>
            <w:tcW w:w="673" w:type="pct"/>
            <w:noWrap w:val="0"/>
            <w:vAlign w:val="center"/>
          </w:tcPr>
          <w:p w14:paraId="2030E6DF">
            <w:pPr>
              <w:pStyle w:val="27"/>
              <w:bidi w:val="0"/>
              <w:rPr>
                <w:sz w:val="21"/>
                <w:szCs w:val="21"/>
              </w:rPr>
            </w:pPr>
            <w:r>
              <w:rPr>
                <w:sz w:val="21"/>
                <w:szCs w:val="21"/>
              </w:rPr>
              <w:t>现场检查</w:t>
            </w:r>
          </w:p>
        </w:tc>
        <w:tc>
          <w:tcPr>
            <w:tcW w:w="1941" w:type="pct"/>
            <w:noWrap w:val="0"/>
            <w:vAlign w:val="center"/>
          </w:tcPr>
          <w:p w14:paraId="1ECC97CF">
            <w:pPr>
              <w:pStyle w:val="27"/>
              <w:bidi w:val="0"/>
              <w:rPr>
                <w:sz w:val="21"/>
                <w:szCs w:val="21"/>
              </w:rPr>
            </w:pPr>
            <w:r>
              <w:rPr>
                <w:sz w:val="21"/>
                <w:szCs w:val="21"/>
              </w:rPr>
              <w:t>矿区为中国移动、中国电信和中国联通网络覆盖区，通信极为方便。</w:t>
            </w:r>
          </w:p>
        </w:tc>
        <w:tc>
          <w:tcPr>
            <w:tcW w:w="394" w:type="pct"/>
            <w:noWrap w:val="0"/>
            <w:vAlign w:val="center"/>
          </w:tcPr>
          <w:p w14:paraId="20CE1085">
            <w:pPr>
              <w:pStyle w:val="27"/>
              <w:bidi w:val="0"/>
              <w:rPr>
                <w:sz w:val="21"/>
                <w:szCs w:val="21"/>
              </w:rPr>
            </w:pPr>
            <w:r>
              <w:rPr>
                <w:sz w:val="21"/>
                <w:szCs w:val="21"/>
              </w:rPr>
              <w:t>符合</w:t>
            </w:r>
          </w:p>
        </w:tc>
      </w:tr>
    </w:tbl>
    <w:p w14:paraId="473C77F5">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rPr>
      </w:pPr>
      <w:r>
        <w:rPr>
          <w:rFonts w:hint="eastAsia"/>
        </w:rPr>
        <w:t>评价单元小结：</w:t>
      </w:r>
    </w:p>
    <w:p w14:paraId="192A1ACF">
      <w:pPr>
        <w:pStyle w:val="18"/>
        <w:bidi w:val="0"/>
      </w:pPr>
      <w:r>
        <w:rPr>
          <w:rFonts w:hint="eastAsia"/>
        </w:rPr>
        <w:t>对该矿山供配电单元进行了</w:t>
      </w:r>
      <w:r>
        <w:rPr>
          <w:rFonts w:hint="eastAsia"/>
          <w:lang w:val="en-US" w:eastAsia="zh-CN"/>
        </w:rPr>
        <w:t>3</w:t>
      </w:r>
      <w:r>
        <w:rPr>
          <w:rFonts w:hint="eastAsia"/>
        </w:rPr>
        <w:t>项检查，全部符合要求。检查结果表明，海城市荣富耐火材料有限公司镁矿（菱镁石、滑石）露天矿山建设项目矿山供配电系统单元符合设计要求，满足安全生产条件。</w:t>
      </w:r>
    </w:p>
    <w:p w14:paraId="6DA89E6A">
      <w:pPr>
        <w:pStyle w:val="24"/>
        <w:bidi w:val="0"/>
        <w:ind w:left="0" w:leftChars="0" w:firstLine="0" w:firstLineChars="0"/>
      </w:pPr>
      <w:bookmarkStart w:id="126" w:name="_Toc21849"/>
      <w:bookmarkStart w:id="127" w:name="_Toc23989"/>
      <w:bookmarkStart w:id="128" w:name="_Toc26676"/>
      <w:bookmarkStart w:id="129" w:name="_Toc19374"/>
      <w:bookmarkStart w:id="130" w:name="_Toc15652"/>
      <w:bookmarkStart w:id="131" w:name="_Toc14267"/>
      <w:bookmarkStart w:id="132" w:name="_Toc9955"/>
      <w:bookmarkStart w:id="133" w:name="_Toc32324"/>
      <w:bookmarkStart w:id="134" w:name="_Toc20362"/>
      <w:bookmarkStart w:id="135" w:name="_Toc9277"/>
      <w:bookmarkStart w:id="136" w:name="_Toc9156"/>
      <w:bookmarkStart w:id="137" w:name="_Toc28455"/>
      <w:bookmarkStart w:id="138" w:name="_Toc32376"/>
      <w:bookmarkStart w:id="139" w:name="_Toc30704"/>
      <w:bookmarkStart w:id="140" w:name="_Toc16250"/>
      <w:bookmarkStart w:id="141" w:name="_Toc22503"/>
      <w:bookmarkStart w:id="142" w:name="_Toc25592"/>
      <w:bookmarkStart w:id="143" w:name="_Toc4519"/>
      <w:bookmarkStart w:id="144" w:name="_Toc9747"/>
      <w:bookmarkStart w:id="145" w:name="_Toc14054"/>
      <w:r>
        <w:t>总平面布置</w:t>
      </w:r>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45BDBD4B">
      <w:pPr>
        <w:pStyle w:val="25"/>
        <w:bidi w:val="0"/>
        <w:ind w:left="720" w:leftChars="0" w:hanging="720" w:firstLineChars="0"/>
        <w:rPr>
          <w:rFonts w:hint="eastAsia"/>
        </w:rPr>
      </w:pPr>
      <w:bookmarkStart w:id="146" w:name="_Toc24492"/>
      <w:bookmarkStart w:id="147" w:name="_Toc4134"/>
      <w:bookmarkStart w:id="148" w:name="_Toc2253"/>
      <w:bookmarkStart w:id="149" w:name="_Toc24243"/>
      <w:bookmarkStart w:id="150" w:name="_Toc9290"/>
      <w:bookmarkStart w:id="151" w:name="_Toc29839"/>
      <w:bookmarkStart w:id="152" w:name="_Toc2436"/>
      <w:bookmarkStart w:id="153" w:name="_Toc27452"/>
      <w:bookmarkStart w:id="154" w:name="_Toc27002"/>
      <w:bookmarkStart w:id="155" w:name="_Toc31286"/>
      <w:bookmarkStart w:id="156" w:name="_Toc22530"/>
      <w:bookmarkStart w:id="157" w:name="_Toc19388"/>
      <w:bookmarkStart w:id="158" w:name="_Toc459896438"/>
      <w:bookmarkStart w:id="159" w:name="_Toc15035"/>
      <w:r>
        <w:rPr>
          <w:rFonts w:hint="eastAsia"/>
        </w:rPr>
        <w:t>工业场地子单元</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14:paraId="1DBF872E">
      <w:pPr>
        <w:pStyle w:val="18"/>
        <w:bidi w:val="0"/>
      </w:pPr>
      <w:r>
        <w:rPr>
          <w:rFonts w:hint="eastAsia"/>
          <w:lang w:eastAsia="zh-CN"/>
        </w:rPr>
        <w:t>（</w:t>
      </w:r>
      <w:r>
        <w:rPr>
          <w:rFonts w:hint="eastAsia"/>
          <w:lang w:val="en-US" w:eastAsia="zh-CN"/>
        </w:rPr>
        <w:t>1</w:t>
      </w:r>
      <w:r>
        <w:rPr>
          <w:rFonts w:hint="eastAsia"/>
          <w:lang w:eastAsia="zh-CN"/>
        </w:rPr>
        <w:t>）</w:t>
      </w:r>
      <w:r>
        <w:t>工业场地符合性评价</w:t>
      </w:r>
    </w:p>
    <w:p w14:paraId="30762A45">
      <w:pPr>
        <w:pStyle w:val="18"/>
        <w:bidi w:val="0"/>
      </w:pPr>
      <w:r>
        <w:t>根据《安全设施</w:t>
      </w:r>
      <w:r>
        <w:rPr>
          <w:rFonts w:hint="eastAsia"/>
        </w:rPr>
        <w:t>设计</w:t>
      </w:r>
      <w:r>
        <w:t>》、《工业企业设计卫生标准》等规范，采用安全检查表</w:t>
      </w:r>
      <w:r>
        <w:rPr>
          <w:rFonts w:hint="eastAsia"/>
          <w:lang w:val="en-US" w:eastAsia="zh-CN"/>
        </w:rPr>
        <w:t>法，</w:t>
      </w:r>
      <w:r>
        <w:t>对矿山工业场地进行符合性评价。</w:t>
      </w:r>
    </w:p>
    <w:p w14:paraId="3228188C">
      <w:pPr>
        <w:pStyle w:val="18"/>
        <w:bidi w:val="0"/>
      </w:pPr>
      <w:r>
        <w:t>本节针对</w:t>
      </w:r>
      <w:r>
        <w:rPr>
          <w:rFonts w:hint="eastAsia"/>
        </w:rPr>
        <w:t>安全设施设计</w:t>
      </w:r>
      <w:r>
        <w:t>提出的安全对策措施</w:t>
      </w:r>
      <w:r>
        <w:rPr>
          <w:rFonts w:hint="eastAsia"/>
          <w:lang w:eastAsia="zh-CN"/>
        </w:rPr>
        <w:t>，</w:t>
      </w:r>
      <w:r>
        <w:rPr>
          <w:rFonts w:hint="eastAsia"/>
          <w:lang w:val="en-US" w:eastAsia="zh-CN"/>
        </w:rPr>
        <w:t>对该</w:t>
      </w:r>
      <w:r>
        <w:t>项目</w:t>
      </w:r>
      <w:r>
        <w:rPr>
          <w:rFonts w:hint="eastAsia"/>
          <w:lang w:val="en-US" w:eastAsia="zh-CN"/>
        </w:rPr>
        <w:t>工业场地子单元符合性进行检查、评价</w:t>
      </w:r>
      <w:r>
        <w:rPr>
          <w:rFonts w:hint="eastAsia"/>
          <w:lang w:eastAsia="zh-CN"/>
        </w:rPr>
        <w:t>（</w:t>
      </w:r>
      <w:r>
        <w:t>见表3</w:t>
      </w:r>
      <w:r>
        <w:rPr>
          <w:rFonts w:hint="eastAsia"/>
          <w:lang w:val="en-US" w:eastAsia="zh-CN"/>
        </w:rPr>
        <w:t>.</w:t>
      </w:r>
      <w:r>
        <w:t>6-1</w:t>
      </w:r>
      <w:r>
        <w:rPr>
          <w:rFonts w:hint="eastAsia"/>
          <w:lang w:eastAsia="zh-CN"/>
        </w:rPr>
        <w:t>）</w:t>
      </w:r>
      <w:r>
        <w:t>。</w:t>
      </w:r>
    </w:p>
    <w:p w14:paraId="5651D312">
      <w:pPr>
        <w:pStyle w:val="26"/>
        <w:bidi w:val="0"/>
      </w:pPr>
      <w:r>
        <w:t>表3</w:t>
      </w:r>
      <w:r>
        <w:rPr>
          <w:rFonts w:hint="eastAsia"/>
          <w:lang w:val="en-US" w:eastAsia="zh-CN"/>
        </w:rPr>
        <w:t>.</w:t>
      </w:r>
      <w:r>
        <w:t>6-1总平面布置安全有效性检查表</w:t>
      </w:r>
    </w:p>
    <w:tbl>
      <w:tblPr>
        <w:tblStyle w:val="2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0"/>
        <w:gridCol w:w="3162"/>
        <w:gridCol w:w="1523"/>
        <w:gridCol w:w="1078"/>
        <w:gridCol w:w="1563"/>
        <w:gridCol w:w="723"/>
      </w:tblGrid>
      <w:tr w14:paraId="266E0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tblHeader/>
        </w:trPr>
        <w:tc>
          <w:tcPr>
            <w:tcW w:w="279" w:type="pct"/>
            <w:noWrap w:val="0"/>
            <w:vAlign w:val="center"/>
          </w:tcPr>
          <w:p w14:paraId="0F3157F5">
            <w:pPr>
              <w:pStyle w:val="27"/>
              <w:bidi w:val="0"/>
              <w:rPr>
                <w:b/>
                <w:bCs/>
                <w:sz w:val="21"/>
                <w:szCs w:val="21"/>
              </w:rPr>
            </w:pPr>
            <w:r>
              <w:rPr>
                <w:b/>
                <w:bCs/>
                <w:sz w:val="21"/>
                <w:szCs w:val="21"/>
              </w:rPr>
              <w:t>序号</w:t>
            </w:r>
          </w:p>
        </w:tc>
        <w:tc>
          <w:tcPr>
            <w:tcW w:w="1859" w:type="pct"/>
            <w:noWrap w:val="0"/>
            <w:vAlign w:val="center"/>
          </w:tcPr>
          <w:p w14:paraId="12A0E30D">
            <w:pPr>
              <w:pStyle w:val="27"/>
              <w:bidi w:val="0"/>
              <w:jc w:val="center"/>
              <w:rPr>
                <w:b/>
                <w:bCs/>
                <w:sz w:val="21"/>
                <w:szCs w:val="21"/>
              </w:rPr>
            </w:pPr>
            <w:r>
              <w:rPr>
                <w:b/>
                <w:bCs/>
                <w:sz w:val="21"/>
                <w:szCs w:val="21"/>
              </w:rPr>
              <w:t>检查内容</w:t>
            </w:r>
          </w:p>
        </w:tc>
        <w:tc>
          <w:tcPr>
            <w:tcW w:w="877" w:type="pct"/>
            <w:noWrap w:val="0"/>
            <w:vAlign w:val="center"/>
          </w:tcPr>
          <w:p w14:paraId="40B15503">
            <w:pPr>
              <w:pStyle w:val="27"/>
              <w:bidi w:val="0"/>
              <w:rPr>
                <w:b/>
                <w:bCs/>
                <w:sz w:val="21"/>
                <w:szCs w:val="21"/>
              </w:rPr>
            </w:pPr>
            <w:r>
              <w:rPr>
                <w:b/>
                <w:bCs/>
                <w:sz w:val="21"/>
                <w:szCs w:val="21"/>
              </w:rPr>
              <w:t>检查依据</w:t>
            </w:r>
          </w:p>
        </w:tc>
        <w:tc>
          <w:tcPr>
            <w:tcW w:w="636" w:type="pct"/>
            <w:noWrap w:val="0"/>
            <w:vAlign w:val="center"/>
          </w:tcPr>
          <w:p w14:paraId="654C85C2">
            <w:pPr>
              <w:pStyle w:val="27"/>
              <w:bidi w:val="0"/>
              <w:rPr>
                <w:b/>
                <w:bCs/>
                <w:sz w:val="21"/>
                <w:szCs w:val="21"/>
              </w:rPr>
            </w:pPr>
            <w:r>
              <w:rPr>
                <w:b/>
                <w:bCs/>
                <w:sz w:val="21"/>
                <w:szCs w:val="21"/>
              </w:rPr>
              <w:t>检查方法</w:t>
            </w:r>
          </w:p>
        </w:tc>
        <w:tc>
          <w:tcPr>
            <w:tcW w:w="920" w:type="pct"/>
            <w:noWrap w:val="0"/>
            <w:vAlign w:val="center"/>
          </w:tcPr>
          <w:p w14:paraId="6A3143BC">
            <w:pPr>
              <w:pStyle w:val="27"/>
              <w:bidi w:val="0"/>
              <w:rPr>
                <w:b/>
                <w:bCs/>
                <w:sz w:val="21"/>
                <w:szCs w:val="21"/>
              </w:rPr>
            </w:pPr>
            <w:r>
              <w:rPr>
                <w:b/>
                <w:bCs/>
                <w:sz w:val="21"/>
                <w:szCs w:val="21"/>
              </w:rPr>
              <w:t>建设情况</w:t>
            </w:r>
          </w:p>
        </w:tc>
        <w:tc>
          <w:tcPr>
            <w:tcW w:w="427" w:type="pct"/>
            <w:noWrap w:val="0"/>
            <w:vAlign w:val="center"/>
          </w:tcPr>
          <w:p w14:paraId="0A1C1054">
            <w:pPr>
              <w:pStyle w:val="27"/>
              <w:bidi w:val="0"/>
              <w:rPr>
                <w:b/>
                <w:bCs/>
                <w:sz w:val="21"/>
                <w:szCs w:val="21"/>
              </w:rPr>
            </w:pPr>
            <w:r>
              <w:rPr>
                <w:b/>
                <w:bCs/>
                <w:sz w:val="21"/>
                <w:szCs w:val="21"/>
              </w:rPr>
              <w:t>检查</w:t>
            </w:r>
          </w:p>
          <w:p w14:paraId="1AD04292">
            <w:pPr>
              <w:pStyle w:val="27"/>
              <w:bidi w:val="0"/>
              <w:rPr>
                <w:b/>
                <w:bCs/>
                <w:sz w:val="21"/>
                <w:szCs w:val="21"/>
              </w:rPr>
            </w:pPr>
            <w:r>
              <w:rPr>
                <w:b/>
                <w:bCs/>
                <w:sz w:val="21"/>
                <w:szCs w:val="21"/>
              </w:rPr>
              <w:t>结果</w:t>
            </w:r>
          </w:p>
        </w:tc>
      </w:tr>
      <w:tr w14:paraId="6D9B5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trPr>
        <w:tc>
          <w:tcPr>
            <w:tcW w:w="279" w:type="pct"/>
            <w:noWrap w:val="0"/>
            <w:vAlign w:val="center"/>
          </w:tcPr>
          <w:p w14:paraId="1A0A801C">
            <w:pPr>
              <w:pStyle w:val="27"/>
              <w:bidi w:val="0"/>
              <w:rPr>
                <w:sz w:val="21"/>
                <w:szCs w:val="21"/>
              </w:rPr>
            </w:pPr>
            <w:r>
              <w:rPr>
                <w:sz w:val="21"/>
                <w:szCs w:val="21"/>
              </w:rPr>
              <w:t>1</w:t>
            </w:r>
          </w:p>
        </w:tc>
        <w:tc>
          <w:tcPr>
            <w:tcW w:w="1859" w:type="pct"/>
            <w:noWrap w:val="0"/>
            <w:vAlign w:val="center"/>
          </w:tcPr>
          <w:p w14:paraId="427A1C73">
            <w:pPr>
              <w:pStyle w:val="27"/>
              <w:bidi w:val="0"/>
              <w:jc w:val="both"/>
              <w:rPr>
                <w:sz w:val="21"/>
                <w:szCs w:val="21"/>
              </w:rPr>
            </w:pPr>
            <w:r>
              <w:rPr>
                <w:sz w:val="21"/>
                <w:szCs w:val="21"/>
              </w:rPr>
              <w:t>总平面布置应节约集约用地，提高土地利用率。布置时并应符合下列要求：</w:t>
            </w:r>
          </w:p>
          <w:p w14:paraId="1404F618">
            <w:pPr>
              <w:pStyle w:val="27"/>
              <w:bidi w:val="0"/>
              <w:jc w:val="both"/>
              <w:rPr>
                <w:sz w:val="21"/>
                <w:szCs w:val="21"/>
              </w:rPr>
            </w:pPr>
            <w:r>
              <w:rPr>
                <w:sz w:val="21"/>
                <w:szCs w:val="21"/>
              </w:rPr>
              <w:t>1.应按企业规模和功能分区，合理地确定通道宽度；2.厂区功能分区及建筑物、构筑物的外形宜规整；3.功能分区内各项设施的布置，应紧凑、合理。</w:t>
            </w:r>
          </w:p>
        </w:tc>
        <w:tc>
          <w:tcPr>
            <w:tcW w:w="877" w:type="pct"/>
            <w:noWrap w:val="0"/>
            <w:vAlign w:val="center"/>
          </w:tcPr>
          <w:p w14:paraId="40FFD568">
            <w:pPr>
              <w:pStyle w:val="27"/>
              <w:bidi w:val="0"/>
              <w:rPr>
                <w:sz w:val="21"/>
                <w:szCs w:val="21"/>
              </w:rPr>
            </w:pPr>
            <w:r>
              <w:rPr>
                <w:sz w:val="21"/>
                <w:szCs w:val="21"/>
              </w:rPr>
              <w:t>GB50187-2012</w:t>
            </w:r>
          </w:p>
          <w:p w14:paraId="309CDDF0">
            <w:pPr>
              <w:pStyle w:val="27"/>
              <w:bidi w:val="0"/>
              <w:rPr>
                <w:sz w:val="21"/>
                <w:szCs w:val="21"/>
              </w:rPr>
            </w:pPr>
            <w:r>
              <w:rPr>
                <w:sz w:val="21"/>
                <w:szCs w:val="21"/>
              </w:rPr>
              <w:t>第5.1.2条</w:t>
            </w:r>
          </w:p>
        </w:tc>
        <w:tc>
          <w:tcPr>
            <w:tcW w:w="636" w:type="pct"/>
            <w:noWrap w:val="0"/>
            <w:vAlign w:val="center"/>
          </w:tcPr>
          <w:p w14:paraId="570662DF">
            <w:pPr>
              <w:pStyle w:val="27"/>
              <w:bidi w:val="0"/>
              <w:rPr>
                <w:sz w:val="21"/>
                <w:szCs w:val="21"/>
              </w:rPr>
            </w:pPr>
            <w:r>
              <w:rPr>
                <w:sz w:val="21"/>
                <w:szCs w:val="21"/>
              </w:rPr>
              <w:t>现场检查</w:t>
            </w:r>
          </w:p>
        </w:tc>
        <w:tc>
          <w:tcPr>
            <w:tcW w:w="920" w:type="pct"/>
            <w:noWrap w:val="0"/>
            <w:vAlign w:val="center"/>
          </w:tcPr>
          <w:p w14:paraId="0DA9A434">
            <w:pPr>
              <w:pStyle w:val="27"/>
              <w:bidi w:val="0"/>
              <w:jc w:val="both"/>
              <w:rPr>
                <w:sz w:val="21"/>
                <w:szCs w:val="21"/>
              </w:rPr>
            </w:pPr>
            <w:r>
              <w:rPr>
                <w:rFonts w:hint="eastAsia"/>
                <w:sz w:val="21"/>
                <w:szCs w:val="21"/>
              </w:rPr>
              <w:t>矿区</w:t>
            </w:r>
            <w:r>
              <w:rPr>
                <w:rFonts w:hint="eastAsia"/>
                <w:sz w:val="21"/>
                <w:szCs w:val="21"/>
                <w:lang w:val="en-US" w:eastAsia="zh-CN"/>
              </w:rPr>
              <w:t>东</w:t>
            </w:r>
            <w:r>
              <w:rPr>
                <w:rFonts w:hint="eastAsia"/>
                <w:sz w:val="21"/>
                <w:szCs w:val="21"/>
              </w:rPr>
              <w:t>侧山下布置工业广场，按功能需求布置办公室、机修间等。</w:t>
            </w:r>
          </w:p>
        </w:tc>
        <w:tc>
          <w:tcPr>
            <w:tcW w:w="427" w:type="pct"/>
            <w:noWrap w:val="0"/>
            <w:vAlign w:val="center"/>
          </w:tcPr>
          <w:p w14:paraId="5F8384D0">
            <w:pPr>
              <w:pStyle w:val="27"/>
              <w:bidi w:val="0"/>
              <w:rPr>
                <w:sz w:val="21"/>
                <w:szCs w:val="21"/>
              </w:rPr>
            </w:pPr>
            <w:r>
              <w:rPr>
                <w:sz w:val="21"/>
                <w:szCs w:val="21"/>
              </w:rPr>
              <w:t>符合</w:t>
            </w:r>
          </w:p>
        </w:tc>
      </w:tr>
      <w:tr w14:paraId="5CC5F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8" w:hRule="atLeast"/>
          <w:tblHeader/>
        </w:trPr>
        <w:tc>
          <w:tcPr>
            <w:tcW w:w="279" w:type="pct"/>
            <w:noWrap w:val="0"/>
            <w:vAlign w:val="center"/>
          </w:tcPr>
          <w:p w14:paraId="00E52DA2">
            <w:pPr>
              <w:pStyle w:val="27"/>
              <w:bidi w:val="0"/>
              <w:rPr>
                <w:sz w:val="21"/>
                <w:szCs w:val="21"/>
              </w:rPr>
            </w:pPr>
            <w:r>
              <w:rPr>
                <w:sz w:val="21"/>
                <w:szCs w:val="21"/>
              </w:rPr>
              <w:t>2</w:t>
            </w:r>
          </w:p>
        </w:tc>
        <w:tc>
          <w:tcPr>
            <w:tcW w:w="1859" w:type="pct"/>
            <w:noWrap w:val="0"/>
            <w:vAlign w:val="center"/>
          </w:tcPr>
          <w:p w14:paraId="268E170B">
            <w:pPr>
              <w:pStyle w:val="27"/>
              <w:bidi w:val="0"/>
              <w:jc w:val="both"/>
              <w:rPr>
                <w:sz w:val="21"/>
                <w:szCs w:val="21"/>
              </w:rPr>
            </w:pPr>
            <w:r>
              <w:rPr>
                <w:sz w:val="21"/>
                <w:szCs w:val="21"/>
              </w:rPr>
              <w:t>总平面布置，应充分利用地形、地势、工程地质及水文地质条件，布置建筑物、构筑物和有关设施，应减少土（石）方工程量和基础工程费用，并应符合下列要求：</w:t>
            </w:r>
          </w:p>
          <w:p w14:paraId="3FE1F1AE">
            <w:pPr>
              <w:pStyle w:val="27"/>
              <w:bidi w:val="0"/>
              <w:jc w:val="both"/>
              <w:rPr>
                <w:rFonts w:hint="eastAsia"/>
                <w:sz w:val="21"/>
                <w:szCs w:val="21"/>
              </w:rPr>
            </w:pPr>
            <w:r>
              <w:rPr>
                <w:sz w:val="21"/>
                <w:szCs w:val="21"/>
              </w:rPr>
              <w:t>当厂区地形坡度较大时，建筑物、构筑物的长轴宜顺等高线布置</w:t>
            </w:r>
            <w:r>
              <w:rPr>
                <w:rFonts w:hint="eastAsia"/>
                <w:sz w:val="21"/>
                <w:szCs w:val="21"/>
              </w:rPr>
              <w:t>。</w:t>
            </w:r>
          </w:p>
        </w:tc>
        <w:tc>
          <w:tcPr>
            <w:tcW w:w="877" w:type="pct"/>
            <w:noWrap w:val="0"/>
            <w:vAlign w:val="center"/>
          </w:tcPr>
          <w:p w14:paraId="40196C46">
            <w:pPr>
              <w:pStyle w:val="27"/>
              <w:bidi w:val="0"/>
              <w:rPr>
                <w:sz w:val="21"/>
                <w:szCs w:val="21"/>
              </w:rPr>
            </w:pPr>
            <w:r>
              <w:rPr>
                <w:sz w:val="21"/>
                <w:szCs w:val="21"/>
              </w:rPr>
              <w:t>GB50187-2012</w:t>
            </w:r>
          </w:p>
          <w:p w14:paraId="7589599F">
            <w:pPr>
              <w:pStyle w:val="27"/>
              <w:bidi w:val="0"/>
              <w:rPr>
                <w:sz w:val="21"/>
                <w:szCs w:val="21"/>
              </w:rPr>
            </w:pPr>
            <w:r>
              <w:rPr>
                <w:sz w:val="21"/>
                <w:szCs w:val="21"/>
              </w:rPr>
              <w:t>第5.1.5条</w:t>
            </w:r>
          </w:p>
        </w:tc>
        <w:tc>
          <w:tcPr>
            <w:tcW w:w="636" w:type="pct"/>
            <w:noWrap w:val="0"/>
            <w:vAlign w:val="center"/>
          </w:tcPr>
          <w:p w14:paraId="2FD12012">
            <w:pPr>
              <w:pStyle w:val="27"/>
              <w:bidi w:val="0"/>
              <w:rPr>
                <w:sz w:val="21"/>
                <w:szCs w:val="21"/>
              </w:rPr>
            </w:pPr>
            <w:r>
              <w:rPr>
                <w:sz w:val="21"/>
                <w:szCs w:val="21"/>
              </w:rPr>
              <w:t>现场检查</w:t>
            </w:r>
          </w:p>
        </w:tc>
        <w:tc>
          <w:tcPr>
            <w:tcW w:w="920" w:type="pct"/>
            <w:noWrap w:val="0"/>
            <w:vAlign w:val="center"/>
          </w:tcPr>
          <w:p w14:paraId="656E6046">
            <w:pPr>
              <w:pStyle w:val="27"/>
              <w:bidi w:val="0"/>
              <w:jc w:val="both"/>
              <w:rPr>
                <w:sz w:val="21"/>
                <w:szCs w:val="21"/>
              </w:rPr>
            </w:pPr>
            <w:r>
              <w:rPr>
                <w:sz w:val="21"/>
                <w:szCs w:val="21"/>
              </w:rPr>
              <w:t>矿山各构筑物布置合理，设计时充分考虑了地形条件。</w:t>
            </w:r>
          </w:p>
        </w:tc>
        <w:tc>
          <w:tcPr>
            <w:tcW w:w="427" w:type="pct"/>
            <w:noWrap w:val="0"/>
            <w:vAlign w:val="center"/>
          </w:tcPr>
          <w:p w14:paraId="613748FD">
            <w:pPr>
              <w:pStyle w:val="27"/>
              <w:bidi w:val="0"/>
              <w:rPr>
                <w:sz w:val="21"/>
                <w:szCs w:val="21"/>
              </w:rPr>
            </w:pPr>
            <w:r>
              <w:rPr>
                <w:sz w:val="21"/>
                <w:szCs w:val="21"/>
              </w:rPr>
              <w:t>符合</w:t>
            </w:r>
          </w:p>
        </w:tc>
      </w:tr>
      <w:tr w14:paraId="37B06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trPr>
        <w:tc>
          <w:tcPr>
            <w:tcW w:w="279" w:type="pct"/>
            <w:noWrap w:val="0"/>
            <w:vAlign w:val="center"/>
          </w:tcPr>
          <w:p w14:paraId="301D6107">
            <w:pPr>
              <w:pStyle w:val="27"/>
              <w:bidi w:val="0"/>
              <w:rPr>
                <w:sz w:val="21"/>
                <w:szCs w:val="21"/>
              </w:rPr>
            </w:pPr>
            <w:r>
              <w:rPr>
                <w:sz w:val="21"/>
                <w:szCs w:val="21"/>
              </w:rPr>
              <w:t>3</w:t>
            </w:r>
          </w:p>
        </w:tc>
        <w:tc>
          <w:tcPr>
            <w:tcW w:w="1859" w:type="pct"/>
            <w:noWrap w:val="0"/>
            <w:vAlign w:val="center"/>
          </w:tcPr>
          <w:p w14:paraId="0DEAB700">
            <w:pPr>
              <w:pStyle w:val="27"/>
              <w:bidi w:val="0"/>
              <w:jc w:val="both"/>
              <w:rPr>
                <w:sz w:val="21"/>
                <w:szCs w:val="21"/>
              </w:rPr>
            </w:pPr>
            <w:r>
              <w:rPr>
                <w:sz w:val="21"/>
                <w:szCs w:val="21"/>
              </w:rPr>
              <w:t>总平面布置应采取防止高温、有害气体、烟、雾、粉尘、强烈振动和高噪声对周围环境和人身安全的危害的安全保障措施，并应符合现行国家有关工业企业卫生设计标准的规定。</w:t>
            </w:r>
          </w:p>
        </w:tc>
        <w:tc>
          <w:tcPr>
            <w:tcW w:w="877" w:type="pct"/>
            <w:noWrap w:val="0"/>
            <w:vAlign w:val="center"/>
          </w:tcPr>
          <w:p w14:paraId="7FD0DAE5">
            <w:pPr>
              <w:pStyle w:val="27"/>
              <w:bidi w:val="0"/>
              <w:rPr>
                <w:sz w:val="21"/>
                <w:szCs w:val="21"/>
              </w:rPr>
            </w:pPr>
            <w:r>
              <w:rPr>
                <w:sz w:val="21"/>
                <w:szCs w:val="21"/>
              </w:rPr>
              <w:t>GB50187-2012</w:t>
            </w:r>
          </w:p>
          <w:p w14:paraId="32FDA6D3">
            <w:pPr>
              <w:pStyle w:val="27"/>
              <w:bidi w:val="0"/>
              <w:rPr>
                <w:sz w:val="21"/>
                <w:szCs w:val="21"/>
              </w:rPr>
            </w:pPr>
            <w:r>
              <w:rPr>
                <w:sz w:val="21"/>
                <w:szCs w:val="21"/>
              </w:rPr>
              <w:t>第5.1.7条</w:t>
            </w:r>
          </w:p>
        </w:tc>
        <w:tc>
          <w:tcPr>
            <w:tcW w:w="636" w:type="pct"/>
            <w:noWrap w:val="0"/>
            <w:vAlign w:val="center"/>
          </w:tcPr>
          <w:p w14:paraId="57976768">
            <w:pPr>
              <w:pStyle w:val="27"/>
              <w:bidi w:val="0"/>
              <w:rPr>
                <w:sz w:val="21"/>
                <w:szCs w:val="21"/>
              </w:rPr>
            </w:pPr>
            <w:r>
              <w:rPr>
                <w:sz w:val="21"/>
                <w:szCs w:val="21"/>
              </w:rPr>
              <w:t>现场检查</w:t>
            </w:r>
          </w:p>
        </w:tc>
        <w:tc>
          <w:tcPr>
            <w:tcW w:w="920" w:type="pct"/>
            <w:noWrap w:val="0"/>
            <w:vAlign w:val="center"/>
          </w:tcPr>
          <w:p w14:paraId="34026477">
            <w:pPr>
              <w:pStyle w:val="27"/>
              <w:bidi w:val="0"/>
              <w:jc w:val="both"/>
              <w:rPr>
                <w:sz w:val="21"/>
                <w:szCs w:val="21"/>
              </w:rPr>
            </w:pPr>
            <w:r>
              <w:rPr>
                <w:sz w:val="21"/>
                <w:szCs w:val="21"/>
              </w:rPr>
              <w:t>矿山主要产尘点均为露天布置，通过配备防尘口罩来保障人身安全。</w:t>
            </w:r>
          </w:p>
        </w:tc>
        <w:tc>
          <w:tcPr>
            <w:tcW w:w="427" w:type="pct"/>
            <w:noWrap w:val="0"/>
            <w:vAlign w:val="center"/>
          </w:tcPr>
          <w:p w14:paraId="79BEBAC8">
            <w:pPr>
              <w:pStyle w:val="27"/>
              <w:bidi w:val="0"/>
              <w:rPr>
                <w:sz w:val="21"/>
                <w:szCs w:val="21"/>
              </w:rPr>
            </w:pPr>
            <w:r>
              <w:rPr>
                <w:sz w:val="21"/>
                <w:szCs w:val="21"/>
              </w:rPr>
              <w:t>符合</w:t>
            </w:r>
          </w:p>
        </w:tc>
      </w:tr>
      <w:tr w14:paraId="5EF07B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trPr>
        <w:tc>
          <w:tcPr>
            <w:tcW w:w="279" w:type="pct"/>
            <w:noWrap w:val="0"/>
            <w:vAlign w:val="center"/>
          </w:tcPr>
          <w:p w14:paraId="396D510A">
            <w:pPr>
              <w:pStyle w:val="27"/>
              <w:bidi w:val="0"/>
              <w:rPr>
                <w:sz w:val="21"/>
                <w:szCs w:val="21"/>
              </w:rPr>
            </w:pPr>
            <w:r>
              <w:rPr>
                <w:sz w:val="21"/>
                <w:szCs w:val="21"/>
              </w:rPr>
              <w:t>4</w:t>
            </w:r>
          </w:p>
        </w:tc>
        <w:tc>
          <w:tcPr>
            <w:tcW w:w="1859" w:type="pct"/>
            <w:noWrap w:val="0"/>
            <w:vAlign w:val="center"/>
          </w:tcPr>
          <w:p w14:paraId="154DDB71">
            <w:pPr>
              <w:pStyle w:val="27"/>
              <w:bidi w:val="0"/>
              <w:jc w:val="both"/>
              <w:rPr>
                <w:sz w:val="21"/>
                <w:szCs w:val="21"/>
              </w:rPr>
            </w:pPr>
            <w:r>
              <w:rPr>
                <w:sz w:val="21"/>
                <w:szCs w:val="21"/>
              </w:rPr>
              <w:t>产生高温、有害气体、烟、雾、粉尘的生产设施，应布置在厂区全年最小频率风向的上风侧且地势开阔、通风条件良好的地段，并不应采用封闭式或半封闭式的布置形式。产生高温的生产设施的长轴，宜与夏季盛行风向垂直或呈不小于45°交角布置。</w:t>
            </w:r>
          </w:p>
        </w:tc>
        <w:tc>
          <w:tcPr>
            <w:tcW w:w="877" w:type="pct"/>
            <w:noWrap w:val="0"/>
            <w:vAlign w:val="center"/>
          </w:tcPr>
          <w:p w14:paraId="223DA0F3">
            <w:pPr>
              <w:pStyle w:val="27"/>
              <w:bidi w:val="0"/>
              <w:rPr>
                <w:sz w:val="21"/>
                <w:szCs w:val="21"/>
              </w:rPr>
            </w:pPr>
            <w:r>
              <w:rPr>
                <w:sz w:val="21"/>
                <w:szCs w:val="21"/>
              </w:rPr>
              <w:t>GB50187-2012</w:t>
            </w:r>
          </w:p>
          <w:p w14:paraId="76B48FAF">
            <w:pPr>
              <w:pStyle w:val="27"/>
              <w:bidi w:val="0"/>
              <w:rPr>
                <w:sz w:val="21"/>
                <w:szCs w:val="21"/>
              </w:rPr>
            </w:pPr>
            <w:r>
              <w:rPr>
                <w:sz w:val="21"/>
                <w:szCs w:val="21"/>
              </w:rPr>
              <w:t>第5.2.3条</w:t>
            </w:r>
          </w:p>
        </w:tc>
        <w:tc>
          <w:tcPr>
            <w:tcW w:w="636" w:type="pct"/>
            <w:noWrap w:val="0"/>
            <w:vAlign w:val="center"/>
          </w:tcPr>
          <w:p w14:paraId="03010E8F">
            <w:pPr>
              <w:pStyle w:val="27"/>
              <w:bidi w:val="0"/>
              <w:rPr>
                <w:sz w:val="21"/>
                <w:szCs w:val="21"/>
              </w:rPr>
            </w:pPr>
            <w:r>
              <w:rPr>
                <w:sz w:val="21"/>
                <w:szCs w:val="21"/>
              </w:rPr>
              <w:t>现场检查</w:t>
            </w:r>
          </w:p>
        </w:tc>
        <w:tc>
          <w:tcPr>
            <w:tcW w:w="920" w:type="pct"/>
            <w:noWrap w:val="0"/>
            <w:vAlign w:val="center"/>
          </w:tcPr>
          <w:p w14:paraId="6CD53708">
            <w:pPr>
              <w:pStyle w:val="27"/>
              <w:bidi w:val="0"/>
              <w:jc w:val="both"/>
              <w:rPr>
                <w:sz w:val="21"/>
                <w:szCs w:val="21"/>
              </w:rPr>
            </w:pPr>
            <w:r>
              <w:rPr>
                <w:sz w:val="21"/>
                <w:szCs w:val="21"/>
              </w:rPr>
              <w:t>矿山主要产尘部位为采场、运矿道路、矿石加工厂，均布置在通风良好地段。</w:t>
            </w:r>
          </w:p>
        </w:tc>
        <w:tc>
          <w:tcPr>
            <w:tcW w:w="427" w:type="pct"/>
            <w:noWrap w:val="0"/>
            <w:vAlign w:val="center"/>
          </w:tcPr>
          <w:p w14:paraId="23419952">
            <w:pPr>
              <w:pStyle w:val="27"/>
              <w:bidi w:val="0"/>
              <w:rPr>
                <w:sz w:val="21"/>
                <w:szCs w:val="21"/>
              </w:rPr>
            </w:pPr>
            <w:r>
              <w:rPr>
                <w:sz w:val="21"/>
                <w:szCs w:val="21"/>
              </w:rPr>
              <w:t>符合</w:t>
            </w:r>
          </w:p>
        </w:tc>
      </w:tr>
      <w:tr w14:paraId="16F2C5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trPr>
        <w:tc>
          <w:tcPr>
            <w:tcW w:w="279" w:type="pct"/>
            <w:noWrap w:val="0"/>
            <w:vAlign w:val="center"/>
          </w:tcPr>
          <w:p w14:paraId="0E1F7E66">
            <w:pPr>
              <w:pStyle w:val="27"/>
              <w:bidi w:val="0"/>
              <w:rPr>
                <w:sz w:val="21"/>
                <w:szCs w:val="21"/>
              </w:rPr>
            </w:pPr>
            <w:r>
              <w:rPr>
                <w:sz w:val="21"/>
                <w:szCs w:val="21"/>
              </w:rPr>
              <w:t>5</w:t>
            </w:r>
          </w:p>
        </w:tc>
        <w:tc>
          <w:tcPr>
            <w:tcW w:w="1859" w:type="pct"/>
            <w:noWrap w:val="0"/>
            <w:vAlign w:val="center"/>
          </w:tcPr>
          <w:p w14:paraId="6B981ABE">
            <w:pPr>
              <w:pStyle w:val="27"/>
              <w:bidi w:val="0"/>
              <w:jc w:val="both"/>
              <w:rPr>
                <w:sz w:val="21"/>
                <w:szCs w:val="21"/>
              </w:rPr>
            </w:pPr>
            <w:r>
              <w:rPr>
                <w:sz w:val="21"/>
                <w:szCs w:val="21"/>
              </w:rPr>
              <w:t>矿山用电铲、钎凿设备等检修设施，宜靠近露天采矿场或井（硐）口布置，并应有必要的露天检修和备件堆放场地。</w:t>
            </w:r>
          </w:p>
        </w:tc>
        <w:tc>
          <w:tcPr>
            <w:tcW w:w="877" w:type="pct"/>
            <w:noWrap w:val="0"/>
            <w:vAlign w:val="center"/>
          </w:tcPr>
          <w:p w14:paraId="14ADB139">
            <w:pPr>
              <w:pStyle w:val="27"/>
              <w:bidi w:val="0"/>
              <w:rPr>
                <w:sz w:val="21"/>
                <w:szCs w:val="21"/>
              </w:rPr>
            </w:pPr>
            <w:r>
              <w:rPr>
                <w:sz w:val="21"/>
                <w:szCs w:val="21"/>
              </w:rPr>
              <w:t>GB50187-2012</w:t>
            </w:r>
          </w:p>
          <w:p w14:paraId="7E4E24FB">
            <w:pPr>
              <w:pStyle w:val="27"/>
              <w:bidi w:val="0"/>
              <w:rPr>
                <w:sz w:val="21"/>
                <w:szCs w:val="21"/>
              </w:rPr>
            </w:pPr>
            <w:r>
              <w:rPr>
                <w:sz w:val="21"/>
                <w:szCs w:val="21"/>
              </w:rPr>
              <w:t>第5.4.7条</w:t>
            </w:r>
          </w:p>
        </w:tc>
        <w:tc>
          <w:tcPr>
            <w:tcW w:w="636" w:type="pct"/>
            <w:noWrap w:val="0"/>
            <w:vAlign w:val="center"/>
          </w:tcPr>
          <w:p w14:paraId="0B861E9C">
            <w:pPr>
              <w:pStyle w:val="27"/>
              <w:bidi w:val="0"/>
              <w:rPr>
                <w:sz w:val="21"/>
                <w:szCs w:val="21"/>
              </w:rPr>
            </w:pPr>
            <w:r>
              <w:rPr>
                <w:sz w:val="21"/>
                <w:szCs w:val="21"/>
              </w:rPr>
              <w:t>现场检查</w:t>
            </w:r>
          </w:p>
        </w:tc>
        <w:tc>
          <w:tcPr>
            <w:tcW w:w="920" w:type="pct"/>
            <w:noWrap w:val="0"/>
            <w:vAlign w:val="center"/>
          </w:tcPr>
          <w:p w14:paraId="696F62D9">
            <w:pPr>
              <w:pStyle w:val="27"/>
              <w:bidi w:val="0"/>
              <w:jc w:val="both"/>
              <w:rPr>
                <w:sz w:val="21"/>
                <w:szCs w:val="21"/>
              </w:rPr>
            </w:pPr>
            <w:r>
              <w:rPr>
                <w:rFonts w:hint="eastAsia"/>
                <w:sz w:val="21"/>
                <w:szCs w:val="21"/>
              </w:rPr>
              <w:t>工业场地进行简单的维修</w:t>
            </w:r>
            <w:r>
              <w:rPr>
                <w:sz w:val="21"/>
                <w:szCs w:val="21"/>
              </w:rPr>
              <w:t>。</w:t>
            </w:r>
          </w:p>
        </w:tc>
        <w:tc>
          <w:tcPr>
            <w:tcW w:w="427" w:type="pct"/>
            <w:noWrap w:val="0"/>
            <w:vAlign w:val="center"/>
          </w:tcPr>
          <w:p w14:paraId="5E07B295">
            <w:pPr>
              <w:pStyle w:val="27"/>
              <w:bidi w:val="0"/>
              <w:rPr>
                <w:sz w:val="21"/>
                <w:szCs w:val="21"/>
              </w:rPr>
            </w:pPr>
            <w:r>
              <w:rPr>
                <w:sz w:val="21"/>
                <w:szCs w:val="21"/>
              </w:rPr>
              <w:t>符合</w:t>
            </w:r>
          </w:p>
        </w:tc>
      </w:tr>
      <w:tr w14:paraId="5EC6F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blHeader/>
        </w:trPr>
        <w:tc>
          <w:tcPr>
            <w:tcW w:w="279" w:type="pct"/>
            <w:noWrap w:val="0"/>
            <w:vAlign w:val="center"/>
          </w:tcPr>
          <w:p w14:paraId="21C061A1">
            <w:pPr>
              <w:pStyle w:val="27"/>
              <w:bidi w:val="0"/>
              <w:rPr>
                <w:sz w:val="21"/>
                <w:szCs w:val="21"/>
              </w:rPr>
            </w:pPr>
            <w:r>
              <w:rPr>
                <w:sz w:val="21"/>
                <w:szCs w:val="21"/>
              </w:rPr>
              <w:t>6</w:t>
            </w:r>
          </w:p>
        </w:tc>
        <w:tc>
          <w:tcPr>
            <w:tcW w:w="1859" w:type="pct"/>
            <w:noWrap w:val="0"/>
            <w:vAlign w:val="center"/>
          </w:tcPr>
          <w:p w14:paraId="44A2F8EB">
            <w:pPr>
              <w:pStyle w:val="27"/>
              <w:bidi w:val="0"/>
              <w:jc w:val="both"/>
              <w:rPr>
                <w:rFonts w:hint="default"/>
                <w:sz w:val="21"/>
                <w:szCs w:val="21"/>
                <w:lang w:val="en-US" w:eastAsia="zh-CN"/>
              </w:rPr>
            </w:pPr>
            <w:r>
              <w:rPr>
                <w:rFonts w:hint="eastAsia"/>
                <w:sz w:val="21"/>
                <w:szCs w:val="21"/>
                <w:lang w:val="en-US" w:eastAsia="zh-CN"/>
              </w:rPr>
              <w:t>对于逸散粉尘的生产过程，应对产尘设备采区密闭措施；设置适宜的局部排风除尘设施对尘源进行控制；生产工艺和粉尘性质可采取湿式作业的，应采取湿法抑尘。当湿式作业仍不能满足卫生要求时，应采用其他通风、除尘方式。</w:t>
            </w:r>
          </w:p>
        </w:tc>
        <w:tc>
          <w:tcPr>
            <w:tcW w:w="877" w:type="pct"/>
            <w:noWrap w:val="0"/>
            <w:vAlign w:val="center"/>
          </w:tcPr>
          <w:p w14:paraId="46805B7C">
            <w:pPr>
              <w:pStyle w:val="27"/>
              <w:bidi w:val="0"/>
              <w:rPr>
                <w:rFonts w:hint="default"/>
                <w:sz w:val="21"/>
                <w:szCs w:val="21"/>
                <w:lang w:val="en-US" w:eastAsia="zh-CN"/>
              </w:rPr>
            </w:pPr>
            <w:r>
              <w:rPr>
                <w:sz w:val="21"/>
                <w:szCs w:val="21"/>
              </w:rPr>
              <w:t>GBZ1-20</w:t>
            </w:r>
            <w:r>
              <w:rPr>
                <w:rFonts w:hint="eastAsia"/>
                <w:sz w:val="21"/>
                <w:szCs w:val="21"/>
                <w:lang w:val="en-US" w:eastAsia="zh-CN"/>
              </w:rPr>
              <w:t>10</w:t>
            </w:r>
          </w:p>
          <w:p w14:paraId="3FC48B60">
            <w:pPr>
              <w:pStyle w:val="27"/>
              <w:bidi w:val="0"/>
              <w:rPr>
                <w:sz w:val="21"/>
                <w:szCs w:val="21"/>
              </w:rPr>
            </w:pPr>
            <w:r>
              <w:rPr>
                <w:sz w:val="21"/>
                <w:szCs w:val="21"/>
              </w:rPr>
              <w:t>第</w:t>
            </w:r>
            <w:r>
              <w:rPr>
                <w:rFonts w:hint="eastAsia"/>
                <w:sz w:val="21"/>
                <w:szCs w:val="21"/>
                <w:lang w:val="en-US" w:eastAsia="zh-CN"/>
              </w:rPr>
              <w:t>6.1.1.3</w:t>
            </w:r>
            <w:r>
              <w:rPr>
                <w:sz w:val="21"/>
                <w:szCs w:val="21"/>
              </w:rPr>
              <w:t>条</w:t>
            </w:r>
          </w:p>
        </w:tc>
        <w:tc>
          <w:tcPr>
            <w:tcW w:w="636" w:type="pct"/>
            <w:noWrap w:val="0"/>
            <w:vAlign w:val="center"/>
          </w:tcPr>
          <w:p w14:paraId="3CC06526">
            <w:pPr>
              <w:pStyle w:val="27"/>
              <w:bidi w:val="0"/>
              <w:rPr>
                <w:sz w:val="21"/>
                <w:szCs w:val="21"/>
              </w:rPr>
            </w:pPr>
            <w:r>
              <w:rPr>
                <w:sz w:val="21"/>
                <w:szCs w:val="21"/>
              </w:rPr>
              <w:t>现场检查</w:t>
            </w:r>
          </w:p>
        </w:tc>
        <w:tc>
          <w:tcPr>
            <w:tcW w:w="920" w:type="pct"/>
            <w:noWrap w:val="0"/>
            <w:vAlign w:val="center"/>
          </w:tcPr>
          <w:p w14:paraId="039F9B8C">
            <w:pPr>
              <w:pStyle w:val="27"/>
              <w:bidi w:val="0"/>
              <w:jc w:val="both"/>
              <w:rPr>
                <w:sz w:val="21"/>
                <w:szCs w:val="21"/>
              </w:rPr>
            </w:pPr>
            <w:r>
              <w:rPr>
                <w:sz w:val="21"/>
                <w:szCs w:val="21"/>
              </w:rPr>
              <w:t>矿山产生粉尘主要是穿孔、爆破、铲装、运输等作业，钻孔采取</w:t>
            </w:r>
            <w:r>
              <w:rPr>
                <w:rFonts w:hint="eastAsia"/>
                <w:sz w:val="21"/>
                <w:szCs w:val="21"/>
              </w:rPr>
              <w:t>干</w:t>
            </w:r>
            <w:r>
              <w:rPr>
                <w:sz w:val="21"/>
                <w:szCs w:val="21"/>
              </w:rPr>
              <w:t>式作业</w:t>
            </w:r>
            <w:r>
              <w:rPr>
                <w:rFonts w:hint="eastAsia"/>
                <w:sz w:val="21"/>
                <w:szCs w:val="21"/>
              </w:rPr>
              <w:t>配备捕尘装置</w:t>
            </w:r>
            <w:r>
              <w:rPr>
                <w:sz w:val="21"/>
                <w:szCs w:val="21"/>
              </w:rPr>
              <w:t>，对爆堆、运输道路洒水降尘，粉尘影响在矿区范围内。</w:t>
            </w:r>
          </w:p>
        </w:tc>
        <w:tc>
          <w:tcPr>
            <w:tcW w:w="427" w:type="pct"/>
            <w:noWrap w:val="0"/>
            <w:vAlign w:val="center"/>
          </w:tcPr>
          <w:p w14:paraId="51E1501A">
            <w:pPr>
              <w:pStyle w:val="27"/>
              <w:bidi w:val="0"/>
              <w:rPr>
                <w:sz w:val="21"/>
                <w:szCs w:val="21"/>
              </w:rPr>
            </w:pPr>
            <w:r>
              <w:rPr>
                <w:sz w:val="21"/>
                <w:szCs w:val="21"/>
              </w:rPr>
              <w:t>符合</w:t>
            </w:r>
          </w:p>
        </w:tc>
      </w:tr>
    </w:tbl>
    <w:p w14:paraId="773349E9">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rPr>
      </w:pPr>
      <w:bookmarkStart w:id="160" w:name="_Toc459896439"/>
      <w:r>
        <w:rPr>
          <w:rFonts w:hint="eastAsia"/>
        </w:rPr>
        <w:t>评价单元小结：</w:t>
      </w:r>
    </w:p>
    <w:p w14:paraId="17F5F083">
      <w:pPr>
        <w:pStyle w:val="18"/>
        <w:bidi w:val="0"/>
      </w:pPr>
      <w:r>
        <w:rPr>
          <w:rFonts w:hint="eastAsia"/>
        </w:rPr>
        <w:t>对该项目的总平面布置通过检查表的</w:t>
      </w:r>
      <w:r>
        <w:rPr>
          <w:rFonts w:hint="eastAsia"/>
          <w:lang w:val="en-US" w:eastAsia="zh-CN"/>
        </w:rPr>
        <w:t>6</w:t>
      </w:r>
      <w:r>
        <w:rPr>
          <w:rFonts w:hint="eastAsia"/>
        </w:rPr>
        <w:t>项检查中，均符合要求。检查结果表明，海城市荣富耐火材料有限公司镁矿（菱镁石、滑石）露天矿山建设项目总平面布置符合设计要求，能够满足安全生产条件。</w:t>
      </w:r>
    </w:p>
    <w:p w14:paraId="3EBBF456">
      <w:pPr>
        <w:pStyle w:val="25"/>
        <w:bidi w:val="0"/>
        <w:ind w:left="720" w:leftChars="0" w:hanging="720" w:firstLineChars="0"/>
        <w:rPr>
          <w:rFonts w:hint="eastAsia"/>
        </w:rPr>
      </w:pPr>
      <w:bookmarkStart w:id="161" w:name="_Toc11539"/>
      <w:bookmarkStart w:id="162" w:name="_Toc15697"/>
      <w:bookmarkStart w:id="163" w:name="_Toc27123"/>
      <w:bookmarkStart w:id="164" w:name="_Toc8879"/>
      <w:bookmarkStart w:id="165" w:name="_Toc10940"/>
      <w:bookmarkStart w:id="166" w:name="_Toc27932"/>
      <w:bookmarkStart w:id="167" w:name="_Toc2356"/>
      <w:bookmarkStart w:id="168" w:name="_Toc9563"/>
      <w:bookmarkStart w:id="169" w:name="_Toc28267"/>
      <w:bookmarkStart w:id="170" w:name="_Toc9001"/>
      <w:bookmarkStart w:id="171" w:name="_Toc13948"/>
      <w:bookmarkStart w:id="172" w:name="_Toc7410"/>
      <w:bookmarkStart w:id="173" w:name="_Toc13479"/>
      <w:r>
        <w:rPr>
          <w:rFonts w:hint="eastAsia"/>
        </w:rPr>
        <w:t>建（构）筑物防火</w:t>
      </w:r>
      <w:bookmarkEnd w:id="161"/>
      <w:bookmarkEnd w:id="162"/>
      <w:bookmarkEnd w:id="163"/>
      <w:bookmarkEnd w:id="164"/>
      <w:bookmarkEnd w:id="165"/>
      <w:bookmarkEnd w:id="166"/>
      <w:bookmarkEnd w:id="167"/>
      <w:bookmarkEnd w:id="168"/>
      <w:bookmarkEnd w:id="169"/>
      <w:bookmarkEnd w:id="170"/>
      <w:bookmarkEnd w:id="171"/>
      <w:bookmarkEnd w:id="172"/>
      <w:bookmarkEnd w:id="173"/>
    </w:p>
    <w:p w14:paraId="66A7A67D">
      <w:pPr>
        <w:pStyle w:val="18"/>
        <w:bidi w:val="0"/>
      </w:pPr>
      <w:r>
        <w:rPr>
          <w:rFonts w:hint="eastAsia"/>
          <w:lang w:eastAsia="zh-CN"/>
        </w:rPr>
        <w:t>（</w:t>
      </w:r>
      <w:r>
        <w:rPr>
          <w:rFonts w:hint="eastAsia"/>
          <w:lang w:val="en-US" w:eastAsia="zh-CN"/>
        </w:rPr>
        <w:t>1</w:t>
      </w:r>
      <w:r>
        <w:rPr>
          <w:rFonts w:hint="eastAsia"/>
          <w:lang w:eastAsia="zh-CN"/>
        </w:rPr>
        <w:t>）</w:t>
      </w:r>
      <w:r>
        <w:t>建（构）筑物防火符合性评价</w:t>
      </w:r>
    </w:p>
    <w:p w14:paraId="4128597E">
      <w:pPr>
        <w:pStyle w:val="18"/>
        <w:bidi w:val="0"/>
      </w:pPr>
      <w:r>
        <w:t>根据《安全设施</w:t>
      </w:r>
      <w:r>
        <w:rPr>
          <w:rFonts w:hint="eastAsia"/>
        </w:rPr>
        <w:t>设计</w:t>
      </w:r>
      <w:r>
        <w:t>》，采用安全检查表</w:t>
      </w:r>
      <w:r>
        <w:rPr>
          <w:rFonts w:hint="eastAsia"/>
          <w:lang w:val="en-US" w:eastAsia="zh-CN"/>
        </w:rPr>
        <w:t>法，</w:t>
      </w:r>
      <w:r>
        <w:t>对矿山建（构）筑物防火</w:t>
      </w:r>
      <w:r>
        <w:rPr>
          <w:rFonts w:hint="eastAsia"/>
          <w:lang w:eastAsia="zh-CN"/>
        </w:rPr>
        <w:t>，</w:t>
      </w:r>
      <w:r>
        <w:t>进行符合性</w:t>
      </w:r>
      <w:r>
        <w:rPr>
          <w:rFonts w:hint="eastAsia"/>
          <w:lang w:val="en-US" w:eastAsia="zh-CN"/>
        </w:rPr>
        <w:t>安全检查、</w:t>
      </w:r>
      <w:r>
        <w:t>评价</w:t>
      </w:r>
      <w:r>
        <w:rPr>
          <w:rFonts w:hint="eastAsia"/>
          <w:lang w:eastAsia="zh-CN"/>
        </w:rPr>
        <w:t>（</w:t>
      </w:r>
      <w:r>
        <w:rPr>
          <w:rFonts w:hint="eastAsia"/>
          <w:lang w:val="en-US" w:eastAsia="zh-CN"/>
        </w:rPr>
        <w:t>见表3.6-2</w:t>
      </w:r>
      <w:r>
        <w:rPr>
          <w:rFonts w:hint="eastAsia"/>
          <w:lang w:eastAsia="zh-CN"/>
        </w:rPr>
        <w:t>）</w:t>
      </w:r>
      <w:r>
        <w:t>。</w:t>
      </w:r>
    </w:p>
    <w:p w14:paraId="408B9252">
      <w:r>
        <w:br w:type="page"/>
      </w:r>
    </w:p>
    <w:p w14:paraId="38A3BF72">
      <w:pPr>
        <w:pStyle w:val="26"/>
        <w:bidi w:val="0"/>
      </w:pPr>
      <w:r>
        <w:t>表3</w:t>
      </w:r>
      <w:r>
        <w:rPr>
          <w:rFonts w:hint="eastAsia"/>
          <w:lang w:val="en-US" w:eastAsia="zh-CN"/>
        </w:rPr>
        <w:t>.</w:t>
      </w:r>
      <w:r>
        <w:t>6-2安全设施设计提出的措施落实情况检查表</w:t>
      </w:r>
    </w:p>
    <w:tbl>
      <w:tblPr>
        <w:tblStyle w:val="2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82"/>
        <w:gridCol w:w="2854"/>
        <w:gridCol w:w="1224"/>
        <w:gridCol w:w="1256"/>
        <w:gridCol w:w="1799"/>
        <w:gridCol w:w="704"/>
      </w:tblGrid>
      <w:tr w14:paraId="13FC2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0" w:type="pct"/>
            <w:noWrap w:val="0"/>
            <w:vAlign w:val="center"/>
          </w:tcPr>
          <w:p w14:paraId="705CB1C5">
            <w:pPr>
              <w:pStyle w:val="27"/>
              <w:bidi w:val="0"/>
              <w:rPr>
                <w:b/>
                <w:bCs/>
                <w:sz w:val="21"/>
                <w:szCs w:val="21"/>
              </w:rPr>
            </w:pPr>
            <w:r>
              <w:rPr>
                <w:b/>
                <w:bCs/>
                <w:sz w:val="21"/>
                <w:szCs w:val="21"/>
              </w:rPr>
              <w:t>序号</w:t>
            </w:r>
          </w:p>
        </w:tc>
        <w:tc>
          <w:tcPr>
            <w:tcW w:w="1674" w:type="pct"/>
            <w:noWrap w:val="0"/>
            <w:vAlign w:val="center"/>
          </w:tcPr>
          <w:p w14:paraId="329D303B">
            <w:pPr>
              <w:pStyle w:val="27"/>
              <w:bidi w:val="0"/>
              <w:rPr>
                <w:b/>
                <w:bCs/>
                <w:sz w:val="21"/>
                <w:szCs w:val="21"/>
              </w:rPr>
            </w:pPr>
            <w:r>
              <w:rPr>
                <w:b/>
                <w:bCs/>
                <w:sz w:val="21"/>
                <w:szCs w:val="21"/>
              </w:rPr>
              <w:t>检查内容</w:t>
            </w:r>
          </w:p>
        </w:tc>
        <w:tc>
          <w:tcPr>
            <w:tcW w:w="718" w:type="pct"/>
            <w:noWrap w:val="0"/>
            <w:vAlign w:val="center"/>
          </w:tcPr>
          <w:p w14:paraId="7B4A11E8">
            <w:pPr>
              <w:pStyle w:val="27"/>
              <w:bidi w:val="0"/>
              <w:rPr>
                <w:b/>
                <w:bCs/>
                <w:sz w:val="21"/>
                <w:szCs w:val="21"/>
              </w:rPr>
            </w:pPr>
            <w:r>
              <w:rPr>
                <w:b/>
                <w:bCs/>
                <w:sz w:val="21"/>
                <w:szCs w:val="21"/>
              </w:rPr>
              <w:t>检查依据</w:t>
            </w:r>
          </w:p>
        </w:tc>
        <w:tc>
          <w:tcPr>
            <w:tcW w:w="737" w:type="pct"/>
            <w:noWrap w:val="0"/>
            <w:vAlign w:val="center"/>
          </w:tcPr>
          <w:p w14:paraId="761FD6E5">
            <w:pPr>
              <w:pStyle w:val="27"/>
              <w:bidi w:val="0"/>
              <w:rPr>
                <w:b/>
                <w:bCs/>
                <w:sz w:val="21"/>
                <w:szCs w:val="21"/>
              </w:rPr>
            </w:pPr>
            <w:r>
              <w:rPr>
                <w:b/>
                <w:bCs/>
                <w:sz w:val="21"/>
                <w:szCs w:val="21"/>
              </w:rPr>
              <w:t>检查方法</w:t>
            </w:r>
          </w:p>
        </w:tc>
        <w:tc>
          <w:tcPr>
            <w:tcW w:w="1055" w:type="pct"/>
            <w:noWrap w:val="0"/>
            <w:vAlign w:val="center"/>
          </w:tcPr>
          <w:p w14:paraId="6E7C1241">
            <w:pPr>
              <w:pStyle w:val="27"/>
              <w:bidi w:val="0"/>
              <w:rPr>
                <w:b/>
                <w:bCs/>
                <w:sz w:val="21"/>
                <w:szCs w:val="21"/>
              </w:rPr>
            </w:pPr>
            <w:r>
              <w:rPr>
                <w:b/>
                <w:bCs/>
                <w:sz w:val="21"/>
                <w:szCs w:val="21"/>
              </w:rPr>
              <w:t>建设情况</w:t>
            </w:r>
          </w:p>
        </w:tc>
        <w:tc>
          <w:tcPr>
            <w:tcW w:w="413" w:type="pct"/>
            <w:noWrap w:val="0"/>
            <w:vAlign w:val="center"/>
          </w:tcPr>
          <w:p w14:paraId="22DF4051">
            <w:pPr>
              <w:pStyle w:val="27"/>
              <w:bidi w:val="0"/>
              <w:rPr>
                <w:b/>
                <w:bCs/>
                <w:sz w:val="21"/>
                <w:szCs w:val="21"/>
              </w:rPr>
            </w:pPr>
            <w:r>
              <w:rPr>
                <w:b/>
                <w:bCs/>
                <w:sz w:val="21"/>
                <w:szCs w:val="21"/>
              </w:rPr>
              <w:t>检查</w:t>
            </w:r>
          </w:p>
          <w:p w14:paraId="6A5D852E">
            <w:pPr>
              <w:pStyle w:val="27"/>
              <w:bidi w:val="0"/>
              <w:rPr>
                <w:b/>
                <w:bCs/>
                <w:sz w:val="21"/>
                <w:szCs w:val="21"/>
              </w:rPr>
            </w:pPr>
            <w:r>
              <w:rPr>
                <w:b/>
                <w:bCs/>
                <w:sz w:val="21"/>
                <w:szCs w:val="21"/>
              </w:rPr>
              <w:t>结果</w:t>
            </w:r>
          </w:p>
        </w:tc>
      </w:tr>
      <w:tr w14:paraId="1386CA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trPr>
        <w:tc>
          <w:tcPr>
            <w:tcW w:w="400" w:type="pct"/>
            <w:noWrap w:val="0"/>
            <w:vAlign w:val="center"/>
          </w:tcPr>
          <w:p w14:paraId="5C115164">
            <w:pPr>
              <w:pStyle w:val="27"/>
              <w:bidi w:val="0"/>
              <w:rPr>
                <w:sz w:val="21"/>
                <w:szCs w:val="21"/>
              </w:rPr>
            </w:pPr>
            <w:r>
              <w:rPr>
                <w:sz w:val="21"/>
                <w:szCs w:val="21"/>
              </w:rPr>
              <w:t>1</w:t>
            </w:r>
          </w:p>
        </w:tc>
        <w:tc>
          <w:tcPr>
            <w:tcW w:w="1674" w:type="pct"/>
            <w:noWrap w:val="0"/>
            <w:vAlign w:val="center"/>
          </w:tcPr>
          <w:p w14:paraId="2385C6E5">
            <w:pPr>
              <w:pStyle w:val="27"/>
              <w:bidi w:val="0"/>
              <w:rPr>
                <w:rFonts w:hint="eastAsia"/>
                <w:sz w:val="21"/>
                <w:szCs w:val="21"/>
              </w:rPr>
            </w:pPr>
            <w:r>
              <w:rPr>
                <w:sz w:val="21"/>
                <w:szCs w:val="21"/>
              </w:rPr>
              <w:t>工业建筑厂房等，其生产类别为戊类，厂房的耐火等级按二级设计，每个厂房可作为一个防火分区进行设计</w:t>
            </w:r>
            <w:r>
              <w:rPr>
                <w:rFonts w:hint="eastAsia"/>
                <w:sz w:val="21"/>
                <w:szCs w:val="21"/>
              </w:rPr>
              <w:t>。</w:t>
            </w:r>
          </w:p>
        </w:tc>
        <w:tc>
          <w:tcPr>
            <w:tcW w:w="718" w:type="pct"/>
            <w:noWrap w:val="0"/>
            <w:vAlign w:val="center"/>
          </w:tcPr>
          <w:p w14:paraId="61F37C2F">
            <w:pPr>
              <w:pStyle w:val="27"/>
              <w:bidi w:val="0"/>
              <w:rPr>
                <w:sz w:val="21"/>
                <w:szCs w:val="21"/>
              </w:rPr>
            </w:pPr>
            <w:r>
              <w:rPr>
                <w:sz w:val="21"/>
                <w:szCs w:val="21"/>
              </w:rPr>
              <w:t>《安全设施</w:t>
            </w:r>
            <w:r>
              <w:rPr>
                <w:rFonts w:hint="eastAsia"/>
                <w:sz w:val="21"/>
                <w:szCs w:val="21"/>
              </w:rPr>
              <w:t>设计</w:t>
            </w:r>
            <w:r>
              <w:rPr>
                <w:sz w:val="21"/>
                <w:szCs w:val="21"/>
              </w:rPr>
              <w:t>》</w:t>
            </w:r>
          </w:p>
        </w:tc>
        <w:tc>
          <w:tcPr>
            <w:tcW w:w="737" w:type="pct"/>
            <w:noWrap w:val="0"/>
            <w:vAlign w:val="center"/>
          </w:tcPr>
          <w:p w14:paraId="226D6938">
            <w:pPr>
              <w:pStyle w:val="27"/>
              <w:bidi w:val="0"/>
              <w:rPr>
                <w:sz w:val="21"/>
                <w:szCs w:val="21"/>
              </w:rPr>
            </w:pPr>
            <w:r>
              <w:rPr>
                <w:sz w:val="21"/>
                <w:szCs w:val="21"/>
              </w:rPr>
              <w:t>现场检查</w:t>
            </w:r>
          </w:p>
        </w:tc>
        <w:tc>
          <w:tcPr>
            <w:tcW w:w="1055" w:type="pct"/>
            <w:noWrap w:val="0"/>
            <w:vAlign w:val="center"/>
          </w:tcPr>
          <w:p w14:paraId="23693B53">
            <w:pPr>
              <w:pStyle w:val="27"/>
              <w:bidi w:val="0"/>
              <w:rPr>
                <w:sz w:val="21"/>
                <w:szCs w:val="21"/>
              </w:rPr>
            </w:pPr>
            <w:r>
              <w:rPr>
                <w:sz w:val="21"/>
                <w:szCs w:val="21"/>
              </w:rPr>
              <w:t>矿山电气室、破碎站均设置了消防灭火器，并有道路联通。</w:t>
            </w:r>
          </w:p>
        </w:tc>
        <w:tc>
          <w:tcPr>
            <w:tcW w:w="413" w:type="pct"/>
            <w:noWrap w:val="0"/>
            <w:vAlign w:val="center"/>
          </w:tcPr>
          <w:p w14:paraId="08807350">
            <w:pPr>
              <w:pStyle w:val="27"/>
              <w:bidi w:val="0"/>
              <w:rPr>
                <w:sz w:val="21"/>
                <w:szCs w:val="21"/>
              </w:rPr>
            </w:pPr>
            <w:r>
              <w:rPr>
                <w:sz w:val="21"/>
                <w:szCs w:val="21"/>
              </w:rPr>
              <w:t>符合</w:t>
            </w:r>
          </w:p>
        </w:tc>
      </w:tr>
      <w:tr w14:paraId="21661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trPr>
        <w:tc>
          <w:tcPr>
            <w:tcW w:w="400" w:type="pct"/>
            <w:noWrap w:val="0"/>
            <w:vAlign w:val="center"/>
          </w:tcPr>
          <w:p w14:paraId="3CEF057A">
            <w:pPr>
              <w:pStyle w:val="27"/>
              <w:bidi w:val="0"/>
              <w:rPr>
                <w:sz w:val="21"/>
                <w:szCs w:val="21"/>
              </w:rPr>
            </w:pPr>
            <w:r>
              <w:rPr>
                <w:sz w:val="21"/>
                <w:szCs w:val="21"/>
              </w:rPr>
              <w:t>2</w:t>
            </w:r>
          </w:p>
        </w:tc>
        <w:tc>
          <w:tcPr>
            <w:tcW w:w="1674" w:type="pct"/>
            <w:noWrap w:val="0"/>
            <w:vAlign w:val="center"/>
          </w:tcPr>
          <w:p w14:paraId="296F8140">
            <w:pPr>
              <w:pStyle w:val="27"/>
              <w:bidi w:val="0"/>
              <w:rPr>
                <w:rFonts w:hint="eastAsia"/>
                <w:sz w:val="21"/>
                <w:szCs w:val="21"/>
              </w:rPr>
            </w:pPr>
            <w:r>
              <w:rPr>
                <w:sz w:val="21"/>
                <w:szCs w:val="21"/>
              </w:rPr>
              <w:t>工作场地定点放置灭火装置</w:t>
            </w:r>
            <w:r>
              <w:rPr>
                <w:rFonts w:hint="eastAsia"/>
                <w:sz w:val="21"/>
                <w:szCs w:val="21"/>
              </w:rPr>
              <w:t>。</w:t>
            </w:r>
          </w:p>
        </w:tc>
        <w:tc>
          <w:tcPr>
            <w:tcW w:w="718" w:type="pct"/>
            <w:noWrap w:val="0"/>
            <w:vAlign w:val="center"/>
          </w:tcPr>
          <w:p w14:paraId="03044D38">
            <w:pPr>
              <w:pStyle w:val="27"/>
              <w:bidi w:val="0"/>
              <w:rPr>
                <w:sz w:val="21"/>
                <w:szCs w:val="21"/>
              </w:rPr>
            </w:pPr>
            <w:r>
              <w:rPr>
                <w:sz w:val="21"/>
                <w:szCs w:val="21"/>
              </w:rPr>
              <w:t>《安全设施</w:t>
            </w:r>
            <w:r>
              <w:rPr>
                <w:rFonts w:hint="eastAsia"/>
                <w:sz w:val="21"/>
                <w:szCs w:val="21"/>
              </w:rPr>
              <w:t>设计</w:t>
            </w:r>
            <w:r>
              <w:rPr>
                <w:sz w:val="21"/>
                <w:szCs w:val="21"/>
              </w:rPr>
              <w:t>》</w:t>
            </w:r>
          </w:p>
        </w:tc>
        <w:tc>
          <w:tcPr>
            <w:tcW w:w="737" w:type="pct"/>
            <w:noWrap w:val="0"/>
            <w:vAlign w:val="center"/>
          </w:tcPr>
          <w:p w14:paraId="74E58F14">
            <w:pPr>
              <w:pStyle w:val="27"/>
              <w:bidi w:val="0"/>
              <w:rPr>
                <w:sz w:val="21"/>
                <w:szCs w:val="21"/>
              </w:rPr>
            </w:pPr>
            <w:r>
              <w:rPr>
                <w:sz w:val="21"/>
                <w:szCs w:val="21"/>
              </w:rPr>
              <w:t>现场检查</w:t>
            </w:r>
          </w:p>
        </w:tc>
        <w:tc>
          <w:tcPr>
            <w:tcW w:w="1055" w:type="pct"/>
            <w:noWrap w:val="0"/>
            <w:vAlign w:val="center"/>
          </w:tcPr>
          <w:p w14:paraId="15E1350A">
            <w:pPr>
              <w:pStyle w:val="27"/>
              <w:bidi w:val="0"/>
              <w:rPr>
                <w:sz w:val="21"/>
                <w:szCs w:val="21"/>
              </w:rPr>
            </w:pPr>
            <w:r>
              <w:rPr>
                <w:sz w:val="21"/>
                <w:szCs w:val="21"/>
              </w:rPr>
              <w:t>配备了消防灭火器，并满足要求。</w:t>
            </w:r>
          </w:p>
        </w:tc>
        <w:tc>
          <w:tcPr>
            <w:tcW w:w="413" w:type="pct"/>
            <w:noWrap w:val="0"/>
            <w:vAlign w:val="center"/>
          </w:tcPr>
          <w:p w14:paraId="2760D7DC">
            <w:pPr>
              <w:pStyle w:val="27"/>
              <w:bidi w:val="0"/>
              <w:rPr>
                <w:sz w:val="21"/>
                <w:szCs w:val="21"/>
              </w:rPr>
            </w:pPr>
            <w:r>
              <w:rPr>
                <w:sz w:val="21"/>
                <w:szCs w:val="21"/>
              </w:rPr>
              <w:t>符合</w:t>
            </w:r>
          </w:p>
        </w:tc>
      </w:tr>
    </w:tbl>
    <w:p w14:paraId="78948D6C">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rPr>
      </w:pPr>
      <w:r>
        <w:rPr>
          <w:rFonts w:hint="eastAsia"/>
        </w:rPr>
        <w:t>评价单元小结：</w:t>
      </w:r>
    </w:p>
    <w:p w14:paraId="0D0831BC">
      <w:pPr>
        <w:pStyle w:val="18"/>
        <w:bidi w:val="0"/>
      </w:pPr>
      <w:r>
        <w:rPr>
          <w:rFonts w:hint="eastAsia"/>
        </w:rPr>
        <w:t>通过对矿山防灭火单元用安全检查表法进行了</w:t>
      </w:r>
      <w:r>
        <w:rPr>
          <w:rFonts w:hint="eastAsia"/>
          <w:lang w:val="en-US" w:eastAsia="zh-CN"/>
        </w:rPr>
        <w:t>2</w:t>
      </w:r>
      <w:r>
        <w:rPr>
          <w:rFonts w:hint="eastAsia"/>
        </w:rPr>
        <w:t>项检查，均符合安全要求。检查结果表明，海城市荣富耐火材料有限公司镁矿（菱镁石、滑石）露天矿山建设项目防灭火单元符合设计要求，能够保证矿山安全生产条件。</w:t>
      </w:r>
    </w:p>
    <w:bookmarkEnd w:id="160"/>
    <w:p w14:paraId="7555A702">
      <w:pPr>
        <w:pStyle w:val="24"/>
        <w:bidi w:val="0"/>
        <w:ind w:left="0" w:leftChars="0" w:firstLine="0" w:firstLineChars="0"/>
      </w:pPr>
      <w:bookmarkStart w:id="174" w:name="_Toc29566"/>
      <w:bookmarkStart w:id="175" w:name="_Toc4647"/>
      <w:bookmarkStart w:id="176" w:name="_Toc30352"/>
      <w:bookmarkStart w:id="177" w:name="_Toc8632"/>
      <w:bookmarkStart w:id="178" w:name="_Toc30983"/>
      <w:bookmarkStart w:id="179" w:name="_Toc16449"/>
      <w:bookmarkStart w:id="180" w:name="_Toc13974"/>
      <w:bookmarkStart w:id="181" w:name="_Toc26074"/>
      <w:bookmarkStart w:id="182" w:name="_Toc2514"/>
      <w:bookmarkStart w:id="183" w:name="_Toc26197"/>
      <w:bookmarkStart w:id="184" w:name="_Toc20066"/>
      <w:bookmarkStart w:id="185" w:name="_Toc13653"/>
      <w:bookmarkStart w:id="186" w:name="_Toc16799"/>
      <w:bookmarkStart w:id="187" w:name="_Toc6504"/>
      <w:bookmarkStart w:id="188" w:name="_Toc22137"/>
      <w:bookmarkStart w:id="189" w:name="_Toc11478"/>
      <w:bookmarkStart w:id="190" w:name="_Toc14892"/>
      <w:bookmarkStart w:id="191" w:name="_Toc23940"/>
      <w:bookmarkStart w:id="192" w:name="_Toc11374"/>
      <w:bookmarkStart w:id="193" w:name="_Toc8674"/>
      <w:r>
        <w:t>个人安全防护</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p>
    <w:p w14:paraId="5877EE17">
      <w:pPr>
        <w:pStyle w:val="25"/>
        <w:bidi w:val="0"/>
        <w:ind w:left="720" w:leftChars="0" w:hanging="720" w:firstLineChars="0"/>
        <w:rPr>
          <w:rFonts w:hint="eastAsia"/>
        </w:rPr>
      </w:pPr>
      <w:bookmarkStart w:id="194" w:name="_Toc21782"/>
      <w:bookmarkStart w:id="195" w:name="_Toc17191"/>
      <w:bookmarkStart w:id="196" w:name="_Toc26974"/>
      <w:bookmarkStart w:id="197" w:name="_Toc1091"/>
      <w:bookmarkStart w:id="198" w:name="_Toc26750"/>
      <w:bookmarkStart w:id="199" w:name="_Toc483865748"/>
      <w:bookmarkStart w:id="200" w:name="_Toc22518"/>
      <w:bookmarkStart w:id="201" w:name="_Toc10284"/>
      <w:bookmarkStart w:id="202" w:name="_Toc25650"/>
      <w:bookmarkStart w:id="203" w:name="_Toc21098"/>
      <w:bookmarkStart w:id="204" w:name="_Toc19746"/>
      <w:bookmarkStart w:id="205" w:name="_Toc17949"/>
      <w:bookmarkStart w:id="206" w:name="_Toc8385"/>
      <w:bookmarkStart w:id="207" w:name="_Toc476244180"/>
      <w:r>
        <w:rPr>
          <w:rFonts w:hint="eastAsia"/>
        </w:rPr>
        <w:t>个人安全防护符合性安全检查表</w:t>
      </w:r>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51D11E2B">
      <w:pPr>
        <w:pStyle w:val="18"/>
        <w:bidi w:val="0"/>
      </w:pPr>
      <w:r>
        <w:t>根据《安全设施</w:t>
      </w:r>
      <w:r>
        <w:rPr>
          <w:rFonts w:hint="eastAsia"/>
        </w:rPr>
        <w:t>设计</w:t>
      </w:r>
      <w:r>
        <w:t>》，</w:t>
      </w:r>
      <w:r>
        <w:rPr>
          <w:rFonts w:hint="eastAsia"/>
          <w:lang w:val="en-US" w:eastAsia="zh-CN"/>
        </w:rPr>
        <w:t>评价组</w:t>
      </w:r>
      <w:r>
        <w:t>采用安全检查表</w:t>
      </w:r>
      <w:r>
        <w:rPr>
          <w:rFonts w:hint="eastAsia"/>
          <w:lang w:val="en-US" w:eastAsia="zh-CN"/>
        </w:rPr>
        <w:t>法，</w:t>
      </w:r>
      <w:r>
        <w:t>对</w:t>
      </w:r>
      <w:r>
        <w:rPr>
          <w:rFonts w:hint="eastAsia"/>
          <w:lang w:val="en-US" w:eastAsia="zh-CN"/>
        </w:rPr>
        <w:t>该项目</w:t>
      </w:r>
      <w:r>
        <w:t>个人防护</w:t>
      </w:r>
      <w:r>
        <w:rPr>
          <w:rFonts w:hint="eastAsia"/>
          <w:lang w:val="en-US" w:eastAsia="zh-CN"/>
        </w:rPr>
        <w:t>设施，</w:t>
      </w:r>
      <w:r>
        <w:t>进行符合性</w:t>
      </w:r>
      <w:r>
        <w:rPr>
          <w:rFonts w:hint="eastAsia"/>
          <w:lang w:val="en-US" w:eastAsia="zh-CN"/>
        </w:rPr>
        <w:t>检查、</w:t>
      </w:r>
      <w:r>
        <w:t>评价</w:t>
      </w:r>
      <w:r>
        <w:rPr>
          <w:rFonts w:hint="eastAsia"/>
          <w:lang w:eastAsia="zh-CN"/>
        </w:rPr>
        <w:t>（</w:t>
      </w:r>
      <w:r>
        <w:rPr>
          <w:rFonts w:hint="eastAsia"/>
          <w:lang w:val="en-US" w:eastAsia="zh-CN"/>
        </w:rPr>
        <w:t>见表3.7-1</w:t>
      </w:r>
      <w:r>
        <w:rPr>
          <w:rFonts w:hint="eastAsia"/>
          <w:lang w:eastAsia="zh-CN"/>
        </w:rPr>
        <w:t>）</w:t>
      </w:r>
      <w:r>
        <w:t>。</w:t>
      </w:r>
    </w:p>
    <w:p w14:paraId="00A3BD6B">
      <w:pPr>
        <w:pStyle w:val="26"/>
        <w:bidi w:val="0"/>
      </w:pPr>
      <w:r>
        <w:t>表3</w:t>
      </w:r>
      <w:r>
        <w:rPr>
          <w:rFonts w:hint="eastAsia"/>
          <w:lang w:val="en-US" w:eastAsia="zh-CN"/>
        </w:rPr>
        <w:t>.</w:t>
      </w:r>
      <w:r>
        <w:t>7-1</w:t>
      </w:r>
      <w:r>
        <w:rPr>
          <w:rFonts w:hint="eastAsia"/>
          <w:lang w:val="en-US" w:eastAsia="zh-CN"/>
        </w:rPr>
        <w:t xml:space="preserve">  </w:t>
      </w:r>
      <w:r>
        <w:t>个人防护符合性安全检查表</w:t>
      </w:r>
    </w:p>
    <w:tbl>
      <w:tblPr>
        <w:tblStyle w:val="2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4"/>
        <w:gridCol w:w="2530"/>
        <w:gridCol w:w="1026"/>
        <w:gridCol w:w="1094"/>
        <w:gridCol w:w="2622"/>
        <w:gridCol w:w="683"/>
      </w:tblGrid>
      <w:tr w14:paraId="09A98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trPr>
        <w:tc>
          <w:tcPr>
            <w:tcW w:w="331" w:type="pct"/>
            <w:noWrap w:val="0"/>
            <w:vAlign w:val="center"/>
          </w:tcPr>
          <w:p w14:paraId="00B404CC">
            <w:pPr>
              <w:pStyle w:val="27"/>
              <w:bidi w:val="0"/>
              <w:rPr>
                <w:b/>
                <w:bCs/>
                <w:sz w:val="21"/>
                <w:szCs w:val="21"/>
              </w:rPr>
            </w:pPr>
            <w:r>
              <w:rPr>
                <w:b/>
                <w:bCs/>
                <w:sz w:val="21"/>
                <w:szCs w:val="21"/>
              </w:rPr>
              <w:t>序号</w:t>
            </w:r>
          </w:p>
        </w:tc>
        <w:tc>
          <w:tcPr>
            <w:tcW w:w="1484" w:type="pct"/>
            <w:noWrap w:val="0"/>
            <w:vAlign w:val="center"/>
          </w:tcPr>
          <w:p w14:paraId="7F8B6555">
            <w:pPr>
              <w:pStyle w:val="27"/>
              <w:bidi w:val="0"/>
              <w:rPr>
                <w:b/>
                <w:bCs/>
                <w:sz w:val="21"/>
                <w:szCs w:val="21"/>
              </w:rPr>
            </w:pPr>
            <w:r>
              <w:rPr>
                <w:b/>
                <w:bCs/>
                <w:sz w:val="21"/>
                <w:szCs w:val="21"/>
              </w:rPr>
              <w:t>检查内容</w:t>
            </w:r>
          </w:p>
        </w:tc>
        <w:tc>
          <w:tcPr>
            <w:tcW w:w="602" w:type="pct"/>
            <w:noWrap w:val="0"/>
            <w:vAlign w:val="center"/>
          </w:tcPr>
          <w:p w14:paraId="637EBC8F">
            <w:pPr>
              <w:pStyle w:val="27"/>
              <w:bidi w:val="0"/>
              <w:rPr>
                <w:b/>
                <w:bCs/>
                <w:sz w:val="21"/>
                <w:szCs w:val="21"/>
              </w:rPr>
            </w:pPr>
            <w:r>
              <w:rPr>
                <w:b/>
                <w:bCs/>
                <w:sz w:val="21"/>
                <w:szCs w:val="21"/>
              </w:rPr>
              <w:t>检查依据</w:t>
            </w:r>
          </w:p>
        </w:tc>
        <w:tc>
          <w:tcPr>
            <w:tcW w:w="642" w:type="pct"/>
            <w:noWrap w:val="0"/>
            <w:vAlign w:val="center"/>
          </w:tcPr>
          <w:p w14:paraId="269536A5">
            <w:pPr>
              <w:pStyle w:val="27"/>
              <w:bidi w:val="0"/>
              <w:rPr>
                <w:b/>
                <w:bCs/>
                <w:sz w:val="21"/>
                <w:szCs w:val="21"/>
              </w:rPr>
            </w:pPr>
            <w:r>
              <w:rPr>
                <w:b/>
                <w:bCs/>
                <w:sz w:val="21"/>
                <w:szCs w:val="21"/>
              </w:rPr>
              <w:t>检查方法</w:t>
            </w:r>
          </w:p>
        </w:tc>
        <w:tc>
          <w:tcPr>
            <w:tcW w:w="1538" w:type="pct"/>
            <w:noWrap w:val="0"/>
            <w:vAlign w:val="center"/>
          </w:tcPr>
          <w:p w14:paraId="717404E4">
            <w:pPr>
              <w:pStyle w:val="27"/>
              <w:bidi w:val="0"/>
              <w:rPr>
                <w:b/>
                <w:bCs/>
                <w:sz w:val="21"/>
                <w:szCs w:val="21"/>
              </w:rPr>
            </w:pPr>
            <w:r>
              <w:rPr>
                <w:b/>
                <w:bCs/>
                <w:sz w:val="21"/>
                <w:szCs w:val="21"/>
              </w:rPr>
              <w:t>建设情况</w:t>
            </w:r>
          </w:p>
        </w:tc>
        <w:tc>
          <w:tcPr>
            <w:tcW w:w="400" w:type="pct"/>
            <w:noWrap w:val="0"/>
            <w:vAlign w:val="center"/>
          </w:tcPr>
          <w:p w14:paraId="2E649F37">
            <w:pPr>
              <w:pStyle w:val="27"/>
              <w:bidi w:val="0"/>
              <w:rPr>
                <w:b/>
                <w:bCs/>
                <w:sz w:val="21"/>
                <w:szCs w:val="21"/>
              </w:rPr>
            </w:pPr>
            <w:r>
              <w:rPr>
                <w:b/>
                <w:bCs/>
                <w:sz w:val="21"/>
                <w:szCs w:val="21"/>
              </w:rPr>
              <w:t>检查</w:t>
            </w:r>
          </w:p>
          <w:p w14:paraId="5867C25B">
            <w:pPr>
              <w:pStyle w:val="27"/>
              <w:bidi w:val="0"/>
              <w:rPr>
                <w:b/>
                <w:bCs/>
                <w:sz w:val="21"/>
                <w:szCs w:val="21"/>
              </w:rPr>
            </w:pPr>
            <w:r>
              <w:rPr>
                <w:b/>
                <w:bCs/>
                <w:sz w:val="21"/>
                <w:szCs w:val="21"/>
              </w:rPr>
              <w:t>结果</w:t>
            </w:r>
          </w:p>
        </w:tc>
      </w:tr>
      <w:tr w14:paraId="73504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 w:type="pct"/>
            <w:noWrap w:val="0"/>
            <w:vAlign w:val="center"/>
          </w:tcPr>
          <w:p w14:paraId="7FA9D846">
            <w:pPr>
              <w:pStyle w:val="27"/>
              <w:bidi w:val="0"/>
              <w:rPr>
                <w:sz w:val="21"/>
                <w:szCs w:val="21"/>
              </w:rPr>
            </w:pPr>
            <w:r>
              <w:rPr>
                <w:sz w:val="21"/>
                <w:szCs w:val="21"/>
              </w:rPr>
              <w:t>1</w:t>
            </w:r>
          </w:p>
        </w:tc>
        <w:tc>
          <w:tcPr>
            <w:tcW w:w="1484" w:type="pct"/>
            <w:noWrap w:val="0"/>
            <w:vAlign w:val="center"/>
          </w:tcPr>
          <w:p w14:paraId="5CD9125B">
            <w:pPr>
              <w:pStyle w:val="27"/>
              <w:bidi w:val="0"/>
              <w:rPr>
                <w:sz w:val="21"/>
                <w:szCs w:val="21"/>
                <w:lang w:val="zh-CN"/>
              </w:rPr>
            </w:pPr>
            <w:r>
              <w:rPr>
                <w:sz w:val="21"/>
                <w:szCs w:val="21"/>
              </w:rPr>
              <w:t>矿山企业是否为从业人员提供符合国家标准或者行业标准的劳动防护用品，并监督、教育从业人员按照使用规则佩戴、使用。</w:t>
            </w:r>
          </w:p>
        </w:tc>
        <w:tc>
          <w:tcPr>
            <w:tcW w:w="602" w:type="pct"/>
            <w:noWrap w:val="0"/>
            <w:vAlign w:val="center"/>
          </w:tcPr>
          <w:p w14:paraId="64F23BAE">
            <w:pPr>
              <w:pStyle w:val="27"/>
              <w:bidi w:val="0"/>
              <w:rPr>
                <w:sz w:val="21"/>
                <w:szCs w:val="21"/>
              </w:rPr>
            </w:pPr>
            <w:r>
              <w:rPr>
                <w:sz w:val="21"/>
                <w:szCs w:val="21"/>
              </w:rPr>
              <w:t>《安全设施</w:t>
            </w:r>
            <w:r>
              <w:rPr>
                <w:rFonts w:hint="eastAsia"/>
                <w:sz w:val="21"/>
                <w:szCs w:val="21"/>
              </w:rPr>
              <w:t>设计</w:t>
            </w:r>
            <w:r>
              <w:rPr>
                <w:sz w:val="21"/>
                <w:szCs w:val="21"/>
              </w:rPr>
              <w:t>》</w:t>
            </w:r>
          </w:p>
        </w:tc>
        <w:tc>
          <w:tcPr>
            <w:tcW w:w="642" w:type="pct"/>
            <w:noWrap w:val="0"/>
            <w:vAlign w:val="center"/>
          </w:tcPr>
          <w:p w14:paraId="10607817">
            <w:pPr>
              <w:pStyle w:val="27"/>
              <w:bidi w:val="0"/>
              <w:rPr>
                <w:sz w:val="21"/>
                <w:szCs w:val="21"/>
              </w:rPr>
            </w:pPr>
            <w:r>
              <w:rPr>
                <w:sz w:val="21"/>
                <w:szCs w:val="21"/>
              </w:rPr>
              <w:t>查阅资料</w:t>
            </w:r>
          </w:p>
        </w:tc>
        <w:tc>
          <w:tcPr>
            <w:tcW w:w="1538" w:type="pct"/>
            <w:noWrap w:val="0"/>
            <w:vAlign w:val="center"/>
          </w:tcPr>
          <w:p w14:paraId="780EB23F">
            <w:pPr>
              <w:pStyle w:val="27"/>
              <w:bidi w:val="0"/>
              <w:rPr>
                <w:sz w:val="21"/>
                <w:szCs w:val="21"/>
              </w:rPr>
            </w:pPr>
            <w:r>
              <w:rPr>
                <w:sz w:val="21"/>
                <w:szCs w:val="21"/>
              </w:rPr>
              <w:t>给职工定期发放劳动防护用品</w:t>
            </w:r>
            <w:r>
              <w:rPr>
                <w:rFonts w:hint="eastAsia"/>
                <w:sz w:val="21"/>
                <w:szCs w:val="21"/>
              </w:rPr>
              <w:t>，并严格监督其劳动保护用品的使用</w:t>
            </w:r>
            <w:r>
              <w:rPr>
                <w:sz w:val="21"/>
                <w:szCs w:val="21"/>
              </w:rPr>
              <w:t>。</w:t>
            </w:r>
          </w:p>
        </w:tc>
        <w:tc>
          <w:tcPr>
            <w:tcW w:w="400" w:type="pct"/>
            <w:noWrap w:val="0"/>
            <w:vAlign w:val="center"/>
          </w:tcPr>
          <w:p w14:paraId="48374AA2">
            <w:pPr>
              <w:pStyle w:val="27"/>
              <w:bidi w:val="0"/>
              <w:rPr>
                <w:sz w:val="21"/>
                <w:szCs w:val="21"/>
              </w:rPr>
            </w:pPr>
            <w:r>
              <w:rPr>
                <w:sz w:val="21"/>
                <w:szCs w:val="21"/>
              </w:rPr>
              <w:t>符合</w:t>
            </w:r>
          </w:p>
        </w:tc>
      </w:tr>
      <w:tr w14:paraId="6051F8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9" w:hRule="atLeast"/>
        </w:trPr>
        <w:tc>
          <w:tcPr>
            <w:tcW w:w="331" w:type="pct"/>
            <w:noWrap w:val="0"/>
            <w:vAlign w:val="center"/>
          </w:tcPr>
          <w:p w14:paraId="25A6ED2B">
            <w:pPr>
              <w:pStyle w:val="27"/>
              <w:bidi w:val="0"/>
              <w:rPr>
                <w:sz w:val="21"/>
                <w:szCs w:val="21"/>
              </w:rPr>
            </w:pPr>
            <w:r>
              <w:rPr>
                <w:sz w:val="21"/>
                <w:szCs w:val="21"/>
              </w:rPr>
              <w:t>2</w:t>
            </w:r>
          </w:p>
        </w:tc>
        <w:tc>
          <w:tcPr>
            <w:tcW w:w="1484" w:type="pct"/>
            <w:noWrap w:val="0"/>
            <w:vAlign w:val="center"/>
          </w:tcPr>
          <w:p w14:paraId="607E95EE">
            <w:pPr>
              <w:pStyle w:val="27"/>
              <w:bidi w:val="0"/>
              <w:rPr>
                <w:sz w:val="21"/>
                <w:szCs w:val="21"/>
                <w:lang w:val="zh-CN"/>
              </w:rPr>
            </w:pPr>
            <w:r>
              <w:rPr>
                <w:sz w:val="21"/>
                <w:szCs w:val="21"/>
                <w:lang w:val="zh-CN"/>
              </w:rPr>
              <w:t>矿山应当安排用于配备劳动防护用品的专项经费。</w:t>
            </w:r>
          </w:p>
        </w:tc>
        <w:tc>
          <w:tcPr>
            <w:tcW w:w="602" w:type="pct"/>
            <w:noWrap w:val="0"/>
            <w:vAlign w:val="center"/>
          </w:tcPr>
          <w:p w14:paraId="5C8C6793">
            <w:pPr>
              <w:pStyle w:val="27"/>
              <w:bidi w:val="0"/>
              <w:rPr>
                <w:sz w:val="21"/>
                <w:szCs w:val="21"/>
              </w:rPr>
            </w:pPr>
            <w:r>
              <w:rPr>
                <w:sz w:val="21"/>
                <w:szCs w:val="21"/>
              </w:rPr>
              <w:t>《安全设施</w:t>
            </w:r>
            <w:r>
              <w:rPr>
                <w:rFonts w:hint="eastAsia"/>
                <w:sz w:val="21"/>
                <w:szCs w:val="21"/>
              </w:rPr>
              <w:t>设计</w:t>
            </w:r>
            <w:r>
              <w:rPr>
                <w:sz w:val="21"/>
                <w:szCs w:val="21"/>
              </w:rPr>
              <w:t>》</w:t>
            </w:r>
          </w:p>
        </w:tc>
        <w:tc>
          <w:tcPr>
            <w:tcW w:w="642" w:type="pct"/>
            <w:noWrap w:val="0"/>
            <w:vAlign w:val="center"/>
          </w:tcPr>
          <w:p w14:paraId="20A389AE">
            <w:pPr>
              <w:pStyle w:val="27"/>
              <w:bidi w:val="0"/>
              <w:rPr>
                <w:sz w:val="21"/>
                <w:szCs w:val="21"/>
              </w:rPr>
            </w:pPr>
            <w:r>
              <w:rPr>
                <w:sz w:val="21"/>
                <w:szCs w:val="21"/>
              </w:rPr>
              <w:t>查阅资料</w:t>
            </w:r>
          </w:p>
        </w:tc>
        <w:tc>
          <w:tcPr>
            <w:tcW w:w="1538" w:type="pct"/>
            <w:noWrap w:val="0"/>
            <w:vAlign w:val="center"/>
          </w:tcPr>
          <w:p w14:paraId="0DACFE38">
            <w:pPr>
              <w:pStyle w:val="27"/>
              <w:bidi w:val="0"/>
              <w:rPr>
                <w:sz w:val="21"/>
                <w:szCs w:val="21"/>
              </w:rPr>
            </w:pPr>
            <w:r>
              <w:rPr>
                <w:sz w:val="21"/>
                <w:szCs w:val="21"/>
              </w:rPr>
              <w:t>按要求提取安全生产费用用于购买劳动防护用品</w:t>
            </w:r>
            <w:r>
              <w:rPr>
                <w:rFonts w:hint="eastAsia"/>
                <w:sz w:val="21"/>
                <w:szCs w:val="21"/>
              </w:rPr>
              <w:t>等</w:t>
            </w:r>
            <w:r>
              <w:rPr>
                <w:sz w:val="21"/>
                <w:szCs w:val="21"/>
              </w:rPr>
              <w:t>。</w:t>
            </w:r>
          </w:p>
        </w:tc>
        <w:tc>
          <w:tcPr>
            <w:tcW w:w="400" w:type="pct"/>
            <w:noWrap w:val="0"/>
            <w:vAlign w:val="center"/>
          </w:tcPr>
          <w:p w14:paraId="4E6F13EA">
            <w:pPr>
              <w:pStyle w:val="27"/>
              <w:bidi w:val="0"/>
              <w:rPr>
                <w:sz w:val="21"/>
                <w:szCs w:val="21"/>
              </w:rPr>
            </w:pPr>
            <w:r>
              <w:rPr>
                <w:sz w:val="21"/>
                <w:szCs w:val="21"/>
              </w:rPr>
              <w:t>符合</w:t>
            </w:r>
          </w:p>
        </w:tc>
      </w:tr>
      <w:tr w14:paraId="6C4D6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2" w:hRule="atLeast"/>
        </w:trPr>
        <w:tc>
          <w:tcPr>
            <w:tcW w:w="331" w:type="pct"/>
            <w:noWrap w:val="0"/>
            <w:vAlign w:val="center"/>
          </w:tcPr>
          <w:p w14:paraId="01A48513">
            <w:pPr>
              <w:pStyle w:val="27"/>
              <w:bidi w:val="0"/>
              <w:rPr>
                <w:sz w:val="21"/>
                <w:szCs w:val="21"/>
              </w:rPr>
            </w:pPr>
            <w:r>
              <w:rPr>
                <w:sz w:val="21"/>
                <w:szCs w:val="21"/>
              </w:rPr>
              <w:t>3</w:t>
            </w:r>
          </w:p>
        </w:tc>
        <w:tc>
          <w:tcPr>
            <w:tcW w:w="1484" w:type="pct"/>
            <w:noWrap w:val="0"/>
            <w:vAlign w:val="center"/>
          </w:tcPr>
          <w:p w14:paraId="43269C7C">
            <w:pPr>
              <w:pStyle w:val="27"/>
              <w:bidi w:val="0"/>
              <w:rPr>
                <w:sz w:val="21"/>
                <w:szCs w:val="21"/>
                <w:lang w:val="zh-CN"/>
              </w:rPr>
            </w:pPr>
            <w:r>
              <w:rPr>
                <w:sz w:val="21"/>
                <w:szCs w:val="21"/>
                <w:lang w:val="zh-CN"/>
              </w:rPr>
              <w:t>矿山不得以货币或者其他物品替代应当按规定配备的劳动防护用品。</w:t>
            </w:r>
          </w:p>
        </w:tc>
        <w:tc>
          <w:tcPr>
            <w:tcW w:w="602" w:type="pct"/>
            <w:noWrap w:val="0"/>
            <w:vAlign w:val="center"/>
          </w:tcPr>
          <w:p w14:paraId="77CEB9D7">
            <w:pPr>
              <w:pStyle w:val="27"/>
              <w:bidi w:val="0"/>
              <w:rPr>
                <w:sz w:val="21"/>
                <w:szCs w:val="21"/>
              </w:rPr>
            </w:pPr>
            <w:r>
              <w:rPr>
                <w:sz w:val="21"/>
                <w:szCs w:val="21"/>
              </w:rPr>
              <w:t>《安全设施</w:t>
            </w:r>
            <w:r>
              <w:rPr>
                <w:rFonts w:hint="eastAsia"/>
                <w:sz w:val="21"/>
                <w:szCs w:val="21"/>
              </w:rPr>
              <w:t>设计</w:t>
            </w:r>
            <w:r>
              <w:rPr>
                <w:sz w:val="21"/>
                <w:szCs w:val="21"/>
              </w:rPr>
              <w:t>》</w:t>
            </w:r>
          </w:p>
        </w:tc>
        <w:tc>
          <w:tcPr>
            <w:tcW w:w="642" w:type="pct"/>
            <w:noWrap w:val="0"/>
            <w:vAlign w:val="center"/>
          </w:tcPr>
          <w:p w14:paraId="6BC79A3C">
            <w:pPr>
              <w:pStyle w:val="27"/>
              <w:bidi w:val="0"/>
              <w:rPr>
                <w:sz w:val="21"/>
                <w:szCs w:val="21"/>
              </w:rPr>
            </w:pPr>
            <w:r>
              <w:rPr>
                <w:sz w:val="21"/>
                <w:szCs w:val="21"/>
              </w:rPr>
              <w:t>查阅资料</w:t>
            </w:r>
          </w:p>
        </w:tc>
        <w:tc>
          <w:tcPr>
            <w:tcW w:w="1538" w:type="pct"/>
            <w:noWrap w:val="0"/>
            <w:vAlign w:val="center"/>
          </w:tcPr>
          <w:p w14:paraId="6ECC1E70">
            <w:pPr>
              <w:pStyle w:val="27"/>
              <w:bidi w:val="0"/>
              <w:rPr>
                <w:rFonts w:hint="eastAsia"/>
                <w:sz w:val="21"/>
                <w:szCs w:val="21"/>
              </w:rPr>
            </w:pPr>
            <w:r>
              <w:rPr>
                <w:rFonts w:hint="eastAsia"/>
                <w:sz w:val="21"/>
                <w:szCs w:val="21"/>
              </w:rPr>
              <w:t>劳动用品发放均有发放表。</w:t>
            </w:r>
          </w:p>
        </w:tc>
        <w:tc>
          <w:tcPr>
            <w:tcW w:w="400" w:type="pct"/>
            <w:noWrap w:val="0"/>
            <w:vAlign w:val="center"/>
          </w:tcPr>
          <w:p w14:paraId="6A8359B8">
            <w:pPr>
              <w:pStyle w:val="27"/>
              <w:bidi w:val="0"/>
              <w:rPr>
                <w:sz w:val="21"/>
                <w:szCs w:val="21"/>
              </w:rPr>
            </w:pPr>
            <w:r>
              <w:rPr>
                <w:sz w:val="21"/>
                <w:szCs w:val="21"/>
              </w:rPr>
              <w:t>符合</w:t>
            </w:r>
          </w:p>
        </w:tc>
      </w:tr>
      <w:tr w14:paraId="6B82B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4" w:hRule="atLeast"/>
        </w:trPr>
        <w:tc>
          <w:tcPr>
            <w:tcW w:w="331" w:type="pct"/>
            <w:noWrap w:val="0"/>
            <w:vAlign w:val="center"/>
          </w:tcPr>
          <w:p w14:paraId="14A82FDE">
            <w:pPr>
              <w:pStyle w:val="27"/>
              <w:bidi w:val="0"/>
              <w:rPr>
                <w:sz w:val="21"/>
                <w:szCs w:val="21"/>
              </w:rPr>
            </w:pPr>
            <w:r>
              <w:rPr>
                <w:sz w:val="21"/>
                <w:szCs w:val="21"/>
              </w:rPr>
              <w:t>4</w:t>
            </w:r>
          </w:p>
        </w:tc>
        <w:tc>
          <w:tcPr>
            <w:tcW w:w="1484" w:type="pct"/>
            <w:noWrap w:val="0"/>
            <w:vAlign w:val="center"/>
          </w:tcPr>
          <w:p w14:paraId="799206C9">
            <w:pPr>
              <w:pStyle w:val="27"/>
              <w:bidi w:val="0"/>
              <w:rPr>
                <w:sz w:val="21"/>
                <w:szCs w:val="21"/>
                <w:lang w:val="zh-CN"/>
              </w:rPr>
            </w:pPr>
            <w:r>
              <w:rPr>
                <w:sz w:val="21"/>
                <w:szCs w:val="21"/>
                <w:lang w:val="zh-CN"/>
              </w:rPr>
              <w:t>矿山为从业人员提供的劳动防护用品，必须符合国家标准或者行业标准，不得超过使用期限。</w:t>
            </w:r>
          </w:p>
        </w:tc>
        <w:tc>
          <w:tcPr>
            <w:tcW w:w="602" w:type="pct"/>
            <w:noWrap w:val="0"/>
            <w:vAlign w:val="center"/>
          </w:tcPr>
          <w:p w14:paraId="6643A793">
            <w:pPr>
              <w:pStyle w:val="27"/>
              <w:bidi w:val="0"/>
              <w:rPr>
                <w:sz w:val="21"/>
                <w:szCs w:val="21"/>
              </w:rPr>
            </w:pPr>
            <w:r>
              <w:rPr>
                <w:sz w:val="21"/>
                <w:szCs w:val="21"/>
              </w:rPr>
              <w:t>《安全设施</w:t>
            </w:r>
            <w:r>
              <w:rPr>
                <w:rFonts w:hint="eastAsia"/>
                <w:sz w:val="21"/>
                <w:szCs w:val="21"/>
              </w:rPr>
              <w:t>设计</w:t>
            </w:r>
            <w:r>
              <w:rPr>
                <w:sz w:val="21"/>
                <w:szCs w:val="21"/>
              </w:rPr>
              <w:t>》</w:t>
            </w:r>
          </w:p>
        </w:tc>
        <w:tc>
          <w:tcPr>
            <w:tcW w:w="642" w:type="pct"/>
            <w:noWrap w:val="0"/>
            <w:vAlign w:val="center"/>
          </w:tcPr>
          <w:p w14:paraId="54509FAB">
            <w:pPr>
              <w:pStyle w:val="27"/>
              <w:bidi w:val="0"/>
              <w:rPr>
                <w:sz w:val="21"/>
                <w:szCs w:val="21"/>
              </w:rPr>
            </w:pPr>
            <w:r>
              <w:rPr>
                <w:sz w:val="21"/>
                <w:szCs w:val="21"/>
              </w:rPr>
              <w:t>查阅资料</w:t>
            </w:r>
          </w:p>
        </w:tc>
        <w:tc>
          <w:tcPr>
            <w:tcW w:w="1538" w:type="pct"/>
            <w:noWrap w:val="0"/>
            <w:vAlign w:val="center"/>
          </w:tcPr>
          <w:p w14:paraId="013C91D4">
            <w:pPr>
              <w:pStyle w:val="27"/>
              <w:bidi w:val="0"/>
              <w:rPr>
                <w:rFonts w:hint="eastAsia"/>
                <w:sz w:val="21"/>
                <w:szCs w:val="21"/>
              </w:rPr>
            </w:pPr>
            <w:r>
              <w:rPr>
                <w:rFonts w:hint="eastAsia"/>
                <w:sz w:val="21"/>
                <w:szCs w:val="21"/>
              </w:rPr>
              <w:t>劳保用品符合要求。</w:t>
            </w:r>
          </w:p>
        </w:tc>
        <w:tc>
          <w:tcPr>
            <w:tcW w:w="400" w:type="pct"/>
            <w:noWrap w:val="0"/>
            <w:vAlign w:val="center"/>
          </w:tcPr>
          <w:p w14:paraId="6B3B1C89">
            <w:pPr>
              <w:pStyle w:val="27"/>
              <w:bidi w:val="0"/>
              <w:rPr>
                <w:sz w:val="21"/>
                <w:szCs w:val="21"/>
              </w:rPr>
            </w:pPr>
            <w:r>
              <w:rPr>
                <w:sz w:val="21"/>
                <w:szCs w:val="21"/>
              </w:rPr>
              <w:t>符合</w:t>
            </w:r>
          </w:p>
        </w:tc>
      </w:tr>
      <w:tr w14:paraId="0CF3F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 w:type="pct"/>
            <w:noWrap w:val="0"/>
            <w:vAlign w:val="center"/>
          </w:tcPr>
          <w:p w14:paraId="0306B8BC">
            <w:pPr>
              <w:pStyle w:val="27"/>
              <w:bidi w:val="0"/>
              <w:rPr>
                <w:sz w:val="21"/>
                <w:szCs w:val="21"/>
              </w:rPr>
            </w:pPr>
            <w:r>
              <w:rPr>
                <w:sz w:val="21"/>
                <w:szCs w:val="21"/>
              </w:rPr>
              <w:t>5</w:t>
            </w:r>
          </w:p>
        </w:tc>
        <w:tc>
          <w:tcPr>
            <w:tcW w:w="1484" w:type="pct"/>
            <w:noWrap w:val="0"/>
            <w:vAlign w:val="center"/>
          </w:tcPr>
          <w:p w14:paraId="377C16A7">
            <w:pPr>
              <w:pStyle w:val="27"/>
              <w:bidi w:val="0"/>
              <w:rPr>
                <w:sz w:val="21"/>
                <w:szCs w:val="21"/>
                <w:lang w:val="zh-CN"/>
              </w:rPr>
            </w:pPr>
            <w:r>
              <w:rPr>
                <w:sz w:val="21"/>
                <w:szCs w:val="21"/>
                <w:lang w:val="zh-CN"/>
              </w:rPr>
              <w:t>矿山应当督促、教育从业人员正确佩戴和使用劳动防护用品。</w:t>
            </w:r>
          </w:p>
        </w:tc>
        <w:tc>
          <w:tcPr>
            <w:tcW w:w="602" w:type="pct"/>
            <w:noWrap w:val="0"/>
            <w:vAlign w:val="center"/>
          </w:tcPr>
          <w:p w14:paraId="2BF50FF3">
            <w:pPr>
              <w:pStyle w:val="27"/>
              <w:bidi w:val="0"/>
              <w:rPr>
                <w:sz w:val="21"/>
                <w:szCs w:val="21"/>
              </w:rPr>
            </w:pPr>
            <w:r>
              <w:rPr>
                <w:sz w:val="21"/>
                <w:szCs w:val="21"/>
              </w:rPr>
              <w:t>《安全设施</w:t>
            </w:r>
            <w:r>
              <w:rPr>
                <w:rFonts w:hint="eastAsia"/>
                <w:sz w:val="21"/>
                <w:szCs w:val="21"/>
              </w:rPr>
              <w:t>设计</w:t>
            </w:r>
            <w:r>
              <w:rPr>
                <w:sz w:val="21"/>
                <w:szCs w:val="21"/>
              </w:rPr>
              <w:t>》</w:t>
            </w:r>
          </w:p>
        </w:tc>
        <w:tc>
          <w:tcPr>
            <w:tcW w:w="642" w:type="pct"/>
            <w:noWrap w:val="0"/>
            <w:vAlign w:val="center"/>
          </w:tcPr>
          <w:p w14:paraId="12682BA8">
            <w:pPr>
              <w:pStyle w:val="27"/>
              <w:bidi w:val="0"/>
              <w:rPr>
                <w:sz w:val="21"/>
                <w:szCs w:val="21"/>
              </w:rPr>
            </w:pPr>
            <w:r>
              <w:rPr>
                <w:sz w:val="21"/>
                <w:szCs w:val="21"/>
              </w:rPr>
              <w:t>现场检查</w:t>
            </w:r>
          </w:p>
        </w:tc>
        <w:tc>
          <w:tcPr>
            <w:tcW w:w="1538" w:type="pct"/>
            <w:noWrap w:val="0"/>
            <w:vAlign w:val="center"/>
          </w:tcPr>
          <w:p w14:paraId="727576D8">
            <w:pPr>
              <w:pStyle w:val="27"/>
              <w:bidi w:val="0"/>
              <w:rPr>
                <w:sz w:val="21"/>
                <w:szCs w:val="21"/>
              </w:rPr>
            </w:pPr>
            <w:r>
              <w:rPr>
                <w:sz w:val="21"/>
                <w:szCs w:val="21"/>
              </w:rPr>
              <w:t>矿山制定劳动防护用品使用制度，按制度佩戴</w:t>
            </w:r>
            <w:r>
              <w:rPr>
                <w:rFonts w:hint="eastAsia"/>
                <w:sz w:val="21"/>
                <w:szCs w:val="21"/>
              </w:rPr>
              <w:t>。发放的劳动用品有安全帽、工作服、劳保鞋等劳动保护用品。</w:t>
            </w:r>
          </w:p>
        </w:tc>
        <w:tc>
          <w:tcPr>
            <w:tcW w:w="400" w:type="pct"/>
            <w:noWrap w:val="0"/>
            <w:vAlign w:val="center"/>
          </w:tcPr>
          <w:p w14:paraId="3AD020C6">
            <w:pPr>
              <w:pStyle w:val="27"/>
              <w:bidi w:val="0"/>
              <w:rPr>
                <w:sz w:val="21"/>
                <w:szCs w:val="21"/>
              </w:rPr>
            </w:pPr>
            <w:r>
              <w:rPr>
                <w:sz w:val="21"/>
                <w:szCs w:val="21"/>
              </w:rPr>
              <w:t>符合</w:t>
            </w:r>
          </w:p>
        </w:tc>
      </w:tr>
      <w:tr w14:paraId="5A83D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 w:type="pct"/>
            <w:noWrap w:val="0"/>
            <w:vAlign w:val="center"/>
          </w:tcPr>
          <w:p w14:paraId="1F5E09DC">
            <w:pPr>
              <w:pStyle w:val="27"/>
              <w:bidi w:val="0"/>
              <w:rPr>
                <w:sz w:val="21"/>
                <w:szCs w:val="21"/>
              </w:rPr>
            </w:pPr>
            <w:r>
              <w:rPr>
                <w:sz w:val="21"/>
                <w:szCs w:val="21"/>
              </w:rPr>
              <w:t>6</w:t>
            </w:r>
          </w:p>
        </w:tc>
        <w:tc>
          <w:tcPr>
            <w:tcW w:w="1484" w:type="pct"/>
            <w:noWrap w:val="0"/>
            <w:vAlign w:val="center"/>
          </w:tcPr>
          <w:p w14:paraId="03D700A6">
            <w:pPr>
              <w:pStyle w:val="27"/>
              <w:bidi w:val="0"/>
              <w:rPr>
                <w:sz w:val="21"/>
                <w:szCs w:val="21"/>
                <w:lang w:val="zh-CN"/>
              </w:rPr>
            </w:pPr>
            <w:r>
              <w:rPr>
                <w:sz w:val="21"/>
                <w:szCs w:val="21"/>
                <w:lang w:val="zh-CN"/>
              </w:rPr>
              <w:t>矿山应当建立健全劳动防护用品的采购、验收、保管、发放、使用、报废等管理制度。</w:t>
            </w:r>
          </w:p>
        </w:tc>
        <w:tc>
          <w:tcPr>
            <w:tcW w:w="602" w:type="pct"/>
            <w:noWrap w:val="0"/>
            <w:vAlign w:val="center"/>
          </w:tcPr>
          <w:p w14:paraId="6D36097E">
            <w:pPr>
              <w:pStyle w:val="27"/>
              <w:bidi w:val="0"/>
              <w:rPr>
                <w:sz w:val="21"/>
                <w:szCs w:val="21"/>
              </w:rPr>
            </w:pPr>
            <w:r>
              <w:rPr>
                <w:sz w:val="21"/>
                <w:szCs w:val="21"/>
              </w:rPr>
              <w:t>《安全设施</w:t>
            </w:r>
            <w:r>
              <w:rPr>
                <w:rFonts w:hint="eastAsia"/>
                <w:sz w:val="21"/>
                <w:szCs w:val="21"/>
              </w:rPr>
              <w:t>设计</w:t>
            </w:r>
            <w:r>
              <w:rPr>
                <w:sz w:val="21"/>
                <w:szCs w:val="21"/>
              </w:rPr>
              <w:t>》</w:t>
            </w:r>
          </w:p>
        </w:tc>
        <w:tc>
          <w:tcPr>
            <w:tcW w:w="642" w:type="pct"/>
            <w:noWrap w:val="0"/>
            <w:vAlign w:val="center"/>
          </w:tcPr>
          <w:p w14:paraId="1C8A2758">
            <w:pPr>
              <w:pStyle w:val="27"/>
              <w:bidi w:val="0"/>
              <w:rPr>
                <w:sz w:val="21"/>
                <w:szCs w:val="21"/>
              </w:rPr>
            </w:pPr>
            <w:r>
              <w:rPr>
                <w:sz w:val="21"/>
                <w:szCs w:val="21"/>
              </w:rPr>
              <w:t>查阅资料</w:t>
            </w:r>
          </w:p>
        </w:tc>
        <w:tc>
          <w:tcPr>
            <w:tcW w:w="1538" w:type="pct"/>
            <w:noWrap w:val="0"/>
            <w:vAlign w:val="center"/>
          </w:tcPr>
          <w:p w14:paraId="1D7DA2AA">
            <w:pPr>
              <w:pStyle w:val="27"/>
              <w:bidi w:val="0"/>
              <w:rPr>
                <w:rFonts w:hint="eastAsia"/>
                <w:sz w:val="21"/>
                <w:szCs w:val="21"/>
              </w:rPr>
            </w:pPr>
            <w:r>
              <w:rPr>
                <w:sz w:val="21"/>
                <w:szCs w:val="21"/>
              </w:rPr>
              <w:t>矿山制定劳动防护用品制度</w:t>
            </w:r>
            <w:r>
              <w:rPr>
                <w:rFonts w:hint="eastAsia"/>
                <w:sz w:val="21"/>
                <w:szCs w:val="21"/>
              </w:rPr>
              <w:t>。</w:t>
            </w:r>
          </w:p>
        </w:tc>
        <w:tc>
          <w:tcPr>
            <w:tcW w:w="400" w:type="pct"/>
            <w:noWrap w:val="0"/>
            <w:vAlign w:val="center"/>
          </w:tcPr>
          <w:p w14:paraId="7801CE37">
            <w:pPr>
              <w:pStyle w:val="27"/>
              <w:bidi w:val="0"/>
              <w:rPr>
                <w:sz w:val="21"/>
                <w:szCs w:val="21"/>
              </w:rPr>
            </w:pPr>
            <w:r>
              <w:rPr>
                <w:sz w:val="21"/>
                <w:szCs w:val="21"/>
              </w:rPr>
              <w:t>符合</w:t>
            </w:r>
          </w:p>
        </w:tc>
      </w:tr>
      <w:tr w14:paraId="0FDD0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7" w:hRule="atLeast"/>
        </w:trPr>
        <w:tc>
          <w:tcPr>
            <w:tcW w:w="331" w:type="pct"/>
            <w:noWrap w:val="0"/>
            <w:vAlign w:val="center"/>
          </w:tcPr>
          <w:p w14:paraId="62A3A7A8">
            <w:pPr>
              <w:pStyle w:val="27"/>
              <w:bidi w:val="0"/>
              <w:rPr>
                <w:sz w:val="21"/>
                <w:szCs w:val="21"/>
              </w:rPr>
            </w:pPr>
            <w:r>
              <w:rPr>
                <w:sz w:val="21"/>
                <w:szCs w:val="21"/>
              </w:rPr>
              <w:t>7</w:t>
            </w:r>
          </w:p>
        </w:tc>
        <w:tc>
          <w:tcPr>
            <w:tcW w:w="1484" w:type="pct"/>
            <w:noWrap w:val="0"/>
            <w:vAlign w:val="center"/>
          </w:tcPr>
          <w:p w14:paraId="5AA4516C">
            <w:pPr>
              <w:pStyle w:val="27"/>
              <w:bidi w:val="0"/>
              <w:rPr>
                <w:sz w:val="21"/>
                <w:szCs w:val="21"/>
                <w:lang w:val="zh-CN"/>
              </w:rPr>
            </w:pPr>
            <w:r>
              <w:rPr>
                <w:sz w:val="21"/>
                <w:szCs w:val="21"/>
                <w:lang w:val="zh-CN"/>
              </w:rPr>
              <w:t>矿山不得采购和使用无安全标志的特种劳动防护用品；购买的特种劳动防护用品须经本单位的安全生产技术部门或者管理人员检查验收。</w:t>
            </w:r>
          </w:p>
        </w:tc>
        <w:tc>
          <w:tcPr>
            <w:tcW w:w="602" w:type="pct"/>
            <w:noWrap w:val="0"/>
            <w:vAlign w:val="center"/>
          </w:tcPr>
          <w:p w14:paraId="7FDB4C61">
            <w:pPr>
              <w:pStyle w:val="27"/>
              <w:bidi w:val="0"/>
              <w:rPr>
                <w:sz w:val="21"/>
                <w:szCs w:val="21"/>
              </w:rPr>
            </w:pPr>
            <w:r>
              <w:rPr>
                <w:sz w:val="21"/>
                <w:szCs w:val="21"/>
              </w:rPr>
              <w:t>《安全设施</w:t>
            </w:r>
            <w:r>
              <w:rPr>
                <w:rFonts w:hint="eastAsia"/>
                <w:sz w:val="21"/>
                <w:szCs w:val="21"/>
              </w:rPr>
              <w:t>设计</w:t>
            </w:r>
            <w:r>
              <w:rPr>
                <w:sz w:val="21"/>
                <w:szCs w:val="21"/>
              </w:rPr>
              <w:t>》</w:t>
            </w:r>
          </w:p>
        </w:tc>
        <w:tc>
          <w:tcPr>
            <w:tcW w:w="642" w:type="pct"/>
            <w:noWrap w:val="0"/>
            <w:vAlign w:val="center"/>
          </w:tcPr>
          <w:p w14:paraId="7F1F5C4D">
            <w:pPr>
              <w:pStyle w:val="27"/>
              <w:bidi w:val="0"/>
              <w:rPr>
                <w:sz w:val="21"/>
                <w:szCs w:val="21"/>
              </w:rPr>
            </w:pPr>
            <w:r>
              <w:rPr>
                <w:sz w:val="21"/>
                <w:szCs w:val="21"/>
              </w:rPr>
              <w:t>查阅资料、现场检查</w:t>
            </w:r>
          </w:p>
        </w:tc>
        <w:tc>
          <w:tcPr>
            <w:tcW w:w="1538" w:type="pct"/>
            <w:noWrap w:val="0"/>
            <w:vAlign w:val="center"/>
          </w:tcPr>
          <w:p w14:paraId="4BF51A21">
            <w:pPr>
              <w:pStyle w:val="27"/>
              <w:bidi w:val="0"/>
              <w:rPr>
                <w:rFonts w:hint="default"/>
                <w:sz w:val="21"/>
                <w:szCs w:val="21"/>
                <w:lang w:val="en-US" w:eastAsia="zh-CN"/>
              </w:rPr>
            </w:pPr>
            <w:r>
              <w:rPr>
                <w:sz w:val="21"/>
                <w:szCs w:val="21"/>
              </w:rPr>
              <w:t>现场检查，购买的防护用品有有合格证</w:t>
            </w:r>
            <w:r>
              <w:rPr>
                <w:rFonts w:hint="eastAsia"/>
                <w:sz w:val="21"/>
                <w:szCs w:val="21"/>
                <w:lang w:val="en-US" w:eastAsia="zh-CN"/>
              </w:rPr>
              <w:t>和安全标志。</w:t>
            </w:r>
          </w:p>
        </w:tc>
        <w:tc>
          <w:tcPr>
            <w:tcW w:w="400" w:type="pct"/>
            <w:noWrap w:val="0"/>
            <w:vAlign w:val="center"/>
          </w:tcPr>
          <w:p w14:paraId="66DBA331">
            <w:pPr>
              <w:pStyle w:val="27"/>
              <w:bidi w:val="0"/>
              <w:rPr>
                <w:sz w:val="21"/>
                <w:szCs w:val="21"/>
              </w:rPr>
            </w:pPr>
            <w:r>
              <w:rPr>
                <w:sz w:val="21"/>
                <w:szCs w:val="21"/>
              </w:rPr>
              <w:t>符合</w:t>
            </w:r>
          </w:p>
        </w:tc>
      </w:tr>
      <w:tr w14:paraId="7CB27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1" w:type="pct"/>
            <w:noWrap w:val="0"/>
            <w:vAlign w:val="center"/>
          </w:tcPr>
          <w:p w14:paraId="64D7F0AF">
            <w:pPr>
              <w:pStyle w:val="27"/>
              <w:bidi w:val="0"/>
              <w:rPr>
                <w:sz w:val="21"/>
                <w:szCs w:val="21"/>
              </w:rPr>
            </w:pPr>
            <w:r>
              <w:rPr>
                <w:sz w:val="21"/>
                <w:szCs w:val="21"/>
              </w:rPr>
              <w:t>8</w:t>
            </w:r>
          </w:p>
        </w:tc>
        <w:tc>
          <w:tcPr>
            <w:tcW w:w="1484" w:type="pct"/>
            <w:noWrap w:val="0"/>
            <w:vAlign w:val="center"/>
          </w:tcPr>
          <w:p w14:paraId="433132C2">
            <w:pPr>
              <w:pStyle w:val="27"/>
              <w:bidi w:val="0"/>
              <w:rPr>
                <w:sz w:val="21"/>
                <w:szCs w:val="21"/>
                <w:lang w:val="zh-CN"/>
              </w:rPr>
            </w:pPr>
            <w:r>
              <w:rPr>
                <w:sz w:val="21"/>
                <w:szCs w:val="21"/>
                <w:lang w:val="zh-CN"/>
              </w:rPr>
              <w:t>从业人员在作业过程中，必须按照安全生产规章制度和劳动防护用品使用规则，正确佩戴和使用劳动防护用品；未按规定佩戴和使用劳动防护用品的，不得上岗作业。</w:t>
            </w:r>
          </w:p>
        </w:tc>
        <w:tc>
          <w:tcPr>
            <w:tcW w:w="602" w:type="pct"/>
            <w:noWrap w:val="0"/>
            <w:vAlign w:val="center"/>
          </w:tcPr>
          <w:p w14:paraId="25A80AA1">
            <w:pPr>
              <w:pStyle w:val="27"/>
              <w:bidi w:val="0"/>
              <w:rPr>
                <w:sz w:val="21"/>
                <w:szCs w:val="21"/>
              </w:rPr>
            </w:pPr>
            <w:r>
              <w:rPr>
                <w:sz w:val="21"/>
                <w:szCs w:val="21"/>
              </w:rPr>
              <w:t>《安全设施</w:t>
            </w:r>
            <w:r>
              <w:rPr>
                <w:rFonts w:hint="eastAsia"/>
                <w:sz w:val="21"/>
                <w:szCs w:val="21"/>
              </w:rPr>
              <w:t>设计</w:t>
            </w:r>
            <w:r>
              <w:rPr>
                <w:sz w:val="21"/>
                <w:szCs w:val="21"/>
              </w:rPr>
              <w:t>》</w:t>
            </w:r>
          </w:p>
        </w:tc>
        <w:tc>
          <w:tcPr>
            <w:tcW w:w="642" w:type="pct"/>
            <w:noWrap w:val="0"/>
            <w:vAlign w:val="center"/>
          </w:tcPr>
          <w:p w14:paraId="2D72BA5B">
            <w:pPr>
              <w:pStyle w:val="27"/>
              <w:bidi w:val="0"/>
              <w:rPr>
                <w:sz w:val="21"/>
                <w:szCs w:val="21"/>
              </w:rPr>
            </w:pPr>
            <w:r>
              <w:rPr>
                <w:sz w:val="21"/>
                <w:szCs w:val="21"/>
              </w:rPr>
              <w:t>查阅资料、现场检查</w:t>
            </w:r>
          </w:p>
        </w:tc>
        <w:tc>
          <w:tcPr>
            <w:tcW w:w="1538" w:type="pct"/>
            <w:noWrap w:val="0"/>
            <w:vAlign w:val="center"/>
          </w:tcPr>
          <w:p w14:paraId="4A088573">
            <w:pPr>
              <w:pStyle w:val="27"/>
              <w:bidi w:val="0"/>
              <w:rPr>
                <w:rFonts w:hint="eastAsia"/>
                <w:sz w:val="21"/>
                <w:szCs w:val="21"/>
              </w:rPr>
            </w:pPr>
            <w:r>
              <w:rPr>
                <w:sz w:val="21"/>
                <w:szCs w:val="21"/>
              </w:rPr>
              <w:t>矿山制定劳动防护用品使用制度，按制度佩戴</w:t>
            </w:r>
            <w:r>
              <w:rPr>
                <w:rFonts w:hint="eastAsia"/>
                <w:sz w:val="21"/>
                <w:szCs w:val="21"/>
              </w:rPr>
              <w:t>。</w:t>
            </w:r>
          </w:p>
        </w:tc>
        <w:tc>
          <w:tcPr>
            <w:tcW w:w="400" w:type="pct"/>
            <w:noWrap w:val="0"/>
            <w:vAlign w:val="center"/>
          </w:tcPr>
          <w:p w14:paraId="19FC3D89">
            <w:pPr>
              <w:pStyle w:val="27"/>
              <w:bidi w:val="0"/>
              <w:rPr>
                <w:sz w:val="21"/>
                <w:szCs w:val="21"/>
              </w:rPr>
            </w:pPr>
            <w:r>
              <w:rPr>
                <w:sz w:val="21"/>
                <w:szCs w:val="21"/>
              </w:rPr>
              <w:t>符合</w:t>
            </w:r>
          </w:p>
        </w:tc>
      </w:tr>
      <w:tr w14:paraId="29BE63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0" w:hRule="atLeast"/>
        </w:trPr>
        <w:tc>
          <w:tcPr>
            <w:tcW w:w="331" w:type="pct"/>
            <w:noWrap w:val="0"/>
            <w:vAlign w:val="center"/>
          </w:tcPr>
          <w:p w14:paraId="7DA2ED68">
            <w:pPr>
              <w:pStyle w:val="27"/>
              <w:bidi w:val="0"/>
              <w:rPr>
                <w:sz w:val="21"/>
                <w:szCs w:val="21"/>
              </w:rPr>
            </w:pPr>
            <w:r>
              <w:rPr>
                <w:sz w:val="21"/>
                <w:szCs w:val="21"/>
              </w:rPr>
              <w:t>9</w:t>
            </w:r>
          </w:p>
        </w:tc>
        <w:tc>
          <w:tcPr>
            <w:tcW w:w="1484" w:type="pct"/>
            <w:noWrap w:val="0"/>
            <w:vAlign w:val="center"/>
          </w:tcPr>
          <w:p w14:paraId="43E576CF">
            <w:pPr>
              <w:pStyle w:val="27"/>
              <w:bidi w:val="0"/>
              <w:rPr>
                <w:sz w:val="21"/>
                <w:szCs w:val="21"/>
                <w:lang w:val="zh-CN"/>
              </w:rPr>
            </w:pPr>
            <w:r>
              <w:rPr>
                <w:sz w:val="21"/>
                <w:szCs w:val="21"/>
                <w:lang w:val="zh-CN"/>
              </w:rPr>
              <w:t>防尘措施：对破碎操作工应发放相应的劳动防护用品。</w:t>
            </w:r>
          </w:p>
        </w:tc>
        <w:tc>
          <w:tcPr>
            <w:tcW w:w="602" w:type="pct"/>
            <w:noWrap w:val="0"/>
            <w:vAlign w:val="center"/>
          </w:tcPr>
          <w:p w14:paraId="7A27E832">
            <w:pPr>
              <w:pStyle w:val="27"/>
              <w:bidi w:val="0"/>
              <w:rPr>
                <w:sz w:val="21"/>
                <w:szCs w:val="21"/>
              </w:rPr>
            </w:pPr>
            <w:r>
              <w:rPr>
                <w:sz w:val="21"/>
                <w:szCs w:val="21"/>
              </w:rPr>
              <w:t>《安全设施</w:t>
            </w:r>
            <w:r>
              <w:rPr>
                <w:rFonts w:hint="eastAsia"/>
                <w:sz w:val="21"/>
                <w:szCs w:val="21"/>
              </w:rPr>
              <w:t>设计</w:t>
            </w:r>
            <w:r>
              <w:rPr>
                <w:sz w:val="21"/>
                <w:szCs w:val="21"/>
              </w:rPr>
              <w:t>》</w:t>
            </w:r>
          </w:p>
        </w:tc>
        <w:tc>
          <w:tcPr>
            <w:tcW w:w="642" w:type="pct"/>
            <w:noWrap w:val="0"/>
            <w:vAlign w:val="center"/>
          </w:tcPr>
          <w:p w14:paraId="53C61C6C">
            <w:pPr>
              <w:pStyle w:val="27"/>
              <w:bidi w:val="0"/>
              <w:rPr>
                <w:sz w:val="21"/>
                <w:szCs w:val="21"/>
              </w:rPr>
            </w:pPr>
            <w:r>
              <w:rPr>
                <w:sz w:val="21"/>
                <w:szCs w:val="21"/>
              </w:rPr>
              <w:t>查阅资料、现场检查</w:t>
            </w:r>
          </w:p>
        </w:tc>
        <w:tc>
          <w:tcPr>
            <w:tcW w:w="1538" w:type="pct"/>
            <w:noWrap w:val="0"/>
            <w:vAlign w:val="center"/>
          </w:tcPr>
          <w:p w14:paraId="4DDB7C2B">
            <w:pPr>
              <w:pStyle w:val="27"/>
              <w:bidi w:val="0"/>
              <w:rPr>
                <w:sz w:val="21"/>
                <w:szCs w:val="21"/>
              </w:rPr>
            </w:pPr>
            <w:r>
              <w:rPr>
                <w:sz w:val="21"/>
                <w:szCs w:val="21"/>
              </w:rPr>
              <w:t>对采剥</w:t>
            </w:r>
            <w:r>
              <w:rPr>
                <w:rFonts w:hint="eastAsia"/>
                <w:sz w:val="21"/>
                <w:szCs w:val="21"/>
              </w:rPr>
              <w:t>、运输</w:t>
            </w:r>
            <w:r>
              <w:rPr>
                <w:sz w:val="21"/>
                <w:szCs w:val="21"/>
              </w:rPr>
              <w:t>作业等岗位发放防尘口罩。</w:t>
            </w:r>
          </w:p>
        </w:tc>
        <w:tc>
          <w:tcPr>
            <w:tcW w:w="400" w:type="pct"/>
            <w:noWrap w:val="0"/>
            <w:vAlign w:val="center"/>
          </w:tcPr>
          <w:p w14:paraId="0A2FABC2">
            <w:pPr>
              <w:pStyle w:val="27"/>
              <w:bidi w:val="0"/>
              <w:rPr>
                <w:sz w:val="21"/>
                <w:szCs w:val="21"/>
              </w:rPr>
            </w:pPr>
            <w:r>
              <w:rPr>
                <w:sz w:val="21"/>
                <w:szCs w:val="21"/>
              </w:rPr>
              <w:t>符合</w:t>
            </w:r>
          </w:p>
        </w:tc>
      </w:tr>
      <w:tr w14:paraId="271FA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6" w:hRule="atLeast"/>
        </w:trPr>
        <w:tc>
          <w:tcPr>
            <w:tcW w:w="331" w:type="pct"/>
            <w:noWrap w:val="0"/>
            <w:vAlign w:val="center"/>
          </w:tcPr>
          <w:p w14:paraId="6532FE07">
            <w:pPr>
              <w:pStyle w:val="27"/>
              <w:bidi w:val="0"/>
              <w:rPr>
                <w:sz w:val="21"/>
                <w:szCs w:val="21"/>
              </w:rPr>
            </w:pPr>
            <w:r>
              <w:rPr>
                <w:sz w:val="21"/>
                <w:szCs w:val="21"/>
              </w:rPr>
              <w:t>10</w:t>
            </w:r>
          </w:p>
        </w:tc>
        <w:tc>
          <w:tcPr>
            <w:tcW w:w="1484" w:type="pct"/>
            <w:noWrap w:val="0"/>
            <w:vAlign w:val="center"/>
          </w:tcPr>
          <w:p w14:paraId="285CC246">
            <w:pPr>
              <w:pStyle w:val="27"/>
              <w:bidi w:val="0"/>
              <w:rPr>
                <w:sz w:val="21"/>
                <w:szCs w:val="21"/>
                <w:lang w:val="zh-CN"/>
              </w:rPr>
            </w:pPr>
            <w:r>
              <w:rPr>
                <w:sz w:val="21"/>
                <w:szCs w:val="21"/>
                <w:lang w:val="zh-CN"/>
              </w:rPr>
              <w:t>矿山为从业人员配备了安全帽、防尘口罩、手套等个人劳动防护用品，并督促从业人员正确使用。</w:t>
            </w:r>
          </w:p>
        </w:tc>
        <w:tc>
          <w:tcPr>
            <w:tcW w:w="602" w:type="pct"/>
            <w:noWrap w:val="0"/>
            <w:vAlign w:val="center"/>
          </w:tcPr>
          <w:p w14:paraId="7A29A2A9">
            <w:pPr>
              <w:pStyle w:val="27"/>
              <w:bidi w:val="0"/>
              <w:rPr>
                <w:sz w:val="21"/>
                <w:szCs w:val="21"/>
              </w:rPr>
            </w:pPr>
            <w:r>
              <w:rPr>
                <w:sz w:val="21"/>
                <w:szCs w:val="21"/>
              </w:rPr>
              <w:t>《安全设施</w:t>
            </w:r>
            <w:r>
              <w:rPr>
                <w:rFonts w:hint="eastAsia"/>
                <w:sz w:val="21"/>
                <w:szCs w:val="21"/>
              </w:rPr>
              <w:t>设计</w:t>
            </w:r>
            <w:r>
              <w:rPr>
                <w:sz w:val="21"/>
                <w:szCs w:val="21"/>
              </w:rPr>
              <w:t>》</w:t>
            </w:r>
          </w:p>
        </w:tc>
        <w:tc>
          <w:tcPr>
            <w:tcW w:w="642" w:type="pct"/>
            <w:noWrap w:val="0"/>
            <w:vAlign w:val="center"/>
          </w:tcPr>
          <w:p w14:paraId="3BB96785">
            <w:pPr>
              <w:pStyle w:val="27"/>
              <w:bidi w:val="0"/>
              <w:rPr>
                <w:sz w:val="21"/>
                <w:szCs w:val="21"/>
              </w:rPr>
            </w:pPr>
            <w:r>
              <w:rPr>
                <w:sz w:val="21"/>
                <w:szCs w:val="21"/>
              </w:rPr>
              <w:t>现场检查</w:t>
            </w:r>
          </w:p>
        </w:tc>
        <w:tc>
          <w:tcPr>
            <w:tcW w:w="1538" w:type="pct"/>
            <w:noWrap w:val="0"/>
            <w:vAlign w:val="center"/>
          </w:tcPr>
          <w:p w14:paraId="77552749">
            <w:pPr>
              <w:pStyle w:val="27"/>
              <w:bidi w:val="0"/>
              <w:rPr>
                <w:sz w:val="21"/>
                <w:szCs w:val="21"/>
              </w:rPr>
            </w:pPr>
            <w:r>
              <w:rPr>
                <w:sz w:val="21"/>
                <w:szCs w:val="21"/>
              </w:rPr>
              <w:t>矿山制定劳动防护用品管理制度，按要求监督佩戴。</w:t>
            </w:r>
          </w:p>
        </w:tc>
        <w:tc>
          <w:tcPr>
            <w:tcW w:w="400" w:type="pct"/>
            <w:noWrap w:val="0"/>
            <w:vAlign w:val="center"/>
          </w:tcPr>
          <w:p w14:paraId="4EE9AF04">
            <w:pPr>
              <w:pStyle w:val="27"/>
              <w:bidi w:val="0"/>
              <w:rPr>
                <w:sz w:val="21"/>
                <w:szCs w:val="21"/>
              </w:rPr>
            </w:pPr>
            <w:r>
              <w:rPr>
                <w:sz w:val="21"/>
                <w:szCs w:val="21"/>
              </w:rPr>
              <w:t>符合</w:t>
            </w:r>
          </w:p>
        </w:tc>
      </w:tr>
      <w:tr w14:paraId="195A901E">
        <w:tblPrEx>
          <w:tblCellMar>
            <w:top w:w="0" w:type="dxa"/>
            <w:left w:w="108" w:type="dxa"/>
            <w:bottom w:w="0" w:type="dxa"/>
            <w:right w:w="108" w:type="dxa"/>
          </w:tblCellMar>
        </w:tblPrEx>
        <w:tc>
          <w:tcPr>
            <w:tcW w:w="331" w:type="pct"/>
            <w:noWrap w:val="0"/>
            <w:vAlign w:val="center"/>
          </w:tcPr>
          <w:p w14:paraId="1A60AC7C">
            <w:pPr>
              <w:pStyle w:val="27"/>
              <w:bidi w:val="0"/>
              <w:rPr>
                <w:sz w:val="21"/>
                <w:szCs w:val="21"/>
              </w:rPr>
            </w:pPr>
            <w:r>
              <w:rPr>
                <w:sz w:val="21"/>
                <w:szCs w:val="21"/>
              </w:rPr>
              <w:t>11</w:t>
            </w:r>
          </w:p>
        </w:tc>
        <w:tc>
          <w:tcPr>
            <w:tcW w:w="1484" w:type="pct"/>
            <w:noWrap w:val="0"/>
            <w:vAlign w:val="center"/>
          </w:tcPr>
          <w:p w14:paraId="7D99E5AF">
            <w:pPr>
              <w:pStyle w:val="27"/>
              <w:bidi w:val="0"/>
              <w:rPr>
                <w:sz w:val="21"/>
                <w:szCs w:val="21"/>
              </w:rPr>
            </w:pPr>
            <w:r>
              <w:rPr>
                <w:sz w:val="21"/>
                <w:szCs w:val="21"/>
              </w:rPr>
              <w:t>根据国家的规定按工种给工人及时发放个人防护用品、劳保津贴，并设置保健站等福利设施，定期为工人检查身体以确保工人的健康。实施轮班制作业，按周实行倒班制，维护劳动者的生活习惯。制定设备操作规程，保证设备和人员的安全。</w:t>
            </w:r>
          </w:p>
        </w:tc>
        <w:tc>
          <w:tcPr>
            <w:tcW w:w="602" w:type="pct"/>
            <w:noWrap w:val="0"/>
            <w:vAlign w:val="center"/>
          </w:tcPr>
          <w:p w14:paraId="1F4E32A9">
            <w:pPr>
              <w:pStyle w:val="27"/>
              <w:bidi w:val="0"/>
              <w:rPr>
                <w:sz w:val="21"/>
                <w:szCs w:val="21"/>
              </w:rPr>
            </w:pPr>
            <w:r>
              <w:rPr>
                <w:sz w:val="21"/>
                <w:szCs w:val="21"/>
              </w:rPr>
              <w:t>《安全设施</w:t>
            </w:r>
            <w:r>
              <w:rPr>
                <w:rFonts w:hint="eastAsia"/>
                <w:sz w:val="21"/>
                <w:szCs w:val="21"/>
              </w:rPr>
              <w:t>设计</w:t>
            </w:r>
            <w:r>
              <w:rPr>
                <w:sz w:val="21"/>
                <w:szCs w:val="21"/>
              </w:rPr>
              <w:t>》</w:t>
            </w:r>
          </w:p>
        </w:tc>
        <w:tc>
          <w:tcPr>
            <w:tcW w:w="642" w:type="pct"/>
            <w:noWrap w:val="0"/>
            <w:vAlign w:val="center"/>
          </w:tcPr>
          <w:p w14:paraId="66B18C37">
            <w:pPr>
              <w:pStyle w:val="27"/>
              <w:bidi w:val="0"/>
              <w:rPr>
                <w:sz w:val="21"/>
                <w:szCs w:val="21"/>
              </w:rPr>
            </w:pPr>
            <w:r>
              <w:rPr>
                <w:sz w:val="21"/>
                <w:szCs w:val="21"/>
              </w:rPr>
              <w:t>现场检查</w:t>
            </w:r>
          </w:p>
        </w:tc>
        <w:tc>
          <w:tcPr>
            <w:tcW w:w="1538" w:type="pct"/>
            <w:noWrap w:val="0"/>
            <w:vAlign w:val="center"/>
          </w:tcPr>
          <w:p w14:paraId="345ACCD6">
            <w:pPr>
              <w:pStyle w:val="27"/>
              <w:bidi w:val="0"/>
              <w:rPr>
                <w:rFonts w:hint="eastAsia"/>
                <w:sz w:val="21"/>
                <w:szCs w:val="21"/>
              </w:rPr>
            </w:pPr>
            <w:r>
              <w:rPr>
                <w:sz w:val="21"/>
                <w:szCs w:val="21"/>
              </w:rPr>
              <w:t>定期发放劳动防护用品，制定合理的作业制度，保证劳动者定期组织职工体检</w:t>
            </w:r>
            <w:r>
              <w:rPr>
                <w:rFonts w:hint="eastAsia"/>
                <w:sz w:val="21"/>
                <w:szCs w:val="21"/>
              </w:rPr>
              <w:t>。</w:t>
            </w:r>
          </w:p>
        </w:tc>
        <w:tc>
          <w:tcPr>
            <w:tcW w:w="400" w:type="pct"/>
            <w:noWrap w:val="0"/>
            <w:vAlign w:val="center"/>
          </w:tcPr>
          <w:p w14:paraId="362069EF">
            <w:pPr>
              <w:pStyle w:val="27"/>
              <w:bidi w:val="0"/>
              <w:rPr>
                <w:sz w:val="21"/>
                <w:szCs w:val="21"/>
              </w:rPr>
            </w:pPr>
            <w:r>
              <w:rPr>
                <w:sz w:val="21"/>
                <w:szCs w:val="21"/>
              </w:rPr>
              <w:t>符合</w:t>
            </w:r>
          </w:p>
        </w:tc>
      </w:tr>
    </w:tbl>
    <w:p w14:paraId="0E797362">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rPr>
      </w:pPr>
      <w:r>
        <w:rPr>
          <w:rFonts w:hint="eastAsia"/>
        </w:rPr>
        <w:t>评价单元小结：</w:t>
      </w:r>
    </w:p>
    <w:p w14:paraId="38A1A5FD">
      <w:pPr>
        <w:pStyle w:val="18"/>
        <w:bidi w:val="0"/>
        <w:rPr>
          <w:rFonts w:hint="eastAsia" w:eastAsia="宋体"/>
          <w:lang w:val="en-US" w:eastAsia="zh-CN"/>
        </w:rPr>
      </w:pPr>
      <w:r>
        <w:rPr>
          <w:rFonts w:hint="eastAsia"/>
        </w:rPr>
        <w:t>通过对个人安全防护单元的</w:t>
      </w:r>
      <w:r>
        <w:rPr>
          <w:rFonts w:hint="eastAsia"/>
          <w:lang w:val="en-US" w:eastAsia="zh-CN"/>
        </w:rPr>
        <w:t>11</w:t>
      </w:r>
      <w:r>
        <w:rPr>
          <w:rFonts w:hint="eastAsia"/>
        </w:rPr>
        <w:t>项检查中，均符合要求。检查结果表明，海城市荣富耐火材料有限公司镁矿（菱镁石、滑石）露天矿山建设项目矿山个人安全防护单元符合设计要求，能够满足矿山安全生产条件</w:t>
      </w:r>
      <w:r>
        <w:rPr>
          <w:rFonts w:hint="eastAsia"/>
          <w:lang w:eastAsia="zh-CN"/>
        </w:rPr>
        <w:t>。</w:t>
      </w:r>
    </w:p>
    <w:p w14:paraId="3840B8DD">
      <w:pPr>
        <w:pStyle w:val="24"/>
        <w:bidi w:val="0"/>
        <w:ind w:left="0" w:leftChars="0" w:firstLine="0" w:firstLineChars="0"/>
      </w:pPr>
      <w:bookmarkStart w:id="208" w:name="_Toc11872"/>
      <w:bookmarkStart w:id="209" w:name="_Toc2020"/>
      <w:bookmarkStart w:id="210" w:name="_Toc29852"/>
      <w:bookmarkStart w:id="211" w:name="_Toc21738"/>
      <w:bookmarkStart w:id="212" w:name="_Toc13608"/>
      <w:bookmarkStart w:id="213" w:name="_Toc11260"/>
      <w:bookmarkStart w:id="214" w:name="_Toc15643"/>
      <w:bookmarkStart w:id="215" w:name="_Toc22284"/>
      <w:bookmarkStart w:id="216" w:name="_Toc7005"/>
      <w:bookmarkStart w:id="217" w:name="_Toc16173"/>
      <w:bookmarkStart w:id="218" w:name="_Toc26283"/>
      <w:bookmarkStart w:id="219" w:name="_Toc22937"/>
      <w:bookmarkStart w:id="220" w:name="_Toc2793"/>
      <w:bookmarkStart w:id="221" w:name="_Toc24726"/>
      <w:bookmarkStart w:id="222" w:name="_Toc27922"/>
      <w:bookmarkStart w:id="223" w:name="_Toc24165"/>
      <w:bookmarkStart w:id="224" w:name="_Toc12793"/>
      <w:bookmarkStart w:id="225" w:name="_Toc8853"/>
      <w:bookmarkStart w:id="226" w:name="_Toc3988"/>
      <w:bookmarkStart w:id="227" w:name="_Toc11969"/>
      <w:r>
        <w:t>安全标志</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p>
    <w:p w14:paraId="46C51602">
      <w:pPr>
        <w:pStyle w:val="25"/>
        <w:bidi w:val="0"/>
        <w:ind w:left="720" w:leftChars="0" w:hanging="720" w:firstLineChars="0"/>
        <w:rPr>
          <w:rFonts w:hint="eastAsia"/>
        </w:rPr>
      </w:pPr>
      <w:bookmarkStart w:id="228" w:name="_Toc11660"/>
      <w:bookmarkStart w:id="229" w:name="_Toc30273"/>
      <w:bookmarkStart w:id="230" w:name="_Toc6755"/>
      <w:bookmarkStart w:id="231" w:name="_Toc1704"/>
      <w:bookmarkStart w:id="232" w:name="_Toc11064"/>
      <w:bookmarkStart w:id="233" w:name="_Toc10941"/>
      <w:bookmarkStart w:id="234" w:name="_Toc28479"/>
      <w:bookmarkStart w:id="235" w:name="_Toc10164"/>
      <w:bookmarkStart w:id="236" w:name="_Toc476244183"/>
      <w:bookmarkStart w:id="237" w:name="_Toc12701"/>
      <w:bookmarkStart w:id="238" w:name="_Toc3063"/>
      <w:bookmarkStart w:id="239" w:name="_Toc15761"/>
      <w:bookmarkStart w:id="240" w:name="_Toc473"/>
      <w:bookmarkStart w:id="241" w:name="_Toc483865751"/>
      <w:bookmarkStart w:id="242" w:name="_Toc31655"/>
      <w:r>
        <w:rPr>
          <w:rFonts w:hint="eastAsia"/>
        </w:rPr>
        <w:t>安全标志符合性安全检查表</w:t>
      </w:r>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4AC85EBC">
      <w:pPr>
        <w:pStyle w:val="18"/>
        <w:bidi w:val="0"/>
      </w:pPr>
      <w:r>
        <w:t>根据《国家安全监管总局关于印发金属非金属矿山建设项目安全评价报告编写提纲的通知》（安监总管一〔2016〕49号）、《</w:t>
      </w:r>
      <w:r>
        <w:rPr>
          <w:rFonts w:hint="eastAsia"/>
        </w:rPr>
        <w:t>安全设施设计</w:t>
      </w:r>
      <w:r>
        <w:t>》</w:t>
      </w:r>
      <w:r>
        <w:rPr>
          <w:rFonts w:hint="eastAsia"/>
          <w:lang w:eastAsia="zh-CN"/>
        </w:rPr>
        <w:t>，</w:t>
      </w:r>
      <w:r>
        <w:rPr>
          <w:rFonts w:hint="eastAsia"/>
          <w:lang w:val="en-US" w:eastAsia="zh-CN"/>
        </w:rPr>
        <w:t>评价组</w:t>
      </w:r>
      <w:r>
        <w:rPr>
          <w:rFonts w:hint="eastAsia"/>
          <w:lang w:eastAsia="zh-CN"/>
        </w:rPr>
        <w:t>采用安全检查表</w:t>
      </w:r>
      <w:r>
        <w:rPr>
          <w:rFonts w:hint="eastAsia"/>
          <w:lang w:val="en-US" w:eastAsia="zh-CN"/>
        </w:rPr>
        <w:t>法，</w:t>
      </w:r>
      <w:r>
        <w:rPr>
          <w:rFonts w:hint="eastAsia"/>
          <w:lang w:eastAsia="zh-CN"/>
        </w:rPr>
        <w:t>对</w:t>
      </w:r>
      <w:r>
        <w:rPr>
          <w:rFonts w:hint="eastAsia"/>
          <w:lang w:val="en-US" w:eastAsia="zh-CN"/>
        </w:rPr>
        <w:t>该项目</w:t>
      </w:r>
      <w:r>
        <w:rPr>
          <w:rFonts w:hint="eastAsia"/>
          <w:lang w:eastAsia="zh-CN"/>
        </w:rPr>
        <w:t>安全标志</w:t>
      </w:r>
      <w:r>
        <w:rPr>
          <w:rFonts w:hint="eastAsia"/>
          <w:lang w:val="en-US" w:eastAsia="zh-CN"/>
        </w:rPr>
        <w:t>单元，</w:t>
      </w:r>
      <w:r>
        <w:rPr>
          <w:rFonts w:hint="eastAsia"/>
          <w:lang w:eastAsia="zh-CN"/>
        </w:rPr>
        <w:t>进行符合性评价（</w:t>
      </w:r>
      <w:r>
        <w:rPr>
          <w:rFonts w:hint="eastAsia"/>
          <w:lang w:val="en-US" w:eastAsia="zh-CN"/>
        </w:rPr>
        <w:t>见表3.8-1</w:t>
      </w:r>
      <w:r>
        <w:rPr>
          <w:rFonts w:hint="eastAsia"/>
          <w:lang w:eastAsia="zh-CN"/>
        </w:rPr>
        <w:t>）。</w:t>
      </w:r>
    </w:p>
    <w:p w14:paraId="270DCB5C">
      <w:pPr>
        <w:pStyle w:val="26"/>
        <w:bidi w:val="0"/>
      </w:pPr>
      <w:r>
        <w:t>表3</w:t>
      </w:r>
      <w:r>
        <w:rPr>
          <w:rFonts w:hint="eastAsia"/>
          <w:lang w:val="en-US" w:eastAsia="zh-CN"/>
        </w:rPr>
        <w:t>.</w:t>
      </w:r>
      <w:r>
        <w:t>8-1  安全标志符合性安全检查表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9"/>
        <w:gridCol w:w="1969"/>
        <w:gridCol w:w="2005"/>
        <w:gridCol w:w="1582"/>
        <w:gridCol w:w="1652"/>
        <w:gridCol w:w="692"/>
      </w:tblGrid>
      <w:tr w14:paraId="03764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63" w:type="pct"/>
            <w:noWrap w:val="0"/>
            <w:vAlign w:val="center"/>
          </w:tcPr>
          <w:p w14:paraId="70F4C14E">
            <w:pPr>
              <w:pStyle w:val="27"/>
              <w:bidi w:val="0"/>
              <w:rPr>
                <w:sz w:val="21"/>
                <w:szCs w:val="21"/>
              </w:rPr>
            </w:pPr>
            <w:r>
              <w:rPr>
                <w:sz w:val="21"/>
                <w:szCs w:val="21"/>
              </w:rPr>
              <w:t>序号</w:t>
            </w:r>
          </w:p>
        </w:tc>
        <w:tc>
          <w:tcPr>
            <w:tcW w:w="1155" w:type="pct"/>
            <w:noWrap w:val="0"/>
            <w:vAlign w:val="center"/>
          </w:tcPr>
          <w:p w14:paraId="4D10DEB1">
            <w:pPr>
              <w:pStyle w:val="27"/>
              <w:bidi w:val="0"/>
              <w:rPr>
                <w:sz w:val="21"/>
                <w:szCs w:val="21"/>
              </w:rPr>
            </w:pPr>
            <w:r>
              <w:rPr>
                <w:sz w:val="21"/>
                <w:szCs w:val="21"/>
              </w:rPr>
              <w:t>检查内容</w:t>
            </w:r>
          </w:p>
        </w:tc>
        <w:tc>
          <w:tcPr>
            <w:tcW w:w="1176" w:type="pct"/>
            <w:noWrap w:val="0"/>
            <w:vAlign w:val="center"/>
          </w:tcPr>
          <w:p w14:paraId="5E0B35C4">
            <w:pPr>
              <w:pStyle w:val="27"/>
              <w:bidi w:val="0"/>
              <w:rPr>
                <w:sz w:val="21"/>
                <w:szCs w:val="21"/>
              </w:rPr>
            </w:pPr>
            <w:r>
              <w:rPr>
                <w:sz w:val="21"/>
                <w:szCs w:val="21"/>
              </w:rPr>
              <w:t>检查依据</w:t>
            </w:r>
          </w:p>
        </w:tc>
        <w:tc>
          <w:tcPr>
            <w:tcW w:w="928" w:type="pct"/>
            <w:noWrap w:val="0"/>
            <w:vAlign w:val="center"/>
          </w:tcPr>
          <w:p w14:paraId="529ABC92">
            <w:pPr>
              <w:pStyle w:val="27"/>
              <w:bidi w:val="0"/>
              <w:rPr>
                <w:sz w:val="21"/>
                <w:szCs w:val="21"/>
              </w:rPr>
            </w:pPr>
            <w:r>
              <w:rPr>
                <w:sz w:val="21"/>
                <w:szCs w:val="21"/>
              </w:rPr>
              <w:t>检查方法</w:t>
            </w:r>
          </w:p>
        </w:tc>
        <w:tc>
          <w:tcPr>
            <w:tcW w:w="969" w:type="pct"/>
            <w:noWrap w:val="0"/>
            <w:vAlign w:val="center"/>
          </w:tcPr>
          <w:p w14:paraId="1B0F8A15">
            <w:pPr>
              <w:pStyle w:val="27"/>
              <w:bidi w:val="0"/>
              <w:rPr>
                <w:sz w:val="21"/>
                <w:szCs w:val="21"/>
              </w:rPr>
            </w:pPr>
            <w:r>
              <w:rPr>
                <w:sz w:val="21"/>
                <w:szCs w:val="21"/>
              </w:rPr>
              <w:t>建设情况</w:t>
            </w:r>
          </w:p>
        </w:tc>
        <w:tc>
          <w:tcPr>
            <w:tcW w:w="406" w:type="pct"/>
            <w:noWrap w:val="0"/>
            <w:vAlign w:val="center"/>
          </w:tcPr>
          <w:p w14:paraId="5C64E94F">
            <w:pPr>
              <w:pStyle w:val="27"/>
              <w:bidi w:val="0"/>
              <w:rPr>
                <w:sz w:val="21"/>
                <w:szCs w:val="21"/>
              </w:rPr>
            </w:pPr>
            <w:r>
              <w:rPr>
                <w:sz w:val="21"/>
                <w:szCs w:val="21"/>
              </w:rPr>
              <w:t>检查</w:t>
            </w:r>
          </w:p>
          <w:p w14:paraId="567B42EB">
            <w:pPr>
              <w:pStyle w:val="27"/>
              <w:bidi w:val="0"/>
              <w:rPr>
                <w:sz w:val="21"/>
                <w:szCs w:val="21"/>
              </w:rPr>
            </w:pPr>
            <w:r>
              <w:rPr>
                <w:sz w:val="21"/>
                <w:szCs w:val="21"/>
              </w:rPr>
              <w:t>结果</w:t>
            </w:r>
          </w:p>
        </w:tc>
      </w:tr>
      <w:tr w14:paraId="095B1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noWrap w:val="0"/>
            <w:vAlign w:val="center"/>
          </w:tcPr>
          <w:p w14:paraId="245B4ADA">
            <w:pPr>
              <w:pStyle w:val="27"/>
              <w:bidi w:val="0"/>
              <w:rPr>
                <w:sz w:val="21"/>
                <w:szCs w:val="21"/>
              </w:rPr>
            </w:pPr>
            <w:r>
              <w:rPr>
                <w:sz w:val="21"/>
                <w:szCs w:val="21"/>
              </w:rPr>
              <w:t>1</w:t>
            </w:r>
          </w:p>
        </w:tc>
        <w:tc>
          <w:tcPr>
            <w:tcW w:w="1155" w:type="pct"/>
            <w:noWrap w:val="0"/>
            <w:vAlign w:val="center"/>
          </w:tcPr>
          <w:p w14:paraId="40A7B332">
            <w:pPr>
              <w:pStyle w:val="27"/>
              <w:bidi w:val="0"/>
              <w:rPr>
                <w:sz w:val="21"/>
                <w:szCs w:val="21"/>
              </w:rPr>
            </w:pPr>
            <w:r>
              <w:rPr>
                <w:sz w:val="21"/>
                <w:szCs w:val="21"/>
              </w:rPr>
              <w:t>检查内容：矿山企业的要害岗位、重要设备和设施及危险区域，是否根据其可能出现的事故模式，设施相应的符合GB14161要求的安全警示标志。</w:t>
            </w:r>
          </w:p>
        </w:tc>
        <w:tc>
          <w:tcPr>
            <w:tcW w:w="1176" w:type="pct"/>
            <w:noWrap w:val="0"/>
            <w:vAlign w:val="center"/>
          </w:tcPr>
          <w:p w14:paraId="75AEFB03">
            <w:pPr>
              <w:pStyle w:val="27"/>
              <w:bidi w:val="0"/>
              <w:rPr>
                <w:sz w:val="21"/>
                <w:szCs w:val="21"/>
              </w:rPr>
            </w:pPr>
            <w:r>
              <w:rPr>
                <w:sz w:val="21"/>
                <w:szCs w:val="21"/>
              </w:rPr>
              <w:t>《国家安全监管总局关于印发金属非金属矿山建设项目安全评价报告编写提纲的通知》（安监总管一〔2016〕49号）</w:t>
            </w:r>
          </w:p>
        </w:tc>
        <w:tc>
          <w:tcPr>
            <w:tcW w:w="928" w:type="pct"/>
            <w:noWrap w:val="0"/>
            <w:vAlign w:val="center"/>
          </w:tcPr>
          <w:p w14:paraId="7FA4D58C">
            <w:pPr>
              <w:pStyle w:val="27"/>
              <w:bidi w:val="0"/>
              <w:rPr>
                <w:sz w:val="21"/>
                <w:szCs w:val="21"/>
              </w:rPr>
            </w:pPr>
            <w:r>
              <w:rPr>
                <w:sz w:val="21"/>
                <w:szCs w:val="21"/>
              </w:rPr>
              <w:t>现场检查</w:t>
            </w:r>
          </w:p>
        </w:tc>
        <w:tc>
          <w:tcPr>
            <w:tcW w:w="969" w:type="pct"/>
            <w:noWrap w:val="0"/>
            <w:vAlign w:val="center"/>
          </w:tcPr>
          <w:p w14:paraId="24FD6DBC">
            <w:pPr>
              <w:pStyle w:val="27"/>
              <w:bidi w:val="0"/>
              <w:rPr>
                <w:sz w:val="21"/>
                <w:szCs w:val="21"/>
              </w:rPr>
            </w:pPr>
            <w:r>
              <w:rPr>
                <w:sz w:val="21"/>
                <w:szCs w:val="21"/>
              </w:rPr>
              <w:t>矿山在采场、运输道路、工业场地、矿区边界等危险位置设置了相应的安全警示标志标语。</w:t>
            </w:r>
          </w:p>
        </w:tc>
        <w:tc>
          <w:tcPr>
            <w:tcW w:w="406" w:type="pct"/>
            <w:noWrap w:val="0"/>
            <w:vAlign w:val="center"/>
          </w:tcPr>
          <w:p w14:paraId="173DEBA0">
            <w:pPr>
              <w:pStyle w:val="27"/>
              <w:bidi w:val="0"/>
              <w:rPr>
                <w:sz w:val="21"/>
                <w:szCs w:val="21"/>
              </w:rPr>
            </w:pPr>
            <w:r>
              <w:rPr>
                <w:sz w:val="21"/>
                <w:szCs w:val="21"/>
              </w:rPr>
              <w:t>符合</w:t>
            </w:r>
          </w:p>
        </w:tc>
      </w:tr>
      <w:tr w14:paraId="53BD1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noWrap w:val="0"/>
            <w:vAlign w:val="center"/>
          </w:tcPr>
          <w:p w14:paraId="57A88390">
            <w:pPr>
              <w:pStyle w:val="27"/>
              <w:bidi w:val="0"/>
              <w:rPr>
                <w:sz w:val="21"/>
                <w:szCs w:val="21"/>
              </w:rPr>
            </w:pPr>
            <w:r>
              <w:rPr>
                <w:sz w:val="21"/>
                <w:szCs w:val="21"/>
              </w:rPr>
              <w:t>2</w:t>
            </w:r>
          </w:p>
        </w:tc>
        <w:tc>
          <w:tcPr>
            <w:tcW w:w="1155" w:type="pct"/>
            <w:noWrap w:val="0"/>
            <w:vAlign w:val="center"/>
          </w:tcPr>
          <w:p w14:paraId="45F557CF">
            <w:pPr>
              <w:pStyle w:val="27"/>
              <w:bidi w:val="0"/>
              <w:rPr>
                <w:sz w:val="21"/>
                <w:szCs w:val="21"/>
              </w:rPr>
            </w:pPr>
            <w:r>
              <w:rPr>
                <w:rFonts w:hint="eastAsia"/>
                <w:sz w:val="21"/>
                <w:szCs w:val="21"/>
              </w:rPr>
              <w:t>矿区</w:t>
            </w:r>
            <w:r>
              <w:rPr>
                <w:sz w:val="21"/>
                <w:szCs w:val="21"/>
              </w:rPr>
              <w:t>各危险区域均应设置安全警示标志。</w:t>
            </w:r>
          </w:p>
        </w:tc>
        <w:tc>
          <w:tcPr>
            <w:tcW w:w="1176" w:type="pct"/>
            <w:noWrap w:val="0"/>
            <w:vAlign w:val="center"/>
          </w:tcPr>
          <w:p w14:paraId="76C46268">
            <w:pPr>
              <w:pStyle w:val="27"/>
              <w:bidi w:val="0"/>
              <w:rPr>
                <w:sz w:val="21"/>
                <w:szCs w:val="21"/>
              </w:rPr>
            </w:pPr>
            <w:r>
              <w:rPr>
                <w:sz w:val="21"/>
                <w:szCs w:val="21"/>
              </w:rPr>
              <w:t>《安全设施</w:t>
            </w:r>
            <w:r>
              <w:rPr>
                <w:rFonts w:hint="eastAsia"/>
                <w:sz w:val="21"/>
                <w:szCs w:val="21"/>
              </w:rPr>
              <w:t>设计</w:t>
            </w:r>
            <w:r>
              <w:rPr>
                <w:sz w:val="21"/>
                <w:szCs w:val="21"/>
              </w:rPr>
              <w:t>》</w:t>
            </w:r>
          </w:p>
        </w:tc>
        <w:tc>
          <w:tcPr>
            <w:tcW w:w="928" w:type="pct"/>
            <w:noWrap w:val="0"/>
            <w:vAlign w:val="center"/>
          </w:tcPr>
          <w:p w14:paraId="6045623E">
            <w:pPr>
              <w:pStyle w:val="27"/>
              <w:bidi w:val="0"/>
              <w:rPr>
                <w:sz w:val="21"/>
                <w:szCs w:val="21"/>
              </w:rPr>
            </w:pPr>
            <w:r>
              <w:rPr>
                <w:sz w:val="21"/>
                <w:szCs w:val="21"/>
              </w:rPr>
              <w:t>现场检查</w:t>
            </w:r>
          </w:p>
        </w:tc>
        <w:tc>
          <w:tcPr>
            <w:tcW w:w="969" w:type="pct"/>
            <w:noWrap w:val="0"/>
            <w:vAlign w:val="center"/>
          </w:tcPr>
          <w:p w14:paraId="4EEB1476">
            <w:pPr>
              <w:pStyle w:val="27"/>
              <w:bidi w:val="0"/>
              <w:rPr>
                <w:sz w:val="21"/>
                <w:szCs w:val="21"/>
              </w:rPr>
            </w:pPr>
            <w:r>
              <w:rPr>
                <w:sz w:val="21"/>
                <w:szCs w:val="21"/>
              </w:rPr>
              <w:t>设置了相应的安全警示标志。</w:t>
            </w:r>
          </w:p>
        </w:tc>
        <w:tc>
          <w:tcPr>
            <w:tcW w:w="406" w:type="pct"/>
            <w:noWrap w:val="0"/>
            <w:vAlign w:val="center"/>
          </w:tcPr>
          <w:p w14:paraId="62D6209C">
            <w:pPr>
              <w:pStyle w:val="27"/>
              <w:bidi w:val="0"/>
              <w:rPr>
                <w:sz w:val="21"/>
                <w:szCs w:val="21"/>
              </w:rPr>
            </w:pPr>
            <w:r>
              <w:rPr>
                <w:sz w:val="21"/>
                <w:szCs w:val="21"/>
              </w:rPr>
              <w:t>符合</w:t>
            </w:r>
          </w:p>
        </w:tc>
      </w:tr>
      <w:tr w14:paraId="3AD4F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3" w:type="pct"/>
            <w:noWrap w:val="0"/>
            <w:vAlign w:val="center"/>
          </w:tcPr>
          <w:p w14:paraId="5A074606">
            <w:pPr>
              <w:pStyle w:val="27"/>
              <w:bidi w:val="0"/>
              <w:rPr>
                <w:sz w:val="21"/>
                <w:szCs w:val="21"/>
              </w:rPr>
            </w:pPr>
            <w:r>
              <w:rPr>
                <w:sz w:val="21"/>
                <w:szCs w:val="21"/>
              </w:rPr>
              <w:t>3</w:t>
            </w:r>
          </w:p>
        </w:tc>
        <w:tc>
          <w:tcPr>
            <w:tcW w:w="1155" w:type="pct"/>
            <w:noWrap w:val="0"/>
            <w:vAlign w:val="center"/>
          </w:tcPr>
          <w:p w14:paraId="5DCB088D">
            <w:pPr>
              <w:pStyle w:val="27"/>
              <w:bidi w:val="0"/>
              <w:rPr>
                <w:sz w:val="21"/>
                <w:szCs w:val="21"/>
              </w:rPr>
            </w:pPr>
            <w:r>
              <w:rPr>
                <w:sz w:val="21"/>
                <w:szCs w:val="21"/>
              </w:rPr>
              <w:t>所设各类安全标志应牢固、醒目、易于识别，真正起到应有警示作用。</w:t>
            </w:r>
          </w:p>
        </w:tc>
        <w:tc>
          <w:tcPr>
            <w:tcW w:w="1176" w:type="pct"/>
            <w:noWrap w:val="0"/>
            <w:vAlign w:val="center"/>
          </w:tcPr>
          <w:p w14:paraId="2340D83A">
            <w:pPr>
              <w:pStyle w:val="27"/>
              <w:bidi w:val="0"/>
              <w:rPr>
                <w:sz w:val="21"/>
                <w:szCs w:val="21"/>
              </w:rPr>
            </w:pPr>
            <w:r>
              <w:rPr>
                <w:sz w:val="21"/>
                <w:szCs w:val="21"/>
              </w:rPr>
              <w:t>《安全设施</w:t>
            </w:r>
            <w:r>
              <w:rPr>
                <w:rFonts w:hint="eastAsia"/>
                <w:sz w:val="21"/>
                <w:szCs w:val="21"/>
              </w:rPr>
              <w:t>设计</w:t>
            </w:r>
            <w:r>
              <w:rPr>
                <w:sz w:val="21"/>
                <w:szCs w:val="21"/>
              </w:rPr>
              <w:t>》</w:t>
            </w:r>
          </w:p>
        </w:tc>
        <w:tc>
          <w:tcPr>
            <w:tcW w:w="928" w:type="pct"/>
            <w:noWrap w:val="0"/>
            <w:vAlign w:val="center"/>
          </w:tcPr>
          <w:p w14:paraId="75CA2203">
            <w:pPr>
              <w:pStyle w:val="27"/>
              <w:bidi w:val="0"/>
              <w:rPr>
                <w:sz w:val="21"/>
                <w:szCs w:val="21"/>
              </w:rPr>
            </w:pPr>
            <w:r>
              <w:rPr>
                <w:sz w:val="21"/>
                <w:szCs w:val="21"/>
              </w:rPr>
              <w:t>现场检查</w:t>
            </w:r>
          </w:p>
        </w:tc>
        <w:tc>
          <w:tcPr>
            <w:tcW w:w="969" w:type="pct"/>
            <w:noWrap w:val="0"/>
            <w:vAlign w:val="center"/>
          </w:tcPr>
          <w:p w14:paraId="1CB9E0E0">
            <w:pPr>
              <w:pStyle w:val="27"/>
              <w:bidi w:val="0"/>
              <w:rPr>
                <w:rFonts w:hint="eastAsia"/>
                <w:sz w:val="21"/>
                <w:szCs w:val="21"/>
              </w:rPr>
            </w:pPr>
            <w:r>
              <w:rPr>
                <w:rFonts w:hint="eastAsia"/>
                <w:sz w:val="21"/>
                <w:szCs w:val="21"/>
              </w:rPr>
              <w:t>设置的标志牌为钢材底座，铁牌标识，牢固醒目。</w:t>
            </w:r>
          </w:p>
        </w:tc>
        <w:tc>
          <w:tcPr>
            <w:tcW w:w="406" w:type="pct"/>
            <w:noWrap w:val="0"/>
            <w:vAlign w:val="center"/>
          </w:tcPr>
          <w:p w14:paraId="5469577C">
            <w:pPr>
              <w:pStyle w:val="27"/>
              <w:bidi w:val="0"/>
              <w:rPr>
                <w:sz w:val="21"/>
                <w:szCs w:val="21"/>
              </w:rPr>
            </w:pPr>
            <w:r>
              <w:rPr>
                <w:sz w:val="21"/>
                <w:szCs w:val="21"/>
              </w:rPr>
              <w:t>符合</w:t>
            </w:r>
          </w:p>
        </w:tc>
      </w:tr>
    </w:tbl>
    <w:p w14:paraId="26E34CA0">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rPr>
      </w:pPr>
      <w:r>
        <w:rPr>
          <w:rFonts w:hint="eastAsia"/>
        </w:rPr>
        <w:t>评价单元小结：</w:t>
      </w:r>
    </w:p>
    <w:p w14:paraId="35F46345">
      <w:pPr>
        <w:pStyle w:val="18"/>
        <w:bidi w:val="0"/>
        <w:rPr>
          <w:b/>
          <w:bCs/>
        </w:rPr>
      </w:pPr>
      <w:r>
        <w:rPr>
          <w:rFonts w:hint="eastAsia"/>
        </w:rPr>
        <w:t>通过对安全标志单元的</w:t>
      </w:r>
      <w:r>
        <w:rPr>
          <w:rFonts w:hint="eastAsia"/>
          <w:lang w:val="en-US" w:eastAsia="zh-CN"/>
        </w:rPr>
        <w:t>3</w:t>
      </w:r>
      <w:r>
        <w:rPr>
          <w:rFonts w:hint="eastAsia"/>
        </w:rPr>
        <w:t>项检查中，符合要求。检查结果表明，海城市荣富耐火材料有限公司镁矿（菱镁石、滑石）露天矿山建设项目安全标志单元符合设计要求，能够满足矿山安全生产条件。</w:t>
      </w:r>
    </w:p>
    <w:p w14:paraId="332F1383">
      <w:pPr>
        <w:pStyle w:val="24"/>
        <w:bidi w:val="0"/>
        <w:ind w:left="0" w:leftChars="0" w:firstLine="0" w:firstLineChars="0"/>
      </w:pPr>
      <w:bookmarkStart w:id="243" w:name="_Toc20754"/>
      <w:bookmarkStart w:id="244" w:name="_Toc3109"/>
      <w:bookmarkStart w:id="245" w:name="_Toc18826"/>
      <w:bookmarkStart w:id="246" w:name="_Toc12270"/>
      <w:bookmarkStart w:id="247" w:name="_Toc5563"/>
      <w:bookmarkStart w:id="248" w:name="_Toc1504"/>
      <w:bookmarkStart w:id="249" w:name="_Toc25320"/>
      <w:bookmarkStart w:id="250" w:name="_Toc13450"/>
      <w:bookmarkStart w:id="251" w:name="_Toc7764"/>
      <w:bookmarkStart w:id="252" w:name="_Toc26466"/>
      <w:bookmarkStart w:id="253" w:name="_Toc19758"/>
      <w:bookmarkStart w:id="254" w:name="_Toc29919"/>
      <w:bookmarkStart w:id="255" w:name="_Toc20198"/>
      <w:bookmarkStart w:id="256" w:name="_Toc7178"/>
      <w:bookmarkStart w:id="257" w:name="_Toc18369"/>
      <w:bookmarkStart w:id="258" w:name="_Toc8319"/>
      <w:bookmarkStart w:id="259" w:name="_Toc31550"/>
      <w:bookmarkStart w:id="260" w:name="_Toc6568"/>
      <w:bookmarkStart w:id="261" w:name="_Toc19568"/>
      <w:bookmarkStart w:id="262" w:name="_Toc16551"/>
      <w:r>
        <w:t>安全管理</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p>
    <w:p w14:paraId="5C4A8D2E">
      <w:pPr>
        <w:pStyle w:val="25"/>
        <w:bidi w:val="0"/>
        <w:ind w:left="720" w:leftChars="0" w:hanging="720" w:firstLineChars="0"/>
        <w:rPr>
          <w:rFonts w:hint="eastAsia"/>
        </w:rPr>
      </w:pPr>
      <w:bookmarkStart w:id="263" w:name="_Toc16131"/>
      <w:bookmarkStart w:id="264" w:name="_Toc16158"/>
      <w:bookmarkStart w:id="265" w:name="_Toc5567"/>
      <w:bookmarkStart w:id="266" w:name="_Toc12704"/>
      <w:bookmarkStart w:id="267" w:name="_Toc12597"/>
      <w:bookmarkStart w:id="268" w:name="_Toc5140"/>
      <w:bookmarkStart w:id="269" w:name="_Toc27032"/>
      <w:bookmarkStart w:id="270" w:name="_Toc7524"/>
      <w:bookmarkStart w:id="271" w:name="_Toc21266"/>
      <w:bookmarkStart w:id="272" w:name="_Toc15028"/>
      <w:bookmarkStart w:id="273" w:name="_Toc304"/>
      <w:bookmarkStart w:id="274" w:name="_Toc14753"/>
      <w:bookmarkStart w:id="275" w:name="_Toc8739"/>
      <w:r>
        <w:rPr>
          <w:rFonts w:hint="eastAsia"/>
        </w:rPr>
        <w:t>组织与制度</w:t>
      </w:r>
      <w:bookmarkEnd w:id="263"/>
      <w:bookmarkEnd w:id="264"/>
      <w:bookmarkEnd w:id="265"/>
      <w:bookmarkEnd w:id="266"/>
      <w:bookmarkEnd w:id="267"/>
      <w:bookmarkEnd w:id="268"/>
      <w:bookmarkEnd w:id="269"/>
      <w:bookmarkEnd w:id="270"/>
      <w:bookmarkEnd w:id="271"/>
      <w:bookmarkEnd w:id="272"/>
      <w:bookmarkEnd w:id="273"/>
      <w:bookmarkEnd w:id="274"/>
      <w:bookmarkEnd w:id="275"/>
    </w:p>
    <w:p w14:paraId="29D6CDA1">
      <w:pPr>
        <w:pStyle w:val="18"/>
        <w:bidi w:val="0"/>
      </w:pPr>
      <w:r>
        <w:t>根据《中华人民共和国安全生产法》、《安全设施</w:t>
      </w:r>
      <w:r>
        <w:rPr>
          <w:rFonts w:hint="eastAsia"/>
        </w:rPr>
        <w:t>设计</w:t>
      </w:r>
      <w:r>
        <w:t>》</w:t>
      </w:r>
      <w:r>
        <w:rPr>
          <w:rFonts w:hint="eastAsia"/>
          <w:lang w:eastAsia="zh-CN"/>
        </w:rPr>
        <w:t>，</w:t>
      </w:r>
      <w:r>
        <w:rPr>
          <w:rFonts w:hint="eastAsia"/>
          <w:lang w:val="en-US" w:eastAsia="zh-CN"/>
        </w:rPr>
        <w:t>评价组</w:t>
      </w:r>
      <w:r>
        <w:rPr>
          <w:rFonts w:hint="eastAsia"/>
          <w:lang w:eastAsia="zh-CN"/>
        </w:rPr>
        <w:t>采用安全检查表</w:t>
      </w:r>
      <w:r>
        <w:rPr>
          <w:rFonts w:hint="eastAsia"/>
          <w:lang w:val="en-US" w:eastAsia="zh-CN"/>
        </w:rPr>
        <w:t>法，</w:t>
      </w:r>
      <w:r>
        <w:rPr>
          <w:rFonts w:hint="eastAsia"/>
          <w:lang w:eastAsia="zh-CN"/>
        </w:rPr>
        <w:t>对</w:t>
      </w:r>
      <w:r>
        <w:rPr>
          <w:rFonts w:hint="eastAsia"/>
          <w:lang w:val="en-US" w:eastAsia="zh-CN"/>
        </w:rPr>
        <w:t>该项目</w:t>
      </w:r>
      <w:r>
        <w:rPr>
          <w:rFonts w:hint="eastAsia"/>
          <w:lang w:eastAsia="zh-CN"/>
        </w:rPr>
        <w:t>矿山组织与制度</w:t>
      </w:r>
      <w:r>
        <w:rPr>
          <w:rFonts w:hint="eastAsia"/>
          <w:lang w:val="en-US" w:eastAsia="zh-CN"/>
        </w:rPr>
        <w:t>单元，</w:t>
      </w:r>
      <w:r>
        <w:rPr>
          <w:rFonts w:hint="eastAsia"/>
          <w:lang w:eastAsia="zh-CN"/>
        </w:rPr>
        <w:t>进行符合性</w:t>
      </w:r>
      <w:r>
        <w:rPr>
          <w:rFonts w:hint="eastAsia"/>
          <w:lang w:val="en-US" w:eastAsia="zh-CN"/>
        </w:rPr>
        <w:t>检查、</w:t>
      </w:r>
      <w:r>
        <w:rPr>
          <w:rFonts w:hint="eastAsia"/>
          <w:lang w:eastAsia="zh-CN"/>
        </w:rPr>
        <w:t>评价（</w:t>
      </w:r>
      <w:r>
        <w:rPr>
          <w:rFonts w:hint="eastAsia"/>
          <w:lang w:val="en-US" w:eastAsia="zh-CN"/>
        </w:rPr>
        <w:t>见表3.9-1</w:t>
      </w:r>
      <w:r>
        <w:rPr>
          <w:rFonts w:hint="eastAsia"/>
          <w:lang w:eastAsia="zh-CN"/>
        </w:rPr>
        <w:t>）。</w:t>
      </w:r>
    </w:p>
    <w:p w14:paraId="2B5E794F">
      <w:pPr>
        <w:pStyle w:val="26"/>
        <w:bidi w:val="0"/>
      </w:pPr>
      <w:r>
        <w:t>表3</w:t>
      </w:r>
      <w:r>
        <w:rPr>
          <w:rFonts w:hint="eastAsia"/>
          <w:lang w:val="en-US" w:eastAsia="zh-CN"/>
        </w:rPr>
        <w:t>.</w:t>
      </w:r>
      <w:r>
        <w:t>9-1 组织与制度符合性安全检查表</w:t>
      </w:r>
    </w:p>
    <w:tbl>
      <w:tblPr>
        <w:tblStyle w:val="20"/>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9"/>
        <w:gridCol w:w="2507"/>
        <w:gridCol w:w="1384"/>
        <w:gridCol w:w="1418"/>
        <w:gridCol w:w="1916"/>
        <w:gridCol w:w="653"/>
      </w:tblGrid>
      <w:tr w14:paraId="3724E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75" w:type="pct"/>
            <w:noWrap w:val="0"/>
            <w:vAlign w:val="center"/>
          </w:tcPr>
          <w:p w14:paraId="1DEE005B">
            <w:pPr>
              <w:pStyle w:val="27"/>
              <w:bidi w:val="0"/>
              <w:rPr>
                <w:b/>
                <w:bCs/>
                <w:sz w:val="21"/>
                <w:szCs w:val="21"/>
              </w:rPr>
            </w:pPr>
            <w:r>
              <w:rPr>
                <w:b/>
                <w:bCs/>
                <w:sz w:val="21"/>
                <w:szCs w:val="21"/>
              </w:rPr>
              <w:t>序号</w:t>
            </w:r>
          </w:p>
        </w:tc>
        <w:tc>
          <w:tcPr>
            <w:tcW w:w="1471" w:type="pct"/>
            <w:noWrap w:val="0"/>
            <w:vAlign w:val="center"/>
          </w:tcPr>
          <w:p w14:paraId="65422CD0">
            <w:pPr>
              <w:pStyle w:val="27"/>
              <w:bidi w:val="0"/>
              <w:rPr>
                <w:b/>
                <w:bCs/>
                <w:sz w:val="21"/>
                <w:szCs w:val="21"/>
              </w:rPr>
            </w:pPr>
            <w:r>
              <w:rPr>
                <w:b/>
                <w:bCs/>
                <w:sz w:val="21"/>
                <w:szCs w:val="21"/>
              </w:rPr>
              <w:t>检查内容</w:t>
            </w:r>
          </w:p>
        </w:tc>
        <w:tc>
          <w:tcPr>
            <w:tcW w:w="812" w:type="pct"/>
            <w:noWrap w:val="0"/>
            <w:vAlign w:val="center"/>
          </w:tcPr>
          <w:p w14:paraId="35061BAE">
            <w:pPr>
              <w:pStyle w:val="27"/>
              <w:bidi w:val="0"/>
              <w:rPr>
                <w:b/>
                <w:bCs/>
                <w:sz w:val="21"/>
                <w:szCs w:val="21"/>
              </w:rPr>
            </w:pPr>
            <w:r>
              <w:rPr>
                <w:b/>
                <w:bCs/>
                <w:sz w:val="21"/>
                <w:szCs w:val="21"/>
              </w:rPr>
              <w:t>检查依据</w:t>
            </w:r>
          </w:p>
        </w:tc>
        <w:tc>
          <w:tcPr>
            <w:tcW w:w="832" w:type="pct"/>
            <w:noWrap w:val="0"/>
            <w:vAlign w:val="center"/>
          </w:tcPr>
          <w:p w14:paraId="01A41469">
            <w:pPr>
              <w:pStyle w:val="27"/>
              <w:bidi w:val="0"/>
              <w:rPr>
                <w:b/>
                <w:bCs/>
                <w:sz w:val="21"/>
                <w:szCs w:val="21"/>
              </w:rPr>
            </w:pPr>
            <w:r>
              <w:rPr>
                <w:b/>
                <w:bCs/>
                <w:sz w:val="21"/>
                <w:szCs w:val="21"/>
              </w:rPr>
              <w:t>检查方法</w:t>
            </w:r>
          </w:p>
        </w:tc>
        <w:tc>
          <w:tcPr>
            <w:tcW w:w="1124" w:type="pct"/>
            <w:noWrap w:val="0"/>
            <w:vAlign w:val="center"/>
          </w:tcPr>
          <w:p w14:paraId="16583C41">
            <w:pPr>
              <w:pStyle w:val="27"/>
              <w:bidi w:val="0"/>
              <w:rPr>
                <w:b/>
                <w:bCs/>
                <w:sz w:val="21"/>
                <w:szCs w:val="21"/>
              </w:rPr>
            </w:pPr>
            <w:r>
              <w:rPr>
                <w:b/>
                <w:bCs/>
                <w:sz w:val="21"/>
                <w:szCs w:val="21"/>
              </w:rPr>
              <w:t>建设情况</w:t>
            </w:r>
          </w:p>
        </w:tc>
        <w:tc>
          <w:tcPr>
            <w:tcW w:w="383" w:type="pct"/>
            <w:noWrap w:val="0"/>
            <w:vAlign w:val="center"/>
          </w:tcPr>
          <w:p w14:paraId="03BA9E85">
            <w:pPr>
              <w:pStyle w:val="27"/>
              <w:bidi w:val="0"/>
              <w:rPr>
                <w:b/>
                <w:bCs/>
                <w:sz w:val="21"/>
                <w:szCs w:val="21"/>
              </w:rPr>
            </w:pPr>
            <w:r>
              <w:rPr>
                <w:b/>
                <w:bCs/>
                <w:sz w:val="21"/>
                <w:szCs w:val="21"/>
              </w:rPr>
              <w:t>检查</w:t>
            </w:r>
          </w:p>
          <w:p w14:paraId="5D547B6E">
            <w:pPr>
              <w:pStyle w:val="27"/>
              <w:bidi w:val="0"/>
              <w:rPr>
                <w:b/>
                <w:bCs/>
                <w:sz w:val="21"/>
                <w:szCs w:val="21"/>
              </w:rPr>
            </w:pPr>
            <w:r>
              <w:rPr>
                <w:b/>
                <w:bCs/>
                <w:sz w:val="21"/>
                <w:szCs w:val="21"/>
              </w:rPr>
              <w:t>结果</w:t>
            </w:r>
          </w:p>
        </w:tc>
      </w:tr>
      <w:tr w14:paraId="32BD8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3" w:hRule="atLeast"/>
          <w:jc w:val="center"/>
        </w:trPr>
        <w:tc>
          <w:tcPr>
            <w:tcW w:w="375" w:type="pct"/>
            <w:noWrap w:val="0"/>
            <w:vAlign w:val="center"/>
          </w:tcPr>
          <w:p w14:paraId="2E558AAD">
            <w:pPr>
              <w:pStyle w:val="27"/>
              <w:bidi w:val="0"/>
              <w:rPr>
                <w:sz w:val="21"/>
                <w:szCs w:val="21"/>
              </w:rPr>
            </w:pPr>
            <w:r>
              <w:rPr>
                <w:sz w:val="21"/>
                <w:szCs w:val="21"/>
              </w:rPr>
              <w:t>1</w:t>
            </w:r>
          </w:p>
        </w:tc>
        <w:tc>
          <w:tcPr>
            <w:tcW w:w="1471" w:type="pct"/>
            <w:noWrap w:val="0"/>
            <w:vAlign w:val="center"/>
          </w:tcPr>
          <w:p w14:paraId="441B7408">
            <w:pPr>
              <w:pStyle w:val="27"/>
              <w:bidi w:val="0"/>
              <w:rPr>
                <w:sz w:val="21"/>
                <w:szCs w:val="21"/>
              </w:rPr>
            </w:pPr>
            <w:r>
              <w:rPr>
                <w:sz w:val="21"/>
                <w:szCs w:val="21"/>
              </w:rPr>
              <w:t>是否设置安全生产管理机构和配备专职安全生产管理人员。</w:t>
            </w:r>
          </w:p>
        </w:tc>
        <w:tc>
          <w:tcPr>
            <w:tcW w:w="812" w:type="pct"/>
            <w:noWrap w:val="0"/>
            <w:vAlign w:val="center"/>
          </w:tcPr>
          <w:p w14:paraId="1680454E">
            <w:pPr>
              <w:pStyle w:val="27"/>
              <w:bidi w:val="0"/>
              <w:rPr>
                <w:sz w:val="21"/>
                <w:szCs w:val="21"/>
              </w:rPr>
            </w:pPr>
            <w:r>
              <w:rPr>
                <w:sz w:val="21"/>
                <w:szCs w:val="21"/>
              </w:rPr>
              <w:t>《中华人民共和国安全生产法》</w:t>
            </w:r>
          </w:p>
        </w:tc>
        <w:tc>
          <w:tcPr>
            <w:tcW w:w="832" w:type="pct"/>
            <w:noWrap w:val="0"/>
            <w:vAlign w:val="center"/>
          </w:tcPr>
          <w:p w14:paraId="448C8554">
            <w:pPr>
              <w:pStyle w:val="27"/>
              <w:bidi w:val="0"/>
              <w:rPr>
                <w:sz w:val="21"/>
                <w:szCs w:val="21"/>
              </w:rPr>
            </w:pPr>
            <w:r>
              <w:rPr>
                <w:sz w:val="21"/>
                <w:szCs w:val="21"/>
              </w:rPr>
              <w:t>查阅资料</w:t>
            </w:r>
          </w:p>
        </w:tc>
        <w:tc>
          <w:tcPr>
            <w:tcW w:w="1124" w:type="pct"/>
            <w:noWrap w:val="0"/>
            <w:vAlign w:val="center"/>
          </w:tcPr>
          <w:p w14:paraId="3FBC9767">
            <w:pPr>
              <w:pStyle w:val="27"/>
              <w:bidi w:val="0"/>
              <w:rPr>
                <w:sz w:val="21"/>
                <w:szCs w:val="21"/>
              </w:rPr>
            </w:pPr>
            <w:r>
              <w:rPr>
                <w:sz w:val="21"/>
                <w:szCs w:val="21"/>
              </w:rPr>
              <w:t>设置了安全生产管理机构，配备了</w:t>
            </w:r>
            <w:r>
              <w:rPr>
                <w:rFonts w:hint="eastAsia"/>
                <w:sz w:val="21"/>
                <w:szCs w:val="21"/>
                <w:lang w:val="en-US" w:eastAsia="zh-CN"/>
              </w:rPr>
              <w:t>3名</w:t>
            </w:r>
            <w:r>
              <w:rPr>
                <w:sz w:val="21"/>
                <w:szCs w:val="21"/>
              </w:rPr>
              <w:t>专职安全员，证书均在有效期内。</w:t>
            </w:r>
          </w:p>
        </w:tc>
        <w:tc>
          <w:tcPr>
            <w:tcW w:w="383" w:type="pct"/>
            <w:noWrap w:val="0"/>
            <w:vAlign w:val="center"/>
          </w:tcPr>
          <w:p w14:paraId="02E4665E">
            <w:pPr>
              <w:pStyle w:val="27"/>
              <w:bidi w:val="0"/>
              <w:rPr>
                <w:sz w:val="21"/>
                <w:szCs w:val="21"/>
              </w:rPr>
            </w:pPr>
            <w:r>
              <w:rPr>
                <w:sz w:val="21"/>
                <w:szCs w:val="21"/>
              </w:rPr>
              <w:t>符合</w:t>
            </w:r>
          </w:p>
        </w:tc>
      </w:tr>
      <w:tr w14:paraId="181C1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5" w:type="pct"/>
            <w:noWrap w:val="0"/>
            <w:vAlign w:val="center"/>
          </w:tcPr>
          <w:p w14:paraId="7876C93E">
            <w:pPr>
              <w:pStyle w:val="27"/>
              <w:bidi w:val="0"/>
              <w:rPr>
                <w:sz w:val="21"/>
                <w:szCs w:val="21"/>
              </w:rPr>
            </w:pPr>
            <w:r>
              <w:rPr>
                <w:sz w:val="21"/>
                <w:szCs w:val="21"/>
              </w:rPr>
              <w:t>2</w:t>
            </w:r>
          </w:p>
        </w:tc>
        <w:tc>
          <w:tcPr>
            <w:tcW w:w="1471" w:type="pct"/>
            <w:noWrap w:val="0"/>
            <w:vAlign w:val="center"/>
          </w:tcPr>
          <w:p w14:paraId="63CD36D8">
            <w:pPr>
              <w:pStyle w:val="27"/>
              <w:bidi w:val="0"/>
              <w:rPr>
                <w:sz w:val="21"/>
                <w:szCs w:val="21"/>
              </w:rPr>
            </w:pPr>
            <w:r>
              <w:rPr>
                <w:sz w:val="21"/>
                <w:szCs w:val="21"/>
              </w:rPr>
              <w:t>生产经营单位应当对从业人员进行安全生产教育和培训，保证从业人员具备必要的安全生产知识，熟悉有关的安全生产规章制度和安全操作规程，掌握本岗位的安全操作技能。建立安全生产教育和培训档案。</w:t>
            </w:r>
          </w:p>
        </w:tc>
        <w:tc>
          <w:tcPr>
            <w:tcW w:w="812" w:type="pct"/>
            <w:noWrap w:val="0"/>
            <w:vAlign w:val="center"/>
          </w:tcPr>
          <w:p w14:paraId="37BC6D26">
            <w:pPr>
              <w:pStyle w:val="27"/>
              <w:bidi w:val="0"/>
              <w:rPr>
                <w:sz w:val="21"/>
                <w:szCs w:val="21"/>
              </w:rPr>
            </w:pPr>
            <w:r>
              <w:rPr>
                <w:sz w:val="21"/>
                <w:szCs w:val="21"/>
              </w:rPr>
              <w:t>《中华人民共和国安全生产法》</w:t>
            </w:r>
          </w:p>
        </w:tc>
        <w:tc>
          <w:tcPr>
            <w:tcW w:w="832" w:type="pct"/>
            <w:noWrap w:val="0"/>
            <w:vAlign w:val="center"/>
          </w:tcPr>
          <w:p w14:paraId="212ACC38">
            <w:pPr>
              <w:pStyle w:val="27"/>
              <w:bidi w:val="0"/>
              <w:rPr>
                <w:sz w:val="21"/>
                <w:szCs w:val="21"/>
              </w:rPr>
            </w:pPr>
            <w:r>
              <w:rPr>
                <w:sz w:val="21"/>
                <w:szCs w:val="21"/>
              </w:rPr>
              <w:t>查阅资料</w:t>
            </w:r>
          </w:p>
        </w:tc>
        <w:tc>
          <w:tcPr>
            <w:tcW w:w="1124" w:type="pct"/>
            <w:noWrap w:val="0"/>
            <w:vAlign w:val="center"/>
          </w:tcPr>
          <w:p w14:paraId="39B4971F">
            <w:pPr>
              <w:pStyle w:val="27"/>
              <w:bidi w:val="0"/>
              <w:rPr>
                <w:sz w:val="21"/>
                <w:szCs w:val="21"/>
              </w:rPr>
            </w:pPr>
            <w:r>
              <w:rPr>
                <w:sz w:val="21"/>
                <w:szCs w:val="21"/>
              </w:rPr>
              <w:t>进行了安全生产培育和培训，有部分的培训记录、考核记录和管理台帐。</w:t>
            </w:r>
          </w:p>
        </w:tc>
        <w:tc>
          <w:tcPr>
            <w:tcW w:w="383" w:type="pct"/>
            <w:noWrap w:val="0"/>
            <w:vAlign w:val="center"/>
          </w:tcPr>
          <w:p w14:paraId="69C902B7">
            <w:pPr>
              <w:pStyle w:val="27"/>
              <w:bidi w:val="0"/>
              <w:rPr>
                <w:sz w:val="21"/>
                <w:szCs w:val="21"/>
              </w:rPr>
            </w:pPr>
            <w:r>
              <w:rPr>
                <w:sz w:val="21"/>
                <w:szCs w:val="21"/>
              </w:rPr>
              <w:t>符合</w:t>
            </w:r>
          </w:p>
        </w:tc>
      </w:tr>
      <w:tr w14:paraId="12DA47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13" w:hRule="atLeast"/>
          <w:jc w:val="center"/>
        </w:trPr>
        <w:tc>
          <w:tcPr>
            <w:tcW w:w="375" w:type="pct"/>
            <w:noWrap w:val="0"/>
            <w:vAlign w:val="center"/>
          </w:tcPr>
          <w:p w14:paraId="537B1098">
            <w:pPr>
              <w:pStyle w:val="27"/>
              <w:bidi w:val="0"/>
              <w:rPr>
                <w:sz w:val="21"/>
                <w:szCs w:val="21"/>
              </w:rPr>
            </w:pPr>
            <w:r>
              <w:rPr>
                <w:sz w:val="21"/>
                <w:szCs w:val="21"/>
              </w:rPr>
              <w:t>3</w:t>
            </w:r>
          </w:p>
        </w:tc>
        <w:tc>
          <w:tcPr>
            <w:tcW w:w="1471" w:type="pct"/>
            <w:noWrap w:val="0"/>
            <w:vAlign w:val="center"/>
          </w:tcPr>
          <w:p w14:paraId="3D768515">
            <w:pPr>
              <w:pStyle w:val="27"/>
              <w:bidi w:val="0"/>
              <w:rPr>
                <w:sz w:val="21"/>
                <w:szCs w:val="21"/>
              </w:rPr>
            </w:pPr>
            <w:r>
              <w:rPr>
                <w:sz w:val="21"/>
                <w:szCs w:val="21"/>
              </w:rPr>
              <w:t>特种作业人员是否经有关业主主管部门考核合格，取得特种操作资格证书。</w:t>
            </w:r>
          </w:p>
        </w:tc>
        <w:tc>
          <w:tcPr>
            <w:tcW w:w="812" w:type="pct"/>
            <w:noWrap w:val="0"/>
            <w:vAlign w:val="center"/>
          </w:tcPr>
          <w:p w14:paraId="690A435C">
            <w:pPr>
              <w:pStyle w:val="27"/>
              <w:bidi w:val="0"/>
              <w:rPr>
                <w:sz w:val="21"/>
                <w:szCs w:val="21"/>
              </w:rPr>
            </w:pPr>
            <w:r>
              <w:rPr>
                <w:sz w:val="21"/>
                <w:szCs w:val="21"/>
              </w:rPr>
              <w:t>《中华人民共和国安全生产法》</w:t>
            </w:r>
          </w:p>
        </w:tc>
        <w:tc>
          <w:tcPr>
            <w:tcW w:w="832" w:type="pct"/>
            <w:noWrap w:val="0"/>
            <w:vAlign w:val="center"/>
          </w:tcPr>
          <w:p w14:paraId="6EF30C3A">
            <w:pPr>
              <w:pStyle w:val="27"/>
              <w:bidi w:val="0"/>
              <w:rPr>
                <w:sz w:val="21"/>
                <w:szCs w:val="21"/>
              </w:rPr>
            </w:pPr>
            <w:r>
              <w:rPr>
                <w:sz w:val="21"/>
                <w:szCs w:val="21"/>
              </w:rPr>
              <w:t>查阅资料</w:t>
            </w:r>
          </w:p>
        </w:tc>
        <w:tc>
          <w:tcPr>
            <w:tcW w:w="1124" w:type="pct"/>
            <w:noWrap w:val="0"/>
            <w:vAlign w:val="center"/>
          </w:tcPr>
          <w:p w14:paraId="047049E1">
            <w:pPr>
              <w:pStyle w:val="27"/>
              <w:bidi w:val="0"/>
              <w:rPr>
                <w:sz w:val="21"/>
                <w:szCs w:val="21"/>
              </w:rPr>
            </w:pPr>
            <w:r>
              <w:rPr>
                <w:rFonts w:hint="eastAsia"/>
                <w:sz w:val="21"/>
                <w:szCs w:val="21"/>
                <w:lang w:eastAsia="zh-CN"/>
              </w:rPr>
              <w:t>矿山电工和焊工均具备特种作业人员操作证</w:t>
            </w:r>
            <w:r>
              <w:rPr>
                <w:sz w:val="21"/>
                <w:szCs w:val="21"/>
              </w:rPr>
              <w:t>。</w:t>
            </w:r>
          </w:p>
        </w:tc>
        <w:tc>
          <w:tcPr>
            <w:tcW w:w="383" w:type="pct"/>
            <w:noWrap w:val="0"/>
            <w:vAlign w:val="center"/>
          </w:tcPr>
          <w:p w14:paraId="28280372">
            <w:pPr>
              <w:pStyle w:val="27"/>
              <w:bidi w:val="0"/>
              <w:rPr>
                <w:sz w:val="21"/>
                <w:szCs w:val="21"/>
              </w:rPr>
            </w:pPr>
            <w:r>
              <w:rPr>
                <w:sz w:val="21"/>
                <w:szCs w:val="21"/>
              </w:rPr>
              <w:t>符合</w:t>
            </w:r>
          </w:p>
        </w:tc>
      </w:tr>
      <w:tr w14:paraId="12E24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5" w:type="pct"/>
            <w:noWrap w:val="0"/>
            <w:vAlign w:val="center"/>
          </w:tcPr>
          <w:p w14:paraId="17514BCA">
            <w:pPr>
              <w:pStyle w:val="27"/>
              <w:bidi w:val="0"/>
              <w:rPr>
                <w:sz w:val="21"/>
                <w:szCs w:val="21"/>
              </w:rPr>
            </w:pPr>
            <w:r>
              <w:rPr>
                <w:sz w:val="21"/>
                <w:szCs w:val="21"/>
              </w:rPr>
              <w:t>4</w:t>
            </w:r>
          </w:p>
        </w:tc>
        <w:tc>
          <w:tcPr>
            <w:tcW w:w="1471" w:type="pct"/>
            <w:noWrap w:val="0"/>
            <w:vAlign w:val="center"/>
          </w:tcPr>
          <w:p w14:paraId="25380CC9">
            <w:pPr>
              <w:pStyle w:val="27"/>
              <w:bidi w:val="0"/>
              <w:rPr>
                <w:sz w:val="21"/>
                <w:szCs w:val="21"/>
              </w:rPr>
            </w:pPr>
            <w:r>
              <w:rPr>
                <w:sz w:val="21"/>
                <w:szCs w:val="21"/>
              </w:rPr>
              <w:t>检查内容：矿山企业是否建立健全以法定代表人负责制为核心的各级安全生产责任制，健全完善安全目标管理、安全例会、安全检查、安全教育培训、生产技术管理、机电设备管理、劳动管理、安全费用提取与使用、重大危险源监控、安全生产隐患排查治理、安全技术措施审批、劳动防护用品管理、生产安全事故报告和应急管理、安全生产奖惩、安全生产档案管理等制度，以及各类安全技术规程、操作规程等。</w:t>
            </w:r>
          </w:p>
        </w:tc>
        <w:tc>
          <w:tcPr>
            <w:tcW w:w="812" w:type="pct"/>
            <w:noWrap w:val="0"/>
            <w:vAlign w:val="center"/>
          </w:tcPr>
          <w:p w14:paraId="0488CB00">
            <w:pPr>
              <w:pStyle w:val="27"/>
              <w:bidi w:val="0"/>
              <w:rPr>
                <w:sz w:val="21"/>
                <w:szCs w:val="21"/>
              </w:rPr>
            </w:pPr>
            <w:r>
              <w:rPr>
                <w:sz w:val="21"/>
                <w:szCs w:val="21"/>
              </w:rPr>
              <w:t>《</w:t>
            </w:r>
            <w:r>
              <w:rPr>
                <w:rFonts w:hint="eastAsia"/>
                <w:sz w:val="21"/>
                <w:szCs w:val="21"/>
              </w:rPr>
              <w:t>安全设施设计</w:t>
            </w:r>
            <w:r>
              <w:rPr>
                <w:sz w:val="21"/>
                <w:szCs w:val="21"/>
              </w:rPr>
              <w:t>》</w:t>
            </w:r>
          </w:p>
        </w:tc>
        <w:tc>
          <w:tcPr>
            <w:tcW w:w="832" w:type="pct"/>
            <w:noWrap w:val="0"/>
            <w:vAlign w:val="center"/>
          </w:tcPr>
          <w:p w14:paraId="4049C565">
            <w:pPr>
              <w:pStyle w:val="27"/>
              <w:bidi w:val="0"/>
              <w:rPr>
                <w:sz w:val="21"/>
                <w:szCs w:val="21"/>
              </w:rPr>
            </w:pPr>
            <w:r>
              <w:rPr>
                <w:sz w:val="21"/>
                <w:szCs w:val="21"/>
              </w:rPr>
              <w:t>查阅资料</w:t>
            </w:r>
          </w:p>
        </w:tc>
        <w:tc>
          <w:tcPr>
            <w:tcW w:w="1124" w:type="pct"/>
            <w:noWrap w:val="0"/>
            <w:vAlign w:val="center"/>
          </w:tcPr>
          <w:p w14:paraId="1DF4BC4F">
            <w:pPr>
              <w:pStyle w:val="27"/>
              <w:bidi w:val="0"/>
              <w:rPr>
                <w:sz w:val="21"/>
                <w:szCs w:val="21"/>
              </w:rPr>
            </w:pPr>
            <w:r>
              <w:rPr>
                <w:sz w:val="21"/>
                <w:szCs w:val="21"/>
              </w:rPr>
              <w:t>矿山制定了相应的安全生产制度。</w:t>
            </w:r>
          </w:p>
        </w:tc>
        <w:tc>
          <w:tcPr>
            <w:tcW w:w="383" w:type="pct"/>
            <w:noWrap w:val="0"/>
            <w:vAlign w:val="center"/>
          </w:tcPr>
          <w:p w14:paraId="7AECEE18">
            <w:pPr>
              <w:pStyle w:val="27"/>
              <w:bidi w:val="0"/>
              <w:rPr>
                <w:sz w:val="21"/>
                <w:szCs w:val="21"/>
              </w:rPr>
            </w:pPr>
            <w:r>
              <w:rPr>
                <w:sz w:val="21"/>
                <w:szCs w:val="21"/>
              </w:rPr>
              <w:t>符合</w:t>
            </w:r>
          </w:p>
        </w:tc>
      </w:tr>
      <w:tr w14:paraId="0B5B5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5" w:type="pct"/>
            <w:noWrap w:val="0"/>
            <w:vAlign w:val="center"/>
          </w:tcPr>
          <w:p w14:paraId="1111442D">
            <w:pPr>
              <w:pStyle w:val="27"/>
              <w:bidi w:val="0"/>
              <w:rPr>
                <w:sz w:val="21"/>
                <w:szCs w:val="21"/>
              </w:rPr>
            </w:pPr>
            <w:r>
              <w:rPr>
                <w:sz w:val="21"/>
                <w:szCs w:val="21"/>
              </w:rPr>
              <w:t>5</w:t>
            </w:r>
          </w:p>
        </w:tc>
        <w:tc>
          <w:tcPr>
            <w:tcW w:w="1471" w:type="pct"/>
            <w:noWrap w:val="0"/>
            <w:vAlign w:val="center"/>
          </w:tcPr>
          <w:p w14:paraId="125443C4">
            <w:pPr>
              <w:pStyle w:val="27"/>
              <w:bidi w:val="0"/>
              <w:rPr>
                <w:sz w:val="21"/>
                <w:szCs w:val="21"/>
              </w:rPr>
            </w:pPr>
            <w:r>
              <w:rPr>
                <w:sz w:val="21"/>
                <w:szCs w:val="21"/>
              </w:rPr>
              <w:t>有关生产经营单位应当按照规定提取和使用安全生产费用，专门用于改善安全生产条件。</w:t>
            </w:r>
          </w:p>
        </w:tc>
        <w:tc>
          <w:tcPr>
            <w:tcW w:w="812" w:type="pct"/>
            <w:noWrap w:val="0"/>
            <w:vAlign w:val="center"/>
          </w:tcPr>
          <w:p w14:paraId="4D82DE61">
            <w:pPr>
              <w:pStyle w:val="27"/>
              <w:bidi w:val="0"/>
              <w:rPr>
                <w:sz w:val="21"/>
                <w:szCs w:val="21"/>
              </w:rPr>
            </w:pPr>
            <w:r>
              <w:rPr>
                <w:sz w:val="21"/>
                <w:szCs w:val="21"/>
              </w:rPr>
              <w:t>《中华人民共和国安全生产法》</w:t>
            </w:r>
          </w:p>
        </w:tc>
        <w:tc>
          <w:tcPr>
            <w:tcW w:w="832" w:type="pct"/>
            <w:noWrap w:val="0"/>
            <w:vAlign w:val="center"/>
          </w:tcPr>
          <w:p w14:paraId="0B6F3DBD">
            <w:pPr>
              <w:pStyle w:val="27"/>
              <w:bidi w:val="0"/>
              <w:rPr>
                <w:sz w:val="21"/>
                <w:szCs w:val="21"/>
              </w:rPr>
            </w:pPr>
            <w:r>
              <w:rPr>
                <w:sz w:val="21"/>
                <w:szCs w:val="21"/>
              </w:rPr>
              <w:t>查阅资料</w:t>
            </w:r>
          </w:p>
        </w:tc>
        <w:tc>
          <w:tcPr>
            <w:tcW w:w="1124" w:type="pct"/>
            <w:noWrap w:val="0"/>
            <w:vAlign w:val="center"/>
          </w:tcPr>
          <w:p w14:paraId="5AEB6A96">
            <w:pPr>
              <w:pStyle w:val="27"/>
              <w:bidi w:val="0"/>
              <w:rPr>
                <w:sz w:val="21"/>
                <w:szCs w:val="21"/>
              </w:rPr>
            </w:pPr>
            <w:r>
              <w:rPr>
                <w:sz w:val="21"/>
                <w:szCs w:val="21"/>
              </w:rPr>
              <w:t>按照规定提取和使用安全生产费用。设置了台账。</w:t>
            </w:r>
          </w:p>
        </w:tc>
        <w:tc>
          <w:tcPr>
            <w:tcW w:w="383" w:type="pct"/>
            <w:noWrap w:val="0"/>
            <w:vAlign w:val="center"/>
          </w:tcPr>
          <w:p w14:paraId="7DB18594">
            <w:pPr>
              <w:pStyle w:val="27"/>
              <w:bidi w:val="0"/>
              <w:rPr>
                <w:sz w:val="21"/>
                <w:szCs w:val="21"/>
              </w:rPr>
            </w:pPr>
            <w:r>
              <w:rPr>
                <w:sz w:val="21"/>
                <w:szCs w:val="21"/>
              </w:rPr>
              <w:t>符合</w:t>
            </w:r>
          </w:p>
        </w:tc>
      </w:tr>
      <w:tr w14:paraId="52538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5" w:type="pct"/>
            <w:noWrap w:val="0"/>
            <w:vAlign w:val="center"/>
          </w:tcPr>
          <w:p w14:paraId="7B6220F7">
            <w:pPr>
              <w:pStyle w:val="27"/>
              <w:bidi w:val="0"/>
              <w:rPr>
                <w:sz w:val="21"/>
                <w:szCs w:val="21"/>
              </w:rPr>
            </w:pPr>
            <w:r>
              <w:rPr>
                <w:sz w:val="21"/>
                <w:szCs w:val="21"/>
              </w:rPr>
              <w:t>6</w:t>
            </w:r>
          </w:p>
        </w:tc>
        <w:tc>
          <w:tcPr>
            <w:tcW w:w="1471" w:type="pct"/>
            <w:noWrap w:val="0"/>
            <w:vAlign w:val="center"/>
          </w:tcPr>
          <w:p w14:paraId="0D5A9EBA">
            <w:pPr>
              <w:pStyle w:val="27"/>
              <w:bidi w:val="0"/>
              <w:rPr>
                <w:sz w:val="21"/>
                <w:szCs w:val="21"/>
              </w:rPr>
            </w:pPr>
            <w:r>
              <w:rPr>
                <w:sz w:val="21"/>
                <w:szCs w:val="21"/>
              </w:rPr>
              <w:t>生产经营单位应当安排用于配备劳动防护用品、进行安全生产培训的经费</w:t>
            </w:r>
          </w:p>
        </w:tc>
        <w:tc>
          <w:tcPr>
            <w:tcW w:w="812" w:type="pct"/>
            <w:noWrap w:val="0"/>
            <w:vAlign w:val="center"/>
          </w:tcPr>
          <w:p w14:paraId="2CC84203">
            <w:pPr>
              <w:pStyle w:val="27"/>
              <w:bidi w:val="0"/>
              <w:rPr>
                <w:sz w:val="21"/>
                <w:szCs w:val="21"/>
              </w:rPr>
            </w:pPr>
            <w:r>
              <w:rPr>
                <w:sz w:val="21"/>
                <w:szCs w:val="21"/>
              </w:rPr>
              <w:t>《中华人民共和国安全生产法》</w:t>
            </w:r>
          </w:p>
        </w:tc>
        <w:tc>
          <w:tcPr>
            <w:tcW w:w="832" w:type="pct"/>
            <w:noWrap w:val="0"/>
            <w:vAlign w:val="center"/>
          </w:tcPr>
          <w:p w14:paraId="5C27A1F8">
            <w:pPr>
              <w:pStyle w:val="27"/>
              <w:bidi w:val="0"/>
              <w:rPr>
                <w:sz w:val="21"/>
                <w:szCs w:val="21"/>
              </w:rPr>
            </w:pPr>
            <w:r>
              <w:rPr>
                <w:sz w:val="21"/>
                <w:szCs w:val="21"/>
              </w:rPr>
              <w:t>查阅资料</w:t>
            </w:r>
          </w:p>
        </w:tc>
        <w:tc>
          <w:tcPr>
            <w:tcW w:w="1124" w:type="pct"/>
            <w:noWrap w:val="0"/>
            <w:vAlign w:val="center"/>
          </w:tcPr>
          <w:p w14:paraId="745A91A0">
            <w:pPr>
              <w:pStyle w:val="27"/>
              <w:bidi w:val="0"/>
              <w:rPr>
                <w:sz w:val="21"/>
                <w:szCs w:val="21"/>
              </w:rPr>
            </w:pPr>
            <w:r>
              <w:rPr>
                <w:sz w:val="21"/>
                <w:szCs w:val="21"/>
              </w:rPr>
              <w:t>安全经费有劳动防护用品配备及安全生产培训费用。</w:t>
            </w:r>
          </w:p>
        </w:tc>
        <w:tc>
          <w:tcPr>
            <w:tcW w:w="383" w:type="pct"/>
            <w:noWrap w:val="0"/>
            <w:vAlign w:val="center"/>
          </w:tcPr>
          <w:p w14:paraId="10798B15">
            <w:pPr>
              <w:pStyle w:val="27"/>
              <w:bidi w:val="0"/>
              <w:rPr>
                <w:sz w:val="21"/>
                <w:szCs w:val="21"/>
              </w:rPr>
            </w:pPr>
            <w:r>
              <w:rPr>
                <w:sz w:val="21"/>
                <w:szCs w:val="21"/>
              </w:rPr>
              <w:t>符合</w:t>
            </w:r>
          </w:p>
        </w:tc>
      </w:tr>
    </w:tbl>
    <w:p w14:paraId="3B351182">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rPr>
      </w:pPr>
      <w:r>
        <w:rPr>
          <w:rFonts w:hint="eastAsia"/>
        </w:rPr>
        <w:t>评价单元小结：</w:t>
      </w:r>
    </w:p>
    <w:p w14:paraId="696B1767">
      <w:pPr>
        <w:pStyle w:val="18"/>
        <w:bidi w:val="0"/>
      </w:pPr>
      <w:r>
        <w:rPr>
          <w:rFonts w:hint="eastAsia"/>
        </w:rPr>
        <w:t>对该矿山的组织与制度单元用安全检查表法进行了</w:t>
      </w:r>
      <w:r>
        <w:rPr>
          <w:rFonts w:hint="eastAsia"/>
          <w:lang w:val="en-US" w:eastAsia="zh-CN"/>
        </w:rPr>
        <w:t>6</w:t>
      </w:r>
      <w:r>
        <w:rPr>
          <w:rFonts w:hint="eastAsia"/>
        </w:rPr>
        <w:t>项检查，均符合安全要求，检查结果表明，海城市荣富耐火材料有限公司镁矿（菱镁石、滑石）露天矿山建设项目组织与制度单元符合设计要求，能够满足矿山安全生产条件。</w:t>
      </w:r>
    </w:p>
    <w:p w14:paraId="15E84B17">
      <w:pPr>
        <w:pStyle w:val="25"/>
        <w:bidi w:val="0"/>
        <w:ind w:left="720" w:leftChars="0" w:hanging="720" w:firstLineChars="0"/>
        <w:rPr>
          <w:rFonts w:hint="eastAsia"/>
        </w:rPr>
      </w:pPr>
      <w:bookmarkStart w:id="276" w:name="_Toc9668"/>
      <w:bookmarkStart w:id="277" w:name="_Toc11159"/>
      <w:bookmarkStart w:id="278" w:name="_Toc18772"/>
      <w:bookmarkStart w:id="279" w:name="_Toc20364"/>
      <w:bookmarkStart w:id="280" w:name="_Toc30621"/>
      <w:bookmarkStart w:id="281" w:name="_Toc10348"/>
      <w:bookmarkStart w:id="282" w:name="_Toc32063"/>
      <w:bookmarkStart w:id="283" w:name="_Toc8794"/>
      <w:bookmarkStart w:id="284" w:name="_Toc23994"/>
      <w:bookmarkStart w:id="285" w:name="_Toc16578"/>
      <w:bookmarkStart w:id="286" w:name="_Toc16806"/>
      <w:bookmarkStart w:id="287" w:name="_Toc8781"/>
      <w:bookmarkStart w:id="288" w:name="_Toc24273"/>
      <w:r>
        <w:rPr>
          <w:rFonts w:hint="eastAsia"/>
        </w:rPr>
        <w:t>安全管理运行</w:t>
      </w:r>
      <w:bookmarkEnd w:id="276"/>
      <w:bookmarkEnd w:id="277"/>
      <w:bookmarkEnd w:id="278"/>
      <w:bookmarkEnd w:id="279"/>
      <w:bookmarkEnd w:id="280"/>
      <w:bookmarkEnd w:id="281"/>
      <w:bookmarkEnd w:id="282"/>
      <w:bookmarkEnd w:id="283"/>
      <w:bookmarkEnd w:id="284"/>
      <w:bookmarkEnd w:id="285"/>
      <w:bookmarkEnd w:id="286"/>
      <w:bookmarkEnd w:id="287"/>
      <w:bookmarkEnd w:id="288"/>
    </w:p>
    <w:p w14:paraId="1B86D0D4">
      <w:pPr>
        <w:pStyle w:val="18"/>
        <w:bidi w:val="0"/>
      </w:pPr>
      <w:r>
        <w:t>根据《中华人民共和国安全生产法》、《安全设施</w:t>
      </w:r>
      <w:r>
        <w:rPr>
          <w:rFonts w:hint="eastAsia"/>
        </w:rPr>
        <w:t>设计</w:t>
      </w:r>
      <w:r>
        <w:t>》</w:t>
      </w:r>
      <w:r>
        <w:rPr>
          <w:rFonts w:hint="eastAsia"/>
          <w:lang w:eastAsia="zh-CN"/>
        </w:rPr>
        <w:t>，</w:t>
      </w:r>
      <w:r>
        <w:rPr>
          <w:rFonts w:hint="eastAsia"/>
          <w:lang w:val="en-US" w:eastAsia="zh-CN"/>
        </w:rPr>
        <w:t>评价组</w:t>
      </w:r>
      <w:r>
        <w:rPr>
          <w:rFonts w:hint="eastAsia"/>
          <w:lang w:eastAsia="zh-CN"/>
        </w:rPr>
        <w:t>采用安全检查表</w:t>
      </w:r>
      <w:r>
        <w:rPr>
          <w:rFonts w:hint="eastAsia"/>
          <w:lang w:val="en-US" w:eastAsia="zh-CN"/>
        </w:rPr>
        <w:t>法，</w:t>
      </w:r>
      <w:r>
        <w:rPr>
          <w:rFonts w:hint="eastAsia"/>
          <w:lang w:eastAsia="zh-CN"/>
        </w:rPr>
        <w:t>对</w:t>
      </w:r>
      <w:r>
        <w:rPr>
          <w:rFonts w:hint="eastAsia"/>
          <w:lang w:val="en-US" w:eastAsia="zh-CN"/>
        </w:rPr>
        <w:t>该项目</w:t>
      </w:r>
      <w:r>
        <w:rPr>
          <w:rFonts w:hint="eastAsia"/>
          <w:lang w:eastAsia="zh-CN"/>
        </w:rPr>
        <w:t>矿山安全管理</w:t>
      </w:r>
      <w:r>
        <w:rPr>
          <w:rFonts w:hint="eastAsia"/>
          <w:lang w:val="en-US" w:eastAsia="zh-CN"/>
        </w:rPr>
        <w:t>运行单元，</w:t>
      </w:r>
      <w:r>
        <w:rPr>
          <w:rFonts w:hint="eastAsia"/>
          <w:lang w:eastAsia="zh-CN"/>
        </w:rPr>
        <w:t>进行符合性</w:t>
      </w:r>
      <w:r>
        <w:rPr>
          <w:rFonts w:hint="eastAsia"/>
          <w:lang w:val="en-US" w:eastAsia="zh-CN"/>
        </w:rPr>
        <w:t>检查、</w:t>
      </w:r>
      <w:r>
        <w:rPr>
          <w:rFonts w:hint="eastAsia"/>
          <w:lang w:eastAsia="zh-CN"/>
        </w:rPr>
        <w:t>评价（</w:t>
      </w:r>
      <w:r>
        <w:rPr>
          <w:rFonts w:hint="eastAsia"/>
          <w:lang w:val="en-US" w:eastAsia="zh-CN"/>
        </w:rPr>
        <w:t>见表3.9-2</w:t>
      </w:r>
      <w:r>
        <w:rPr>
          <w:rFonts w:hint="eastAsia"/>
          <w:lang w:eastAsia="zh-CN"/>
        </w:rPr>
        <w:t>）。</w:t>
      </w:r>
    </w:p>
    <w:p w14:paraId="706D57CE">
      <w:pPr>
        <w:pStyle w:val="26"/>
        <w:bidi w:val="0"/>
      </w:pPr>
      <w:r>
        <w:t>表3</w:t>
      </w:r>
      <w:r>
        <w:rPr>
          <w:rFonts w:hint="eastAsia"/>
          <w:lang w:val="en-US" w:eastAsia="zh-CN"/>
        </w:rPr>
        <w:t>.</w:t>
      </w:r>
      <w:r>
        <w:t>9-2 安全管理运行符合性安全检查表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5"/>
        <w:gridCol w:w="2768"/>
        <w:gridCol w:w="1231"/>
        <w:gridCol w:w="1173"/>
        <w:gridCol w:w="2049"/>
        <w:gridCol w:w="663"/>
      </w:tblGrid>
      <w:tr w14:paraId="56DF2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73" w:type="pct"/>
            <w:noWrap w:val="0"/>
            <w:vAlign w:val="center"/>
          </w:tcPr>
          <w:p w14:paraId="6BB60ED5">
            <w:pPr>
              <w:pStyle w:val="27"/>
              <w:bidi w:val="0"/>
              <w:rPr>
                <w:b/>
                <w:bCs/>
                <w:sz w:val="21"/>
                <w:szCs w:val="21"/>
              </w:rPr>
            </w:pPr>
            <w:r>
              <w:rPr>
                <w:b/>
                <w:bCs/>
                <w:sz w:val="21"/>
                <w:szCs w:val="21"/>
              </w:rPr>
              <w:t>序号</w:t>
            </w:r>
          </w:p>
        </w:tc>
        <w:tc>
          <w:tcPr>
            <w:tcW w:w="1624" w:type="pct"/>
            <w:noWrap w:val="0"/>
            <w:vAlign w:val="center"/>
          </w:tcPr>
          <w:p w14:paraId="7D722393">
            <w:pPr>
              <w:pStyle w:val="27"/>
              <w:bidi w:val="0"/>
              <w:rPr>
                <w:b/>
                <w:bCs/>
                <w:sz w:val="21"/>
                <w:szCs w:val="21"/>
              </w:rPr>
            </w:pPr>
            <w:r>
              <w:rPr>
                <w:b/>
                <w:bCs/>
                <w:sz w:val="21"/>
                <w:szCs w:val="21"/>
              </w:rPr>
              <w:t>检查内容</w:t>
            </w:r>
          </w:p>
        </w:tc>
        <w:tc>
          <w:tcPr>
            <w:tcW w:w="722" w:type="pct"/>
            <w:noWrap w:val="0"/>
            <w:vAlign w:val="center"/>
          </w:tcPr>
          <w:p w14:paraId="1DFD0056">
            <w:pPr>
              <w:pStyle w:val="27"/>
              <w:bidi w:val="0"/>
              <w:rPr>
                <w:b/>
                <w:bCs/>
                <w:sz w:val="21"/>
                <w:szCs w:val="21"/>
              </w:rPr>
            </w:pPr>
            <w:r>
              <w:rPr>
                <w:b/>
                <w:bCs/>
                <w:sz w:val="21"/>
                <w:szCs w:val="21"/>
              </w:rPr>
              <w:t>检查依据</w:t>
            </w:r>
          </w:p>
        </w:tc>
        <w:tc>
          <w:tcPr>
            <w:tcW w:w="688" w:type="pct"/>
            <w:noWrap w:val="0"/>
            <w:vAlign w:val="center"/>
          </w:tcPr>
          <w:p w14:paraId="538FA74D">
            <w:pPr>
              <w:pStyle w:val="27"/>
              <w:bidi w:val="0"/>
              <w:rPr>
                <w:b/>
                <w:bCs/>
                <w:sz w:val="21"/>
                <w:szCs w:val="21"/>
              </w:rPr>
            </w:pPr>
            <w:r>
              <w:rPr>
                <w:b/>
                <w:bCs/>
                <w:sz w:val="21"/>
                <w:szCs w:val="21"/>
              </w:rPr>
              <w:t>检查方法</w:t>
            </w:r>
          </w:p>
        </w:tc>
        <w:tc>
          <w:tcPr>
            <w:tcW w:w="1202" w:type="pct"/>
            <w:noWrap w:val="0"/>
            <w:vAlign w:val="center"/>
          </w:tcPr>
          <w:p w14:paraId="0B95CB09">
            <w:pPr>
              <w:pStyle w:val="27"/>
              <w:bidi w:val="0"/>
              <w:rPr>
                <w:b/>
                <w:bCs/>
                <w:sz w:val="21"/>
                <w:szCs w:val="21"/>
              </w:rPr>
            </w:pPr>
            <w:r>
              <w:rPr>
                <w:b/>
                <w:bCs/>
                <w:sz w:val="21"/>
                <w:szCs w:val="21"/>
              </w:rPr>
              <w:t>建设情况</w:t>
            </w:r>
          </w:p>
        </w:tc>
        <w:tc>
          <w:tcPr>
            <w:tcW w:w="389" w:type="pct"/>
            <w:noWrap w:val="0"/>
            <w:vAlign w:val="center"/>
          </w:tcPr>
          <w:p w14:paraId="4612A427">
            <w:pPr>
              <w:pStyle w:val="27"/>
              <w:bidi w:val="0"/>
              <w:rPr>
                <w:b/>
                <w:bCs/>
                <w:sz w:val="21"/>
                <w:szCs w:val="21"/>
              </w:rPr>
            </w:pPr>
            <w:r>
              <w:rPr>
                <w:b/>
                <w:bCs/>
                <w:sz w:val="21"/>
                <w:szCs w:val="21"/>
              </w:rPr>
              <w:t>检查</w:t>
            </w:r>
          </w:p>
          <w:p w14:paraId="5245BE9E">
            <w:pPr>
              <w:pStyle w:val="27"/>
              <w:bidi w:val="0"/>
              <w:rPr>
                <w:b/>
                <w:bCs/>
                <w:sz w:val="21"/>
                <w:szCs w:val="21"/>
              </w:rPr>
            </w:pPr>
            <w:r>
              <w:rPr>
                <w:b/>
                <w:bCs/>
                <w:sz w:val="21"/>
                <w:szCs w:val="21"/>
              </w:rPr>
              <w:t>结果</w:t>
            </w:r>
          </w:p>
        </w:tc>
      </w:tr>
      <w:tr w14:paraId="62864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1" w:hRule="atLeast"/>
          <w:jc w:val="center"/>
        </w:trPr>
        <w:tc>
          <w:tcPr>
            <w:tcW w:w="373" w:type="pct"/>
            <w:noWrap w:val="0"/>
            <w:vAlign w:val="center"/>
          </w:tcPr>
          <w:p w14:paraId="4C7DCF95">
            <w:pPr>
              <w:pStyle w:val="27"/>
              <w:bidi w:val="0"/>
              <w:rPr>
                <w:sz w:val="21"/>
                <w:szCs w:val="21"/>
              </w:rPr>
            </w:pPr>
            <w:r>
              <w:rPr>
                <w:sz w:val="21"/>
                <w:szCs w:val="21"/>
              </w:rPr>
              <w:t>1</w:t>
            </w:r>
          </w:p>
        </w:tc>
        <w:tc>
          <w:tcPr>
            <w:tcW w:w="1624" w:type="pct"/>
            <w:noWrap w:val="0"/>
            <w:vAlign w:val="center"/>
          </w:tcPr>
          <w:p w14:paraId="77637DFC">
            <w:pPr>
              <w:pStyle w:val="27"/>
              <w:bidi w:val="0"/>
              <w:rPr>
                <w:sz w:val="21"/>
                <w:szCs w:val="21"/>
              </w:rPr>
            </w:pPr>
            <w:r>
              <w:rPr>
                <w:sz w:val="21"/>
                <w:szCs w:val="21"/>
              </w:rPr>
              <w:t>生产经营单位应当建立健全生产安全事故隐患排查治理制度，采取技术、管理措施，及时发现并消除事故隐患。</w:t>
            </w:r>
          </w:p>
        </w:tc>
        <w:tc>
          <w:tcPr>
            <w:tcW w:w="722" w:type="pct"/>
            <w:noWrap w:val="0"/>
            <w:vAlign w:val="center"/>
          </w:tcPr>
          <w:p w14:paraId="06D8E013">
            <w:pPr>
              <w:pStyle w:val="27"/>
              <w:bidi w:val="0"/>
              <w:rPr>
                <w:sz w:val="21"/>
                <w:szCs w:val="21"/>
              </w:rPr>
            </w:pPr>
            <w:r>
              <w:rPr>
                <w:sz w:val="21"/>
                <w:szCs w:val="21"/>
              </w:rPr>
              <w:t>《</w:t>
            </w:r>
            <w:r>
              <w:rPr>
                <w:rFonts w:hint="eastAsia"/>
                <w:sz w:val="21"/>
                <w:szCs w:val="21"/>
              </w:rPr>
              <w:t>安全设施设计</w:t>
            </w:r>
            <w:r>
              <w:rPr>
                <w:sz w:val="21"/>
                <w:szCs w:val="21"/>
              </w:rPr>
              <w:t>》</w:t>
            </w:r>
          </w:p>
        </w:tc>
        <w:tc>
          <w:tcPr>
            <w:tcW w:w="688" w:type="pct"/>
            <w:noWrap w:val="0"/>
            <w:vAlign w:val="center"/>
          </w:tcPr>
          <w:p w14:paraId="0362BDF5">
            <w:pPr>
              <w:pStyle w:val="27"/>
              <w:bidi w:val="0"/>
              <w:rPr>
                <w:sz w:val="21"/>
                <w:szCs w:val="21"/>
              </w:rPr>
            </w:pPr>
            <w:r>
              <w:rPr>
                <w:sz w:val="21"/>
                <w:szCs w:val="21"/>
              </w:rPr>
              <w:t>现场检查</w:t>
            </w:r>
          </w:p>
        </w:tc>
        <w:tc>
          <w:tcPr>
            <w:tcW w:w="1202" w:type="pct"/>
            <w:noWrap w:val="0"/>
            <w:vAlign w:val="center"/>
          </w:tcPr>
          <w:p w14:paraId="7177B00C">
            <w:pPr>
              <w:pStyle w:val="27"/>
              <w:bidi w:val="0"/>
              <w:rPr>
                <w:sz w:val="21"/>
                <w:szCs w:val="21"/>
              </w:rPr>
            </w:pPr>
            <w:r>
              <w:rPr>
                <w:sz w:val="21"/>
                <w:szCs w:val="21"/>
              </w:rPr>
              <w:t>建立了隐患整改制度和隐患排查治理制度。</w:t>
            </w:r>
          </w:p>
        </w:tc>
        <w:tc>
          <w:tcPr>
            <w:tcW w:w="389" w:type="pct"/>
            <w:noWrap w:val="0"/>
            <w:vAlign w:val="center"/>
          </w:tcPr>
          <w:p w14:paraId="199F8694">
            <w:pPr>
              <w:pStyle w:val="27"/>
              <w:bidi w:val="0"/>
              <w:rPr>
                <w:sz w:val="21"/>
                <w:szCs w:val="21"/>
              </w:rPr>
            </w:pPr>
            <w:r>
              <w:rPr>
                <w:sz w:val="21"/>
                <w:szCs w:val="21"/>
              </w:rPr>
              <w:t>符合</w:t>
            </w:r>
          </w:p>
        </w:tc>
      </w:tr>
      <w:tr w14:paraId="52D90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0" w:hRule="atLeast"/>
          <w:jc w:val="center"/>
        </w:trPr>
        <w:tc>
          <w:tcPr>
            <w:tcW w:w="373" w:type="pct"/>
            <w:noWrap w:val="0"/>
            <w:vAlign w:val="center"/>
          </w:tcPr>
          <w:p w14:paraId="5B757572">
            <w:pPr>
              <w:pStyle w:val="27"/>
              <w:bidi w:val="0"/>
              <w:rPr>
                <w:sz w:val="21"/>
                <w:szCs w:val="21"/>
              </w:rPr>
            </w:pPr>
            <w:r>
              <w:rPr>
                <w:sz w:val="21"/>
                <w:szCs w:val="21"/>
              </w:rPr>
              <w:t>2</w:t>
            </w:r>
          </w:p>
        </w:tc>
        <w:tc>
          <w:tcPr>
            <w:tcW w:w="1624" w:type="pct"/>
            <w:noWrap w:val="0"/>
            <w:vAlign w:val="center"/>
          </w:tcPr>
          <w:p w14:paraId="166D6B31">
            <w:pPr>
              <w:pStyle w:val="27"/>
              <w:bidi w:val="0"/>
              <w:rPr>
                <w:sz w:val="21"/>
                <w:szCs w:val="21"/>
              </w:rPr>
            </w:pPr>
            <w:r>
              <w:rPr>
                <w:sz w:val="21"/>
                <w:szCs w:val="21"/>
              </w:rPr>
              <w:t>生产经营单位应当在有较大危险因素的生产经营场所和有关设施、设备上，设置明显的安全警示标志</w:t>
            </w:r>
          </w:p>
        </w:tc>
        <w:tc>
          <w:tcPr>
            <w:tcW w:w="722" w:type="pct"/>
            <w:noWrap w:val="0"/>
            <w:vAlign w:val="center"/>
          </w:tcPr>
          <w:p w14:paraId="4FD7359D">
            <w:pPr>
              <w:pStyle w:val="27"/>
              <w:bidi w:val="0"/>
              <w:rPr>
                <w:sz w:val="21"/>
                <w:szCs w:val="21"/>
              </w:rPr>
            </w:pPr>
            <w:r>
              <w:rPr>
                <w:sz w:val="21"/>
                <w:szCs w:val="21"/>
              </w:rPr>
              <w:t>《</w:t>
            </w:r>
            <w:r>
              <w:rPr>
                <w:rFonts w:hint="eastAsia"/>
                <w:sz w:val="21"/>
                <w:szCs w:val="21"/>
              </w:rPr>
              <w:t>安全设施设计</w:t>
            </w:r>
            <w:r>
              <w:rPr>
                <w:sz w:val="21"/>
                <w:szCs w:val="21"/>
              </w:rPr>
              <w:t>》</w:t>
            </w:r>
          </w:p>
        </w:tc>
        <w:tc>
          <w:tcPr>
            <w:tcW w:w="688" w:type="pct"/>
            <w:noWrap w:val="0"/>
            <w:vAlign w:val="center"/>
          </w:tcPr>
          <w:p w14:paraId="1E7C4252">
            <w:pPr>
              <w:pStyle w:val="27"/>
              <w:bidi w:val="0"/>
              <w:rPr>
                <w:sz w:val="21"/>
                <w:szCs w:val="21"/>
              </w:rPr>
            </w:pPr>
            <w:r>
              <w:rPr>
                <w:sz w:val="21"/>
                <w:szCs w:val="21"/>
              </w:rPr>
              <w:t>现场检查</w:t>
            </w:r>
          </w:p>
        </w:tc>
        <w:tc>
          <w:tcPr>
            <w:tcW w:w="1202" w:type="pct"/>
            <w:noWrap w:val="0"/>
            <w:vAlign w:val="center"/>
          </w:tcPr>
          <w:p w14:paraId="1A0048B3">
            <w:pPr>
              <w:pStyle w:val="27"/>
              <w:bidi w:val="0"/>
              <w:rPr>
                <w:sz w:val="21"/>
                <w:szCs w:val="21"/>
              </w:rPr>
            </w:pPr>
            <w:r>
              <w:rPr>
                <w:sz w:val="21"/>
                <w:szCs w:val="21"/>
              </w:rPr>
              <w:t>矿山</w:t>
            </w:r>
            <w:r>
              <w:rPr>
                <w:rFonts w:hint="eastAsia"/>
                <w:sz w:val="21"/>
                <w:szCs w:val="21"/>
              </w:rPr>
              <w:t>露天</w:t>
            </w:r>
            <w:r>
              <w:rPr>
                <w:sz w:val="21"/>
                <w:szCs w:val="21"/>
              </w:rPr>
              <w:t>采场边坡、采场入口、运输道路等危险位置设置了相应的警示标志。</w:t>
            </w:r>
          </w:p>
        </w:tc>
        <w:tc>
          <w:tcPr>
            <w:tcW w:w="389" w:type="pct"/>
            <w:noWrap w:val="0"/>
            <w:vAlign w:val="center"/>
          </w:tcPr>
          <w:p w14:paraId="6324C35C">
            <w:pPr>
              <w:pStyle w:val="27"/>
              <w:bidi w:val="0"/>
              <w:rPr>
                <w:sz w:val="21"/>
                <w:szCs w:val="21"/>
              </w:rPr>
            </w:pPr>
            <w:r>
              <w:rPr>
                <w:sz w:val="21"/>
                <w:szCs w:val="21"/>
              </w:rPr>
              <w:t>符合</w:t>
            </w:r>
          </w:p>
        </w:tc>
      </w:tr>
      <w:tr w14:paraId="222FC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7" w:hRule="atLeast"/>
          <w:jc w:val="center"/>
        </w:trPr>
        <w:tc>
          <w:tcPr>
            <w:tcW w:w="373" w:type="pct"/>
            <w:noWrap w:val="0"/>
            <w:vAlign w:val="center"/>
          </w:tcPr>
          <w:p w14:paraId="683B88E6">
            <w:pPr>
              <w:pStyle w:val="27"/>
              <w:bidi w:val="0"/>
              <w:rPr>
                <w:sz w:val="21"/>
                <w:szCs w:val="21"/>
              </w:rPr>
            </w:pPr>
            <w:r>
              <w:rPr>
                <w:sz w:val="21"/>
                <w:szCs w:val="21"/>
              </w:rPr>
              <w:t>3</w:t>
            </w:r>
          </w:p>
        </w:tc>
        <w:tc>
          <w:tcPr>
            <w:tcW w:w="1624" w:type="pct"/>
            <w:noWrap w:val="0"/>
            <w:vAlign w:val="center"/>
          </w:tcPr>
          <w:p w14:paraId="6F7435E4">
            <w:pPr>
              <w:pStyle w:val="27"/>
              <w:bidi w:val="0"/>
              <w:rPr>
                <w:sz w:val="21"/>
                <w:szCs w:val="21"/>
              </w:rPr>
            </w:pPr>
            <w:r>
              <w:rPr>
                <w:sz w:val="21"/>
                <w:szCs w:val="21"/>
              </w:rPr>
              <w:t>矿山主要负责人应经常性督促、定期检查本单位的安全生产工作，及时消除生产安全事故隐患。</w:t>
            </w:r>
          </w:p>
        </w:tc>
        <w:tc>
          <w:tcPr>
            <w:tcW w:w="722" w:type="pct"/>
            <w:noWrap w:val="0"/>
            <w:vAlign w:val="center"/>
          </w:tcPr>
          <w:p w14:paraId="56601221">
            <w:pPr>
              <w:pStyle w:val="27"/>
              <w:bidi w:val="0"/>
              <w:rPr>
                <w:sz w:val="21"/>
                <w:szCs w:val="21"/>
              </w:rPr>
            </w:pPr>
            <w:r>
              <w:rPr>
                <w:sz w:val="21"/>
                <w:szCs w:val="21"/>
              </w:rPr>
              <w:t>《</w:t>
            </w:r>
            <w:r>
              <w:rPr>
                <w:rFonts w:hint="eastAsia"/>
                <w:sz w:val="21"/>
                <w:szCs w:val="21"/>
              </w:rPr>
              <w:t>安全设施设计</w:t>
            </w:r>
            <w:r>
              <w:rPr>
                <w:sz w:val="21"/>
                <w:szCs w:val="21"/>
              </w:rPr>
              <w:t>》</w:t>
            </w:r>
          </w:p>
        </w:tc>
        <w:tc>
          <w:tcPr>
            <w:tcW w:w="688" w:type="pct"/>
            <w:noWrap w:val="0"/>
            <w:vAlign w:val="center"/>
          </w:tcPr>
          <w:p w14:paraId="6032E9F7">
            <w:pPr>
              <w:pStyle w:val="27"/>
              <w:bidi w:val="0"/>
              <w:rPr>
                <w:sz w:val="21"/>
                <w:szCs w:val="21"/>
              </w:rPr>
            </w:pPr>
            <w:r>
              <w:rPr>
                <w:sz w:val="21"/>
                <w:szCs w:val="21"/>
              </w:rPr>
              <w:t>现场检查</w:t>
            </w:r>
          </w:p>
        </w:tc>
        <w:tc>
          <w:tcPr>
            <w:tcW w:w="1202" w:type="pct"/>
            <w:noWrap w:val="0"/>
            <w:vAlign w:val="center"/>
          </w:tcPr>
          <w:p w14:paraId="4F89A997">
            <w:pPr>
              <w:pStyle w:val="27"/>
              <w:bidi w:val="0"/>
              <w:rPr>
                <w:sz w:val="21"/>
                <w:szCs w:val="21"/>
              </w:rPr>
            </w:pPr>
            <w:r>
              <w:rPr>
                <w:sz w:val="21"/>
                <w:szCs w:val="21"/>
              </w:rPr>
              <w:t>矿山主要负责人定期召开安全生产检查会议，定期对矿山安全生产工作进行检查。</w:t>
            </w:r>
          </w:p>
        </w:tc>
        <w:tc>
          <w:tcPr>
            <w:tcW w:w="389" w:type="pct"/>
            <w:noWrap w:val="0"/>
            <w:vAlign w:val="center"/>
          </w:tcPr>
          <w:p w14:paraId="5C808C40">
            <w:pPr>
              <w:pStyle w:val="27"/>
              <w:bidi w:val="0"/>
              <w:rPr>
                <w:sz w:val="21"/>
                <w:szCs w:val="21"/>
              </w:rPr>
            </w:pPr>
            <w:r>
              <w:rPr>
                <w:sz w:val="21"/>
                <w:szCs w:val="21"/>
              </w:rPr>
              <w:t>符合</w:t>
            </w:r>
          </w:p>
        </w:tc>
      </w:tr>
      <w:tr w14:paraId="746D1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noWrap w:val="0"/>
            <w:vAlign w:val="center"/>
          </w:tcPr>
          <w:p w14:paraId="4E37D2CC">
            <w:pPr>
              <w:pStyle w:val="27"/>
              <w:bidi w:val="0"/>
              <w:rPr>
                <w:sz w:val="21"/>
                <w:szCs w:val="21"/>
              </w:rPr>
            </w:pPr>
            <w:r>
              <w:rPr>
                <w:sz w:val="21"/>
                <w:szCs w:val="21"/>
              </w:rPr>
              <w:t>4</w:t>
            </w:r>
          </w:p>
        </w:tc>
        <w:tc>
          <w:tcPr>
            <w:tcW w:w="1624" w:type="pct"/>
            <w:noWrap w:val="0"/>
            <w:vAlign w:val="center"/>
          </w:tcPr>
          <w:p w14:paraId="109C5657">
            <w:pPr>
              <w:pStyle w:val="27"/>
              <w:bidi w:val="0"/>
              <w:rPr>
                <w:sz w:val="21"/>
                <w:szCs w:val="21"/>
              </w:rPr>
            </w:pPr>
            <w:r>
              <w:rPr>
                <w:sz w:val="21"/>
                <w:szCs w:val="21"/>
              </w:rPr>
              <w:t>安全生产管理人员应当根据本单位的实际情况，对本单位生产状况进行经常性检查，对检查中发现的安全问题，应当立即处理；不能处理的，应当及时报告本单位有关负责人。检查及处理情况应当记录在案。</w:t>
            </w:r>
          </w:p>
        </w:tc>
        <w:tc>
          <w:tcPr>
            <w:tcW w:w="722" w:type="pct"/>
            <w:noWrap w:val="0"/>
            <w:vAlign w:val="center"/>
          </w:tcPr>
          <w:p w14:paraId="3FBF04DE">
            <w:pPr>
              <w:pStyle w:val="27"/>
              <w:bidi w:val="0"/>
              <w:rPr>
                <w:sz w:val="21"/>
                <w:szCs w:val="21"/>
              </w:rPr>
            </w:pPr>
            <w:r>
              <w:rPr>
                <w:sz w:val="21"/>
                <w:szCs w:val="21"/>
              </w:rPr>
              <w:t>《</w:t>
            </w:r>
            <w:r>
              <w:rPr>
                <w:rFonts w:hint="eastAsia"/>
                <w:sz w:val="21"/>
                <w:szCs w:val="21"/>
              </w:rPr>
              <w:t>安全设施设计</w:t>
            </w:r>
            <w:r>
              <w:rPr>
                <w:sz w:val="21"/>
                <w:szCs w:val="21"/>
              </w:rPr>
              <w:t>》</w:t>
            </w:r>
          </w:p>
        </w:tc>
        <w:tc>
          <w:tcPr>
            <w:tcW w:w="688" w:type="pct"/>
            <w:noWrap w:val="0"/>
            <w:vAlign w:val="center"/>
          </w:tcPr>
          <w:p w14:paraId="5563FC16">
            <w:pPr>
              <w:pStyle w:val="27"/>
              <w:bidi w:val="0"/>
              <w:rPr>
                <w:sz w:val="21"/>
                <w:szCs w:val="21"/>
              </w:rPr>
            </w:pPr>
            <w:r>
              <w:rPr>
                <w:sz w:val="21"/>
                <w:szCs w:val="21"/>
              </w:rPr>
              <w:t>现场检查</w:t>
            </w:r>
          </w:p>
        </w:tc>
        <w:tc>
          <w:tcPr>
            <w:tcW w:w="1202" w:type="pct"/>
            <w:noWrap w:val="0"/>
            <w:vAlign w:val="center"/>
          </w:tcPr>
          <w:p w14:paraId="739908E0">
            <w:pPr>
              <w:pStyle w:val="27"/>
              <w:bidi w:val="0"/>
              <w:rPr>
                <w:sz w:val="21"/>
                <w:szCs w:val="21"/>
              </w:rPr>
            </w:pPr>
            <w:r>
              <w:rPr>
                <w:sz w:val="21"/>
                <w:szCs w:val="21"/>
              </w:rPr>
              <w:t>矿山安全员定期对矿山安全生产进行检查，检查出隐患及时处理或上报。</w:t>
            </w:r>
          </w:p>
        </w:tc>
        <w:tc>
          <w:tcPr>
            <w:tcW w:w="389" w:type="pct"/>
            <w:noWrap w:val="0"/>
            <w:vAlign w:val="center"/>
          </w:tcPr>
          <w:p w14:paraId="356936E5">
            <w:pPr>
              <w:pStyle w:val="27"/>
              <w:bidi w:val="0"/>
              <w:rPr>
                <w:sz w:val="21"/>
                <w:szCs w:val="21"/>
              </w:rPr>
            </w:pPr>
            <w:r>
              <w:rPr>
                <w:sz w:val="21"/>
                <w:szCs w:val="21"/>
              </w:rPr>
              <w:t>符合</w:t>
            </w:r>
          </w:p>
        </w:tc>
      </w:tr>
    </w:tbl>
    <w:p w14:paraId="429ED15B">
      <w:pPr>
        <w:pStyle w:val="18"/>
        <w:bidi w:val="0"/>
        <w:rPr>
          <w:rFonts w:hint="eastAsia"/>
        </w:rPr>
      </w:pPr>
      <w:r>
        <w:rPr>
          <w:rFonts w:hint="eastAsia"/>
        </w:rPr>
        <w:t>评价单元小结：</w:t>
      </w:r>
    </w:p>
    <w:p w14:paraId="41ACA3EE">
      <w:pPr>
        <w:pStyle w:val="18"/>
        <w:bidi w:val="0"/>
        <w:rPr>
          <w:color w:val="000000"/>
          <w:sz w:val="26"/>
          <w:szCs w:val="26"/>
        </w:rPr>
      </w:pPr>
      <w:r>
        <w:rPr>
          <w:rFonts w:hint="eastAsia"/>
        </w:rPr>
        <w:t>对该矿山的安全运行管理单元用安全检查表法进行了</w:t>
      </w:r>
      <w:r>
        <w:rPr>
          <w:rFonts w:hint="eastAsia"/>
          <w:lang w:val="en-US" w:eastAsia="zh-CN"/>
        </w:rPr>
        <w:t>4</w:t>
      </w:r>
      <w:r>
        <w:rPr>
          <w:rFonts w:hint="eastAsia"/>
        </w:rPr>
        <w:t>项检查，均符合安全要求，检查结果表明，海城市荣富耐火材料有限公司镁矿（菱镁石、滑石）露天矿山建设项目安全运行管理单元符合设计要求，能够满足矿山安全生产条件</w:t>
      </w:r>
      <w:r>
        <w:rPr>
          <w:rFonts w:hint="eastAsia"/>
          <w:lang w:eastAsia="zh-CN"/>
        </w:rPr>
        <w:t>。</w:t>
      </w:r>
    </w:p>
    <w:p w14:paraId="513C656D">
      <w:pPr>
        <w:pStyle w:val="25"/>
        <w:bidi w:val="0"/>
        <w:ind w:left="720" w:leftChars="0" w:hanging="720" w:firstLineChars="0"/>
        <w:rPr>
          <w:rFonts w:hint="eastAsia"/>
        </w:rPr>
      </w:pPr>
      <w:bookmarkStart w:id="289" w:name="_Toc9229"/>
      <w:bookmarkStart w:id="290" w:name="_Toc32299"/>
      <w:bookmarkStart w:id="291" w:name="_Toc20689"/>
      <w:bookmarkStart w:id="292" w:name="_Toc7844"/>
      <w:bookmarkStart w:id="293" w:name="_Toc29032"/>
      <w:bookmarkStart w:id="294" w:name="_Toc28182"/>
      <w:bookmarkStart w:id="295" w:name="_Toc21231"/>
      <w:bookmarkStart w:id="296" w:name="_Toc14534"/>
      <w:bookmarkStart w:id="297" w:name="_Toc4644"/>
      <w:bookmarkStart w:id="298" w:name="_Toc11670"/>
      <w:bookmarkStart w:id="299" w:name="_Toc2979"/>
      <w:bookmarkStart w:id="300" w:name="_Toc20253"/>
      <w:bookmarkStart w:id="301" w:name="_Toc27847"/>
      <w:r>
        <w:rPr>
          <w:rFonts w:hint="eastAsia"/>
        </w:rPr>
        <w:t>应急救援</w:t>
      </w:r>
      <w:bookmarkEnd w:id="289"/>
      <w:bookmarkEnd w:id="290"/>
      <w:bookmarkEnd w:id="291"/>
      <w:bookmarkEnd w:id="292"/>
      <w:bookmarkEnd w:id="293"/>
      <w:bookmarkEnd w:id="294"/>
      <w:bookmarkEnd w:id="295"/>
      <w:bookmarkEnd w:id="296"/>
      <w:bookmarkEnd w:id="297"/>
      <w:bookmarkEnd w:id="298"/>
      <w:bookmarkEnd w:id="299"/>
      <w:bookmarkEnd w:id="300"/>
      <w:bookmarkEnd w:id="301"/>
    </w:p>
    <w:p w14:paraId="58151EFC">
      <w:pPr>
        <w:pStyle w:val="18"/>
        <w:bidi w:val="0"/>
      </w:pPr>
      <w:r>
        <w:t>根据《中华人民共和国安全生产法》、《安全设施</w:t>
      </w:r>
      <w:r>
        <w:rPr>
          <w:rFonts w:hint="eastAsia"/>
        </w:rPr>
        <w:t>设计</w:t>
      </w:r>
      <w:r>
        <w:t>》</w:t>
      </w:r>
      <w:r>
        <w:rPr>
          <w:rFonts w:hint="eastAsia"/>
          <w:lang w:eastAsia="zh-CN"/>
        </w:rPr>
        <w:t>，</w:t>
      </w:r>
      <w:r>
        <w:rPr>
          <w:rFonts w:hint="eastAsia"/>
          <w:lang w:val="en-US" w:eastAsia="zh-CN"/>
        </w:rPr>
        <w:t>评价组</w:t>
      </w:r>
      <w:r>
        <w:rPr>
          <w:rFonts w:hint="eastAsia"/>
          <w:lang w:eastAsia="zh-CN"/>
        </w:rPr>
        <w:t>采用安全检查表</w:t>
      </w:r>
      <w:r>
        <w:rPr>
          <w:rFonts w:hint="eastAsia"/>
          <w:lang w:val="en-US" w:eastAsia="zh-CN"/>
        </w:rPr>
        <w:t>法，</w:t>
      </w:r>
      <w:r>
        <w:rPr>
          <w:rFonts w:hint="eastAsia"/>
          <w:lang w:eastAsia="zh-CN"/>
        </w:rPr>
        <w:t>对</w:t>
      </w:r>
      <w:r>
        <w:rPr>
          <w:rFonts w:hint="eastAsia"/>
          <w:lang w:val="en-US" w:eastAsia="zh-CN"/>
        </w:rPr>
        <w:t>该项目</w:t>
      </w:r>
      <w:r>
        <w:rPr>
          <w:rFonts w:hint="eastAsia"/>
          <w:lang w:eastAsia="zh-CN"/>
        </w:rPr>
        <w:t>矿山应急救援</w:t>
      </w:r>
      <w:r>
        <w:rPr>
          <w:rFonts w:hint="eastAsia"/>
          <w:lang w:val="en-US" w:eastAsia="zh-CN"/>
        </w:rPr>
        <w:t>单元，</w:t>
      </w:r>
      <w:r>
        <w:rPr>
          <w:rFonts w:hint="eastAsia"/>
          <w:lang w:eastAsia="zh-CN"/>
        </w:rPr>
        <w:t>进行符合性</w:t>
      </w:r>
      <w:r>
        <w:rPr>
          <w:rFonts w:hint="eastAsia"/>
          <w:lang w:val="en-US" w:eastAsia="zh-CN"/>
        </w:rPr>
        <w:t>检查、</w:t>
      </w:r>
      <w:r>
        <w:rPr>
          <w:rFonts w:hint="eastAsia"/>
          <w:lang w:eastAsia="zh-CN"/>
        </w:rPr>
        <w:t>评价（</w:t>
      </w:r>
      <w:r>
        <w:rPr>
          <w:rFonts w:hint="eastAsia"/>
          <w:lang w:val="en-US" w:eastAsia="zh-CN"/>
        </w:rPr>
        <w:t>见表3.9-3</w:t>
      </w:r>
      <w:r>
        <w:rPr>
          <w:rFonts w:hint="eastAsia"/>
          <w:lang w:eastAsia="zh-CN"/>
        </w:rPr>
        <w:t>）。</w:t>
      </w:r>
    </w:p>
    <w:p w14:paraId="50060ED2">
      <w:pPr>
        <w:pStyle w:val="26"/>
        <w:bidi w:val="0"/>
      </w:pPr>
      <w:r>
        <w:t>表3</w:t>
      </w:r>
      <w:r>
        <w:rPr>
          <w:rFonts w:hint="eastAsia"/>
          <w:lang w:val="en-US" w:eastAsia="zh-CN"/>
        </w:rPr>
        <w:t>.</w:t>
      </w:r>
      <w:r>
        <w:t>9-3  矿山应急救援符合性安全检查表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4"/>
        <w:gridCol w:w="2390"/>
        <w:gridCol w:w="1487"/>
        <w:gridCol w:w="1285"/>
        <w:gridCol w:w="2114"/>
        <w:gridCol w:w="699"/>
      </w:tblGrid>
      <w:tr w14:paraId="69BE0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319" w:type="pct"/>
            <w:noWrap w:val="0"/>
            <w:vAlign w:val="center"/>
          </w:tcPr>
          <w:p w14:paraId="5CF9000D">
            <w:pPr>
              <w:pStyle w:val="27"/>
              <w:bidi w:val="0"/>
              <w:rPr>
                <w:sz w:val="21"/>
                <w:szCs w:val="21"/>
              </w:rPr>
            </w:pPr>
            <w:r>
              <w:rPr>
                <w:sz w:val="21"/>
                <w:szCs w:val="21"/>
              </w:rPr>
              <w:t>序号</w:t>
            </w:r>
          </w:p>
        </w:tc>
        <w:tc>
          <w:tcPr>
            <w:tcW w:w="1402" w:type="pct"/>
            <w:noWrap w:val="0"/>
            <w:vAlign w:val="center"/>
          </w:tcPr>
          <w:p w14:paraId="3405EE83">
            <w:pPr>
              <w:pStyle w:val="27"/>
              <w:bidi w:val="0"/>
              <w:rPr>
                <w:sz w:val="21"/>
                <w:szCs w:val="21"/>
              </w:rPr>
            </w:pPr>
            <w:r>
              <w:rPr>
                <w:sz w:val="21"/>
                <w:szCs w:val="21"/>
              </w:rPr>
              <w:t>检查内容</w:t>
            </w:r>
          </w:p>
        </w:tc>
        <w:tc>
          <w:tcPr>
            <w:tcW w:w="872" w:type="pct"/>
            <w:noWrap w:val="0"/>
            <w:vAlign w:val="center"/>
          </w:tcPr>
          <w:p w14:paraId="7B48A35E">
            <w:pPr>
              <w:pStyle w:val="27"/>
              <w:bidi w:val="0"/>
              <w:rPr>
                <w:sz w:val="21"/>
                <w:szCs w:val="21"/>
              </w:rPr>
            </w:pPr>
            <w:r>
              <w:rPr>
                <w:sz w:val="21"/>
                <w:szCs w:val="21"/>
              </w:rPr>
              <w:t>检查依据</w:t>
            </w:r>
          </w:p>
        </w:tc>
        <w:tc>
          <w:tcPr>
            <w:tcW w:w="754" w:type="pct"/>
            <w:noWrap w:val="0"/>
            <w:vAlign w:val="center"/>
          </w:tcPr>
          <w:p w14:paraId="5C60921D">
            <w:pPr>
              <w:pStyle w:val="27"/>
              <w:bidi w:val="0"/>
              <w:rPr>
                <w:sz w:val="21"/>
                <w:szCs w:val="21"/>
              </w:rPr>
            </w:pPr>
            <w:r>
              <w:rPr>
                <w:sz w:val="21"/>
                <w:szCs w:val="21"/>
              </w:rPr>
              <w:t>检查方法</w:t>
            </w:r>
          </w:p>
        </w:tc>
        <w:tc>
          <w:tcPr>
            <w:tcW w:w="1240" w:type="pct"/>
            <w:noWrap w:val="0"/>
            <w:vAlign w:val="center"/>
          </w:tcPr>
          <w:p w14:paraId="14356063">
            <w:pPr>
              <w:pStyle w:val="27"/>
              <w:bidi w:val="0"/>
              <w:rPr>
                <w:sz w:val="21"/>
                <w:szCs w:val="21"/>
              </w:rPr>
            </w:pPr>
            <w:r>
              <w:rPr>
                <w:sz w:val="21"/>
                <w:szCs w:val="21"/>
              </w:rPr>
              <w:t>建设情况</w:t>
            </w:r>
          </w:p>
        </w:tc>
        <w:tc>
          <w:tcPr>
            <w:tcW w:w="410" w:type="pct"/>
            <w:noWrap w:val="0"/>
            <w:vAlign w:val="center"/>
          </w:tcPr>
          <w:p w14:paraId="7DDFDCE5">
            <w:pPr>
              <w:pStyle w:val="27"/>
              <w:bidi w:val="0"/>
              <w:rPr>
                <w:sz w:val="21"/>
                <w:szCs w:val="21"/>
              </w:rPr>
            </w:pPr>
            <w:r>
              <w:rPr>
                <w:sz w:val="21"/>
                <w:szCs w:val="21"/>
              </w:rPr>
              <w:t>检查</w:t>
            </w:r>
          </w:p>
          <w:p w14:paraId="281FE194">
            <w:pPr>
              <w:pStyle w:val="27"/>
              <w:bidi w:val="0"/>
              <w:rPr>
                <w:sz w:val="21"/>
                <w:szCs w:val="21"/>
              </w:rPr>
            </w:pPr>
            <w:r>
              <w:rPr>
                <w:sz w:val="21"/>
                <w:szCs w:val="21"/>
              </w:rPr>
              <w:t>结果</w:t>
            </w:r>
          </w:p>
        </w:tc>
      </w:tr>
      <w:tr w14:paraId="5276B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27" w:hRule="atLeast"/>
          <w:jc w:val="center"/>
        </w:trPr>
        <w:tc>
          <w:tcPr>
            <w:tcW w:w="319" w:type="pct"/>
            <w:noWrap w:val="0"/>
            <w:vAlign w:val="center"/>
          </w:tcPr>
          <w:p w14:paraId="63F41FA1">
            <w:pPr>
              <w:pStyle w:val="27"/>
              <w:bidi w:val="0"/>
              <w:rPr>
                <w:sz w:val="21"/>
                <w:szCs w:val="21"/>
              </w:rPr>
            </w:pPr>
            <w:r>
              <w:rPr>
                <w:sz w:val="21"/>
                <w:szCs w:val="21"/>
              </w:rPr>
              <w:t>1</w:t>
            </w:r>
          </w:p>
        </w:tc>
        <w:tc>
          <w:tcPr>
            <w:tcW w:w="1402" w:type="pct"/>
            <w:noWrap w:val="0"/>
            <w:vAlign w:val="center"/>
          </w:tcPr>
          <w:p w14:paraId="35CF51C5">
            <w:pPr>
              <w:pStyle w:val="27"/>
              <w:bidi w:val="0"/>
              <w:jc w:val="both"/>
              <w:rPr>
                <w:sz w:val="21"/>
                <w:szCs w:val="21"/>
              </w:rPr>
            </w:pPr>
            <w:r>
              <w:rPr>
                <w:sz w:val="21"/>
                <w:szCs w:val="21"/>
              </w:rPr>
              <w:t>矿山企业应当配备必要的应急救援器材、设备和物资，并进行经常性维护、保养，保证正常运转。</w:t>
            </w:r>
          </w:p>
        </w:tc>
        <w:tc>
          <w:tcPr>
            <w:tcW w:w="872" w:type="pct"/>
            <w:noWrap w:val="0"/>
            <w:vAlign w:val="center"/>
          </w:tcPr>
          <w:p w14:paraId="48CE41D7">
            <w:pPr>
              <w:pStyle w:val="27"/>
              <w:bidi w:val="0"/>
              <w:rPr>
                <w:sz w:val="21"/>
                <w:szCs w:val="21"/>
              </w:rPr>
            </w:pPr>
            <w:r>
              <w:rPr>
                <w:sz w:val="21"/>
                <w:szCs w:val="21"/>
              </w:rPr>
              <w:t>《</w:t>
            </w:r>
            <w:r>
              <w:rPr>
                <w:rFonts w:hint="eastAsia"/>
                <w:sz w:val="21"/>
                <w:szCs w:val="21"/>
              </w:rPr>
              <w:t>安全设施设计</w:t>
            </w:r>
            <w:r>
              <w:rPr>
                <w:sz w:val="21"/>
                <w:szCs w:val="21"/>
              </w:rPr>
              <w:t>》</w:t>
            </w:r>
          </w:p>
        </w:tc>
        <w:tc>
          <w:tcPr>
            <w:tcW w:w="754" w:type="pct"/>
            <w:noWrap w:val="0"/>
            <w:vAlign w:val="center"/>
          </w:tcPr>
          <w:p w14:paraId="7764B9FE">
            <w:pPr>
              <w:pStyle w:val="27"/>
              <w:bidi w:val="0"/>
              <w:rPr>
                <w:sz w:val="21"/>
                <w:szCs w:val="21"/>
              </w:rPr>
            </w:pPr>
            <w:r>
              <w:rPr>
                <w:sz w:val="21"/>
                <w:szCs w:val="21"/>
              </w:rPr>
              <w:t>查阅资料</w:t>
            </w:r>
          </w:p>
        </w:tc>
        <w:tc>
          <w:tcPr>
            <w:tcW w:w="1240" w:type="pct"/>
            <w:noWrap w:val="0"/>
            <w:vAlign w:val="center"/>
          </w:tcPr>
          <w:p w14:paraId="0AEFE2AA">
            <w:pPr>
              <w:pStyle w:val="27"/>
              <w:bidi w:val="0"/>
              <w:jc w:val="both"/>
              <w:rPr>
                <w:sz w:val="21"/>
                <w:szCs w:val="21"/>
              </w:rPr>
            </w:pPr>
            <w:r>
              <w:rPr>
                <w:sz w:val="21"/>
                <w:szCs w:val="21"/>
              </w:rPr>
              <w:t>应急救援器材、设备和物资完善，保存良好，并定期对应急物资等进行维护保养。</w:t>
            </w:r>
          </w:p>
        </w:tc>
        <w:tc>
          <w:tcPr>
            <w:tcW w:w="410" w:type="pct"/>
            <w:noWrap w:val="0"/>
            <w:vAlign w:val="center"/>
          </w:tcPr>
          <w:p w14:paraId="613FD2EB">
            <w:pPr>
              <w:pStyle w:val="27"/>
              <w:bidi w:val="0"/>
              <w:rPr>
                <w:sz w:val="21"/>
                <w:szCs w:val="21"/>
              </w:rPr>
            </w:pPr>
            <w:r>
              <w:rPr>
                <w:sz w:val="21"/>
                <w:szCs w:val="21"/>
              </w:rPr>
              <w:t>符合</w:t>
            </w:r>
          </w:p>
        </w:tc>
      </w:tr>
      <w:tr w14:paraId="613A1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2" w:hRule="atLeast"/>
          <w:jc w:val="center"/>
        </w:trPr>
        <w:tc>
          <w:tcPr>
            <w:tcW w:w="319" w:type="pct"/>
            <w:noWrap w:val="0"/>
            <w:vAlign w:val="center"/>
          </w:tcPr>
          <w:p w14:paraId="7912613F">
            <w:pPr>
              <w:pStyle w:val="27"/>
              <w:bidi w:val="0"/>
              <w:rPr>
                <w:sz w:val="21"/>
                <w:szCs w:val="21"/>
              </w:rPr>
            </w:pPr>
            <w:r>
              <w:rPr>
                <w:sz w:val="21"/>
                <w:szCs w:val="21"/>
              </w:rPr>
              <w:t>2</w:t>
            </w:r>
          </w:p>
        </w:tc>
        <w:tc>
          <w:tcPr>
            <w:tcW w:w="1402" w:type="pct"/>
            <w:noWrap w:val="0"/>
            <w:vAlign w:val="center"/>
          </w:tcPr>
          <w:p w14:paraId="4394ECAA">
            <w:pPr>
              <w:pStyle w:val="27"/>
              <w:bidi w:val="0"/>
              <w:jc w:val="both"/>
              <w:rPr>
                <w:sz w:val="21"/>
                <w:szCs w:val="21"/>
              </w:rPr>
            </w:pPr>
            <w:r>
              <w:rPr>
                <w:sz w:val="21"/>
                <w:szCs w:val="21"/>
              </w:rPr>
              <w:t>矿山设置事故应急救援组织机构。</w:t>
            </w:r>
          </w:p>
        </w:tc>
        <w:tc>
          <w:tcPr>
            <w:tcW w:w="872" w:type="pct"/>
            <w:noWrap w:val="0"/>
            <w:vAlign w:val="center"/>
          </w:tcPr>
          <w:p w14:paraId="1363DD1E">
            <w:pPr>
              <w:pStyle w:val="27"/>
              <w:bidi w:val="0"/>
              <w:rPr>
                <w:sz w:val="21"/>
                <w:szCs w:val="21"/>
              </w:rPr>
            </w:pPr>
            <w:r>
              <w:rPr>
                <w:sz w:val="21"/>
                <w:szCs w:val="21"/>
              </w:rPr>
              <w:t>《</w:t>
            </w:r>
            <w:r>
              <w:rPr>
                <w:rFonts w:hint="eastAsia"/>
                <w:sz w:val="21"/>
                <w:szCs w:val="21"/>
              </w:rPr>
              <w:t>安全设施设计</w:t>
            </w:r>
            <w:r>
              <w:rPr>
                <w:sz w:val="21"/>
                <w:szCs w:val="21"/>
              </w:rPr>
              <w:t>》</w:t>
            </w:r>
          </w:p>
        </w:tc>
        <w:tc>
          <w:tcPr>
            <w:tcW w:w="754" w:type="pct"/>
            <w:noWrap w:val="0"/>
            <w:vAlign w:val="center"/>
          </w:tcPr>
          <w:p w14:paraId="4A01A5A1">
            <w:pPr>
              <w:pStyle w:val="27"/>
              <w:bidi w:val="0"/>
              <w:rPr>
                <w:sz w:val="21"/>
                <w:szCs w:val="21"/>
              </w:rPr>
            </w:pPr>
            <w:r>
              <w:rPr>
                <w:sz w:val="21"/>
                <w:szCs w:val="21"/>
              </w:rPr>
              <w:t>查阅资料</w:t>
            </w:r>
          </w:p>
        </w:tc>
        <w:tc>
          <w:tcPr>
            <w:tcW w:w="1240" w:type="pct"/>
            <w:noWrap w:val="0"/>
            <w:vAlign w:val="center"/>
          </w:tcPr>
          <w:p w14:paraId="7DE172AE">
            <w:pPr>
              <w:pStyle w:val="27"/>
              <w:bidi w:val="0"/>
              <w:jc w:val="both"/>
              <w:rPr>
                <w:sz w:val="21"/>
                <w:szCs w:val="21"/>
              </w:rPr>
            </w:pPr>
            <w:r>
              <w:rPr>
                <w:sz w:val="21"/>
                <w:szCs w:val="21"/>
              </w:rPr>
              <w:t>矿山以主要负责人为总指挥的成立应急救援组织机构。</w:t>
            </w:r>
          </w:p>
        </w:tc>
        <w:tc>
          <w:tcPr>
            <w:tcW w:w="410" w:type="pct"/>
            <w:noWrap w:val="0"/>
            <w:vAlign w:val="center"/>
          </w:tcPr>
          <w:p w14:paraId="7661159D">
            <w:pPr>
              <w:pStyle w:val="27"/>
              <w:bidi w:val="0"/>
              <w:rPr>
                <w:sz w:val="21"/>
                <w:szCs w:val="21"/>
              </w:rPr>
            </w:pPr>
            <w:r>
              <w:rPr>
                <w:sz w:val="21"/>
                <w:szCs w:val="21"/>
              </w:rPr>
              <w:t>符合</w:t>
            </w:r>
          </w:p>
        </w:tc>
      </w:tr>
      <w:tr w14:paraId="1CE4B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2" w:hRule="atLeast"/>
          <w:jc w:val="center"/>
        </w:trPr>
        <w:tc>
          <w:tcPr>
            <w:tcW w:w="319" w:type="pct"/>
            <w:noWrap w:val="0"/>
            <w:vAlign w:val="center"/>
          </w:tcPr>
          <w:p w14:paraId="37660EED">
            <w:pPr>
              <w:pStyle w:val="27"/>
              <w:bidi w:val="0"/>
              <w:rPr>
                <w:sz w:val="21"/>
                <w:szCs w:val="21"/>
              </w:rPr>
            </w:pPr>
            <w:r>
              <w:rPr>
                <w:sz w:val="21"/>
                <w:szCs w:val="21"/>
              </w:rPr>
              <w:t>3</w:t>
            </w:r>
          </w:p>
        </w:tc>
        <w:tc>
          <w:tcPr>
            <w:tcW w:w="1402" w:type="pct"/>
            <w:noWrap w:val="0"/>
            <w:vAlign w:val="center"/>
          </w:tcPr>
          <w:p w14:paraId="4642B352">
            <w:pPr>
              <w:pStyle w:val="27"/>
              <w:bidi w:val="0"/>
              <w:jc w:val="both"/>
              <w:rPr>
                <w:sz w:val="21"/>
                <w:szCs w:val="21"/>
              </w:rPr>
            </w:pPr>
            <w:r>
              <w:rPr>
                <w:sz w:val="21"/>
                <w:szCs w:val="21"/>
              </w:rPr>
              <w:t>生产经营单位应当制定本单位生产安全事故应急救援预案，与所在地县级以上地方人民政府组织制定的生产安全事故应急救援预案相衔接。</w:t>
            </w:r>
          </w:p>
        </w:tc>
        <w:tc>
          <w:tcPr>
            <w:tcW w:w="872" w:type="pct"/>
            <w:noWrap w:val="0"/>
            <w:vAlign w:val="center"/>
          </w:tcPr>
          <w:p w14:paraId="09AE2E3F">
            <w:pPr>
              <w:pStyle w:val="27"/>
              <w:bidi w:val="0"/>
              <w:rPr>
                <w:sz w:val="21"/>
                <w:szCs w:val="21"/>
              </w:rPr>
            </w:pPr>
            <w:r>
              <w:rPr>
                <w:sz w:val="21"/>
                <w:szCs w:val="21"/>
              </w:rPr>
              <w:t>《</w:t>
            </w:r>
            <w:r>
              <w:rPr>
                <w:rFonts w:hint="eastAsia"/>
                <w:sz w:val="21"/>
                <w:szCs w:val="21"/>
              </w:rPr>
              <w:t>安全设施设计</w:t>
            </w:r>
            <w:r>
              <w:rPr>
                <w:sz w:val="21"/>
                <w:szCs w:val="21"/>
              </w:rPr>
              <w:t>》</w:t>
            </w:r>
          </w:p>
        </w:tc>
        <w:tc>
          <w:tcPr>
            <w:tcW w:w="754" w:type="pct"/>
            <w:noWrap w:val="0"/>
            <w:vAlign w:val="center"/>
          </w:tcPr>
          <w:p w14:paraId="3654F0A4">
            <w:pPr>
              <w:pStyle w:val="27"/>
              <w:bidi w:val="0"/>
              <w:rPr>
                <w:sz w:val="21"/>
                <w:szCs w:val="21"/>
              </w:rPr>
            </w:pPr>
            <w:r>
              <w:rPr>
                <w:sz w:val="21"/>
                <w:szCs w:val="21"/>
              </w:rPr>
              <w:t>查阅资料</w:t>
            </w:r>
          </w:p>
        </w:tc>
        <w:tc>
          <w:tcPr>
            <w:tcW w:w="1240" w:type="pct"/>
            <w:noWrap w:val="0"/>
            <w:vAlign w:val="center"/>
          </w:tcPr>
          <w:p w14:paraId="748EC23A">
            <w:pPr>
              <w:pStyle w:val="27"/>
              <w:bidi w:val="0"/>
              <w:jc w:val="both"/>
              <w:rPr>
                <w:sz w:val="21"/>
                <w:szCs w:val="21"/>
              </w:rPr>
            </w:pPr>
            <w:r>
              <w:rPr>
                <w:sz w:val="21"/>
                <w:szCs w:val="21"/>
              </w:rPr>
              <w:t>建立了应急预案，且定期进应急演练。</w:t>
            </w:r>
          </w:p>
        </w:tc>
        <w:tc>
          <w:tcPr>
            <w:tcW w:w="410" w:type="pct"/>
            <w:noWrap w:val="0"/>
            <w:vAlign w:val="center"/>
          </w:tcPr>
          <w:p w14:paraId="2D2548F6">
            <w:pPr>
              <w:pStyle w:val="27"/>
              <w:bidi w:val="0"/>
              <w:rPr>
                <w:sz w:val="21"/>
                <w:szCs w:val="21"/>
              </w:rPr>
            </w:pPr>
            <w:r>
              <w:rPr>
                <w:sz w:val="21"/>
                <w:szCs w:val="21"/>
              </w:rPr>
              <w:t>符合</w:t>
            </w:r>
          </w:p>
        </w:tc>
      </w:tr>
      <w:tr w14:paraId="3C54D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2" w:hRule="atLeast"/>
          <w:jc w:val="center"/>
        </w:trPr>
        <w:tc>
          <w:tcPr>
            <w:tcW w:w="319" w:type="pct"/>
            <w:noWrap w:val="0"/>
            <w:vAlign w:val="center"/>
          </w:tcPr>
          <w:p w14:paraId="1A79E57C">
            <w:pPr>
              <w:pStyle w:val="27"/>
              <w:bidi w:val="0"/>
              <w:rPr>
                <w:sz w:val="21"/>
                <w:szCs w:val="21"/>
              </w:rPr>
            </w:pPr>
            <w:r>
              <w:rPr>
                <w:sz w:val="21"/>
                <w:szCs w:val="21"/>
              </w:rPr>
              <w:t>4</w:t>
            </w:r>
          </w:p>
        </w:tc>
        <w:tc>
          <w:tcPr>
            <w:tcW w:w="1402" w:type="pct"/>
            <w:noWrap w:val="0"/>
            <w:vAlign w:val="center"/>
          </w:tcPr>
          <w:p w14:paraId="54D8C0A1">
            <w:pPr>
              <w:pStyle w:val="27"/>
              <w:bidi w:val="0"/>
              <w:jc w:val="both"/>
              <w:rPr>
                <w:sz w:val="21"/>
                <w:szCs w:val="21"/>
              </w:rPr>
            </w:pPr>
            <w:r>
              <w:rPr>
                <w:sz w:val="21"/>
                <w:szCs w:val="21"/>
              </w:rPr>
              <w:t>矿山应按国家相关法律、法规及有关行业标准，结合企业实际编制应急救援预案，制定事故现场处置方案，并到属地安监部门进行备案。</w:t>
            </w:r>
          </w:p>
        </w:tc>
        <w:tc>
          <w:tcPr>
            <w:tcW w:w="872" w:type="pct"/>
            <w:noWrap w:val="0"/>
            <w:vAlign w:val="center"/>
          </w:tcPr>
          <w:p w14:paraId="77305ACF">
            <w:pPr>
              <w:pStyle w:val="27"/>
              <w:bidi w:val="0"/>
              <w:rPr>
                <w:sz w:val="21"/>
                <w:szCs w:val="21"/>
              </w:rPr>
            </w:pPr>
            <w:r>
              <w:rPr>
                <w:sz w:val="21"/>
                <w:szCs w:val="21"/>
              </w:rPr>
              <w:t>《</w:t>
            </w:r>
            <w:r>
              <w:rPr>
                <w:rFonts w:hint="eastAsia"/>
                <w:sz w:val="21"/>
                <w:szCs w:val="21"/>
              </w:rPr>
              <w:t>安全设施设计</w:t>
            </w:r>
            <w:r>
              <w:rPr>
                <w:sz w:val="21"/>
                <w:szCs w:val="21"/>
              </w:rPr>
              <w:t>》</w:t>
            </w:r>
          </w:p>
        </w:tc>
        <w:tc>
          <w:tcPr>
            <w:tcW w:w="754" w:type="pct"/>
            <w:noWrap w:val="0"/>
            <w:vAlign w:val="center"/>
          </w:tcPr>
          <w:p w14:paraId="61645E41">
            <w:pPr>
              <w:pStyle w:val="27"/>
              <w:bidi w:val="0"/>
              <w:rPr>
                <w:sz w:val="21"/>
                <w:szCs w:val="21"/>
              </w:rPr>
            </w:pPr>
            <w:r>
              <w:rPr>
                <w:sz w:val="21"/>
                <w:szCs w:val="21"/>
              </w:rPr>
              <w:t>查阅资料</w:t>
            </w:r>
          </w:p>
        </w:tc>
        <w:tc>
          <w:tcPr>
            <w:tcW w:w="1240" w:type="pct"/>
            <w:noWrap w:val="0"/>
            <w:vAlign w:val="center"/>
          </w:tcPr>
          <w:p w14:paraId="3F49A8D1">
            <w:pPr>
              <w:pStyle w:val="27"/>
              <w:bidi w:val="0"/>
              <w:jc w:val="both"/>
              <w:rPr>
                <w:sz w:val="21"/>
                <w:szCs w:val="21"/>
              </w:rPr>
            </w:pPr>
            <w:r>
              <w:rPr>
                <w:sz w:val="21"/>
                <w:szCs w:val="21"/>
              </w:rPr>
              <w:t>矿山编制了</w:t>
            </w:r>
            <w:r>
              <w:rPr>
                <w:rFonts w:hint="eastAsia"/>
                <w:sz w:val="21"/>
                <w:szCs w:val="21"/>
              </w:rPr>
              <w:t>综合</w:t>
            </w:r>
            <w:r>
              <w:rPr>
                <w:sz w:val="21"/>
                <w:szCs w:val="21"/>
              </w:rPr>
              <w:t>应急预案</w:t>
            </w:r>
            <w:r>
              <w:rPr>
                <w:rFonts w:hint="eastAsia"/>
                <w:sz w:val="21"/>
                <w:szCs w:val="21"/>
              </w:rPr>
              <w:t>、专项应急预案和处置方案</w:t>
            </w:r>
            <w:r>
              <w:rPr>
                <w:sz w:val="21"/>
                <w:szCs w:val="21"/>
              </w:rPr>
              <w:t>，经过专家评审，在</w:t>
            </w:r>
            <w:r>
              <w:rPr>
                <w:rFonts w:hint="eastAsia"/>
                <w:sz w:val="21"/>
                <w:szCs w:val="21"/>
                <w:lang w:val="en-US" w:eastAsia="zh-CN"/>
              </w:rPr>
              <w:t>海城</w:t>
            </w:r>
            <w:r>
              <w:rPr>
                <w:rFonts w:hint="eastAsia"/>
                <w:sz w:val="21"/>
                <w:szCs w:val="21"/>
                <w:lang w:eastAsia="zh-CN"/>
              </w:rPr>
              <w:t>市</w:t>
            </w:r>
            <w:r>
              <w:rPr>
                <w:sz w:val="21"/>
                <w:szCs w:val="21"/>
              </w:rPr>
              <w:t>应急管理</w:t>
            </w:r>
            <w:r>
              <w:rPr>
                <w:rFonts w:hint="eastAsia"/>
                <w:sz w:val="21"/>
                <w:szCs w:val="21"/>
              </w:rPr>
              <w:t>局</w:t>
            </w:r>
            <w:r>
              <w:rPr>
                <w:sz w:val="21"/>
                <w:szCs w:val="21"/>
              </w:rPr>
              <w:t>进行备案登记。</w:t>
            </w:r>
          </w:p>
        </w:tc>
        <w:tc>
          <w:tcPr>
            <w:tcW w:w="410" w:type="pct"/>
            <w:noWrap w:val="0"/>
            <w:vAlign w:val="center"/>
          </w:tcPr>
          <w:p w14:paraId="4D082E71">
            <w:pPr>
              <w:pStyle w:val="27"/>
              <w:bidi w:val="0"/>
              <w:rPr>
                <w:sz w:val="21"/>
                <w:szCs w:val="21"/>
              </w:rPr>
            </w:pPr>
            <w:r>
              <w:rPr>
                <w:sz w:val="21"/>
                <w:szCs w:val="21"/>
              </w:rPr>
              <w:t>符合</w:t>
            </w:r>
          </w:p>
        </w:tc>
      </w:tr>
    </w:tbl>
    <w:p w14:paraId="40B54D10">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rPr>
      </w:pPr>
      <w:r>
        <w:rPr>
          <w:rFonts w:hint="eastAsia"/>
        </w:rPr>
        <w:t>评价单元小结：</w:t>
      </w:r>
    </w:p>
    <w:p w14:paraId="29E9C9E7">
      <w:pPr>
        <w:pStyle w:val="18"/>
        <w:keepNext w:val="0"/>
        <w:keepLines w:val="0"/>
        <w:pageBreakBefore w:val="0"/>
        <w:widowControl w:val="0"/>
        <w:kinsoku/>
        <w:wordWrap/>
        <w:overflowPunct/>
        <w:topLinePunct w:val="0"/>
        <w:autoSpaceDE/>
        <w:autoSpaceDN/>
        <w:bidi w:val="0"/>
        <w:adjustRightInd w:val="0"/>
        <w:snapToGrid w:val="0"/>
        <w:textAlignment w:val="auto"/>
      </w:pPr>
      <w:r>
        <w:rPr>
          <w:rFonts w:hint="eastAsia"/>
        </w:rPr>
        <w:t>对该矿山的应急救援单元用安全检查表法进行了</w:t>
      </w:r>
      <w:r>
        <w:rPr>
          <w:rFonts w:hint="eastAsia"/>
          <w:lang w:val="en-US" w:eastAsia="zh-CN"/>
        </w:rPr>
        <w:t>4</w:t>
      </w:r>
      <w:r>
        <w:rPr>
          <w:rFonts w:hint="eastAsia"/>
        </w:rPr>
        <w:t>项检查，均符合安全要求，检查结果表明，海城市荣富耐火材料有限公司镁矿（菱镁石、滑石）露天矿山建设项目应急救援单元符合设计要求，能够满足矿山安全生产条件。</w:t>
      </w:r>
    </w:p>
    <w:p w14:paraId="577E7FD3">
      <w:pPr>
        <w:pStyle w:val="25"/>
        <w:bidi w:val="0"/>
        <w:ind w:left="720" w:leftChars="0" w:hanging="720" w:firstLineChars="0"/>
        <w:rPr>
          <w:rFonts w:hint="eastAsia"/>
        </w:rPr>
      </w:pPr>
      <w:bookmarkStart w:id="302" w:name="_Toc29982"/>
      <w:bookmarkStart w:id="303" w:name="_Toc29362"/>
      <w:bookmarkStart w:id="304" w:name="_Toc29526"/>
      <w:bookmarkStart w:id="305" w:name="_Toc2389"/>
      <w:bookmarkStart w:id="306" w:name="_Toc14640"/>
      <w:bookmarkStart w:id="307" w:name="_Toc22978"/>
      <w:bookmarkStart w:id="308" w:name="_Toc16337"/>
      <w:bookmarkStart w:id="309" w:name="_Toc7658"/>
      <w:bookmarkStart w:id="310" w:name="_Toc31737"/>
      <w:bookmarkStart w:id="311" w:name="_Toc19903"/>
      <w:bookmarkStart w:id="312" w:name="_Toc249"/>
      <w:bookmarkStart w:id="313" w:name="_Toc14751"/>
      <w:bookmarkStart w:id="314" w:name="_Toc17815"/>
      <w:r>
        <w:rPr>
          <w:rFonts w:hint="eastAsia"/>
        </w:rPr>
        <w:t>安全管理符合性评价</w:t>
      </w:r>
      <w:bookmarkEnd w:id="302"/>
      <w:bookmarkEnd w:id="303"/>
      <w:bookmarkEnd w:id="304"/>
      <w:bookmarkEnd w:id="305"/>
      <w:bookmarkEnd w:id="306"/>
      <w:bookmarkEnd w:id="307"/>
      <w:bookmarkEnd w:id="308"/>
      <w:bookmarkEnd w:id="309"/>
      <w:bookmarkEnd w:id="310"/>
      <w:bookmarkEnd w:id="311"/>
      <w:bookmarkEnd w:id="312"/>
      <w:bookmarkEnd w:id="313"/>
      <w:bookmarkEnd w:id="314"/>
    </w:p>
    <w:p w14:paraId="0BF257D0">
      <w:pPr>
        <w:pStyle w:val="18"/>
        <w:bidi w:val="0"/>
      </w:pPr>
      <w:r>
        <w:t>根据《安全设施</w:t>
      </w:r>
      <w:r>
        <w:rPr>
          <w:rFonts w:hint="eastAsia"/>
        </w:rPr>
        <w:t>设计</w:t>
      </w:r>
      <w:r>
        <w:t>》</w:t>
      </w:r>
      <w:r>
        <w:rPr>
          <w:rFonts w:hint="eastAsia"/>
          <w:lang w:eastAsia="zh-CN"/>
        </w:rPr>
        <w:t>，</w:t>
      </w:r>
      <w:r>
        <w:rPr>
          <w:rFonts w:hint="eastAsia"/>
          <w:lang w:val="en-US" w:eastAsia="zh-CN"/>
        </w:rPr>
        <w:t>评价组</w:t>
      </w:r>
      <w:r>
        <w:rPr>
          <w:rFonts w:hint="eastAsia"/>
          <w:lang w:eastAsia="zh-CN"/>
        </w:rPr>
        <w:t>采用安全检查表</w:t>
      </w:r>
      <w:r>
        <w:rPr>
          <w:rFonts w:hint="eastAsia"/>
          <w:lang w:val="en-US" w:eastAsia="zh-CN"/>
        </w:rPr>
        <w:t>法，</w:t>
      </w:r>
      <w:r>
        <w:rPr>
          <w:rFonts w:hint="eastAsia"/>
          <w:lang w:eastAsia="zh-CN"/>
        </w:rPr>
        <w:t>对</w:t>
      </w:r>
      <w:r>
        <w:rPr>
          <w:rFonts w:hint="eastAsia"/>
          <w:lang w:val="en-US" w:eastAsia="zh-CN"/>
        </w:rPr>
        <w:t>该项目</w:t>
      </w:r>
      <w:r>
        <w:rPr>
          <w:rFonts w:hint="eastAsia"/>
          <w:lang w:eastAsia="zh-CN"/>
        </w:rPr>
        <w:t>矿山安全管理</w:t>
      </w:r>
      <w:r>
        <w:rPr>
          <w:rFonts w:hint="eastAsia"/>
          <w:lang w:val="en-US" w:eastAsia="zh-CN"/>
        </w:rPr>
        <w:t>单元，</w:t>
      </w:r>
      <w:r>
        <w:rPr>
          <w:rFonts w:hint="eastAsia"/>
          <w:lang w:eastAsia="zh-CN"/>
        </w:rPr>
        <w:t>进行符合性</w:t>
      </w:r>
      <w:r>
        <w:rPr>
          <w:rFonts w:hint="eastAsia"/>
          <w:lang w:val="en-US" w:eastAsia="zh-CN"/>
        </w:rPr>
        <w:t>检查、</w:t>
      </w:r>
      <w:r>
        <w:rPr>
          <w:rFonts w:hint="eastAsia"/>
          <w:lang w:eastAsia="zh-CN"/>
        </w:rPr>
        <w:t>评价（</w:t>
      </w:r>
      <w:r>
        <w:rPr>
          <w:rFonts w:hint="eastAsia"/>
          <w:lang w:val="en-US" w:eastAsia="zh-CN"/>
        </w:rPr>
        <w:t>见表3.9-4</w:t>
      </w:r>
      <w:r>
        <w:rPr>
          <w:rFonts w:hint="eastAsia"/>
          <w:lang w:eastAsia="zh-CN"/>
        </w:rPr>
        <w:t>）。</w:t>
      </w:r>
    </w:p>
    <w:p w14:paraId="35A43979">
      <w:pPr>
        <w:pStyle w:val="26"/>
        <w:keepNext w:val="0"/>
        <w:keepLines w:val="0"/>
        <w:pageBreakBefore w:val="0"/>
        <w:widowControl/>
        <w:kinsoku/>
        <w:wordWrap/>
        <w:overflowPunct/>
        <w:topLinePunct w:val="0"/>
        <w:autoSpaceDE/>
        <w:autoSpaceDN/>
        <w:bidi w:val="0"/>
        <w:adjustRightInd w:val="0"/>
        <w:snapToGrid w:val="0"/>
        <w:spacing w:before="0" w:beforeLines="0"/>
        <w:textAlignment w:val="auto"/>
      </w:pPr>
      <w:r>
        <w:t>表3</w:t>
      </w:r>
      <w:r>
        <w:rPr>
          <w:rFonts w:hint="eastAsia"/>
          <w:lang w:val="en-US" w:eastAsia="zh-CN"/>
        </w:rPr>
        <w:t>.</w:t>
      </w:r>
      <w:r>
        <w:t>9-4  安全管理符合性安全检查表</w:t>
      </w:r>
    </w:p>
    <w:tbl>
      <w:tblPr>
        <w:tblStyle w:val="20"/>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27"/>
        <w:gridCol w:w="1972"/>
        <w:gridCol w:w="1065"/>
        <w:gridCol w:w="1583"/>
        <w:gridCol w:w="2441"/>
        <w:gridCol w:w="831"/>
      </w:tblGrid>
      <w:tr w14:paraId="1A47C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blHeader/>
        </w:trPr>
        <w:tc>
          <w:tcPr>
            <w:tcW w:w="368" w:type="pct"/>
            <w:noWrap w:val="0"/>
            <w:vAlign w:val="center"/>
          </w:tcPr>
          <w:p w14:paraId="7B4A0518">
            <w:pPr>
              <w:pStyle w:val="27"/>
              <w:bidi w:val="0"/>
              <w:rPr>
                <w:b/>
                <w:bCs/>
                <w:sz w:val="21"/>
                <w:szCs w:val="21"/>
              </w:rPr>
            </w:pPr>
            <w:r>
              <w:rPr>
                <w:b/>
                <w:bCs/>
                <w:sz w:val="21"/>
                <w:szCs w:val="21"/>
              </w:rPr>
              <w:t>序号</w:t>
            </w:r>
          </w:p>
        </w:tc>
        <w:tc>
          <w:tcPr>
            <w:tcW w:w="1157" w:type="pct"/>
            <w:noWrap w:val="0"/>
            <w:vAlign w:val="center"/>
          </w:tcPr>
          <w:p w14:paraId="041D5970">
            <w:pPr>
              <w:pStyle w:val="27"/>
              <w:bidi w:val="0"/>
              <w:rPr>
                <w:b/>
                <w:bCs/>
                <w:sz w:val="21"/>
                <w:szCs w:val="21"/>
              </w:rPr>
            </w:pPr>
            <w:r>
              <w:rPr>
                <w:b/>
                <w:bCs/>
                <w:sz w:val="21"/>
                <w:szCs w:val="21"/>
              </w:rPr>
              <w:t>检查项目</w:t>
            </w:r>
          </w:p>
        </w:tc>
        <w:tc>
          <w:tcPr>
            <w:tcW w:w="625" w:type="pct"/>
            <w:noWrap w:val="0"/>
            <w:vAlign w:val="center"/>
          </w:tcPr>
          <w:p w14:paraId="4976A627">
            <w:pPr>
              <w:pStyle w:val="27"/>
              <w:bidi w:val="0"/>
              <w:rPr>
                <w:b/>
                <w:bCs/>
                <w:sz w:val="21"/>
                <w:szCs w:val="21"/>
              </w:rPr>
            </w:pPr>
            <w:r>
              <w:rPr>
                <w:b/>
                <w:bCs/>
                <w:sz w:val="21"/>
                <w:szCs w:val="21"/>
              </w:rPr>
              <w:t>检查依据</w:t>
            </w:r>
          </w:p>
        </w:tc>
        <w:tc>
          <w:tcPr>
            <w:tcW w:w="929" w:type="pct"/>
            <w:noWrap w:val="0"/>
            <w:vAlign w:val="center"/>
          </w:tcPr>
          <w:p w14:paraId="7B3ED866">
            <w:pPr>
              <w:pStyle w:val="27"/>
              <w:bidi w:val="0"/>
              <w:rPr>
                <w:b/>
                <w:bCs/>
                <w:sz w:val="21"/>
                <w:szCs w:val="21"/>
              </w:rPr>
            </w:pPr>
            <w:r>
              <w:rPr>
                <w:b/>
                <w:bCs/>
                <w:sz w:val="21"/>
                <w:szCs w:val="21"/>
              </w:rPr>
              <w:t>检查方法</w:t>
            </w:r>
          </w:p>
        </w:tc>
        <w:tc>
          <w:tcPr>
            <w:tcW w:w="1432" w:type="pct"/>
            <w:noWrap w:val="0"/>
            <w:vAlign w:val="center"/>
          </w:tcPr>
          <w:p w14:paraId="01FBB9A3">
            <w:pPr>
              <w:pStyle w:val="27"/>
              <w:bidi w:val="0"/>
              <w:rPr>
                <w:b/>
                <w:bCs/>
                <w:sz w:val="21"/>
                <w:szCs w:val="21"/>
              </w:rPr>
            </w:pPr>
            <w:r>
              <w:rPr>
                <w:b/>
                <w:bCs/>
                <w:sz w:val="21"/>
                <w:szCs w:val="21"/>
              </w:rPr>
              <w:t>检查情况</w:t>
            </w:r>
          </w:p>
        </w:tc>
        <w:tc>
          <w:tcPr>
            <w:tcW w:w="487" w:type="pct"/>
            <w:noWrap w:val="0"/>
            <w:vAlign w:val="center"/>
          </w:tcPr>
          <w:p w14:paraId="46319B15">
            <w:pPr>
              <w:pStyle w:val="27"/>
              <w:bidi w:val="0"/>
              <w:rPr>
                <w:b/>
                <w:bCs/>
                <w:sz w:val="21"/>
                <w:szCs w:val="21"/>
              </w:rPr>
            </w:pPr>
            <w:r>
              <w:rPr>
                <w:b/>
                <w:bCs/>
                <w:sz w:val="21"/>
                <w:szCs w:val="21"/>
              </w:rPr>
              <w:t>检查</w:t>
            </w:r>
          </w:p>
          <w:p w14:paraId="19C1E01A">
            <w:pPr>
              <w:pStyle w:val="27"/>
              <w:bidi w:val="0"/>
              <w:rPr>
                <w:b/>
                <w:bCs/>
                <w:sz w:val="21"/>
                <w:szCs w:val="21"/>
              </w:rPr>
            </w:pPr>
            <w:r>
              <w:rPr>
                <w:b/>
                <w:bCs/>
                <w:sz w:val="21"/>
                <w:szCs w:val="21"/>
              </w:rPr>
              <w:t>结果</w:t>
            </w:r>
          </w:p>
        </w:tc>
      </w:tr>
      <w:tr w14:paraId="725BD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68" w:type="pct"/>
            <w:noWrap w:val="0"/>
            <w:vAlign w:val="center"/>
          </w:tcPr>
          <w:p w14:paraId="4E9BC82C">
            <w:pPr>
              <w:pStyle w:val="27"/>
              <w:bidi w:val="0"/>
              <w:rPr>
                <w:sz w:val="21"/>
                <w:szCs w:val="21"/>
              </w:rPr>
            </w:pPr>
            <w:r>
              <w:rPr>
                <w:sz w:val="21"/>
                <w:szCs w:val="21"/>
              </w:rPr>
              <w:t>1</w:t>
            </w:r>
          </w:p>
        </w:tc>
        <w:tc>
          <w:tcPr>
            <w:tcW w:w="1157" w:type="pct"/>
            <w:noWrap w:val="0"/>
            <w:vAlign w:val="center"/>
          </w:tcPr>
          <w:p w14:paraId="788D794F">
            <w:pPr>
              <w:pStyle w:val="27"/>
              <w:bidi w:val="0"/>
              <w:rPr>
                <w:sz w:val="21"/>
                <w:szCs w:val="21"/>
              </w:rPr>
            </w:pPr>
            <w:r>
              <w:rPr>
                <w:rFonts w:hint="eastAsia"/>
                <w:sz w:val="21"/>
                <w:szCs w:val="21"/>
              </w:rPr>
              <w:t>安全生产责任制、</w:t>
            </w:r>
            <w:r>
              <w:rPr>
                <w:sz w:val="21"/>
                <w:szCs w:val="21"/>
              </w:rPr>
              <w:t>规章制度与操作规程</w:t>
            </w:r>
          </w:p>
        </w:tc>
        <w:tc>
          <w:tcPr>
            <w:tcW w:w="625" w:type="pct"/>
            <w:noWrap w:val="0"/>
            <w:vAlign w:val="center"/>
          </w:tcPr>
          <w:p w14:paraId="51D87897">
            <w:pPr>
              <w:pStyle w:val="27"/>
              <w:bidi w:val="0"/>
              <w:rPr>
                <w:sz w:val="21"/>
                <w:szCs w:val="21"/>
              </w:rPr>
            </w:pPr>
            <w:r>
              <w:rPr>
                <w:sz w:val="21"/>
                <w:szCs w:val="21"/>
              </w:rPr>
              <w:t>《安全设施</w:t>
            </w:r>
            <w:r>
              <w:rPr>
                <w:rFonts w:hint="eastAsia"/>
                <w:sz w:val="21"/>
                <w:szCs w:val="21"/>
              </w:rPr>
              <w:t>设计</w:t>
            </w:r>
            <w:r>
              <w:rPr>
                <w:sz w:val="21"/>
                <w:szCs w:val="21"/>
              </w:rPr>
              <w:t>》</w:t>
            </w:r>
          </w:p>
        </w:tc>
        <w:tc>
          <w:tcPr>
            <w:tcW w:w="929" w:type="pct"/>
            <w:noWrap w:val="0"/>
            <w:vAlign w:val="center"/>
          </w:tcPr>
          <w:p w14:paraId="7090C6AF">
            <w:pPr>
              <w:pStyle w:val="27"/>
              <w:bidi w:val="0"/>
              <w:rPr>
                <w:sz w:val="21"/>
                <w:szCs w:val="21"/>
              </w:rPr>
            </w:pPr>
            <w:r>
              <w:rPr>
                <w:sz w:val="21"/>
                <w:szCs w:val="21"/>
              </w:rPr>
              <w:t>查阅资料、现场检查</w:t>
            </w:r>
          </w:p>
        </w:tc>
        <w:tc>
          <w:tcPr>
            <w:tcW w:w="1432" w:type="pct"/>
            <w:noWrap w:val="0"/>
            <w:vAlign w:val="center"/>
          </w:tcPr>
          <w:p w14:paraId="45ECF225">
            <w:pPr>
              <w:pStyle w:val="27"/>
              <w:bidi w:val="0"/>
              <w:rPr>
                <w:sz w:val="21"/>
                <w:szCs w:val="21"/>
              </w:rPr>
            </w:pPr>
            <w:r>
              <w:rPr>
                <w:sz w:val="21"/>
                <w:szCs w:val="21"/>
              </w:rPr>
              <w:t>按照设计要求建立了</w:t>
            </w:r>
            <w:r>
              <w:rPr>
                <w:rFonts w:hint="eastAsia"/>
                <w:sz w:val="21"/>
                <w:szCs w:val="21"/>
              </w:rPr>
              <w:t>安全生产责任制、</w:t>
            </w:r>
            <w:r>
              <w:rPr>
                <w:sz w:val="21"/>
                <w:szCs w:val="21"/>
              </w:rPr>
              <w:t>规章制度和操作规程。</w:t>
            </w:r>
          </w:p>
        </w:tc>
        <w:tc>
          <w:tcPr>
            <w:tcW w:w="487" w:type="pct"/>
            <w:noWrap w:val="0"/>
            <w:vAlign w:val="center"/>
          </w:tcPr>
          <w:p w14:paraId="43DBF625">
            <w:pPr>
              <w:pStyle w:val="27"/>
              <w:bidi w:val="0"/>
              <w:rPr>
                <w:sz w:val="21"/>
                <w:szCs w:val="21"/>
              </w:rPr>
            </w:pPr>
            <w:r>
              <w:rPr>
                <w:sz w:val="21"/>
                <w:szCs w:val="21"/>
              </w:rPr>
              <w:t>符合</w:t>
            </w:r>
          </w:p>
        </w:tc>
      </w:tr>
      <w:tr w14:paraId="08D7B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68" w:type="pct"/>
            <w:noWrap w:val="0"/>
            <w:vAlign w:val="center"/>
          </w:tcPr>
          <w:p w14:paraId="541FFE26">
            <w:pPr>
              <w:pStyle w:val="27"/>
              <w:bidi w:val="0"/>
              <w:rPr>
                <w:sz w:val="21"/>
                <w:szCs w:val="21"/>
              </w:rPr>
            </w:pPr>
            <w:r>
              <w:rPr>
                <w:sz w:val="21"/>
                <w:szCs w:val="21"/>
              </w:rPr>
              <w:t>2</w:t>
            </w:r>
          </w:p>
        </w:tc>
        <w:tc>
          <w:tcPr>
            <w:tcW w:w="1157" w:type="pct"/>
            <w:noWrap w:val="0"/>
            <w:vAlign w:val="center"/>
          </w:tcPr>
          <w:p w14:paraId="0039942A">
            <w:pPr>
              <w:pStyle w:val="27"/>
              <w:bidi w:val="0"/>
              <w:rPr>
                <w:sz w:val="21"/>
                <w:szCs w:val="21"/>
              </w:rPr>
            </w:pPr>
            <w:r>
              <w:rPr>
                <w:sz w:val="21"/>
                <w:szCs w:val="21"/>
              </w:rPr>
              <w:t>档案类别</w:t>
            </w:r>
          </w:p>
        </w:tc>
        <w:tc>
          <w:tcPr>
            <w:tcW w:w="625" w:type="pct"/>
            <w:noWrap w:val="0"/>
            <w:vAlign w:val="center"/>
          </w:tcPr>
          <w:p w14:paraId="3586E75D">
            <w:pPr>
              <w:pStyle w:val="27"/>
              <w:bidi w:val="0"/>
              <w:rPr>
                <w:sz w:val="21"/>
                <w:szCs w:val="21"/>
              </w:rPr>
            </w:pPr>
            <w:r>
              <w:rPr>
                <w:sz w:val="21"/>
                <w:szCs w:val="21"/>
              </w:rPr>
              <w:t>《安全设施</w:t>
            </w:r>
            <w:r>
              <w:rPr>
                <w:rFonts w:hint="eastAsia"/>
                <w:sz w:val="21"/>
                <w:szCs w:val="21"/>
              </w:rPr>
              <w:t>设计</w:t>
            </w:r>
            <w:r>
              <w:rPr>
                <w:sz w:val="21"/>
                <w:szCs w:val="21"/>
              </w:rPr>
              <w:t>》</w:t>
            </w:r>
          </w:p>
        </w:tc>
        <w:tc>
          <w:tcPr>
            <w:tcW w:w="929" w:type="pct"/>
            <w:noWrap w:val="0"/>
            <w:vAlign w:val="center"/>
          </w:tcPr>
          <w:p w14:paraId="22A87E38">
            <w:pPr>
              <w:pStyle w:val="27"/>
              <w:bidi w:val="0"/>
              <w:rPr>
                <w:sz w:val="21"/>
                <w:szCs w:val="21"/>
              </w:rPr>
            </w:pPr>
            <w:r>
              <w:rPr>
                <w:sz w:val="21"/>
                <w:szCs w:val="21"/>
              </w:rPr>
              <w:t>查阅资料、现场检查</w:t>
            </w:r>
          </w:p>
        </w:tc>
        <w:tc>
          <w:tcPr>
            <w:tcW w:w="1432" w:type="pct"/>
            <w:noWrap w:val="0"/>
            <w:vAlign w:val="center"/>
          </w:tcPr>
          <w:p w14:paraId="6079C4BF">
            <w:pPr>
              <w:pStyle w:val="27"/>
              <w:bidi w:val="0"/>
              <w:rPr>
                <w:sz w:val="21"/>
                <w:szCs w:val="21"/>
              </w:rPr>
            </w:pPr>
            <w:r>
              <w:rPr>
                <w:sz w:val="21"/>
                <w:szCs w:val="21"/>
              </w:rPr>
              <w:t>建立完善了安全管理档案</w:t>
            </w:r>
            <w:r>
              <w:rPr>
                <w:rFonts w:hint="eastAsia"/>
                <w:sz w:val="21"/>
                <w:szCs w:val="21"/>
              </w:rPr>
              <w:t>，设计资料、竣工资料、监理资料齐全</w:t>
            </w:r>
            <w:r>
              <w:rPr>
                <w:sz w:val="21"/>
                <w:szCs w:val="21"/>
              </w:rPr>
              <w:t>。</w:t>
            </w:r>
          </w:p>
        </w:tc>
        <w:tc>
          <w:tcPr>
            <w:tcW w:w="487" w:type="pct"/>
            <w:noWrap w:val="0"/>
            <w:vAlign w:val="center"/>
          </w:tcPr>
          <w:p w14:paraId="24D42D69">
            <w:pPr>
              <w:pStyle w:val="27"/>
              <w:bidi w:val="0"/>
              <w:rPr>
                <w:sz w:val="21"/>
                <w:szCs w:val="21"/>
              </w:rPr>
            </w:pPr>
            <w:r>
              <w:rPr>
                <w:sz w:val="21"/>
                <w:szCs w:val="21"/>
              </w:rPr>
              <w:t>符合</w:t>
            </w:r>
          </w:p>
        </w:tc>
      </w:tr>
      <w:tr w14:paraId="141F67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68" w:type="pct"/>
            <w:noWrap w:val="0"/>
            <w:vAlign w:val="center"/>
          </w:tcPr>
          <w:p w14:paraId="5C3A2109">
            <w:pPr>
              <w:pStyle w:val="27"/>
              <w:bidi w:val="0"/>
              <w:rPr>
                <w:sz w:val="21"/>
                <w:szCs w:val="21"/>
              </w:rPr>
            </w:pPr>
            <w:r>
              <w:rPr>
                <w:sz w:val="21"/>
                <w:szCs w:val="21"/>
              </w:rPr>
              <w:t>3</w:t>
            </w:r>
          </w:p>
        </w:tc>
        <w:tc>
          <w:tcPr>
            <w:tcW w:w="1157" w:type="pct"/>
            <w:noWrap w:val="0"/>
            <w:vAlign w:val="center"/>
          </w:tcPr>
          <w:p w14:paraId="68D23453">
            <w:pPr>
              <w:pStyle w:val="27"/>
              <w:bidi w:val="0"/>
              <w:rPr>
                <w:sz w:val="21"/>
                <w:szCs w:val="21"/>
              </w:rPr>
            </w:pPr>
            <w:r>
              <w:rPr>
                <w:sz w:val="21"/>
                <w:szCs w:val="21"/>
              </w:rPr>
              <w:t>教育培训</w:t>
            </w:r>
          </w:p>
        </w:tc>
        <w:tc>
          <w:tcPr>
            <w:tcW w:w="625" w:type="pct"/>
            <w:noWrap w:val="0"/>
            <w:vAlign w:val="center"/>
          </w:tcPr>
          <w:p w14:paraId="206A7689">
            <w:pPr>
              <w:pStyle w:val="27"/>
              <w:bidi w:val="0"/>
              <w:rPr>
                <w:sz w:val="21"/>
                <w:szCs w:val="21"/>
              </w:rPr>
            </w:pPr>
            <w:r>
              <w:rPr>
                <w:sz w:val="21"/>
                <w:szCs w:val="21"/>
              </w:rPr>
              <w:t>《安全设施</w:t>
            </w:r>
            <w:r>
              <w:rPr>
                <w:rFonts w:hint="eastAsia"/>
                <w:sz w:val="21"/>
                <w:szCs w:val="21"/>
              </w:rPr>
              <w:t>设计</w:t>
            </w:r>
            <w:r>
              <w:rPr>
                <w:sz w:val="21"/>
                <w:szCs w:val="21"/>
              </w:rPr>
              <w:t>》</w:t>
            </w:r>
          </w:p>
        </w:tc>
        <w:tc>
          <w:tcPr>
            <w:tcW w:w="929" w:type="pct"/>
            <w:noWrap w:val="0"/>
            <w:vAlign w:val="center"/>
          </w:tcPr>
          <w:p w14:paraId="1939412B">
            <w:pPr>
              <w:pStyle w:val="27"/>
              <w:bidi w:val="0"/>
              <w:rPr>
                <w:sz w:val="21"/>
                <w:szCs w:val="21"/>
              </w:rPr>
            </w:pPr>
            <w:r>
              <w:rPr>
                <w:sz w:val="21"/>
                <w:szCs w:val="21"/>
              </w:rPr>
              <w:t>查阅资料、现场检查</w:t>
            </w:r>
          </w:p>
        </w:tc>
        <w:tc>
          <w:tcPr>
            <w:tcW w:w="1432" w:type="pct"/>
            <w:noWrap w:val="0"/>
            <w:vAlign w:val="center"/>
          </w:tcPr>
          <w:p w14:paraId="5DC23115">
            <w:pPr>
              <w:pStyle w:val="27"/>
              <w:bidi w:val="0"/>
              <w:rPr>
                <w:sz w:val="21"/>
                <w:szCs w:val="21"/>
              </w:rPr>
            </w:pPr>
            <w:r>
              <w:rPr>
                <w:sz w:val="21"/>
                <w:szCs w:val="21"/>
              </w:rPr>
              <w:t>企业</w:t>
            </w:r>
            <w:r>
              <w:rPr>
                <w:rFonts w:hint="eastAsia"/>
                <w:sz w:val="21"/>
                <w:szCs w:val="21"/>
              </w:rPr>
              <w:t>定期</w:t>
            </w:r>
            <w:r>
              <w:rPr>
                <w:sz w:val="21"/>
                <w:szCs w:val="21"/>
              </w:rPr>
              <w:t>组织了</w:t>
            </w:r>
            <w:r>
              <w:rPr>
                <w:rFonts w:hint="eastAsia"/>
                <w:sz w:val="21"/>
                <w:szCs w:val="21"/>
              </w:rPr>
              <w:t>安全教育</w:t>
            </w:r>
            <w:r>
              <w:rPr>
                <w:sz w:val="21"/>
                <w:szCs w:val="21"/>
              </w:rPr>
              <w:t>培训</w:t>
            </w:r>
            <w:r>
              <w:rPr>
                <w:rFonts w:hint="eastAsia"/>
                <w:sz w:val="21"/>
                <w:szCs w:val="21"/>
              </w:rPr>
              <w:t>，未经安全生产教育和培训合格的不上岗作业</w:t>
            </w:r>
            <w:r>
              <w:rPr>
                <w:sz w:val="21"/>
                <w:szCs w:val="21"/>
              </w:rPr>
              <w:t>。</w:t>
            </w:r>
            <w:r>
              <w:rPr>
                <w:rFonts w:hint="eastAsia"/>
                <w:sz w:val="21"/>
                <w:szCs w:val="21"/>
              </w:rPr>
              <w:t>有安全教育培训试卷等，见附件。</w:t>
            </w:r>
          </w:p>
        </w:tc>
        <w:tc>
          <w:tcPr>
            <w:tcW w:w="487" w:type="pct"/>
            <w:noWrap w:val="0"/>
            <w:vAlign w:val="center"/>
          </w:tcPr>
          <w:p w14:paraId="7EF39F3B">
            <w:pPr>
              <w:pStyle w:val="27"/>
              <w:bidi w:val="0"/>
              <w:rPr>
                <w:sz w:val="21"/>
                <w:szCs w:val="21"/>
              </w:rPr>
            </w:pPr>
            <w:r>
              <w:rPr>
                <w:sz w:val="21"/>
                <w:szCs w:val="21"/>
              </w:rPr>
              <w:t>符合</w:t>
            </w:r>
          </w:p>
        </w:tc>
      </w:tr>
      <w:tr w14:paraId="22BFA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68" w:type="pct"/>
            <w:noWrap w:val="0"/>
            <w:vAlign w:val="center"/>
          </w:tcPr>
          <w:p w14:paraId="3D3313A5">
            <w:pPr>
              <w:pStyle w:val="27"/>
              <w:bidi w:val="0"/>
              <w:rPr>
                <w:sz w:val="21"/>
                <w:szCs w:val="21"/>
              </w:rPr>
            </w:pPr>
            <w:r>
              <w:rPr>
                <w:sz w:val="21"/>
                <w:szCs w:val="21"/>
              </w:rPr>
              <w:t>4</w:t>
            </w:r>
          </w:p>
        </w:tc>
        <w:tc>
          <w:tcPr>
            <w:tcW w:w="1157" w:type="pct"/>
            <w:noWrap w:val="0"/>
            <w:vAlign w:val="center"/>
          </w:tcPr>
          <w:p w14:paraId="7058BDCC">
            <w:pPr>
              <w:pStyle w:val="27"/>
              <w:bidi w:val="0"/>
              <w:rPr>
                <w:sz w:val="21"/>
                <w:szCs w:val="21"/>
              </w:rPr>
            </w:pPr>
            <w:r>
              <w:rPr>
                <w:sz w:val="21"/>
                <w:szCs w:val="21"/>
              </w:rPr>
              <w:t>安全管理机构</w:t>
            </w:r>
          </w:p>
        </w:tc>
        <w:tc>
          <w:tcPr>
            <w:tcW w:w="625" w:type="pct"/>
            <w:noWrap w:val="0"/>
            <w:vAlign w:val="center"/>
          </w:tcPr>
          <w:p w14:paraId="54A7789C">
            <w:pPr>
              <w:pStyle w:val="27"/>
              <w:bidi w:val="0"/>
              <w:rPr>
                <w:sz w:val="21"/>
                <w:szCs w:val="21"/>
              </w:rPr>
            </w:pPr>
            <w:r>
              <w:rPr>
                <w:sz w:val="21"/>
                <w:szCs w:val="21"/>
              </w:rPr>
              <w:t>《安全设施</w:t>
            </w:r>
            <w:r>
              <w:rPr>
                <w:rFonts w:hint="eastAsia"/>
                <w:sz w:val="21"/>
                <w:szCs w:val="21"/>
              </w:rPr>
              <w:t>设计</w:t>
            </w:r>
            <w:r>
              <w:rPr>
                <w:sz w:val="21"/>
                <w:szCs w:val="21"/>
              </w:rPr>
              <w:t>》</w:t>
            </w:r>
          </w:p>
        </w:tc>
        <w:tc>
          <w:tcPr>
            <w:tcW w:w="929" w:type="pct"/>
            <w:noWrap w:val="0"/>
            <w:vAlign w:val="center"/>
          </w:tcPr>
          <w:p w14:paraId="1E23BB99">
            <w:pPr>
              <w:pStyle w:val="27"/>
              <w:bidi w:val="0"/>
              <w:rPr>
                <w:sz w:val="21"/>
                <w:szCs w:val="21"/>
              </w:rPr>
            </w:pPr>
            <w:r>
              <w:rPr>
                <w:sz w:val="21"/>
                <w:szCs w:val="21"/>
              </w:rPr>
              <w:t>查阅资料、现场检查</w:t>
            </w:r>
          </w:p>
        </w:tc>
        <w:tc>
          <w:tcPr>
            <w:tcW w:w="1432" w:type="pct"/>
            <w:noWrap w:val="0"/>
            <w:vAlign w:val="center"/>
          </w:tcPr>
          <w:p w14:paraId="43539559">
            <w:pPr>
              <w:pStyle w:val="27"/>
              <w:bidi w:val="0"/>
              <w:rPr>
                <w:sz w:val="21"/>
                <w:szCs w:val="21"/>
              </w:rPr>
            </w:pPr>
            <w:r>
              <w:rPr>
                <w:rFonts w:hint="eastAsia"/>
                <w:sz w:val="21"/>
                <w:szCs w:val="21"/>
              </w:rPr>
              <w:t>企业</w:t>
            </w:r>
            <w:r>
              <w:rPr>
                <w:sz w:val="21"/>
                <w:szCs w:val="21"/>
              </w:rPr>
              <w:t>成立了</w:t>
            </w:r>
            <w:r>
              <w:rPr>
                <w:rFonts w:hint="eastAsia"/>
                <w:sz w:val="21"/>
                <w:szCs w:val="21"/>
              </w:rPr>
              <w:t>成立了安全科，</w:t>
            </w:r>
            <w:r>
              <w:rPr>
                <w:sz w:val="21"/>
                <w:szCs w:val="21"/>
              </w:rPr>
              <w:t>安全管理人员均持证上岗</w:t>
            </w:r>
            <w:r>
              <w:rPr>
                <w:rFonts w:hint="eastAsia"/>
                <w:sz w:val="21"/>
                <w:szCs w:val="21"/>
              </w:rPr>
              <w:t>且证书均在有效期内</w:t>
            </w:r>
            <w:r>
              <w:rPr>
                <w:sz w:val="21"/>
                <w:szCs w:val="21"/>
              </w:rPr>
              <w:t>。</w:t>
            </w:r>
          </w:p>
        </w:tc>
        <w:tc>
          <w:tcPr>
            <w:tcW w:w="487" w:type="pct"/>
            <w:noWrap w:val="0"/>
            <w:vAlign w:val="center"/>
          </w:tcPr>
          <w:p w14:paraId="641ABC53">
            <w:pPr>
              <w:pStyle w:val="27"/>
              <w:bidi w:val="0"/>
              <w:rPr>
                <w:sz w:val="21"/>
                <w:szCs w:val="21"/>
              </w:rPr>
            </w:pPr>
            <w:r>
              <w:rPr>
                <w:sz w:val="21"/>
                <w:szCs w:val="21"/>
              </w:rPr>
              <w:t>符合</w:t>
            </w:r>
          </w:p>
        </w:tc>
      </w:tr>
      <w:tr w14:paraId="7E251B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68" w:type="pct"/>
            <w:noWrap w:val="0"/>
            <w:vAlign w:val="center"/>
          </w:tcPr>
          <w:p w14:paraId="627CB09A">
            <w:pPr>
              <w:pStyle w:val="27"/>
              <w:bidi w:val="0"/>
              <w:rPr>
                <w:sz w:val="21"/>
                <w:szCs w:val="21"/>
              </w:rPr>
            </w:pPr>
            <w:r>
              <w:rPr>
                <w:sz w:val="21"/>
                <w:szCs w:val="21"/>
              </w:rPr>
              <w:t>5</w:t>
            </w:r>
          </w:p>
        </w:tc>
        <w:tc>
          <w:tcPr>
            <w:tcW w:w="1157" w:type="pct"/>
            <w:noWrap w:val="0"/>
            <w:vAlign w:val="center"/>
          </w:tcPr>
          <w:p w14:paraId="12ABB9B4">
            <w:pPr>
              <w:pStyle w:val="27"/>
              <w:bidi w:val="0"/>
              <w:rPr>
                <w:sz w:val="21"/>
                <w:szCs w:val="21"/>
              </w:rPr>
            </w:pPr>
            <w:r>
              <w:rPr>
                <w:sz w:val="21"/>
                <w:szCs w:val="21"/>
              </w:rPr>
              <w:t>工伤保险</w:t>
            </w:r>
          </w:p>
        </w:tc>
        <w:tc>
          <w:tcPr>
            <w:tcW w:w="625" w:type="pct"/>
            <w:noWrap w:val="0"/>
            <w:vAlign w:val="center"/>
          </w:tcPr>
          <w:p w14:paraId="0A0806DA">
            <w:pPr>
              <w:pStyle w:val="27"/>
              <w:bidi w:val="0"/>
              <w:rPr>
                <w:sz w:val="21"/>
                <w:szCs w:val="21"/>
              </w:rPr>
            </w:pPr>
            <w:r>
              <w:rPr>
                <w:sz w:val="21"/>
                <w:szCs w:val="21"/>
              </w:rPr>
              <w:t>《安全设施</w:t>
            </w:r>
            <w:r>
              <w:rPr>
                <w:rFonts w:hint="eastAsia"/>
                <w:sz w:val="21"/>
                <w:szCs w:val="21"/>
              </w:rPr>
              <w:t>设计</w:t>
            </w:r>
            <w:r>
              <w:rPr>
                <w:sz w:val="21"/>
                <w:szCs w:val="21"/>
              </w:rPr>
              <w:t>》</w:t>
            </w:r>
          </w:p>
        </w:tc>
        <w:tc>
          <w:tcPr>
            <w:tcW w:w="929" w:type="pct"/>
            <w:noWrap w:val="0"/>
            <w:vAlign w:val="center"/>
          </w:tcPr>
          <w:p w14:paraId="41B99BC7">
            <w:pPr>
              <w:pStyle w:val="27"/>
              <w:bidi w:val="0"/>
              <w:rPr>
                <w:sz w:val="21"/>
                <w:szCs w:val="21"/>
              </w:rPr>
            </w:pPr>
            <w:r>
              <w:rPr>
                <w:sz w:val="21"/>
                <w:szCs w:val="21"/>
              </w:rPr>
              <w:t>查阅资料、现场检查</w:t>
            </w:r>
          </w:p>
        </w:tc>
        <w:tc>
          <w:tcPr>
            <w:tcW w:w="1432" w:type="pct"/>
            <w:noWrap w:val="0"/>
            <w:vAlign w:val="center"/>
          </w:tcPr>
          <w:p w14:paraId="20987BBD">
            <w:pPr>
              <w:pStyle w:val="27"/>
              <w:bidi w:val="0"/>
              <w:rPr>
                <w:sz w:val="21"/>
                <w:szCs w:val="21"/>
              </w:rPr>
            </w:pPr>
            <w:r>
              <w:rPr>
                <w:rFonts w:hint="eastAsia"/>
                <w:sz w:val="21"/>
                <w:szCs w:val="21"/>
              </w:rPr>
              <w:t>企业</w:t>
            </w:r>
            <w:r>
              <w:rPr>
                <w:sz w:val="21"/>
                <w:szCs w:val="21"/>
              </w:rPr>
              <w:t>已</w:t>
            </w:r>
            <w:r>
              <w:rPr>
                <w:rFonts w:hint="eastAsia"/>
                <w:sz w:val="21"/>
                <w:szCs w:val="21"/>
              </w:rPr>
              <w:t>缴纳</w:t>
            </w:r>
            <w:r>
              <w:rPr>
                <w:sz w:val="21"/>
                <w:szCs w:val="21"/>
              </w:rPr>
              <w:t>了工伤保险并</w:t>
            </w:r>
            <w:r>
              <w:rPr>
                <w:rFonts w:hint="eastAsia"/>
                <w:sz w:val="21"/>
                <w:szCs w:val="21"/>
              </w:rPr>
              <w:t>为职工</w:t>
            </w:r>
            <w:r>
              <w:rPr>
                <w:sz w:val="21"/>
                <w:szCs w:val="21"/>
              </w:rPr>
              <w:t>投保了安全生产责任险。</w:t>
            </w:r>
          </w:p>
        </w:tc>
        <w:tc>
          <w:tcPr>
            <w:tcW w:w="487" w:type="pct"/>
            <w:noWrap w:val="0"/>
            <w:vAlign w:val="center"/>
          </w:tcPr>
          <w:p w14:paraId="3CEA6159">
            <w:pPr>
              <w:pStyle w:val="27"/>
              <w:bidi w:val="0"/>
              <w:rPr>
                <w:sz w:val="21"/>
                <w:szCs w:val="21"/>
              </w:rPr>
            </w:pPr>
            <w:r>
              <w:rPr>
                <w:sz w:val="21"/>
                <w:szCs w:val="21"/>
              </w:rPr>
              <w:t>符合</w:t>
            </w:r>
          </w:p>
        </w:tc>
      </w:tr>
      <w:tr w14:paraId="35EBA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68" w:type="pct"/>
            <w:noWrap w:val="0"/>
            <w:vAlign w:val="center"/>
          </w:tcPr>
          <w:p w14:paraId="5333D42F">
            <w:pPr>
              <w:pStyle w:val="27"/>
              <w:bidi w:val="0"/>
              <w:rPr>
                <w:sz w:val="21"/>
                <w:szCs w:val="21"/>
              </w:rPr>
            </w:pPr>
            <w:r>
              <w:rPr>
                <w:sz w:val="21"/>
                <w:szCs w:val="21"/>
              </w:rPr>
              <w:t>6</w:t>
            </w:r>
          </w:p>
        </w:tc>
        <w:tc>
          <w:tcPr>
            <w:tcW w:w="1157" w:type="pct"/>
            <w:noWrap w:val="0"/>
            <w:vAlign w:val="center"/>
          </w:tcPr>
          <w:p w14:paraId="79D45EDD">
            <w:pPr>
              <w:pStyle w:val="27"/>
              <w:bidi w:val="0"/>
              <w:rPr>
                <w:sz w:val="21"/>
                <w:szCs w:val="21"/>
              </w:rPr>
            </w:pPr>
            <w:r>
              <w:rPr>
                <w:sz w:val="21"/>
                <w:szCs w:val="21"/>
              </w:rPr>
              <w:t>应急预案</w:t>
            </w:r>
          </w:p>
        </w:tc>
        <w:tc>
          <w:tcPr>
            <w:tcW w:w="625" w:type="pct"/>
            <w:noWrap w:val="0"/>
            <w:vAlign w:val="center"/>
          </w:tcPr>
          <w:p w14:paraId="09E87A85">
            <w:pPr>
              <w:pStyle w:val="27"/>
              <w:bidi w:val="0"/>
              <w:rPr>
                <w:sz w:val="21"/>
                <w:szCs w:val="21"/>
              </w:rPr>
            </w:pPr>
            <w:r>
              <w:rPr>
                <w:sz w:val="21"/>
                <w:szCs w:val="21"/>
              </w:rPr>
              <w:t>《安全设施</w:t>
            </w:r>
            <w:r>
              <w:rPr>
                <w:rFonts w:hint="eastAsia"/>
                <w:sz w:val="21"/>
                <w:szCs w:val="21"/>
              </w:rPr>
              <w:t>设计</w:t>
            </w:r>
            <w:r>
              <w:rPr>
                <w:sz w:val="21"/>
                <w:szCs w:val="21"/>
              </w:rPr>
              <w:t>》</w:t>
            </w:r>
          </w:p>
        </w:tc>
        <w:tc>
          <w:tcPr>
            <w:tcW w:w="929" w:type="pct"/>
            <w:noWrap w:val="0"/>
            <w:vAlign w:val="center"/>
          </w:tcPr>
          <w:p w14:paraId="18366930">
            <w:pPr>
              <w:pStyle w:val="27"/>
              <w:bidi w:val="0"/>
              <w:rPr>
                <w:sz w:val="21"/>
                <w:szCs w:val="21"/>
              </w:rPr>
            </w:pPr>
            <w:r>
              <w:rPr>
                <w:sz w:val="21"/>
                <w:szCs w:val="21"/>
              </w:rPr>
              <w:t>查阅资料、现场检查</w:t>
            </w:r>
          </w:p>
        </w:tc>
        <w:tc>
          <w:tcPr>
            <w:tcW w:w="1432" w:type="pct"/>
            <w:noWrap w:val="0"/>
            <w:vAlign w:val="center"/>
          </w:tcPr>
          <w:p w14:paraId="2A68A656">
            <w:pPr>
              <w:pStyle w:val="27"/>
              <w:bidi w:val="0"/>
              <w:rPr>
                <w:sz w:val="21"/>
                <w:szCs w:val="21"/>
              </w:rPr>
            </w:pPr>
            <w:r>
              <w:rPr>
                <w:sz w:val="21"/>
                <w:szCs w:val="21"/>
              </w:rPr>
              <w:t>企业编制了应急救援预案，并在</w:t>
            </w:r>
            <w:r>
              <w:rPr>
                <w:rFonts w:hint="eastAsia"/>
                <w:sz w:val="21"/>
                <w:szCs w:val="21"/>
                <w:lang w:eastAsia="zh-CN"/>
              </w:rPr>
              <w:t>灯塔市</w:t>
            </w:r>
            <w:r>
              <w:rPr>
                <w:sz w:val="21"/>
                <w:szCs w:val="21"/>
              </w:rPr>
              <w:t>应急管理</w:t>
            </w:r>
            <w:r>
              <w:rPr>
                <w:rFonts w:hint="eastAsia"/>
                <w:sz w:val="21"/>
                <w:szCs w:val="21"/>
              </w:rPr>
              <w:t>局</w:t>
            </w:r>
            <w:r>
              <w:rPr>
                <w:sz w:val="21"/>
                <w:szCs w:val="21"/>
              </w:rPr>
              <w:t>进行备案</w:t>
            </w:r>
            <w:r>
              <w:rPr>
                <w:rFonts w:hint="eastAsia"/>
                <w:sz w:val="21"/>
                <w:szCs w:val="21"/>
              </w:rPr>
              <w:t>，且定期进行应急演练</w:t>
            </w:r>
            <w:r>
              <w:rPr>
                <w:sz w:val="21"/>
                <w:szCs w:val="21"/>
              </w:rPr>
              <w:t>。</w:t>
            </w:r>
          </w:p>
        </w:tc>
        <w:tc>
          <w:tcPr>
            <w:tcW w:w="487" w:type="pct"/>
            <w:noWrap w:val="0"/>
            <w:vAlign w:val="center"/>
          </w:tcPr>
          <w:p w14:paraId="0E4A574D">
            <w:pPr>
              <w:pStyle w:val="27"/>
              <w:bidi w:val="0"/>
              <w:rPr>
                <w:sz w:val="21"/>
                <w:szCs w:val="21"/>
              </w:rPr>
            </w:pPr>
            <w:r>
              <w:rPr>
                <w:sz w:val="21"/>
                <w:szCs w:val="21"/>
              </w:rPr>
              <w:t>符合</w:t>
            </w:r>
          </w:p>
        </w:tc>
      </w:tr>
      <w:tr w14:paraId="639E1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trPr>
        <w:tc>
          <w:tcPr>
            <w:tcW w:w="368" w:type="pct"/>
            <w:noWrap w:val="0"/>
            <w:vAlign w:val="center"/>
          </w:tcPr>
          <w:p w14:paraId="37CE10A6">
            <w:pPr>
              <w:pStyle w:val="27"/>
              <w:bidi w:val="0"/>
              <w:rPr>
                <w:sz w:val="21"/>
                <w:szCs w:val="21"/>
              </w:rPr>
            </w:pPr>
            <w:r>
              <w:rPr>
                <w:sz w:val="21"/>
                <w:szCs w:val="21"/>
              </w:rPr>
              <w:t>7</w:t>
            </w:r>
          </w:p>
        </w:tc>
        <w:tc>
          <w:tcPr>
            <w:tcW w:w="1157" w:type="pct"/>
            <w:noWrap w:val="0"/>
            <w:vAlign w:val="center"/>
          </w:tcPr>
          <w:p w14:paraId="09BACA87">
            <w:pPr>
              <w:pStyle w:val="27"/>
              <w:bidi w:val="0"/>
              <w:rPr>
                <w:sz w:val="21"/>
                <w:szCs w:val="21"/>
              </w:rPr>
            </w:pPr>
            <w:r>
              <w:rPr>
                <w:sz w:val="21"/>
                <w:szCs w:val="21"/>
              </w:rPr>
              <w:t>应急组织与设施</w:t>
            </w:r>
          </w:p>
        </w:tc>
        <w:tc>
          <w:tcPr>
            <w:tcW w:w="625" w:type="pct"/>
            <w:noWrap w:val="0"/>
            <w:vAlign w:val="center"/>
          </w:tcPr>
          <w:p w14:paraId="725371DD">
            <w:pPr>
              <w:pStyle w:val="27"/>
              <w:bidi w:val="0"/>
              <w:rPr>
                <w:sz w:val="21"/>
                <w:szCs w:val="21"/>
              </w:rPr>
            </w:pPr>
            <w:r>
              <w:rPr>
                <w:sz w:val="21"/>
                <w:szCs w:val="21"/>
              </w:rPr>
              <w:t>《安全设施</w:t>
            </w:r>
            <w:r>
              <w:rPr>
                <w:rFonts w:hint="eastAsia"/>
                <w:sz w:val="21"/>
                <w:szCs w:val="21"/>
              </w:rPr>
              <w:t>设计</w:t>
            </w:r>
            <w:r>
              <w:rPr>
                <w:sz w:val="21"/>
                <w:szCs w:val="21"/>
              </w:rPr>
              <w:t>》</w:t>
            </w:r>
          </w:p>
        </w:tc>
        <w:tc>
          <w:tcPr>
            <w:tcW w:w="929" w:type="pct"/>
            <w:noWrap w:val="0"/>
            <w:vAlign w:val="center"/>
          </w:tcPr>
          <w:p w14:paraId="4C61D113">
            <w:pPr>
              <w:pStyle w:val="27"/>
              <w:bidi w:val="0"/>
              <w:rPr>
                <w:sz w:val="21"/>
                <w:szCs w:val="21"/>
              </w:rPr>
            </w:pPr>
            <w:r>
              <w:rPr>
                <w:sz w:val="21"/>
                <w:szCs w:val="21"/>
              </w:rPr>
              <w:t>查阅资料、现场检查</w:t>
            </w:r>
          </w:p>
        </w:tc>
        <w:tc>
          <w:tcPr>
            <w:tcW w:w="1432" w:type="pct"/>
            <w:noWrap w:val="0"/>
            <w:vAlign w:val="center"/>
          </w:tcPr>
          <w:p w14:paraId="6FAE9BB5">
            <w:pPr>
              <w:pStyle w:val="27"/>
              <w:bidi w:val="0"/>
              <w:rPr>
                <w:sz w:val="21"/>
                <w:szCs w:val="21"/>
              </w:rPr>
            </w:pPr>
            <w:r>
              <w:rPr>
                <w:sz w:val="21"/>
                <w:szCs w:val="21"/>
              </w:rPr>
              <w:t>矿山成立了应急救援领导小组，明确了应急救援人员职责，配备了如必要的应急器材设备等。</w:t>
            </w:r>
          </w:p>
        </w:tc>
        <w:tc>
          <w:tcPr>
            <w:tcW w:w="487" w:type="pct"/>
            <w:noWrap w:val="0"/>
            <w:vAlign w:val="center"/>
          </w:tcPr>
          <w:p w14:paraId="02031A30">
            <w:pPr>
              <w:pStyle w:val="27"/>
              <w:bidi w:val="0"/>
              <w:rPr>
                <w:sz w:val="21"/>
                <w:szCs w:val="21"/>
              </w:rPr>
            </w:pPr>
            <w:r>
              <w:rPr>
                <w:sz w:val="21"/>
                <w:szCs w:val="21"/>
              </w:rPr>
              <w:t>符合</w:t>
            </w:r>
          </w:p>
        </w:tc>
      </w:tr>
    </w:tbl>
    <w:p w14:paraId="4DEBE9B8">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rPr>
      </w:pPr>
      <w:r>
        <w:rPr>
          <w:rFonts w:hint="eastAsia"/>
        </w:rPr>
        <w:t>评价单元小结：</w:t>
      </w:r>
    </w:p>
    <w:p w14:paraId="5545E68D">
      <w:pPr>
        <w:pStyle w:val="18"/>
        <w:keepNext w:val="0"/>
        <w:keepLines w:val="0"/>
        <w:pageBreakBefore w:val="0"/>
        <w:widowControl w:val="0"/>
        <w:kinsoku/>
        <w:wordWrap/>
        <w:overflowPunct/>
        <w:topLinePunct w:val="0"/>
        <w:autoSpaceDE/>
        <w:autoSpaceDN/>
        <w:bidi w:val="0"/>
        <w:adjustRightInd w:val="0"/>
        <w:snapToGrid w:val="0"/>
        <w:textAlignment w:val="auto"/>
      </w:pPr>
      <w:r>
        <w:rPr>
          <w:rFonts w:hint="eastAsia"/>
        </w:rPr>
        <w:t>对该矿山的安全管理单元用安全检查表法进行了</w:t>
      </w:r>
      <w:r>
        <w:rPr>
          <w:rFonts w:hint="eastAsia"/>
          <w:lang w:val="en-US" w:eastAsia="zh-CN"/>
        </w:rPr>
        <w:t>7</w:t>
      </w:r>
      <w:r>
        <w:rPr>
          <w:rFonts w:hint="eastAsia"/>
        </w:rPr>
        <w:t>项检查，均符合安全要求，检查结果表明，海城市荣富耐火材料有限公司镁矿（菱镁石、滑石）露天矿山建设项目安全管理单元符合设计要求，能够满足矿山安全生产条件。</w:t>
      </w:r>
    </w:p>
    <w:p w14:paraId="7D8B7EB6">
      <w:pPr>
        <w:pStyle w:val="24"/>
        <w:bidi w:val="0"/>
        <w:ind w:left="0" w:leftChars="0" w:firstLine="0" w:firstLineChars="0"/>
        <w:rPr>
          <w:rFonts w:hint="eastAsia"/>
        </w:rPr>
      </w:pPr>
      <w:bookmarkStart w:id="315" w:name="_Toc9699"/>
      <w:bookmarkStart w:id="316" w:name="_Toc20799"/>
      <w:bookmarkStart w:id="317" w:name="_Toc1138"/>
      <w:r>
        <w:rPr>
          <w:rFonts w:hint="eastAsia"/>
          <w:lang w:eastAsia="zh-CN"/>
        </w:rPr>
        <w:t>重大事故隐患</w:t>
      </w:r>
      <w:r>
        <w:rPr>
          <w:rFonts w:hint="eastAsia"/>
        </w:rPr>
        <w:t>判定评价</w:t>
      </w:r>
      <w:bookmarkEnd w:id="315"/>
      <w:bookmarkEnd w:id="316"/>
      <w:bookmarkEnd w:id="317"/>
    </w:p>
    <w:p w14:paraId="79564C36">
      <w:pPr>
        <w:pStyle w:val="18"/>
        <w:bidi w:val="0"/>
        <w:rPr>
          <w:rFonts w:hint="eastAsia"/>
          <w:lang w:val="en-US" w:eastAsia="zh-CN"/>
        </w:rPr>
      </w:pPr>
      <w:r>
        <w:t>根据国家安全监管总局关于印发《金属非金属矿山重大事故隐患判定标准》</w:t>
      </w:r>
      <w:r>
        <w:rPr>
          <w:rFonts w:hint="eastAsia"/>
        </w:rPr>
        <w:t>（矿安〔2022〕88号）</w:t>
      </w:r>
      <w:r>
        <w:rPr>
          <w:rFonts w:hint="eastAsia"/>
          <w:lang w:eastAsia="zh-CN"/>
        </w:rPr>
        <w:t>和《金属非金属矿山重大事故隐患判定标准补充情形》</w:t>
      </w:r>
      <w:r>
        <w:t>的通知规定，涉及金属非金属露天矿山</w:t>
      </w:r>
      <w:r>
        <w:rPr>
          <w:rFonts w:hint="eastAsia"/>
          <w:lang w:eastAsia="zh-CN"/>
        </w:rPr>
        <w:t>重大事故隐患</w:t>
      </w:r>
      <w:r>
        <w:t>判定标准共有表3</w:t>
      </w:r>
      <w:r>
        <w:rPr>
          <w:rFonts w:hint="eastAsia"/>
          <w:lang w:val="en-US" w:eastAsia="zh-CN"/>
        </w:rPr>
        <w:t>.</w:t>
      </w:r>
      <w:r>
        <w:t>10-1规定的</w:t>
      </w:r>
      <w:r>
        <w:rPr>
          <w:rFonts w:hint="eastAsia"/>
          <w:lang w:val="en-US" w:eastAsia="zh-CN"/>
        </w:rPr>
        <w:t>十三项内容。</w:t>
      </w:r>
    </w:p>
    <w:p w14:paraId="4369A46F">
      <w:pPr>
        <w:pStyle w:val="26"/>
        <w:bidi w:val="0"/>
        <w:rPr>
          <w:rFonts w:hint="default"/>
          <w:lang w:val="en-US" w:eastAsia="zh-CN"/>
        </w:rPr>
      </w:pPr>
      <w:r>
        <w:t>表3</w:t>
      </w:r>
      <w:r>
        <w:rPr>
          <w:rFonts w:hint="eastAsia"/>
          <w:lang w:val="en-US" w:eastAsia="zh-CN"/>
        </w:rPr>
        <w:t>.</w:t>
      </w:r>
      <w:r>
        <w:t xml:space="preserve">10-1 </w:t>
      </w:r>
      <w:r>
        <w:rPr>
          <w:rFonts w:hint="eastAsia"/>
          <w:lang w:val="en-US" w:eastAsia="zh-CN"/>
        </w:rPr>
        <w:t xml:space="preserve"> </w:t>
      </w:r>
      <w:r>
        <w:t>金属非金属露天矿山</w:t>
      </w:r>
      <w:r>
        <w:rPr>
          <w:rFonts w:hint="eastAsia"/>
          <w:lang w:eastAsia="zh-CN"/>
        </w:rPr>
        <w:t>重大事故隐患</w:t>
      </w:r>
      <w:r>
        <w:t>判定表</w:t>
      </w:r>
    </w:p>
    <w:tbl>
      <w:tblPr>
        <w:tblStyle w:val="20"/>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4"/>
        <w:gridCol w:w="4140"/>
        <w:gridCol w:w="745"/>
        <w:gridCol w:w="1646"/>
        <w:gridCol w:w="1264"/>
      </w:tblGrid>
      <w:tr w14:paraId="2F074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7" w:hRule="atLeast"/>
          <w:jc w:val="center"/>
        </w:trPr>
        <w:tc>
          <w:tcPr>
            <w:tcW w:w="425" w:type="pct"/>
            <w:tcBorders>
              <w:top w:val="single" w:color="auto" w:sz="4" w:space="0"/>
            </w:tcBorders>
            <w:noWrap w:val="0"/>
            <w:vAlign w:val="center"/>
          </w:tcPr>
          <w:p w14:paraId="6D3DD8D5">
            <w:pPr>
              <w:pStyle w:val="27"/>
              <w:bidi w:val="0"/>
              <w:rPr>
                <w:sz w:val="21"/>
                <w:szCs w:val="21"/>
              </w:rPr>
            </w:pPr>
            <w:r>
              <w:rPr>
                <w:sz w:val="21"/>
                <w:szCs w:val="21"/>
              </w:rPr>
              <w:t>序号</w:t>
            </w:r>
          </w:p>
        </w:tc>
        <w:tc>
          <w:tcPr>
            <w:tcW w:w="2429" w:type="pct"/>
            <w:tcBorders>
              <w:top w:val="single" w:color="auto" w:sz="4" w:space="0"/>
            </w:tcBorders>
            <w:noWrap w:val="0"/>
            <w:vAlign w:val="center"/>
          </w:tcPr>
          <w:p w14:paraId="5F1ABC6C">
            <w:pPr>
              <w:pStyle w:val="27"/>
              <w:bidi w:val="0"/>
              <w:rPr>
                <w:sz w:val="21"/>
                <w:szCs w:val="21"/>
              </w:rPr>
            </w:pPr>
            <w:r>
              <w:rPr>
                <w:sz w:val="21"/>
                <w:szCs w:val="21"/>
              </w:rPr>
              <w:t>检查内容</w:t>
            </w:r>
          </w:p>
        </w:tc>
        <w:tc>
          <w:tcPr>
            <w:tcW w:w="437" w:type="pct"/>
            <w:tcBorders>
              <w:top w:val="single" w:color="auto" w:sz="4" w:space="0"/>
            </w:tcBorders>
            <w:noWrap w:val="0"/>
            <w:vAlign w:val="center"/>
          </w:tcPr>
          <w:p w14:paraId="7D6B9510">
            <w:pPr>
              <w:pStyle w:val="27"/>
              <w:bidi w:val="0"/>
              <w:rPr>
                <w:sz w:val="21"/>
                <w:szCs w:val="21"/>
              </w:rPr>
            </w:pPr>
            <w:r>
              <w:rPr>
                <w:sz w:val="21"/>
                <w:szCs w:val="21"/>
              </w:rPr>
              <w:t>检查方法</w:t>
            </w:r>
          </w:p>
        </w:tc>
        <w:tc>
          <w:tcPr>
            <w:tcW w:w="966" w:type="pct"/>
            <w:tcBorders>
              <w:top w:val="single" w:color="auto" w:sz="4" w:space="0"/>
            </w:tcBorders>
            <w:noWrap w:val="0"/>
            <w:vAlign w:val="center"/>
          </w:tcPr>
          <w:p w14:paraId="281B78C3">
            <w:pPr>
              <w:pStyle w:val="27"/>
              <w:bidi w:val="0"/>
              <w:rPr>
                <w:sz w:val="21"/>
                <w:szCs w:val="21"/>
              </w:rPr>
            </w:pPr>
            <w:r>
              <w:rPr>
                <w:sz w:val="21"/>
                <w:szCs w:val="21"/>
              </w:rPr>
              <w:t>事实记录</w:t>
            </w:r>
          </w:p>
        </w:tc>
        <w:tc>
          <w:tcPr>
            <w:tcW w:w="741" w:type="pct"/>
            <w:tcBorders>
              <w:top w:val="single" w:color="auto" w:sz="4" w:space="0"/>
            </w:tcBorders>
            <w:noWrap w:val="0"/>
            <w:vAlign w:val="center"/>
          </w:tcPr>
          <w:p w14:paraId="205463A0">
            <w:pPr>
              <w:pStyle w:val="27"/>
              <w:bidi w:val="0"/>
              <w:rPr>
                <w:sz w:val="21"/>
                <w:szCs w:val="21"/>
              </w:rPr>
            </w:pPr>
            <w:r>
              <w:rPr>
                <w:sz w:val="21"/>
                <w:szCs w:val="21"/>
              </w:rPr>
              <w:t>结论</w:t>
            </w:r>
          </w:p>
        </w:tc>
      </w:tr>
      <w:tr w14:paraId="25A472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7D4BCCB9">
            <w:pPr>
              <w:pStyle w:val="27"/>
              <w:bidi w:val="0"/>
              <w:rPr>
                <w:sz w:val="21"/>
                <w:szCs w:val="21"/>
              </w:rPr>
            </w:pPr>
            <w:r>
              <w:rPr>
                <w:sz w:val="21"/>
                <w:szCs w:val="21"/>
              </w:rPr>
              <w:t>1</w:t>
            </w:r>
          </w:p>
        </w:tc>
        <w:tc>
          <w:tcPr>
            <w:tcW w:w="2429" w:type="pct"/>
            <w:noWrap w:val="0"/>
            <w:vAlign w:val="center"/>
          </w:tcPr>
          <w:p w14:paraId="7165164A">
            <w:pPr>
              <w:pStyle w:val="27"/>
              <w:bidi w:val="0"/>
              <w:jc w:val="both"/>
              <w:rPr>
                <w:sz w:val="21"/>
                <w:szCs w:val="21"/>
              </w:rPr>
            </w:pPr>
            <w:r>
              <w:rPr>
                <w:rFonts w:hint="eastAsia"/>
                <w:sz w:val="21"/>
                <w:szCs w:val="21"/>
              </w:rPr>
              <w:t>地下开采转露天开采前，未探明采空区和溶洞，或者未按设计处理对露天开采安全有威胁的采空区和溶洞。</w:t>
            </w:r>
          </w:p>
        </w:tc>
        <w:tc>
          <w:tcPr>
            <w:tcW w:w="437" w:type="pct"/>
            <w:noWrap w:val="0"/>
            <w:vAlign w:val="center"/>
          </w:tcPr>
          <w:p w14:paraId="5BC38E01">
            <w:pPr>
              <w:pStyle w:val="27"/>
              <w:bidi w:val="0"/>
              <w:rPr>
                <w:sz w:val="21"/>
                <w:szCs w:val="21"/>
              </w:rPr>
            </w:pPr>
            <w:r>
              <w:rPr>
                <w:sz w:val="21"/>
                <w:szCs w:val="21"/>
              </w:rPr>
              <w:t>现场</w:t>
            </w:r>
          </w:p>
          <w:p w14:paraId="38582605">
            <w:pPr>
              <w:pStyle w:val="27"/>
              <w:bidi w:val="0"/>
              <w:rPr>
                <w:sz w:val="21"/>
                <w:szCs w:val="21"/>
              </w:rPr>
            </w:pPr>
            <w:r>
              <w:rPr>
                <w:sz w:val="21"/>
                <w:szCs w:val="21"/>
              </w:rPr>
              <w:t>勘查</w:t>
            </w:r>
          </w:p>
        </w:tc>
        <w:tc>
          <w:tcPr>
            <w:tcW w:w="966" w:type="pct"/>
            <w:noWrap w:val="0"/>
            <w:vAlign w:val="center"/>
          </w:tcPr>
          <w:p w14:paraId="4FD39287">
            <w:pPr>
              <w:pStyle w:val="27"/>
              <w:bidi w:val="0"/>
              <w:jc w:val="both"/>
              <w:rPr>
                <w:sz w:val="21"/>
                <w:szCs w:val="21"/>
              </w:rPr>
            </w:pPr>
            <w:r>
              <w:rPr>
                <w:rFonts w:hint="eastAsia" w:ascii="Times New Roman" w:hAnsi="Times New Roman" w:eastAsia="宋体" w:cs="宋体"/>
                <w:sz w:val="21"/>
                <w:szCs w:val="21"/>
                <w:lang w:val="en-US" w:eastAsia="zh-CN"/>
              </w:rPr>
              <w:t>井下仅施工了部分开拓工程，未进行回采作业，井下未形成采空区</w:t>
            </w:r>
          </w:p>
        </w:tc>
        <w:tc>
          <w:tcPr>
            <w:tcW w:w="741" w:type="pct"/>
            <w:noWrap w:val="0"/>
            <w:vAlign w:val="center"/>
          </w:tcPr>
          <w:p w14:paraId="28A7B064">
            <w:pPr>
              <w:pStyle w:val="27"/>
              <w:bidi w:val="0"/>
              <w:jc w:val="both"/>
              <w:rPr>
                <w:sz w:val="21"/>
                <w:szCs w:val="21"/>
              </w:rPr>
            </w:pPr>
            <w:r>
              <w:rPr>
                <w:sz w:val="21"/>
                <w:szCs w:val="21"/>
              </w:rPr>
              <w:t>不构成重大事故隐患</w:t>
            </w:r>
          </w:p>
        </w:tc>
      </w:tr>
      <w:tr w14:paraId="18369C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49B1FC86">
            <w:pPr>
              <w:pStyle w:val="27"/>
              <w:bidi w:val="0"/>
              <w:rPr>
                <w:sz w:val="21"/>
                <w:szCs w:val="21"/>
              </w:rPr>
            </w:pPr>
            <w:r>
              <w:rPr>
                <w:sz w:val="21"/>
                <w:szCs w:val="21"/>
              </w:rPr>
              <w:t>2</w:t>
            </w:r>
          </w:p>
        </w:tc>
        <w:tc>
          <w:tcPr>
            <w:tcW w:w="2429" w:type="pct"/>
            <w:noWrap w:val="0"/>
            <w:vAlign w:val="center"/>
          </w:tcPr>
          <w:p w14:paraId="153668DF">
            <w:pPr>
              <w:pStyle w:val="27"/>
              <w:bidi w:val="0"/>
              <w:jc w:val="both"/>
              <w:rPr>
                <w:sz w:val="21"/>
                <w:szCs w:val="21"/>
              </w:rPr>
            </w:pPr>
            <w:r>
              <w:rPr>
                <w:rFonts w:hint="eastAsia"/>
                <w:sz w:val="21"/>
                <w:szCs w:val="21"/>
              </w:rPr>
              <w:t>使用国家明令禁止使用的设备、材料或者工艺。</w:t>
            </w:r>
          </w:p>
        </w:tc>
        <w:tc>
          <w:tcPr>
            <w:tcW w:w="437" w:type="pct"/>
            <w:noWrap w:val="0"/>
            <w:vAlign w:val="center"/>
          </w:tcPr>
          <w:p w14:paraId="1B02C147">
            <w:pPr>
              <w:pStyle w:val="27"/>
              <w:bidi w:val="0"/>
              <w:rPr>
                <w:sz w:val="21"/>
                <w:szCs w:val="21"/>
              </w:rPr>
            </w:pPr>
            <w:r>
              <w:rPr>
                <w:sz w:val="21"/>
                <w:szCs w:val="21"/>
              </w:rPr>
              <w:t>现场</w:t>
            </w:r>
          </w:p>
          <w:p w14:paraId="3896F016">
            <w:pPr>
              <w:pStyle w:val="27"/>
              <w:bidi w:val="0"/>
              <w:rPr>
                <w:sz w:val="21"/>
                <w:szCs w:val="21"/>
              </w:rPr>
            </w:pPr>
            <w:r>
              <w:rPr>
                <w:sz w:val="21"/>
                <w:szCs w:val="21"/>
              </w:rPr>
              <w:t>勘查</w:t>
            </w:r>
          </w:p>
        </w:tc>
        <w:tc>
          <w:tcPr>
            <w:tcW w:w="966" w:type="pct"/>
            <w:noWrap w:val="0"/>
            <w:vAlign w:val="center"/>
          </w:tcPr>
          <w:p w14:paraId="6031ADFF">
            <w:pPr>
              <w:pStyle w:val="27"/>
              <w:bidi w:val="0"/>
              <w:jc w:val="both"/>
              <w:rPr>
                <w:sz w:val="21"/>
                <w:szCs w:val="21"/>
              </w:rPr>
            </w:pPr>
            <w:r>
              <w:rPr>
                <w:sz w:val="21"/>
                <w:szCs w:val="21"/>
              </w:rPr>
              <w:t>没有使用国家明令禁止使用的设备、材料和工艺。</w:t>
            </w:r>
          </w:p>
        </w:tc>
        <w:tc>
          <w:tcPr>
            <w:tcW w:w="741" w:type="pct"/>
            <w:noWrap w:val="0"/>
            <w:vAlign w:val="center"/>
          </w:tcPr>
          <w:p w14:paraId="038C8304">
            <w:pPr>
              <w:pStyle w:val="27"/>
              <w:bidi w:val="0"/>
              <w:jc w:val="both"/>
              <w:rPr>
                <w:sz w:val="21"/>
                <w:szCs w:val="21"/>
              </w:rPr>
            </w:pPr>
            <w:r>
              <w:rPr>
                <w:sz w:val="21"/>
                <w:szCs w:val="21"/>
              </w:rPr>
              <w:t>不构成重大事故隐患</w:t>
            </w:r>
          </w:p>
        </w:tc>
      </w:tr>
      <w:tr w14:paraId="4B03A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0CE659AC">
            <w:pPr>
              <w:pStyle w:val="27"/>
              <w:bidi w:val="0"/>
              <w:rPr>
                <w:sz w:val="21"/>
                <w:szCs w:val="21"/>
              </w:rPr>
            </w:pPr>
            <w:r>
              <w:rPr>
                <w:sz w:val="21"/>
                <w:szCs w:val="21"/>
              </w:rPr>
              <w:t>3</w:t>
            </w:r>
          </w:p>
        </w:tc>
        <w:tc>
          <w:tcPr>
            <w:tcW w:w="2429" w:type="pct"/>
            <w:noWrap w:val="0"/>
            <w:vAlign w:val="center"/>
          </w:tcPr>
          <w:p w14:paraId="7311924A">
            <w:pPr>
              <w:pStyle w:val="27"/>
              <w:bidi w:val="0"/>
              <w:jc w:val="both"/>
              <w:rPr>
                <w:sz w:val="21"/>
                <w:szCs w:val="21"/>
              </w:rPr>
            </w:pPr>
            <w:r>
              <w:rPr>
                <w:rFonts w:hint="eastAsia"/>
                <w:sz w:val="21"/>
                <w:szCs w:val="21"/>
              </w:rPr>
              <w:t>未采用自上而下的开采顺序分台阶或者分层开采。</w:t>
            </w:r>
          </w:p>
        </w:tc>
        <w:tc>
          <w:tcPr>
            <w:tcW w:w="437" w:type="pct"/>
            <w:noWrap w:val="0"/>
            <w:vAlign w:val="center"/>
          </w:tcPr>
          <w:p w14:paraId="19260850">
            <w:pPr>
              <w:pStyle w:val="27"/>
              <w:bidi w:val="0"/>
              <w:rPr>
                <w:sz w:val="21"/>
                <w:szCs w:val="21"/>
              </w:rPr>
            </w:pPr>
            <w:r>
              <w:rPr>
                <w:sz w:val="21"/>
                <w:szCs w:val="21"/>
              </w:rPr>
              <w:t>现场</w:t>
            </w:r>
          </w:p>
          <w:p w14:paraId="27D3B5DF">
            <w:pPr>
              <w:pStyle w:val="27"/>
              <w:bidi w:val="0"/>
              <w:rPr>
                <w:sz w:val="21"/>
                <w:szCs w:val="21"/>
              </w:rPr>
            </w:pPr>
            <w:r>
              <w:rPr>
                <w:sz w:val="21"/>
                <w:szCs w:val="21"/>
              </w:rPr>
              <w:t>勘查</w:t>
            </w:r>
          </w:p>
        </w:tc>
        <w:tc>
          <w:tcPr>
            <w:tcW w:w="966" w:type="pct"/>
            <w:noWrap w:val="0"/>
            <w:vAlign w:val="center"/>
          </w:tcPr>
          <w:p w14:paraId="5B8E629A">
            <w:pPr>
              <w:pStyle w:val="27"/>
              <w:bidi w:val="0"/>
              <w:jc w:val="both"/>
              <w:rPr>
                <w:sz w:val="21"/>
                <w:szCs w:val="21"/>
              </w:rPr>
            </w:pPr>
            <w:r>
              <w:rPr>
                <w:sz w:val="21"/>
                <w:szCs w:val="21"/>
              </w:rPr>
              <w:t>采用自上而下分</w:t>
            </w:r>
            <w:r>
              <w:rPr>
                <w:rFonts w:hint="eastAsia"/>
                <w:sz w:val="21"/>
                <w:szCs w:val="21"/>
                <w:lang w:val="en-US" w:eastAsia="zh-CN"/>
              </w:rPr>
              <w:t>台阶</w:t>
            </w:r>
            <w:r>
              <w:rPr>
                <w:sz w:val="21"/>
                <w:szCs w:val="21"/>
              </w:rPr>
              <w:t>方式开采。</w:t>
            </w:r>
          </w:p>
        </w:tc>
        <w:tc>
          <w:tcPr>
            <w:tcW w:w="741" w:type="pct"/>
            <w:noWrap w:val="0"/>
            <w:vAlign w:val="center"/>
          </w:tcPr>
          <w:p w14:paraId="6B938165">
            <w:pPr>
              <w:pStyle w:val="27"/>
              <w:bidi w:val="0"/>
              <w:jc w:val="both"/>
              <w:rPr>
                <w:sz w:val="21"/>
                <w:szCs w:val="21"/>
              </w:rPr>
            </w:pPr>
            <w:r>
              <w:rPr>
                <w:sz w:val="21"/>
                <w:szCs w:val="21"/>
              </w:rPr>
              <w:t>不构成重大事故隐患</w:t>
            </w:r>
          </w:p>
        </w:tc>
      </w:tr>
      <w:tr w14:paraId="004BB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53B38B8C">
            <w:pPr>
              <w:pStyle w:val="27"/>
              <w:bidi w:val="0"/>
              <w:rPr>
                <w:sz w:val="21"/>
                <w:szCs w:val="21"/>
              </w:rPr>
            </w:pPr>
            <w:r>
              <w:rPr>
                <w:sz w:val="21"/>
                <w:szCs w:val="21"/>
              </w:rPr>
              <w:t>4</w:t>
            </w:r>
          </w:p>
        </w:tc>
        <w:tc>
          <w:tcPr>
            <w:tcW w:w="2429" w:type="pct"/>
            <w:noWrap w:val="0"/>
            <w:vAlign w:val="center"/>
          </w:tcPr>
          <w:p w14:paraId="0AD0D387">
            <w:pPr>
              <w:pStyle w:val="27"/>
              <w:bidi w:val="0"/>
              <w:jc w:val="both"/>
              <w:rPr>
                <w:sz w:val="21"/>
                <w:szCs w:val="21"/>
              </w:rPr>
            </w:pPr>
            <w:r>
              <w:rPr>
                <w:rFonts w:hint="eastAsia"/>
                <w:sz w:val="21"/>
                <w:szCs w:val="21"/>
              </w:rPr>
              <w:t>工作帮坡角大于设计工作帮坡角，或者最终边坡台阶高度超过设计高度。</w:t>
            </w:r>
          </w:p>
        </w:tc>
        <w:tc>
          <w:tcPr>
            <w:tcW w:w="437" w:type="pct"/>
            <w:noWrap w:val="0"/>
            <w:vAlign w:val="center"/>
          </w:tcPr>
          <w:p w14:paraId="49D02A51">
            <w:pPr>
              <w:pStyle w:val="27"/>
              <w:bidi w:val="0"/>
              <w:rPr>
                <w:sz w:val="21"/>
                <w:szCs w:val="21"/>
              </w:rPr>
            </w:pPr>
            <w:r>
              <w:rPr>
                <w:sz w:val="21"/>
                <w:szCs w:val="21"/>
              </w:rPr>
              <w:t>现场</w:t>
            </w:r>
          </w:p>
          <w:p w14:paraId="5DB06249">
            <w:pPr>
              <w:pStyle w:val="27"/>
              <w:bidi w:val="0"/>
              <w:rPr>
                <w:sz w:val="21"/>
                <w:szCs w:val="21"/>
              </w:rPr>
            </w:pPr>
            <w:r>
              <w:rPr>
                <w:sz w:val="21"/>
                <w:szCs w:val="21"/>
              </w:rPr>
              <w:t>勘查</w:t>
            </w:r>
          </w:p>
        </w:tc>
        <w:tc>
          <w:tcPr>
            <w:tcW w:w="966" w:type="pct"/>
            <w:noWrap w:val="0"/>
            <w:vAlign w:val="center"/>
          </w:tcPr>
          <w:p w14:paraId="10CF6EE9">
            <w:pPr>
              <w:pStyle w:val="27"/>
              <w:bidi w:val="0"/>
              <w:jc w:val="both"/>
              <w:rPr>
                <w:sz w:val="21"/>
                <w:szCs w:val="21"/>
              </w:rPr>
            </w:pPr>
            <w:r>
              <w:rPr>
                <w:sz w:val="21"/>
                <w:szCs w:val="21"/>
              </w:rPr>
              <w:t>符合设计要求。</w:t>
            </w:r>
          </w:p>
        </w:tc>
        <w:tc>
          <w:tcPr>
            <w:tcW w:w="741" w:type="pct"/>
            <w:noWrap w:val="0"/>
            <w:vAlign w:val="center"/>
          </w:tcPr>
          <w:p w14:paraId="4485B0C9">
            <w:pPr>
              <w:pStyle w:val="27"/>
              <w:bidi w:val="0"/>
              <w:jc w:val="both"/>
              <w:rPr>
                <w:sz w:val="21"/>
                <w:szCs w:val="21"/>
              </w:rPr>
            </w:pPr>
            <w:r>
              <w:rPr>
                <w:sz w:val="21"/>
                <w:szCs w:val="21"/>
              </w:rPr>
              <w:t>不构成重大事故隐患</w:t>
            </w:r>
          </w:p>
        </w:tc>
      </w:tr>
      <w:tr w14:paraId="1B4C30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07C65C3C">
            <w:pPr>
              <w:pStyle w:val="27"/>
              <w:bidi w:val="0"/>
              <w:rPr>
                <w:sz w:val="21"/>
                <w:szCs w:val="21"/>
              </w:rPr>
            </w:pPr>
            <w:r>
              <w:rPr>
                <w:sz w:val="21"/>
                <w:szCs w:val="21"/>
              </w:rPr>
              <w:t>5</w:t>
            </w:r>
          </w:p>
        </w:tc>
        <w:tc>
          <w:tcPr>
            <w:tcW w:w="2429" w:type="pct"/>
            <w:noWrap w:val="0"/>
            <w:vAlign w:val="center"/>
          </w:tcPr>
          <w:p w14:paraId="239FC3C4">
            <w:pPr>
              <w:pStyle w:val="27"/>
              <w:bidi w:val="0"/>
              <w:jc w:val="both"/>
              <w:rPr>
                <w:sz w:val="21"/>
                <w:szCs w:val="21"/>
              </w:rPr>
            </w:pPr>
            <w:r>
              <w:rPr>
                <w:rFonts w:hint="eastAsia"/>
                <w:sz w:val="21"/>
                <w:szCs w:val="21"/>
              </w:rPr>
              <w:t>开采或者破坏设计要求保留的矿（岩）柱或者挂帮矿体。</w:t>
            </w:r>
          </w:p>
        </w:tc>
        <w:tc>
          <w:tcPr>
            <w:tcW w:w="437" w:type="pct"/>
            <w:noWrap w:val="0"/>
            <w:vAlign w:val="center"/>
          </w:tcPr>
          <w:p w14:paraId="038C74E1">
            <w:pPr>
              <w:pStyle w:val="27"/>
              <w:bidi w:val="0"/>
              <w:rPr>
                <w:sz w:val="21"/>
                <w:szCs w:val="21"/>
              </w:rPr>
            </w:pPr>
            <w:r>
              <w:rPr>
                <w:sz w:val="21"/>
                <w:szCs w:val="21"/>
              </w:rPr>
              <w:t>现场</w:t>
            </w:r>
          </w:p>
          <w:p w14:paraId="18425F60">
            <w:pPr>
              <w:pStyle w:val="27"/>
              <w:bidi w:val="0"/>
              <w:rPr>
                <w:sz w:val="21"/>
                <w:szCs w:val="21"/>
              </w:rPr>
            </w:pPr>
            <w:r>
              <w:rPr>
                <w:sz w:val="21"/>
                <w:szCs w:val="21"/>
              </w:rPr>
              <w:t>勘查</w:t>
            </w:r>
          </w:p>
        </w:tc>
        <w:tc>
          <w:tcPr>
            <w:tcW w:w="966" w:type="pct"/>
            <w:noWrap w:val="0"/>
            <w:vAlign w:val="center"/>
          </w:tcPr>
          <w:p w14:paraId="3AECB44A">
            <w:pPr>
              <w:pStyle w:val="27"/>
              <w:bidi w:val="0"/>
              <w:jc w:val="both"/>
              <w:rPr>
                <w:sz w:val="21"/>
                <w:szCs w:val="21"/>
              </w:rPr>
            </w:pPr>
            <w:r>
              <w:rPr>
                <w:sz w:val="21"/>
                <w:szCs w:val="21"/>
              </w:rPr>
              <w:t>没有开采或破坏规定保留的矿柱。</w:t>
            </w:r>
          </w:p>
        </w:tc>
        <w:tc>
          <w:tcPr>
            <w:tcW w:w="741" w:type="pct"/>
            <w:noWrap w:val="0"/>
            <w:vAlign w:val="center"/>
          </w:tcPr>
          <w:p w14:paraId="6A6DE478">
            <w:pPr>
              <w:pStyle w:val="27"/>
              <w:bidi w:val="0"/>
              <w:jc w:val="both"/>
              <w:rPr>
                <w:sz w:val="21"/>
                <w:szCs w:val="21"/>
              </w:rPr>
            </w:pPr>
            <w:r>
              <w:rPr>
                <w:sz w:val="21"/>
                <w:szCs w:val="21"/>
              </w:rPr>
              <w:t>不构成重大事故隐患</w:t>
            </w:r>
          </w:p>
        </w:tc>
      </w:tr>
      <w:tr w14:paraId="65BCC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07FC4041">
            <w:pPr>
              <w:pStyle w:val="27"/>
              <w:bidi w:val="0"/>
              <w:rPr>
                <w:sz w:val="21"/>
                <w:szCs w:val="21"/>
              </w:rPr>
            </w:pPr>
            <w:r>
              <w:rPr>
                <w:sz w:val="21"/>
                <w:szCs w:val="21"/>
              </w:rPr>
              <w:t>6</w:t>
            </w:r>
          </w:p>
        </w:tc>
        <w:tc>
          <w:tcPr>
            <w:tcW w:w="2429" w:type="pct"/>
            <w:noWrap w:val="0"/>
            <w:vAlign w:val="center"/>
          </w:tcPr>
          <w:p w14:paraId="37BE9E1C">
            <w:pPr>
              <w:pStyle w:val="27"/>
              <w:bidi w:val="0"/>
              <w:jc w:val="both"/>
              <w:rPr>
                <w:sz w:val="21"/>
                <w:szCs w:val="21"/>
              </w:rPr>
            </w:pPr>
            <w:r>
              <w:rPr>
                <w:rFonts w:hint="eastAsia"/>
                <w:sz w:val="21"/>
                <w:szCs w:val="21"/>
              </w:rPr>
              <w:t>按有关国家标准或者行业标准对采场边坡、排土场边坡进行稳定性分析。</w:t>
            </w:r>
          </w:p>
        </w:tc>
        <w:tc>
          <w:tcPr>
            <w:tcW w:w="437" w:type="pct"/>
            <w:noWrap w:val="0"/>
            <w:vAlign w:val="center"/>
          </w:tcPr>
          <w:p w14:paraId="3C9F4BBD">
            <w:pPr>
              <w:pStyle w:val="27"/>
              <w:bidi w:val="0"/>
              <w:rPr>
                <w:sz w:val="21"/>
                <w:szCs w:val="21"/>
              </w:rPr>
            </w:pPr>
            <w:r>
              <w:rPr>
                <w:sz w:val="21"/>
                <w:szCs w:val="21"/>
              </w:rPr>
              <w:t>现场</w:t>
            </w:r>
          </w:p>
          <w:p w14:paraId="467E63B3">
            <w:pPr>
              <w:pStyle w:val="27"/>
              <w:bidi w:val="0"/>
              <w:rPr>
                <w:sz w:val="21"/>
                <w:szCs w:val="21"/>
              </w:rPr>
            </w:pPr>
            <w:r>
              <w:rPr>
                <w:sz w:val="21"/>
                <w:szCs w:val="21"/>
              </w:rPr>
              <w:t>勘查</w:t>
            </w:r>
          </w:p>
        </w:tc>
        <w:tc>
          <w:tcPr>
            <w:tcW w:w="966" w:type="pct"/>
            <w:noWrap w:val="0"/>
            <w:vAlign w:val="center"/>
          </w:tcPr>
          <w:p w14:paraId="53811E56">
            <w:pPr>
              <w:pStyle w:val="27"/>
              <w:bidi w:val="0"/>
              <w:jc w:val="both"/>
              <w:rPr>
                <w:sz w:val="21"/>
                <w:szCs w:val="21"/>
              </w:rPr>
            </w:pPr>
            <w:r>
              <w:rPr>
                <w:rFonts w:hint="eastAsia"/>
                <w:sz w:val="21"/>
                <w:szCs w:val="21"/>
                <w:lang w:val="en-US" w:eastAsia="zh-CN"/>
              </w:rPr>
              <w:t>进行了边坡稳定性分析</w:t>
            </w:r>
            <w:r>
              <w:rPr>
                <w:sz w:val="21"/>
                <w:szCs w:val="21"/>
              </w:rPr>
              <w:t>。</w:t>
            </w:r>
          </w:p>
        </w:tc>
        <w:tc>
          <w:tcPr>
            <w:tcW w:w="741" w:type="pct"/>
            <w:noWrap w:val="0"/>
            <w:vAlign w:val="center"/>
          </w:tcPr>
          <w:p w14:paraId="48C8F1B6">
            <w:pPr>
              <w:pStyle w:val="27"/>
              <w:bidi w:val="0"/>
              <w:jc w:val="both"/>
              <w:rPr>
                <w:sz w:val="21"/>
                <w:szCs w:val="21"/>
              </w:rPr>
            </w:pPr>
            <w:r>
              <w:rPr>
                <w:sz w:val="21"/>
                <w:szCs w:val="21"/>
              </w:rPr>
              <w:t>不构成重大事故隐患</w:t>
            </w:r>
          </w:p>
        </w:tc>
      </w:tr>
      <w:tr w14:paraId="5D594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72EF5AD6">
            <w:pPr>
              <w:pStyle w:val="27"/>
              <w:bidi w:val="0"/>
              <w:rPr>
                <w:sz w:val="21"/>
                <w:szCs w:val="21"/>
              </w:rPr>
            </w:pPr>
            <w:r>
              <w:rPr>
                <w:sz w:val="21"/>
                <w:szCs w:val="21"/>
              </w:rPr>
              <w:t>7</w:t>
            </w:r>
          </w:p>
        </w:tc>
        <w:tc>
          <w:tcPr>
            <w:tcW w:w="2429" w:type="pct"/>
            <w:noWrap w:val="0"/>
            <w:vAlign w:val="center"/>
          </w:tcPr>
          <w:p w14:paraId="5CF06EC6">
            <w:pPr>
              <w:pStyle w:val="27"/>
              <w:bidi w:val="0"/>
              <w:jc w:val="both"/>
              <w:rPr>
                <w:rFonts w:hint="eastAsia"/>
                <w:sz w:val="21"/>
                <w:szCs w:val="21"/>
              </w:rPr>
            </w:pPr>
            <w:r>
              <w:rPr>
                <w:rFonts w:hint="eastAsia"/>
                <w:sz w:val="21"/>
                <w:szCs w:val="21"/>
              </w:rPr>
              <w:t>边坡存在下列情形之一的：</w:t>
            </w:r>
          </w:p>
          <w:p w14:paraId="13EB334B">
            <w:pPr>
              <w:pStyle w:val="27"/>
              <w:bidi w:val="0"/>
              <w:jc w:val="both"/>
              <w:rPr>
                <w:sz w:val="21"/>
                <w:szCs w:val="21"/>
              </w:rPr>
            </w:pPr>
            <w:r>
              <w:rPr>
                <w:rFonts w:hint="eastAsia"/>
                <w:sz w:val="21"/>
                <w:szCs w:val="21"/>
              </w:rPr>
              <w:t>高度200米及以上的采场边坡未进行在线监测；高度200米及以上的排土场边坡未建立边坡稳定监测系统；关闭、破坏监测系统或者隐瞒、篡改、销毁其相关数据、信息。</w:t>
            </w:r>
          </w:p>
        </w:tc>
        <w:tc>
          <w:tcPr>
            <w:tcW w:w="437" w:type="pct"/>
            <w:noWrap w:val="0"/>
            <w:vAlign w:val="center"/>
          </w:tcPr>
          <w:p w14:paraId="78201140">
            <w:pPr>
              <w:pStyle w:val="27"/>
              <w:bidi w:val="0"/>
              <w:rPr>
                <w:sz w:val="21"/>
                <w:szCs w:val="21"/>
              </w:rPr>
            </w:pPr>
            <w:r>
              <w:rPr>
                <w:sz w:val="21"/>
                <w:szCs w:val="21"/>
              </w:rPr>
              <w:t>现场</w:t>
            </w:r>
          </w:p>
          <w:p w14:paraId="30152A54">
            <w:pPr>
              <w:pStyle w:val="27"/>
              <w:bidi w:val="0"/>
              <w:rPr>
                <w:sz w:val="21"/>
                <w:szCs w:val="21"/>
              </w:rPr>
            </w:pPr>
            <w:r>
              <w:rPr>
                <w:sz w:val="21"/>
                <w:szCs w:val="21"/>
              </w:rPr>
              <w:t>勘查</w:t>
            </w:r>
          </w:p>
        </w:tc>
        <w:tc>
          <w:tcPr>
            <w:tcW w:w="966" w:type="pct"/>
            <w:noWrap w:val="0"/>
            <w:vAlign w:val="center"/>
          </w:tcPr>
          <w:p w14:paraId="74FE58C1">
            <w:pPr>
              <w:pStyle w:val="27"/>
              <w:bidi w:val="0"/>
              <w:jc w:val="both"/>
              <w:rPr>
                <w:sz w:val="21"/>
                <w:szCs w:val="21"/>
              </w:rPr>
            </w:pPr>
            <w:r>
              <w:rPr>
                <w:sz w:val="21"/>
                <w:szCs w:val="21"/>
              </w:rPr>
              <w:t>边坡高度小于</w:t>
            </w:r>
            <w:r>
              <w:rPr>
                <w:rFonts w:hint="eastAsia"/>
                <w:sz w:val="21"/>
                <w:szCs w:val="21"/>
                <w:lang w:eastAsia="zh-CN"/>
              </w:rPr>
              <w:t>+</w:t>
            </w:r>
            <w:r>
              <w:rPr>
                <w:rFonts w:hint="eastAsia"/>
                <w:sz w:val="21"/>
                <w:szCs w:val="21"/>
                <w:lang w:val="en-US" w:eastAsia="zh-CN"/>
              </w:rPr>
              <w:t>200</w:t>
            </w:r>
            <w:r>
              <w:rPr>
                <w:rFonts w:hint="eastAsia"/>
                <w:sz w:val="21"/>
                <w:szCs w:val="21"/>
                <w:lang w:eastAsia="zh-CN"/>
              </w:rPr>
              <w:t>m</w:t>
            </w:r>
            <w:r>
              <w:rPr>
                <w:sz w:val="21"/>
                <w:szCs w:val="21"/>
              </w:rPr>
              <w:t>。</w:t>
            </w:r>
          </w:p>
        </w:tc>
        <w:tc>
          <w:tcPr>
            <w:tcW w:w="741" w:type="pct"/>
            <w:noWrap w:val="0"/>
            <w:vAlign w:val="center"/>
          </w:tcPr>
          <w:p w14:paraId="5C5D2517">
            <w:pPr>
              <w:pStyle w:val="27"/>
              <w:bidi w:val="0"/>
              <w:jc w:val="both"/>
              <w:rPr>
                <w:sz w:val="21"/>
                <w:szCs w:val="21"/>
              </w:rPr>
            </w:pPr>
            <w:r>
              <w:rPr>
                <w:sz w:val="21"/>
                <w:szCs w:val="21"/>
              </w:rPr>
              <w:t>不构成重大事故隐患</w:t>
            </w:r>
          </w:p>
        </w:tc>
      </w:tr>
      <w:tr w14:paraId="0F7F5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5D48EE37">
            <w:pPr>
              <w:pStyle w:val="27"/>
              <w:bidi w:val="0"/>
              <w:rPr>
                <w:sz w:val="21"/>
                <w:szCs w:val="21"/>
              </w:rPr>
            </w:pPr>
            <w:r>
              <w:rPr>
                <w:sz w:val="21"/>
                <w:szCs w:val="21"/>
              </w:rPr>
              <w:t>8</w:t>
            </w:r>
          </w:p>
        </w:tc>
        <w:tc>
          <w:tcPr>
            <w:tcW w:w="2429" w:type="pct"/>
            <w:noWrap w:val="0"/>
            <w:vAlign w:val="center"/>
          </w:tcPr>
          <w:p w14:paraId="522224BD">
            <w:pPr>
              <w:pStyle w:val="27"/>
              <w:bidi w:val="0"/>
              <w:jc w:val="both"/>
              <w:rPr>
                <w:sz w:val="21"/>
                <w:szCs w:val="21"/>
              </w:rPr>
            </w:pPr>
            <w:r>
              <w:rPr>
                <w:rFonts w:hint="eastAsia"/>
                <w:sz w:val="21"/>
                <w:szCs w:val="21"/>
              </w:rPr>
              <w:t>边坡出现滑移现象，存在下列情形之一的：边坡出现横向及纵向放射状裂缝；坡体前缘坡脚处出现上隆（凸起）现象，后缘的裂缝急剧扩展；位移观测资料显示的水平位移量或者垂直位移量出现加速变化的趋势。</w:t>
            </w:r>
          </w:p>
        </w:tc>
        <w:tc>
          <w:tcPr>
            <w:tcW w:w="437" w:type="pct"/>
            <w:noWrap w:val="0"/>
            <w:vAlign w:val="center"/>
          </w:tcPr>
          <w:p w14:paraId="4BF152E5">
            <w:pPr>
              <w:pStyle w:val="27"/>
              <w:bidi w:val="0"/>
              <w:rPr>
                <w:sz w:val="21"/>
                <w:szCs w:val="21"/>
              </w:rPr>
            </w:pPr>
            <w:r>
              <w:rPr>
                <w:sz w:val="21"/>
                <w:szCs w:val="21"/>
              </w:rPr>
              <w:t>现场</w:t>
            </w:r>
          </w:p>
          <w:p w14:paraId="5BE547FC">
            <w:pPr>
              <w:pStyle w:val="27"/>
              <w:bidi w:val="0"/>
              <w:rPr>
                <w:sz w:val="21"/>
                <w:szCs w:val="21"/>
              </w:rPr>
            </w:pPr>
            <w:r>
              <w:rPr>
                <w:sz w:val="21"/>
                <w:szCs w:val="21"/>
              </w:rPr>
              <w:t>勘查</w:t>
            </w:r>
          </w:p>
        </w:tc>
        <w:tc>
          <w:tcPr>
            <w:tcW w:w="966" w:type="pct"/>
            <w:noWrap w:val="0"/>
            <w:vAlign w:val="center"/>
          </w:tcPr>
          <w:p w14:paraId="613F9C55">
            <w:pPr>
              <w:pStyle w:val="27"/>
              <w:bidi w:val="0"/>
              <w:jc w:val="both"/>
              <w:rPr>
                <w:sz w:val="21"/>
                <w:szCs w:val="21"/>
              </w:rPr>
            </w:pPr>
            <w:r>
              <w:rPr>
                <w:sz w:val="21"/>
                <w:szCs w:val="21"/>
              </w:rPr>
              <w:t>边坡不存在滑移现象。</w:t>
            </w:r>
          </w:p>
        </w:tc>
        <w:tc>
          <w:tcPr>
            <w:tcW w:w="741" w:type="pct"/>
            <w:noWrap w:val="0"/>
            <w:vAlign w:val="center"/>
          </w:tcPr>
          <w:p w14:paraId="3B493D3A">
            <w:pPr>
              <w:pStyle w:val="27"/>
              <w:bidi w:val="0"/>
              <w:jc w:val="both"/>
              <w:rPr>
                <w:sz w:val="21"/>
                <w:szCs w:val="21"/>
              </w:rPr>
            </w:pPr>
            <w:r>
              <w:rPr>
                <w:sz w:val="21"/>
                <w:szCs w:val="21"/>
              </w:rPr>
              <w:t>不构成重大事故隐患</w:t>
            </w:r>
          </w:p>
        </w:tc>
      </w:tr>
      <w:tr w14:paraId="4D6E1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67848430">
            <w:pPr>
              <w:pStyle w:val="27"/>
              <w:bidi w:val="0"/>
              <w:rPr>
                <w:sz w:val="21"/>
                <w:szCs w:val="21"/>
              </w:rPr>
            </w:pPr>
            <w:r>
              <w:rPr>
                <w:sz w:val="21"/>
                <w:szCs w:val="21"/>
              </w:rPr>
              <w:t>9</w:t>
            </w:r>
          </w:p>
        </w:tc>
        <w:tc>
          <w:tcPr>
            <w:tcW w:w="2429" w:type="pct"/>
            <w:noWrap w:val="0"/>
            <w:vAlign w:val="center"/>
          </w:tcPr>
          <w:p w14:paraId="5AEB3552">
            <w:pPr>
              <w:pStyle w:val="27"/>
              <w:bidi w:val="0"/>
              <w:jc w:val="both"/>
              <w:rPr>
                <w:sz w:val="21"/>
                <w:szCs w:val="21"/>
              </w:rPr>
            </w:pPr>
            <w:r>
              <w:rPr>
                <w:rFonts w:hint="eastAsia"/>
                <w:sz w:val="21"/>
                <w:szCs w:val="21"/>
              </w:rPr>
              <w:t>运输道路坡度大于设计坡度10%以上。</w:t>
            </w:r>
          </w:p>
        </w:tc>
        <w:tc>
          <w:tcPr>
            <w:tcW w:w="437" w:type="pct"/>
            <w:noWrap w:val="0"/>
            <w:vAlign w:val="center"/>
          </w:tcPr>
          <w:p w14:paraId="4BCE9998">
            <w:pPr>
              <w:pStyle w:val="27"/>
              <w:bidi w:val="0"/>
              <w:rPr>
                <w:sz w:val="21"/>
                <w:szCs w:val="21"/>
              </w:rPr>
            </w:pPr>
            <w:r>
              <w:rPr>
                <w:sz w:val="21"/>
                <w:szCs w:val="21"/>
              </w:rPr>
              <w:t>现场</w:t>
            </w:r>
          </w:p>
          <w:p w14:paraId="3A6FF2FE">
            <w:pPr>
              <w:pStyle w:val="27"/>
              <w:bidi w:val="0"/>
              <w:rPr>
                <w:sz w:val="21"/>
                <w:szCs w:val="21"/>
              </w:rPr>
            </w:pPr>
            <w:r>
              <w:rPr>
                <w:sz w:val="21"/>
                <w:szCs w:val="21"/>
              </w:rPr>
              <w:t>勘查</w:t>
            </w:r>
          </w:p>
        </w:tc>
        <w:tc>
          <w:tcPr>
            <w:tcW w:w="966" w:type="pct"/>
            <w:noWrap w:val="0"/>
            <w:vAlign w:val="center"/>
          </w:tcPr>
          <w:p w14:paraId="6307768F">
            <w:pPr>
              <w:pStyle w:val="27"/>
              <w:bidi w:val="0"/>
              <w:jc w:val="both"/>
              <w:rPr>
                <w:sz w:val="21"/>
                <w:szCs w:val="21"/>
              </w:rPr>
            </w:pPr>
            <w:r>
              <w:rPr>
                <w:sz w:val="21"/>
                <w:szCs w:val="21"/>
              </w:rPr>
              <w:t>符合设计要求。</w:t>
            </w:r>
          </w:p>
        </w:tc>
        <w:tc>
          <w:tcPr>
            <w:tcW w:w="741" w:type="pct"/>
            <w:noWrap w:val="0"/>
            <w:vAlign w:val="center"/>
          </w:tcPr>
          <w:p w14:paraId="19B44007">
            <w:pPr>
              <w:pStyle w:val="27"/>
              <w:bidi w:val="0"/>
              <w:jc w:val="both"/>
              <w:rPr>
                <w:sz w:val="21"/>
                <w:szCs w:val="21"/>
              </w:rPr>
            </w:pPr>
            <w:r>
              <w:rPr>
                <w:sz w:val="21"/>
                <w:szCs w:val="21"/>
              </w:rPr>
              <w:t>不构成重大事故隐患</w:t>
            </w:r>
          </w:p>
        </w:tc>
      </w:tr>
      <w:tr w14:paraId="46A82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6DE0EB19">
            <w:pPr>
              <w:pStyle w:val="27"/>
              <w:bidi w:val="0"/>
              <w:rPr>
                <w:sz w:val="21"/>
                <w:szCs w:val="21"/>
              </w:rPr>
            </w:pPr>
            <w:r>
              <w:rPr>
                <w:sz w:val="21"/>
                <w:szCs w:val="21"/>
              </w:rPr>
              <w:t>10</w:t>
            </w:r>
          </w:p>
        </w:tc>
        <w:tc>
          <w:tcPr>
            <w:tcW w:w="2429" w:type="pct"/>
            <w:noWrap w:val="0"/>
            <w:vAlign w:val="center"/>
          </w:tcPr>
          <w:p w14:paraId="26840EBC">
            <w:pPr>
              <w:pStyle w:val="27"/>
              <w:bidi w:val="0"/>
              <w:jc w:val="both"/>
              <w:rPr>
                <w:sz w:val="21"/>
                <w:szCs w:val="21"/>
              </w:rPr>
            </w:pPr>
            <w:r>
              <w:rPr>
                <w:rFonts w:hint="eastAsia"/>
                <w:sz w:val="21"/>
                <w:szCs w:val="21"/>
              </w:rPr>
              <w:t>凹陷露天矿山未按设计建设防洪、排洪设施。</w:t>
            </w:r>
          </w:p>
        </w:tc>
        <w:tc>
          <w:tcPr>
            <w:tcW w:w="437" w:type="pct"/>
            <w:noWrap w:val="0"/>
            <w:vAlign w:val="center"/>
          </w:tcPr>
          <w:p w14:paraId="7652F58A">
            <w:pPr>
              <w:pStyle w:val="27"/>
              <w:bidi w:val="0"/>
              <w:rPr>
                <w:sz w:val="21"/>
                <w:szCs w:val="21"/>
              </w:rPr>
            </w:pPr>
            <w:r>
              <w:rPr>
                <w:sz w:val="21"/>
                <w:szCs w:val="21"/>
              </w:rPr>
              <w:t>现场</w:t>
            </w:r>
          </w:p>
          <w:p w14:paraId="4CC3B417">
            <w:pPr>
              <w:pStyle w:val="27"/>
              <w:bidi w:val="0"/>
              <w:rPr>
                <w:sz w:val="21"/>
                <w:szCs w:val="21"/>
              </w:rPr>
            </w:pPr>
            <w:r>
              <w:rPr>
                <w:sz w:val="21"/>
                <w:szCs w:val="21"/>
              </w:rPr>
              <w:t>勘查</w:t>
            </w:r>
          </w:p>
        </w:tc>
        <w:tc>
          <w:tcPr>
            <w:tcW w:w="966" w:type="pct"/>
            <w:noWrap w:val="0"/>
            <w:vAlign w:val="center"/>
          </w:tcPr>
          <w:p w14:paraId="1134DA98">
            <w:pPr>
              <w:pStyle w:val="27"/>
              <w:bidi w:val="0"/>
              <w:jc w:val="both"/>
              <w:rPr>
                <w:sz w:val="21"/>
                <w:szCs w:val="21"/>
              </w:rPr>
            </w:pPr>
            <w:r>
              <w:rPr>
                <w:sz w:val="21"/>
                <w:szCs w:val="21"/>
              </w:rPr>
              <w:t>符合设计要求。</w:t>
            </w:r>
          </w:p>
        </w:tc>
        <w:tc>
          <w:tcPr>
            <w:tcW w:w="741" w:type="pct"/>
            <w:noWrap w:val="0"/>
            <w:vAlign w:val="center"/>
          </w:tcPr>
          <w:p w14:paraId="466D4473">
            <w:pPr>
              <w:pStyle w:val="27"/>
              <w:bidi w:val="0"/>
              <w:jc w:val="both"/>
              <w:rPr>
                <w:sz w:val="21"/>
                <w:szCs w:val="21"/>
              </w:rPr>
            </w:pPr>
            <w:r>
              <w:rPr>
                <w:sz w:val="21"/>
                <w:szCs w:val="21"/>
              </w:rPr>
              <w:t>不构成重大事故隐患</w:t>
            </w:r>
          </w:p>
        </w:tc>
      </w:tr>
      <w:tr w14:paraId="7CD24C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1FA4D9E9">
            <w:pPr>
              <w:pStyle w:val="27"/>
              <w:bidi w:val="0"/>
              <w:rPr>
                <w:sz w:val="21"/>
                <w:szCs w:val="21"/>
              </w:rPr>
            </w:pPr>
            <w:r>
              <w:rPr>
                <w:sz w:val="21"/>
                <w:szCs w:val="21"/>
              </w:rPr>
              <w:t>11</w:t>
            </w:r>
          </w:p>
        </w:tc>
        <w:tc>
          <w:tcPr>
            <w:tcW w:w="2429" w:type="pct"/>
            <w:noWrap w:val="0"/>
            <w:vAlign w:val="center"/>
          </w:tcPr>
          <w:p w14:paraId="4C997694">
            <w:pPr>
              <w:pStyle w:val="27"/>
              <w:bidi w:val="0"/>
              <w:jc w:val="both"/>
              <w:rPr>
                <w:rFonts w:hint="eastAsia"/>
                <w:sz w:val="21"/>
                <w:szCs w:val="21"/>
              </w:rPr>
            </w:pPr>
            <w:r>
              <w:rPr>
                <w:rFonts w:hint="eastAsia"/>
                <w:sz w:val="21"/>
                <w:szCs w:val="21"/>
              </w:rPr>
              <w:t>排土场存在下列情形之一的：</w:t>
            </w:r>
          </w:p>
          <w:p w14:paraId="67A3713D">
            <w:pPr>
              <w:pStyle w:val="27"/>
              <w:bidi w:val="0"/>
              <w:jc w:val="both"/>
              <w:rPr>
                <w:sz w:val="21"/>
                <w:szCs w:val="21"/>
              </w:rPr>
            </w:pPr>
            <w:r>
              <w:rPr>
                <w:rFonts w:hint="eastAsia"/>
                <w:sz w:val="21"/>
                <w:szCs w:val="21"/>
              </w:rPr>
              <w:t>在平均坡度大于1:5的地基上顺坡排土，未按设计采取安全措施；排土场总堆置高度2倍范围以内有人员密集场所，未按设计采取安全措施；山坡排土场周围未按设计修筑截、排水设施。</w:t>
            </w:r>
          </w:p>
        </w:tc>
        <w:tc>
          <w:tcPr>
            <w:tcW w:w="437" w:type="pct"/>
            <w:noWrap w:val="0"/>
            <w:vAlign w:val="center"/>
          </w:tcPr>
          <w:p w14:paraId="65185CB4">
            <w:pPr>
              <w:pStyle w:val="27"/>
              <w:bidi w:val="0"/>
              <w:rPr>
                <w:sz w:val="21"/>
                <w:szCs w:val="21"/>
              </w:rPr>
            </w:pPr>
            <w:r>
              <w:rPr>
                <w:sz w:val="21"/>
                <w:szCs w:val="21"/>
              </w:rPr>
              <w:t>现场</w:t>
            </w:r>
          </w:p>
          <w:p w14:paraId="4D2DBD7B">
            <w:pPr>
              <w:pStyle w:val="27"/>
              <w:bidi w:val="0"/>
              <w:rPr>
                <w:sz w:val="21"/>
                <w:szCs w:val="21"/>
              </w:rPr>
            </w:pPr>
            <w:r>
              <w:rPr>
                <w:sz w:val="21"/>
                <w:szCs w:val="21"/>
              </w:rPr>
              <w:t>勘查</w:t>
            </w:r>
          </w:p>
        </w:tc>
        <w:tc>
          <w:tcPr>
            <w:tcW w:w="966" w:type="pct"/>
            <w:noWrap w:val="0"/>
            <w:vAlign w:val="center"/>
          </w:tcPr>
          <w:p w14:paraId="2FA2064C">
            <w:pPr>
              <w:pStyle w:val="27"/>
              <w:bidi w:val="0"/>
              <w:jc w:val="both"/>
              <w:rPr>
                <w:sz w:val="21"/>
                <w:szCs w:val="21"/>
              </w:rPr>
            </w:pPr>
            <w:r>
              <w:rPr>
                <w:sz w:val="21"/>
                <w:szCs w:val="21"/>
              </w:rPr>
              <w:t>不涉及。</w:t>
            </w:r>
          </w:p>
        </w:tc>
        <w:tc>
          <w:tcPr>
            <w:tcW w:w="741" w:type="pct"/>
            <w:noWrap w:val="0"/>
            <w:vAlign w:val="center"/>
          </w:tcPr>
          <w:p w14:paraId="65D2DB2A">
            <w:pPr>
              <w:pStyle w:val="27"/>
              <w:bidi w:val="0"/>
              <w:jc w:val="both"/>
              <w:rPr>
                <w:sz w:val="21"/>
                <w:szCs w:val="21"/>
              </w:rPr>
            </w:pPr>
            <w:r>
              <w:rPr>
                <w:sz w:val="21"/>
                <w:szCs w:val="21"/>
              </w:rPr>
              <w:t>--------</w:t>
            </w:r>
          </w:p>
        </w:tc>
      </w:tr>
      <w:tr w14:paraId="3FCF1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0307D19F">
            <w:pPr>
              <w:pStyle w:val="27"/>
              <w:bidi w:val="0"/>
              <w:rPr>
                <w:sz w:val="21"/>
                <w:szCs w:val="21"/>
              </w:rPr>
            </w:pPr>
            <w:r>
              <w:rPr>
                <w:sz w:val="21"/>
                <w:szCs w:val="21"/>
              </w:rPr>
              <w:t>12</w:t>
            </w:r>
          </w:p>
        </w:tc>
        <w:tc>
          <w:tcPr>
            <w:tcW w:w="2429" w:type="pct"/>
            <w:noWrap w:val="0"/>
            <w:vAlign w:val="center"/>
          </w:tcPr>
          <w:p w14:paraId="200639A0">
            <w:pPr>
              <w:pStyle w:val="27"/>
              <w:bidi w:val="0"/>
              <w:jc w:val="both"/>
              <w:rPr>
                <w:sz w:val="21"/>
                <w:szCs w:val="21"/>
              </w:rPr>
            </w:pPr>
            <w:r>
              <w:rPr>
                <w:rFonts w:hint="eastAsia"/>
                <w:sz w:val="21"/>
                <w:szCs w:val="21"/>
              </w:rPr>
              <w:t>露天采场未按设计设置安全平台和清扫平台。</w:t>
            </w:r>
          </w:p>
        </w:tc>
        <w:tc>
          <w:tcPr>
            <w:tcW w:w="437" w:type="pct"/>
            <w:noWrap w:val="0"/>
            <w:vAlign w:val="center"/>
          </w:tcPr>
          <w:p w14:paraId="78CEC46C">
            <w:pPr>
              <w:pStyle w:val="27"/>
              <w:bidi w:val="0"/>
              <w:rPr>
                <w:sz w:val="21"/>
                <w:szCs w:val="21"/>
              </w:rPr>
            </w:pPr>
            <w:r>
              <w:rPr>
                <w:sz w:val="21"/>
                <w:szCs w:val="21"/>
              </w:rPr>
              <w:t>现场</w:t>
            </w:r>
          </w:p>
          <w:p w14:paraId="0F22420A">
            <w:pPr>
              <w:pStyle w:val="27"/>
              <w:bidi w:val="0"/>
              <w:rPr>
                <w:sz w:val="21"/>
                <w:szCs w:val="21"/>
              </w:rPr>
            </w:pPr>
            <w:r>
              <w:rPr>
                <w:sz w:val="21"/>
                <w:szCs w:val="21"/>
              </w:rPr>
              <w:t>勘查</w:t>
            </w:r>
          </w:p>
        </w:tc>
        <w:tc>
          <w:tcPr>
            <w:tcW w:w="966" w:type="pct"/>
            <w:noWrap w:val="0"/>
            <w:vAlign w:val="center"/>
          </w:tcPr>
          <w:p w14:paraId="291D7996">
            <w:pPr>
              <w:pStyle w:val="27"/>
              <w:bidi w:val="0"/>
              <w:jc w:val="both"/>
              <w:rPr>
                <w:sz w:val="21"/>
                <w:szCs w:val="21"/>
              </w:rPr>
            </w:pPr>
            <w:r>
              <w:rPr>
                <w:sz w:val="21"/>
                <w:szCs w:val="21"/>
              </w:rPr>
              <w:t>符合设计要求。</w:t>
            </w:r>
          </w:p>
        </w:tc>
        <w:tc>
          <w:tcPr>
            <w:tcW w:w="741" w:type="pct"/>
            <w:noWrap w:val="0"/>
            <w:vAlign w:val="center"/>
          </w:tcPr>
          <w:p w14:paraId="0A457614">
            <w:pPr>
              <w:pStyle w:val="27"/>
              <w:bidi w:val="0"/>
              <w:jc w:val="both"/>
              <w:rPr>
                <w:sz w:val="21"/>
                <w:szCs w:val="21"/>
              </w:rPr>
            </w:pPr>
            <w:r>
              <w:rPr>
                <w:sz w:val="21"/>
                <w:szCs w:val="21"/>
              </w:rPr>
              <w:t>不构成重大事故隐患</w:t>
            </w:r>
          </w:p>
        </w:tc>
      </w:tr>
      <w:tr w14:paraId="7978CC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66C8F018">
            <w:pPr>
              <w:pStyle w:val="27"/>
              <w:bidi w:val="0"/>
              <w:rPr>
                <w:sz w:val="21"/>
                <w:szCs w:val="21"/>
              </w:rPr>
            </w:pPr>
            <w:r>
              <w:rPr>
                <w:rFonts w:hint="eastAsia"/>
                <w:sz w:val="21"/>
                <w:szCs w:val="21"/>
              </w:rPr>
              <w:t>13</w:t>
            </w:r>
          </w:p>
        </w:tc>
        <w:tc>
          <w:tcPr>
            <w:tcW w:w="2429" w:type="pct"/>
            <w:noWrap w:val="0"/>
            <w:vAlign w:val="center"/>
          </w:tcPr>
          <w:p w14:paraId="6403D6FF">
            <w:pPr>
              <w:pStyle w:val="27"/>
              <w:bidi w:val="0"/>
              <w:jc w:val="both"/>
              <w:rPr>
                <w:sz w:val="21"/>
                <w:szCs w:val="21"/>
              </w:rPr>
            </w:pPr>
            <w:r>
              <w:rPr>
                <w:sz w:val="21"/>
                <w:szCs w:val="21"/>
              </w:rPr>
              <w:t>擅自对在用排土场进行回采作业。</w:t>
            </w:r>
          </w:p>
        </w:tc>
        <w:tc>
          <w:tcPr>
            <w:tcW w:w="437" w:type="pct"/>
            <w:noWrap w:val="0"/>
            <w:vAlign w:val="center"/>
          </w:tcPr>
          <w:p w14:paraId="5A7E6873">
            <w:pPr>
              <w:pStyle w:val="27"/>
              <w:bidi w:val="0"/>
              <w:rPr>
                <w:sz w:val="21"/>
                <w:szCs w:val="21"/>
              </w:rPr>
            </w:pPr>
            <w:r>
              <w:rPr>
                <w:sz w:val="21"/>
                <w:szCs w:val="21"/>
              </w:rPr>
              <w:t>现场</w:t>
            </w:r>
          </w:p>
          <w:p w14:paraId="73CDD55E">
            <w:pPr>
              <w:pStyle w:val="27"/>
              <w:bidi w:val="0"/>
              <w:rPr>
                <w:sz w:val="21"/>
                <w:szCs w:val="21"/>
              </w:rPr>
            </w:pPr>
            <w:r>
              <w:rPr>
                <w:sz w:val="21"/>
                <w:szCs w:val="21"/>
              </w:rPr>
              <w:t>勘查</w:t>
            </w:r>
          </w:p>
        </w:tc>
        <w:tc>
          <w:tcPr>
            <w:tcW w:w="966" w:type="pct"/>
            <w:noWrap w:val="0"/>
            <w:vAlign w:val="center"/>
          </w:tcPr>
          <w:p w14:paraId="719DEB10">
            <w:pPr>
              <w:pStyle w:val="27"/>
              <w:bidi w:val="0"/>
              <w:jc w:val="both"/>
              <w:rPr>
                <w:sz w:val="21"/>
                <w:szCs w:val="21"/>
              </w:rPr>
            </w:pPr>
            <w:r>
              <w:rPr>
                <w:sz w:val="21"/>
                <w:szCs w:val="21"/>
              </w:rPr>
              <w:t>不涉及。</w:t>
            </w:r>
          </w:p>
        </w:tc>
        <w:tc>
          <w:tcPr>
            <w:tcW w:w="741" w:type="pct"/>
            <w:noWrap w:val="0"/>
            <w:vAlign w:val="center"/>
          </w:tcPr>
          <w:p w14:paraId="17234089">
            <w:pPr>
              <w:pStyle w:val="27"/>
              <w:bidi w:val="0"/>
              <w:jc w:val="both"/>
              <w:rPr>
                <w:sz w:val="21"/>
                <w:szCs w:val="21"/>
              </w:rPr>
            </w:pPr>
            <w:r>
              <w:rPr>
                <w:sz w:val="21"/>
                <w:szCs w:val="21"/>
              </w:rPr>
              <w:t>--------</w:t>
            </w:r>
          </w:p>
        </w:tc>
      </w:tr>
      <w:tr w14:paraId="75584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6263818F">
            <w:pPr>
              <w:pStyle w:val="27"/>
              <w:bidi w:val="0"/>
              <w:rPr>
                <w:rFonts w:hint="default"/>
                <w:sz w:val="21"/>
                <w:szCs w:val="21"/>
                <w:lang w:val="en-US" w:eastAsia="zh-CN"/>
              </w:rPr>
            </w:pPr>
            <w:r>
              <w:rPr>
                <w:rFonts w:hint="eastAsia"/>
                <w:sz w:val="21"/>
                <w:szCs w:val="21"/>
                <w:lang w:val="en-US" w:eastAsia="zh-CN"/>
              </w:rPr>
              <w:t>14</w:t>
            </w:r>
          </w:p>
        </w:tc>
        <w:tc>
          <w:tcPr>
            <w:tcW w:w="2429" w:type="pct"/>
            <w:noWrap w:val="0"/>
            <w:vAlign w:val="center"/>
          </w:tcPr>
          <w:p w14:paraId="791EC1B0">
            <w:pPr>
              <w:pStyle w:val="27"/>
              <w:bidi w:val="0"/>
              <w:jc w:val="both"/>
              <w:rPr>
                <w:rFonts w:hint="eastAsia"/>
                <w:sz w:val="21"/>
                <w:szCs w:val="21"/>
                <w:lang w:eastAsia="zh-CN"/>
              </w:rPr>
            </w:pPr>
            <w:r>
              <w:rPr>
                <w:rFonts w:hint="eastAsia"/>
                <w:sz w:val="21"/>
                <w:szCs w:val="21"/>
              </w:rPr>
              <w:t>办公区、生活区等人员集聚场所设在危崖、塌陷区、崩落区，或洪水、泥石流、滑坡等灾害威胁范围内</w:t>
            </w:r>
            <w:r>
              <w:rPr>
                <w:rFonts w:hint="eastAsia"/>
                <w:sz w:val="21"/>
                <w:szCs w:val="21"/>
                <w:lang w:eastAsia="zh-CN"/>
              </w:rPr>
              <w:t>。</w:t>
            </w:r>
          </w:p>
        </w:tc>
        <w:tc>
          <w:tcPr>
            <w:tcW w:w="437" w:type="pct"/>
            <w:noWrap w:val="0"/>
            <w:vAlign w:val="center"/>
          </w:tcPr>
          <w:p w14:paraId="01D4CC19">
            <w:pPr>
              <w:pStyle w:val="27"/>
              <w:bidi w:val="0"/>
              <w:rPr>
                <w:sz w:val="21"/>
                <w:szCs w:val="21"/>
              </w:rPr>
            </w:pPr>
            <w:r>
              <w:rPr>
                <w:sz w:val="21"/>
                <w:szCs w:val="21"/>
              </w:rPr>
              <w:t>现场</w:t>
            </w:r>
          </w:p>
          <w:p w14:paraId="596A293E">
            <w:pPr>
              <w:pStyle w:val="27"/>
              <w:bidi w:val="0"/>
              <w:rPr>
                <w:sz w:val="21"/>
                <w:szCs w:val="21"/>
              </w:rPr>
            </w:pPr>
            <w:r>
              <w:rPr>
                <w:sz w:val="21"/>
                <w:szCs w:val="21"/>
              </w:rPr>
              <w:t>勘查</w:t>
            </w:r>
          </w:p>
        </w:tc>
        <w:tc>
          <w:tcPr>
            <w:tcW w:w="966" w:type="pct"/>
            <w:noWrap w:val="0"/>
            <w:vAlign w:val="center"/>
          </w:tcPr>
          <w:p w14:paraId="2F57C74E">
            <w:pPr>
              <w:pStyle w:val="27"/>
              <w:bidi w:val="0"/>
              <w:jc w:val="both"/>
              <w:rPr>
                <w:rFonts w:hint="eastAsia"/>
                <w:sz w:val="21"/>
                <w:szCs w:val="21"/>
                <w:lang w:eastAsia="zh-CN"/>
              </w:rPr>
            </w:pPr>
            <w:r>
              <w:rPr>
                <w:rFonts w:hint="eastAsia"/>
                <w:sz w:val="21"/>
                <w:szCs w:val="21"/>
                <w:lang w:eastAsia="zh-CN"/>
              </w:rPr>
              <w:t>办公区、生活区地质结构稳定。</w:t>
            </w:r>
          </w:p>
        </w:tc>
        <w:tc>
          <w:tcPr>
            <w:tcW w:w="741" w:type="pct"/>
            <w:noWrap w:val="0"/>
            <w:vAlign w:val="center"/>
          </w:tcPr>
          <w:p w14:paraId="0B4F9911">
            <w:pPr>
              <w:pStyle w:val="27"/>
              <w:bidi w:val="0"/>
              <w:jc w:val="both"/>
              <w:rPr>
                <w:sz w:val="21"/>
                <w:szCs w:val="21"/>
              </w:rPr>
            </w:pPr>
            <w:r>
              <w:rPr>
                <w:sz w:val="21"/>
                <w:szCs w:val="21"/>
              </w:rPr>
              <w:t>不构成重大事故隐患</w:t>
            </w:r>
          </w:p>
        </w:tc>
      </w:tr>
      <w:tr w14:paraId="65E89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425" w:type="pct"/>
            <w:noWrap w:val="0"/>
            <w:vAlign w:val="center"/>
          </w:tcPr>
          <w:p w14:paraId="3DE12F17">
            <w:pPr>
              <w:pStyle w:val="27"/>
              <w:bidi w:val="0"/>
              <w:rPr>
                <w:rFonts w:hint="default"/>
                <w:sz w:val="21"/>
                <w:szCs w:val="21"/>
                <w:lang w:val="en-US" w:eastAsia="zh-CN"/>
              </w:rPr>
            </w:pPr>
            <w:r>
              <w:rPr>
                <w:rFonts w:hint="eastAsia"/>
                <w:sz w:val="21"/>
                <w:szCs w:val="21"/>
                <w:lang w:val="en-US" w:eastAsia="zh-CN"/>
              </w:rPr>
              <w:t>15</w:t>
            </w:r>
          </w:p>
        </w:tc>
        <w:tc>
          <w:tcPr>
            <w:tcW w:w="2429" w:type="pct"/>
            <w:noWrap w:val="0"/>
            <w:vAlign w:val="center"/>
          </w:tcPr>
          <w:p w14:paraId="30E995FE">
            <w:pPr>
              <w:pStyle w:val="27"/>
              <w:bidi w:val="0"/>
              <w:jc w:val="both"/>
              <w:rPr>
                <w:sz w:val="21"/>
                <w:szCs w:val="21"/>
              </w:rPr>
            </w:pPr>
            <w:r>
              <w:rPr>
                <w:rFonts w:hint="eastAsia"/>
                <w:sz w:val="21"/>
                <w:szCs w:val="21"/>
              </w:rPr>
              <w:t>遇极端天气露天矿山未及时停止作业、撤出现场作业人员。</w:t>
            </w:r>
          </w:p>
        </w:tc>
        <w:tc>
          <w:tcPr>
            <w:tcW w:w="437" w:type="pct"/>
            <w:noWrap w:val="0"/>
            <w:vAlign w:val="center"/>
          </w:tcPr>
          <w:p w14:paraId="54048980">
            <w:pPr>
              <w:pStyle w:val="27"/>
              <w:bidi w:val="0"/>
              <w:rPr>
                <w:sz w:val="21"/>
                <w:szCs w:val="21"/>
              </w:rPr>
            </w:pPr>
            <w:r>
              <w:rPr>
                <w:sz w:val="21"/>
                <w:szCs w:val="21"/>
              </w:rPr>
              <w:t>现场</w:t>
            </w:r>
          </w:p>
          <w:p w14:paraId="05716A59">
            <w:pPr>
              <w:pStyle w:val="27"/>
              <w:bidi w:val="0"/>
              <w:rPr>
                <w:sz w:val="21"/>
                <w:szCs w:val="21"/>
              </w:rPr>
            </w:pPr>
            <w:r>
              <w:rPr>
                <w:sz w:val="21"/>
                <w:szCs w:val="21"/>
              </w:rPr>
              <w:t>勘查</w:t>
            </w:r>
          </w:p>
        </w:tc>
        <w:tc>
          <w:tcPr>
            <w:tcW w:w="966" w:type="pct"/>
            <w:noWrap w:val="0"/>
            <w:vAlign w:val="center"/>
          </w:tcPr>
          <w:p w14:paraId="3A15003F">
            <w:pPr>
              <w:pStyle w:val="27"/>
              <w:bidi w:val="0"/>
              <w:jc w:val="both"/>
              <w:rPr>
                <w:rFonts w:hint="eastAsia"/>
                <w:sz w:val="21"/>
                <w:szCs w:val="21"/>
                <w:lang w:eastAsia="zh-CN"/>
              </w:rPr>
            </w:pPr>
            <w:r>
              <w:rPr>
                <w:rFonts w:hint="eastAsia"/>
                <w:sz w:val="21"/>
                <w:szCs w:val="21"/>
                <w:lang w:eastAsia="zh-CN"/>
              </w:rPr>
              <w:t>极端天气立即撤人，停止作业。</w:t>
            </w:r>
          </w:p>
        </w:tc>
        <w:tc>
          <w:tcPr>
            <w:tcW w:w="741" w:type="pct"/>
            <w:noWrap w:val="0"/>
            <w:vAlign w:val="center"/>
          </w:tcPr>
          <w:p w14:paraId="724445CF">
            <w:pPr>
              <w:pStyle w:val="27"/>
              <w:bidi w:val="0"/>
              <w:jc w:val="both"/>
              <w:rPr>
                <w:sz w:val="21"/>
                <w:szCs w:val="21"/>
              </w:rPr>
            </w:pPr>
            <w:r>
              <w:rPr>
                <w:sz w:val="21"/>
                <w:szCs w:val="21"/>
              </w:rPr>
              <w:t>不构成重大事故隐患</w:t>
            </w:r>
          </w:p>
        </w:tc>
      </w:tr>
    </w:tbl>
    <w:p w14:paraId="30AD0300">
      <w:pPr>
        <w:pStyle w:val="18"/>
        <w:keepNext w:val="0"/>
        <w:keepLines w:val="0"/>
        <w:pageBreakBefore w:val="0"/>
        <w:widowControl/>
        <w:kinsoku/>
        <w:wordWrap/>
        <w:overflowPunct/>
        <w:topLinePunct w:val="0"/>
        <w:autoSpaceDE/>
        <w:autoSpaceDN/>
        <w:bidi w:val="0"/>
        <w:adjustRightInd w:val="0"/>
        <w:snapToGrid w:val="0"/>
        <w:spacing w:before="157" w:beforeLines="50"/>
        <w:textAlignment w:val="auto"/>
        <w:rPr>
          <w:rFonts w:hint="eastAsia"/>
          <w:lang w:val="en-US" w:eastAsia="zh-CN"/>
        </w:rPr>
      </w:pPr>
      <w:r>
        <w:rPr>
          <w:rFonts w:hint="eastAsia"/>
          <w:lang w:val="en-US" w:eastAsia="zh-CN"/>
        </w:rPr>
        <w:t>评价单元小结：</w:t>
      </w:r>
    </w:p>
    <w:p w14:paraId="10C3264F">
      <w:pPr>
        <w:pStyle w:val="18"/>
        <w:bidi w:val="0"/>
      </w:pPr>
      <w:r>
        <w:rPr>
          <w:rFonts w:hint="eastAsia"/>
          <w:lang w:val="en-US" w:eastAsia="zh-CN"/>
        </w:rPr>
        <w:t>对该矿山的重大事故隐患判定标准单元用安全检查表法进行了15项检查，除2项不涉及项以外，均符合安全要求，检查结果表明，海城市荣富耐火材料有限公司镁矿（菱镁石、滑石）露天矿山建设项目重大事故隐患判定标准单元符合设计要求，能够满足矿山安全生产条件。</w:t>
      </w:r>
    </w:p>
    <w:p w14:paraId="16875C3C">
      <w:pPr>
        <w:pStyle w:val="23"/>
        <w:bidi w:val="0"/>
        <w:ind w:left="0" w:leftChars="0" w:firstLine="0" w:firstLineChars="0"/>
        <w:rPr>
          <w:rFonts w:hint="default"/>
          <w:lang w:val="en-US" w:eastAsia="zh-CN"/>
        </w:rPr>
      </w:pPr>
      <w:bookmarkStart w:id="318" w:name="_Toc1351"/>
      <w:r>
        <w:rPr>
          <w:rFonts w:hint="eastAsia"/>
          <w:lang w:val="en-US" w:eastAsia="zh-CN"/>
        </w:rPr>
        <w:t>安全对策措施建议</w:t>
      </w:r>
      <w:bookmarkEnd w:id="318"/>
    </w:p>
    <w:p w14:paraId="5B233F6A">
      <w:pPr>
        <w:pStyle w:val="18"/>
        <w:keepNext w:val="0"/>
        <w:keepLines w:val="0"/>
        <w:pageBreakBefore w:val="0"/>
        <w:widowControl/>
        <w:numPr>
          <w:ilvl w:val="0"/>
          <w:numId w:val="4"/>
        </w:numPr>
        <w:kinsoku/>
        <w:wordWrap/>
        <w:overflowPunct/>
        <w:topLinePunct w:val="0"/>
        <w:autoSpaceDE/>
        <w:autoSpaceDN/>
        <w:bidi w:val="0"/>
        <w:adjustRightInd w:val="0"/>
        <w:snapToGrid w:val="0"/>
        <w:ind w:left="0" w:leftChars="0" w:firstLine="425" w:firstLineChars="0"/>
        <w:textAlignment w:val="auto"/>
      </w:pPr>
      <w:r>
        <w:t>矿山应严格按照《</w:t>
      </w:r>
      <w:r>
        <w:rPr>
          <w:rFonts w:hint="eastAsia"/>
          <w:lang w:eastAsia="zh-CN"/>
        </w:rPr>
        <w:t>海城市荣富耐火材料有限公司镁矿（菱镁石、滑石）露天矿山建设项目</w:t>
      </w:r>
      <w:r>
        <w:t>安全设施</w:t>
      </w:r>
      <w:r>
        <w:rPr>
          <w:rFonts w:hint="eastAsia"/>
        </w:rPr>
        <w:t>设计</w:t>
      </w:r>
      <w:r>
        <w:t>》的要求进行开采作业，严格执行先剥离、后开采，</w:t>
      </w:r>
      <w:r>
        <w:rPr>
          <w:rFonts w:hint="eastAsia"/>
          <w:lang w:eastAsia="zh-CN"/>
        </w:rPr>
        <w:t>自上而下分台阶开采</w:t>
      </w:r>
      <w:r>
        <w:t>，生产过程中的生产平台、安全平台、台阶高度及边坡角应满足设计要求</w:t>
      </w:r>
      <w:r>
        <w:rPr>
          <w:rFonts w:hint="eastAsia"/>
          <w:lang w:eastAsia="zh-CN"/>
        </w:rPr>
        <w:t>。</w:t>
      </w:r>
    </w:p>
    <w:p w14:paraId="2117BEAF">
      <w:pPr>
        <w:pStyle w:val="18"/>
        <w:keepNext w:val="0"/>
        <w:keepLines w:val="0"/>
        <w:pageBreakBefore w:val="0"/>
        <w:widowControl/>
        <w:numPr>
          <w:ilvl w:val="0"/>
          <w:numId w:val="4"/>
        </w:numPr>
        <w:kinsoku/>
        <w:wordWrap/>
        <w:overflowPunct/>
        <w:topLinePunct w:val="0"/>
        <w:autoSpaceDE/>
        <w:autoSpaceDN/>
        <w:bidi w:val="0"/>
        <w:adjustRightInd w:val="0"/>
        <w:snapToGrid w:val="0"/>
        <w:ind w:left="0" w:leftChars="0" w:firstLine="425" w:firstLineChars="0"/>
        <w:textAlignment w:val="auto"/>
        <w:rPr>
          <w:rFonts w:ascii="Times New Roman" w:hAnsi="Times New Roman" w:eastAsia="宋体"/>
        </w:rPr>
      </w:pPr>
      <w:r>
        <w:rPr>
          <w:rFonts w:ascii="Times New Roman" w:hAnsi="Times New Roman" w:eastAsia="宋体"/>
        </w:rPr>
        <w:t>在今后的开采过程中，矿山应加强管理，严格按照设计要求控制边坡参数，禁止超挖、掏采；禁止超设计规定的范围开采</w:t>
      </w:r>
      <w:r>
        <w:rPr>
          <w:rFonts w:hint="eastAsia" w:ascii="Times New Roman" w:hAnsi="Times New Roman" w:eastAsia="宋体"/>
          <w:lang w:eastAsia="zh-CN"/>
        </w:rPr>
        <w:t>。</w:t>
      </w:r>
    </w:p>
    <w:p w14:paraId="682FB9DC">
      <w:pPr>
        <w:pStyle w:val="18"/>
        <w:keepNext w:val="0"/>
        <w:keepLines w:val="0"/>
        <w:pageBreakBefore w:val="0"/>
        <w:widowControl/>
        <w:numPr>
          <w:ilvl w:val="0"/>
          <w:numId w:val="4"/>
        </w:numPr>
        <w:kinsoku/>
        <w:wordWrap/>
        <w:overflowPunct/>
        <w:topLinePunct w:val="0"/>
        <w:autoSpaceDE/>
        <w:autoSpaceDN/>
        <w:bidi w:val="0"/>
        <w:adjustRightInd w:val="0"/>
        <w:snapToGrid w:val="0"/>
        <w:ind w:left="0" w:leftChars="0" w:firstLine="425" w:firstLineChars="0"/>
        <w:textAlignment w:val="auto"/>
        <w:rPr>
          <w:rFonts w:ascii="Times New Roman" w:hAnsi="Times New Roman" w:eastAsia="宋体"/>
        </w:rPr>
      </w:pPr>
      <w:r>
        <w:rPr>
          <w:rFonts w:hint="eastAsia"/>
          <w:lang w:val="en-US" w:eastAsia="zh-CN"/>
        </w:rPr>
        <w:t>矿山应定期维护专用安全设施。</w:t>
      </w:r>
    </w:p>
    <w:p w14:paraId="74667060">
      <w:pPr>
        <w:pStyle w:val="18"/>
        <w:keepNext w:val="0"/>
        <w:keepLines w:val="0"/>
        <w:pageBreakBefore w:val="0"/>
        <w:widowControl/>
        <w:numPr>
          <w:ilvl w:val="0"/>
          <w:numId w:val="4"/>
        </w:numPr>
        <w:kinsoku/>
        <w:wordWrap/>
        <w:overflowPunct/>
        <w:topLinePunct w:val="0"/>
        <w:autoSpaceDE/>
        <w:autoSpaceDN/>
        <w:bidi w:val="0"/>
        <w:adjustRightInd w:val="0"/>
        <w:snapToGrid w:val="0"/>
        <w:ind w:left="0" w:leftChars="0" w:firstLine="425" w:firstLineChars="0"/>
        <w:textAlignment w:val="auto"/>
        <w:rPr>
          <w:rFonts w:ascii="Times New Roman" w:hAnsi="Times New Roman" w:eastAsia="宋体"/>
        </w:rPr>
      </w:pPr>
      <w:r>
        <w:rPr>
          <w:rFonts w:hint="eastAsia" w:ascii="Times New Roman" w:hAnsi="Times New Roman" w:eastAsia="宋体"/>
        </w:rPr>
        <w:t>矿山临近厂房区域爆破时，应采用控制爆破，减少装药量，采用逐孔起爆技术，降低爆破对周边设施的影响，且每次爆破时都要进行单独设计，经审批后再实施爆破</w:t>
      </w:r>
      <w:r>
        <w:rPr>
          <w:rFonts w:hint="eastAsia"/>
          <w:lang w:eastAsia="zh-CN"/>
        </w:rPr>
        <w:t>，</w:t>
      </w:r>
      <w:r>
        <w:rPr>
          <w:rFonts w:hint="eastAsia"/>
          <w:lang w:val="en-US" w:eastAsia="zh-CN"/>
        </w:rPr>
        <w:t>确保</w:t>
      </w:r>
      <w:r>
        <w:rPr>
          <w:rFonts w:hint="eastAsia" w:ascii="Times New Roman" w:hAnsi="Times New Roman" w:eastAsia="宋体"/>
        </w:rPr>
        <w:t>证周边厂房安全。</w:t>
      </w:r>
    </w:p>
    <w:p w14:paraId="6881290E">
      <w:pPr>
        <w:pStyle w:val="18"/>
        <w:keepNext w:val="0"/>
        <w:keepLines w:val="0"/>
        <w:pageBreakBefore w:val="0"/>
        <w:widowControl/>
        <w:numPr>
          <w:ilvl w:val="0"/>
          <w:numId w:val="4"/>
        </w:numPr>
        <w:kinsoku/>
        <w:wordWrap/>
        <w:overflowPunct/>
        <w:topLinePunct w:val="0"/>
        <w:autoSpaceDE/>
        <w:autoSpaceDN/>
        <w:bidi w:val="0"/>
        <w:adjustRightInd w:val="0"/>
        <w:snapToGrid w:val="0"/>
        <w:ind w:left="0" w:leftChars="0" w:firstLine="425" w:firstLineChars="0"/>
        <w:textAlignment w:val="auto"/>
        <w:rPr>
          <w:rFonts w:ascii="Times New Roman" w:hAnsi="Times New Roman" w:eastAsia="宋体"/>
        </w:rPr>
      </w:pPr>
      <w:r>
        <w:rPr>
          <w:rFonts w:hint="eastAsia"/>
          <w:lang w:val="en-US" w:eastAsia="zh-CN"/>
        </w:rPr>
        <w:t>对于严重受矿山生产活动影响厂房，必须按设计如期进行搬迁或拆除。</w:t>
      </w:r>
    </w:p>
    <w:p w14:paraId="0BC40802">
      <w:pPr>
        <w:pStyle w:val="18"/>
        <w:keepNext w:val="0"/>
        <w:keepLines w:val="0"/>
        <w:pageBreakBefore w:val="0"/>
        <w:widowControl/>
        <w:numPr>
          <w:ilvl w:val="0"/>
          <w:numId w:val="4"/>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rPr>
      </w:pPr>
      <w:r>
        <w:rPr>
          <w:rFonts w:ascii="Times New Roman" w:hAnsi="Times New Roman" w:eastAsia="宋体"/>
        </w:rPr>
        <w:t>矿山应加强对露天采场边坡监测与检查，在边坡危险区域设置相应的安全警示标志；</w:t>
      </w:r>
      <w:r>
        <w:rPr>
          <w:rFonts w:hint="eastAsia" w:ascii="Times New Roman" w:hAnsi="Times New Roman" w:eastAsia="宋体"/>
        </w:rPr>
        <w:t>建立健全边坡安全管理和检查制度</w:t>
      </w:r>
      <w:r>
        <w:rPr>
          <w:rFonts w:hint="eastAsia" w:ascii="Times New Roman" w:hAnsi="Times New Roman" w:eastAsia="宋体"/>
          <w:lang w:eastAsia="zh-CN"/>
        </w:rPr>
        <w:t>；</w:t>
      </w:r>
      <w:r>
        <w:rPr>
          <w:rFonts w:hint="eastAsia" w:ascii="Times New Roman" w:hAnsi="Times New Roman" w:eastAsia="宋体"/>
        </w:rPr>
        <w:t>每</w:t>
      </w:r>
      <w:r>
        <w:rPr>
          <w:rFonts w:hint="eastAsia" w:ascii="Times New Roman" w:hAnsi="Times New Roman" w:eastAsia="宋体"/>
          <w:lang w:val="en-US" w:eastAsia="zh-CN"/>
        </w:rPr>
        <w:t>1</w:t>
      </w:r>
      <w:r>
        <w:rPr>
          <w:rFonts w:hint="eastAsia" w:ascii="Times New Roman" w:hAnsi="Times New Roman" w:eastAsia="宋体"/>
        </w:rPr>
        <w:t>年至少进行1次边坡稳定性分析</w:t>
      </w:r>
      <w:r>
        <w:rPr>
          <w:rFonts w:hint="eastAsia" w:ascii="Times New Roman" w:hAnsi="Times New Roman" w:eastAsia="宋体"/>
          <w:lang w:eastAsia="zh-CN"/>
        </w:rPr>
        <w:t>；待边坡高度达到</w:t>
      </w:r>
      <w:r>
        <w:rPr>
          <w:rFonts w:hint="eastAsia" w:ascii="Times New Roman" w:hAnsi="Times New Roman" w:eastAsia="宋体"/>
          <w:lang w:val="en-US" w:eastAsia="zh-CN"/>
        </w:rPr>
        <w:t>150m以上时，及时设置边坡在线监测设施</w:t>
      </w:r>
      <w:r>
        <w:rPr>
          <w:rFonts w:hint="eastAsia" w:ascii="Times New Roman" w:hAnsi="Times New Roman" w:eastAsia="宋体"/>
        </w:rPr>
        <w:t>。</w:t>
      </w:r>
    </w:p>
    <w:p w14:paraId="267AFD2D">
      <w:pPr>
        <w:pStyle w:val="18"/>
        <w:keepNext w:val="0"/>
        <w:keepLines w:val="0"/>
        <w:pageBreakBefore w:val="0"/>
        <w:widowControl/>
        <w:numPr>
          <w:ilvl w:val="0"/>
          <w:numId w:val="4"/>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rPr>
      </w:pPr>
      <w:r>
        <w:rPr>
          <w:rFonts w:hint="eastAsia" w:ascii="Times New Roman" w:hAnsi="Times New Roman" w:eastAsia="宋体"/>
          <w:lang w:eastAsia="zh-CN"/>
        </w:rPr>
        <w:t>矿山要定期检查运输道路，及时清理边坡浮石，保证运输道路的安全。</w:t>
      </w:r>
    </w:p>
    <w:p w14:paraId="72E51857">
      <w:pPr>
        <w:pStyle w:val="18"/>
        <w:keepNext w:val="0"/>
        <w:keepLines w:val="0"/>
        <w:pageBreakBefore w:val="0"/>
        <w:widowControl/>
        <w:numPr>
          <w:ilvl w:val="0"/>
          <w:numId w:val="4"/>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rPr>
      </w:pPr>
      <w:r>
        <w:rPr>
          <w:rFonts w:hint="eastAsia" w:ascii="Times New Roman" w:hAnsi="Times New Roman" w:eastAsia="宋体"/>
          <w:lang w:eastAsia="zh-CN"/>
        </w:rPr>
        <w:t>矿山要注意凹陷处的排水工作，修缮</w:t>
      </w:r>
      <w:r>
        <w:rPr>
          <w:rFonts w:hint="eastAsia" w:ascii="Times New Roman" w:hAnsi="Times New Roman" w:eastAsia="宋体"/>
          <w:lang w:val="en-US" w:eastAsia="zh-CN"/>
        </w:rPr>
        <w:t>采场</w:t>
      </w:r>
      <w:r>
        <w:rPr>
          <w:rFonts w:hint="eastAsia" w:ascii="Times New Roman" w:hAnsi="Times New Roman" w:eastAsia="宋体"/>
          <w:lang w:eastAsia="zh-CN"/>
        </w:rPr>
        <w:t>内的排水沟，将积水导流至</w:t>
      </w:r>
      <w:r>
        <w:rPr>
          <w:rFonts w:hint="eastAsia" w:ascii="Times New Roman" w:hAnsi="Times New Roman" w:eastAsia="宋体"/>
          <w:lang w:val="en-US" w:eastAsia="zh-CN"/>
        </w:rPr>
        <w:t>坑底集水池，然后由水泵集中进行排水</w:t>
      </w:r>
      <w:r>
        <w:rPr>
          <w:rFonts w:hint="eastAsia" w:ascii="Times New Roman" w:hAnsi="Times New Roman" w:eastAsia="宋体"/>
          <w:lang w:eastAsia="zh-CN"/>
        </w:rPr>
        <w:t>。</w:t>
      </w:r>
    </w:p>
    <w:p w14:paraId="462CA631">
      <w:pPr>
        <w:pStyle w:val="18"/>
        <w:keepNext w:val="0"/>
        <w:keepLines w:val="0"/>
        <w:pageBreakBefore w:val="0"/>
        <w:widowControl/>
        <w:numPr>
          <w:ilvl w:val="0"/>
          <w:numId w:val="4"/>
        </w:numPr>
        <w:kinsoku/>
        <w:wordWrap/>
        <w:overflowPunct/>
        <w:topLinePunct w:val="0"/>
        <w:autoSpaceDE/>
        <w:autoSpaceDN/>
        <w:bidi w:val="0"/>
        <w:adjustRightInd w:val="0"/>
        <w:snapToGrid w:val="0"/>
        <w:ind w:left="0" w:leftChars="0" w:firstLine="425" w:firstLineChars="0"/>
        <w:textAlignment w:val="auto"/>
        <w:rPr>
          <w:rFonts w:ascii="Times New Roman" w:hAnsi="Times New Roman" w:eastAsia="宋体"/>
        </w:rPr>
      </w:pPr>
      <w:r>
        <w:rPr>
          <w:rFonts w:ascii="Times New Roman" w:hAnsi="Times New Roman" w:eastAsia="宋体"/>
        </w:rPr>
        <w:t>结合国家最新法律法规文件要求，有序开展提高</w:t>
      </w:r>
      <w:r>
        <w:rPr>
          <w:rFonts w:hint="eastAsia" w:ascii="Times New Roman" w:hAnsi="Times New Roman" w:eastAsia="宋体"/>
          <w:lang w:eastAsia="zh-CN"/>
        </w:rPr>
        <w:t>负责人、</w:t>
      </w:r>
      <w:r>
        <w:rPr>
          <w:rFonts w:ascii="Times New Roman" w:hAnsi="Times New Roman" w:eastAsia="宋体"/>
        </w:rPr>
        <w:t>安全管理人员</w:t>
      </w:r>
      <w:r>
        <w:rPr>
          <w:rFonts w:hint="eastAsia" w:ascii="Times New Roman" w:hAnsi="Times New Roman" w:eastAsia="宋体"/>
          <w:lang w:eastAsia="zh-CN"/>
        </w:rPr>
        <w:t>和</w:t>
      </w:r>
      <w:r>
        <w:rPr>
          <w:rFonts w:ascii="Times New Roman" w:hAnsi="Times New Roman" w:eastAsia="宋体"/>
        </w:rPr>
        <w:t>工作人员</w:t>
      </w:r>
      <w:r>
        <w:rPr>
          <w:rFonts w:hint="eastAsia" w:ascii="Times New Roman" w:hAnsi="Times New Roman" w:eastAsia="宋体"/>
          <w:lang w:eastAsia="zh-CN"/>
        </w:rPr>
        <w:t>的</w:t>
      </w:r>
      <w:r>
        <w:rPr>
          <w:rFonts w:ascii="Times New Roman" w:hAnsi="Times New Roman" w:eastAsia="宋体"/>
        </w:rPr>
        <w:t>学历、技能、职称等工作。</w:t>
      </w:r>
    </w:p>
    <w:p w14:paraId="2AC8F7CA">
      <w:pPr>
        <w:pStyle w:val="18"/>
        <w:keepNext w:val="0"/>
        <w:keepLines w:val="0"/>
        <w:pageBreakBefore w:val="0"/>
        <w:widowControl/>
        <w:numPr>
          <w:ilvl w:val="0"/>
          <w:numId w:val="4"/>
        </w:numPr>
        <w:kinsoku/>
        <w:wordWrap/>
        <w:overflowPunct/>
        <w:topLinePunct w:val="0"/>
        <w:autoSpaceDE/>
        <w:autoSpaceDN/>
        <w:bidi w:val="0"/>
        <w:adjustRightInd w:val="0"/>
        <w:snapToGrid w:val="0"/>
        <w:ind w:left="0" w:leftChars="0" w:firstLine="425" w:firstLineChars="0"/>
        <w:textAlignment w:val="auto"/>
        <w:rPr>
          <w:rFonts w:ascii="Times New Roman" w:hAnsi="Times New Roman" w:eastAsia="宋体"/>
        </w:rPr>
      </w:pPr>
      <w:r>
        <w:rPr>
          <w:rFonts w:ascii="Times New Roman" w:hAnsi="Times New Roman" w:eastAsia="宋体"/>
        </w:rPr>
        <w:t>定期组织全体从业人员学习培训安全知识和技能，熟悉有关安全生产规章制度和安全操作规程，掌握本岗位的安全操作技能，提高职工安全生产与危险防范的能力</w:t>
      </w:r>
      <w:r>
        <w:rPr>
          <w:rFonts w:hint="eastAsia" w:ascii="Times New Roman" w:hAnsi="Times New Roman" w:eastAsia="宋体"/>
          <w:lang w:eastAsia="zh-CN"/>
        </w:rPr>
        <w:t>。</w:t>
      </w:r>
    </w:p>
    <w:p w14:paraId="0D6CD51C">
      <w:pPr>
        <w:pStyle w:val="18"/>
        <w:keepNext w:val="0"/>
        <w:keepLines w:val="0"/>
        <w:pageBreakBefore w:val="0"/>
        <w:widowControl/>
        <w:numPr>
          <w:ilvl w:val="0"/>
          <w:numId w:val="4"/>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rPr>
      </w:pPr>
      <w:r>
        <w:rPr>
          <w:rFonts w:hint="eastAsia" w:ascii="Times New Roman" w:hAnsi="Times New Roman" w:eastAsia="宋体"/>
          <w:lang w:eastAsia="zh-CN"/>
        </w:rPr>
        <w:t>矿山严格按照设计进行开采，对于接近最终边坡位置时，要进行控制爆破，严格落实安全对策措施。</w:t>
      </w:r>
    </w:p>
    <w:p w14:paraId="08EA270A">
      <w:pPr>
        <w:pStyle w:val="23"/>
        <w:bidi w:val="0"/>
        <w:ind w:left="0" w:leftChars="0" w:firstLine="0" w:firstLineChars="0"/>
        <w:rPr>
          <w:rFonts w:hint="default"/>
          <w:lang w:val="en-US" w:eastAsia="zh-CN"/>
        </w:rPr>
      </w:pPr>
      <w:bookmarkStart w:id="319" w:name="_Toc14421"/>
      <w:r>
        <w:rPr>
          <w:rFonts w:hint="eastAsia"/>
          <w:lang w:val="en-US" w:eastAsia="zh-CN"/>
        </w:rPr>
        <w:t>评价结论</w:t>
      </w:r>
      <w:bookmarkEnd w:id="319"/>
    </w:p>
    <w:p w14:paraId="67A27560">
      <w:pPr>
        <w:pStyle w:val="24"/>
        <w:bidi w:val="0"/>
        <w:ind w:left="0" w:leftChars="0" w:firstLine="0" w:firstLineChars="0"/>
        <w:rPr>
          <w:rFonts w:hint="default"/>
          <w:lang w:val="en-US" w:eastAsia="zh-CN"/>
        </w:rPr>
      </w:pPr>
      <w:bookmarkStart w:id="320" w:name="_Toc7661"/>
      <w:r>
        <w:rPr>
          <w:rFonts w:hint="default"/>
          <w:lang w:val="en-US" w:eastAsia="zh-CN"/>
        </w:rPr>
        <w:t>安全设施验收评价综述</w:t>
      </w:r>
      <w:bookmarkEnd w:id="320"/>
    </w:p>
    <w:p w14:paraId="065083DD">
      <w:pPr>
        <w:pStyle w:val="18"/>
        <w:bidi w:val="0"/>
        <w:rPr>
          <w:rFonts w:hint="default"/>
          <w:lang w:val="en-US" w:eastAsia="zh-CN"/>
        </w:rPr>
      </w:pPr>
      <w:r>
        <w:rPr>
          <w:rFonts w:hint="default"/>
          <w:lang w:val="en-US" w:eastAsia="zh-CN"/>
        </w:rPr>
        <w:t>依据国家相关法律、法规、规程和《安全设施设计》内容，对海城市荣富耐火材料有限公司镁矿（菱镁石、滑石）露天矿山建设项目的各个评价单元进行了直接、全面的符合性检查、评价，本次安全设施验收评价认定，其安全生产管理能够满足安全生产需要，该项目安全设施设计确定的设计方案合理，建设单位已按照安全设施设计设置了相应的安全设施，能够保证该项目的安全生产。</w:t>
      </w:r>
    </w:p>
    <w:p w14:paraId="407C93B6">
      <w:pPr>
        <w:pStyle w:val="24"/>
        <w:bidi w:val="0"/>
        <w:ind w:left="0" w:leftChars="0" w:firstLine="0" w:firstLineChars="0"/>
      </w:pPr>
      <w:bookmarkStart w:id="321" w:name="_Toc122801688"/>
      <w:bookmarkStart w:id="322" w:name="_Toc278205657"/>
      <w:bookmarkStart w:id="323" w:name="_Toc1617"/>
      <w:bookmarkStart w:id="324" w:name="_Toc122694520"/>
      <w:bookmarkStart w:id="325" w:name="_Toc216336894"/>
      <w:bookmarkStart w:id="326" w:name="_Toc2637"/>
      <w:bookmarkStart w:id="327" w:name="_Toc1495"/>
      <w:bookmarkStart w:id="328" w:name="_Toc177270410"/>
      <w:bookmarkStart w:id="329" w:name="_Toc22925"/>
      <w:bookmarkStart w:id="330" w:name="_Toc186616579"/>
      <w:bookmarkStart w:id="331" w:name="_Toc160176682"/>
      <w:r>
        <w:t>各评价单元评价结果</w:t>
      </w:r>
      <w:bookmarkEnd w:id="321"/>
      <w:bookmarkEnd w:id="322"/>
      <w:bookmarkEnd w:id="323"/>
      <w:bookmarkEnd w:id="324"/>
      <w:bookmarkEnd w:id="325"/>
      <w:bookmarkEnd w:id="326"/>
      <w:bookmarkEnd w:id="327"/>
      <w:bookmarkEnd w:id="328"/>
      <w:bookmarkEnd w:id="329"/>
      <w:bookmarkEnd w:id="330"/>
      <w:bookmarkEnd w:id="331"/>
    </w:p>
    <w:p w14:paraId="50518F71">
      <w:pPr>
        <w:pStyle w:val="25"/>
        <w:bidi w:val="0"/>
        <w:ind w:left="720" w:leftChars="0" w:hanging="720" w:firstLineChars="0"/>
        <w:rPr>
          <w:rFonts w:hint="eastAsia"/>
        </w:rPr>
      </w:pPr>
      <w:r>
        <w:rPr>
          <w:rFonts w:hint="eastAsia"/>
        </w:rPr>
        <w:t>安全设施</w:t>
      </w:r>
      <w:r>
        <w:rPr>
          <w:rFonts w:hint="eastAsia"/>
          <w:lang w:eastAsia="zh-CN"/>
        </w:rPr>
        <w:t>“</w:t>
      </w:r>
      <w:r>
        <w:rPr>
          <w:rFonts w:hint="eastAsia"/>
        </w:rPr>
        <w:t>三同时</w:t>
      </w:r>
      <w:r>
        <w:rPr>
          <w:rFonts w:hint="eastAsia"/>
          <w:lang w:eastAsia="zh-CN"/>
        </w:rPr>
        <w:t>”</w:t>
      </w:r>
      <w:r>
        <w:rPr>
          <w:rFonts w:hint="eastAsia"/>
        </w:rPr>
        <w:t>程序单元</w:t>
      </w:r>
    </w:p>
    <w:p w14:paraId="0A9E32DF">
      <w:pPr>
        <w:pStyle w:val="18"/>
        <w:bidi w:val="0"/>
        <w:rPr>
          <w:b w:val="0"/>
          <w:bCs w:val="0"/>
        </w:rPr>
      </w:pPr>
      <w:r>
        <w:rPr>
          <w:b w:val="0"/>
          <w:bCs w:val="0"/>
        </w:rPr>
        <w:t>通过</w:t>
      </w:r>
      <w:r>
        <w:rPr>
          <w:rFonts w:hint="eastAsia"/>
          <w:b w:val="0"/>
          <w:bCs w:val="0"/>
          <w:lang w:val="en-US" w:eastAsia="zh-CN"/>
        </w:rPr>
        <w:t>使用</w:t>
      </w:r>
      <w:r>
        <w:rPr>
          <w:b w:val="0"/>
          <w:bCs w:val="0"/>
        </w:rPr>
        <w:t>安全检查表</w:t>
      </w:r>
      <w:r>
        <w:rPr>
          <w:rFonts w:hint="eastAsia"/>
          <w:b w:val="0"/>
          <w:bCs w:val="0"/>
          <w:lang w:eastAsia="zh-CN"/>
        </w:rPr>
        <w:t>，</w:t>
      </w:r>
      <w:r>
        <w:rPr>
          <w:b w:val="0"/>
          <w:bCs w:val="0"/>
        </w:rPr>
        <w:t>对</w:t>
      </w:r>
      <w:r>
        <w:rPr>
          <w:rFonts w:hint="eastAsia"/>
          <w:b w:val="0"/>
          <w:bCs w:val="0"/>
          <w:lang w:eastAsia="zh-CN"/>
        </w:rPr>
        <w:t>荣富耐火菱镁、滑石矿</w:t>
      </w:r>
      <w:r>
        <w:rPr>
          <w:b w:val="0"/>
          <w:bCs w:val="0"/>
        </w:rPr>
        <w:t>的建设程序符合性</w:t>
      </w:r>
      <w:r>
        <w:rPr>
          <w:rFonts w:hint="eastAsia"/>
          <w:b w:val="0"/>
          <w:bCs w:val="0"/>
          <w:lang w:eastAsia="zh-CN"/>
        </w:rPr>
        <w:t>，</w:t>
      </w:r>
      <w:r>
        <w:rPr>
          <w:b w:val="0"/>
          <w:bCs w:val="0"/>
        </w:rPr>
        <w:t>进行</w:t>
      </w:r>
      <w:r>
        <w:rPr>
          <w:rFonts w:hint="eastAsia"/>
          <w:b w:val="0"/>
          <w:bCs w:val="0"/>
          <w:lang w:val="en-US" w:eastAsia="zh-CN"/>
        </w:rPr>
        <w:t>了8</w:t>
      </w:r>
      <w:r>
        <w:rPr>
          <w:b w:val="0"/>
          <w:bCs w:val="0"/>
        </w:rPr>
        <w:t>项检查，</w:t>
      </w:r>
      <w:r>
        <w:rPr>
          <w:rFonts w:hint="eastAsia"/>
          <w:b w:val="0"/>
          <w:bCs w:val="0"/>
          <w:lang w:val="en-US" w:eastAsia="zh-CN"/>
        </w:rPr>
        <w:t>8项被检查内容全部符合</w:t>
      </w:r>
      <w:r>
        <w:rPr>
          <w:b w:val="0"/>
          <w:bCs w:val="0"/>
        </w:rPr>
        <w:t>国家有关法律、法规、标准、</w:t>
      </w:r>
      <w:r>
        <w:rPr>
          <w:rFonts w:hint="eastAsia"/>
          <w:b w:val="0"/>
          <w:bCs w:val="0"/>
          <w:lang w:eastAsia="zh-CN"/>
        </w:rPr>
        <w:t>规范和设计</w:t>
      </w:r>
      <w:r>
        <w:rPr>
          <w:b w:val="0"/>
          <w:bCs w:val="0"/>
        </w:rPr>
        <w:t>要求</w:t>
      </w:r>
      <w:r>
        <w:rPr>
          <w:rFonts w:hint="eastAsia"/>
          <w:b w:val="0"/>
          <w:bCs w:val="0"/>
          <w:lang w:eastAsia="zh-CN"/>
        </w:rPr>
        <w:t>。</w:t>
      </w:r>
      <w:r>
        <w:rPr>
          <w:b w:val="0"/>
          <w:bCs w:val="0"/>
        </w:rPr>
        <w:t>检查结果表明，该</w:t>
      </w:r>
      <w:r>
        <w:rPr>
          <w:rFonts w:hint="eastAsia"/>
          <w:b w:val="0"/>
          <w:bCs w:val="0"/>
          <w:lang w:eastAsia="zh-CN"/>
        </w:rPr>
        <w:t>矿山建设项目</w:t>
      </w:r>
      <w:r>
        <w:rPr>
          <w:rFonts w:hint="eastAsia"/>
          <w:b w:val="0"/>
          <w:bCs w:val="0"/>
          <w:lang w:val="en-US" w:eastAsia="zh-CN"/>
        </w:rPr>
        <w:t>安全设施“三同时”程序单元，符合安全生产要求</w:t>
      </w:r>
      <w:r>
        <w:rPr>
          <w:b w:val="0"/>
          <w:bCs w:val="0"/>
        </w:rPr>
        <w:t>。</w:t>
      </w:r>
    </w:p>
    <w:p w14:paraId="19E5965E">
      <w:pPr>
        <w:pStyle w:val="25"/>
        <w:bidi w:val="0"/>
        <w:ind w:left="720" w:leftChars="0" w:hanging="720" w:firstLineChars="0"/>
        <w:rPr>
          <w:rFonts w:hint="eastAsia"/>
        </w:rPr>
      </w:pPr>
      <w:r>
        <w:rPr>
          <w:rFonts w:hint="eastAsia"/>
        </w:rPr>
        <w:t>露天采场单元</w:t>
      </w:r>
    </w:p>
    <w:p w14:paraId="11743C56">
      <w:pPr>
        <w:pStyle w:val="18"/>
        <w:bidi w:val="0"/>
        <w:rPr>
          <w:b w:val="0"/>
          <w:bCs w:val="0"/>
        </w:rPr>
      </w:pPr>
      <w:r>
        <w:rPr>
          <w:b w:val="0"/>
          <w:bCs w:val="0"/>
        </w:rPr>
        <w:t>通过</w:t>
      </w:r>
      <w:r>
        <w:rPr>
          <w:rFonts w:hint="eastAsia"/>
          <w:b w:val="0"/>
          <w:bCs w:val="0"/>
          <w:lang w:val="en-US" w:eastAsia="zh-CN"/>
        </w:rPr>
        <w:t>使</w:t>
      </w:r>
      <w:r>
        <w:rPr>
          <w:b w:val="0"/>
          <w:bCs w:val="0"/>
        </w:rPr>
        <w:t>用安全检查表</w:t>
      </w:r>
      <w:r>
        <w:rPr>
          <w:rFonts w:hint="eastAsia"/>
          <w:b w:val="0"/>
          <w:bCs w:val="0"/>
          <w:lang w:eastAsia="zh-CN"/>
        </w:rPr>
        <w:t>，</w:t>
      </w:r>
      <w:r>
        <w:rPr>
          <w:b w:val="0"/>
          <w:bCs w:val="0"/>
        </w:rPr>
        <w:t>对</w:t>
      </w:r>
      <w:r>
        <w:rPr>
          <w:rFonts w:hint="eastAsia"/>
          <w:b w:val="0"/>
          <w:bCs w:val="0"/>
          <w:lang w:eastAsia="zh-CN"/>
        </w:rPr>
        <w:t>荣富耐火菱镁、滑石矿</w:t>
      </w:r>
      <w:r>
        <w:rPr>
          <w:b w:val="0"/>
          <w:bCs w:val="0"/>
        </w:rPr>
        <w:t>的露天采场单元进行</w:t>
      </w:r>
      <w:r>
        <w:rPr>
          <w:rFonts w:hint="eastAsia"/>
          <w:b w:val="0"/>
          <w:bCs w:val="0"/>
          <w:lang w:val="en-US" w:eastAsia="zh-CN"/>
        </w:rPr>
        <w:t>了</w:t>
      </w:r>
      <w:r>
        <w:rPr>
          <w:rFonts w:hint="eastAsia"/>
          <w:b w:val="0"/>
          <w:bCs w:val="0"/>
        </w:rPr>
        <w:t>2</w:t>
      </w:r>
      <w:r>
        <w:rPr>
          <w:rFonts w:hint="eastAsia"/>
          <w:b w:val="0"/>
          <w:bCs w:val="0"/>
          <w:lang w:val="en-US" w:eastAsia="zh-CN"/>
        </w:rPr>
        <w:t>4</w:t>
      </w:r>
      <w:r>
        <w:rPr>
          <w:b w:val="0"/>
          <w:bCs w:val="0"/>
        </w:rPr>
        <w:t>项检查，</w:t>
      </w:r>
      <w:r>
        <w:rPr>
          <w:rFonts w:hint="eastAsia"/>
          <w:b w:val="0"/>
          <w:bCs w:val="0"/>
          <w:lang w:val="en-US" w:eastAsia="zh-CN"/>
        </w:rPr>
        <w:t>24项被检查内容全部符合</w:t>
      </w:r>
      <w:r>
        <w:rPr>
          <w:b w:val="0"/>
          <w:bCs w:val="0"/>
        </w:rPr>
        <w:t>国家有关法律、法规、标准、</w:t>
      </w:r>
      <w:r>
        <w:rPr>
          <w:rFonts w:hint="eastAsia"/>
          <w:b w:val="0"/>
          <w:bCs w:val="0"/>
          <w:lang w:eastAsia="zh-CN"/>
        </w:rPr>
        <w:t>规范和设计</w:t>
      </w:r>
      <w:r>
        <w:rPr>
          <w:b w:val="0"/>
          <w:bCs w:val="0"/>
        </w:rPr>
        <w:t>要求</w:t>
      </w:r>
      <w:r>
        <w:rPr>
          <w:rFonts w:hint="eastAsia"/>
          <w:b w:val="0"/>
          <w:bCs w:val="0"/>
          <w:lang w:eastAsia="zh-CN"/>
        </w:rPr>
        <w:t>。</w:t>
      </w:r>
      <w:r>
        <w:rPr>
          <w:b w:val="0"/>
          <w:bCs w:val="0"/>
        </w:rPr>
        <w:t>检查结果表明，该矿山</w:t>
      </w:r>
      <w:r>
        <w:rPr>
          <w:rFonts w:hint="eastAsia"/>
          <w:b w:val="0"/>
          <w:bCs w:val="0"/>
          <w:lang w:val="en-US" w:eastAsia="zh-CN"/>
        </w:rPr>
        <w:t>露天采场单元，符合安全生产要求</w:t>
      </w:r>
      <w:r>
        <w:rPr>
          <w:b w:val="0"/>
          <w:bCs w:val="0"/>
        </w:rPr>
        <w:t>。</w:t>
      </w:r>
    </w:p>
    <w:p w14:paraId="7AEBB6C8">
      <w:pPr>
        <w:pStyle w:val="25"/>
        <w:bidi w:val="0"/>
        <w:ind w:left="720" w:leftChars="0" w:hanging="720" w:firstLineChars="0"/>
        <w:rPr>
          <w:rFonts w:hint="eastAsia"/>
        </w:rPr>
      </w:pPr>
      <w:r>
        <w:rPr>
          <w:rFonts w:hint="eastAsia"/>
        </w:rPr>
        <w:t>矿岩运输系统单元</w:t>
      </w:r>
    </w:p>
    <w:p w14:paraId="71097D60">
      <w:pPr>
        <w:pStyle w:val="18"/>
        <w:bidi w:val="0"/>
        <w:rPr>
          <w:b w:val="0"/>
          <w:bCs w:val="0"/>
        </w:rPr>
      </w:pPr>
      <w:r>
        <w:rPr>
          <w:b w:val="0"/>
          <w:bCs w:val="0"/>
        </w:rPr>
        <w:t>通过</w:t>
      </w:r>
      <w:r>
        <w:rPr>
          <w:rFonts w:hint="eastAsia"/>
          <w:b w:val="0"/>
          <w:bCs w:val="0"/>
          <w:lang w:val="en-US" w:eastAsia="zh-CN"/>
        </w:rPr>
        <w:t>使</w:t>
      </w:r>
      <w:r>
        <w:rPr>
          <w:b w:val="0"/>
          <w:bCs w:val="0"/>
        </w:rPr>
        <w:t>用安全检查表</w:t>
      </w:r>
      <w:r>
        <w:rPr>
          <w:rFonts w:hint="eastAsia"/>
          <w:b w:val="0"/>
          <w:bCs w:val="0"/>
          <w:lang w:eastAsia="zh-CN"/>
        </w:rPr>
        <w:t>，</w:t>
      </w:r>
      <w:r>
        <w:rPr>
          <w:b w:val="0"/>
          <w:bCs w:val="0"/>
        </w:rPr>
        <w:t>对</w:t>
      </w:r>
      <w:r>
        <w:rPr>
          <w:rFonts w:hint="eastAsia"/>
          <w:b w:val="0"/>
          <w:bCs w:val="0"/>
          <w:lang w:eastAsia="zh-CN"/>
        </w:rPr>
        <w:t>荣富耐火菱镁、滑石矿</w:t>
      </w:r>
      <w:r>
        <w:rPr>
          <w:b w:val="0"/>
          <w:bCs w:val="0"/>
        </w:rPr>
        <w:t>的</w:t>
      </w:r>
      <w:r>
        <w:rPr>
          <w:rFonts w:hint="eastAsia"/>
          <w:b w:val="0"/>
          <w:bCs w:val="0"/>
          <w:lang w:val="en-US" w:eastAsia="zh-CN"/>
        </w:rPr>
        <w:t>矿岩运输系统</w:t>
      </w:r>
      <w:r>
        <w:rPr>
          <w:b w:val="0"/>
          <w:bCs w:val="0"/>
        </w:rPr>
        <w:t>单元进行</w:t>
      </w:r>
      <w:r>
        <w:rPr>
          <w:rFonts w:hint="eastAsia"/>
          <w:b w:val="0"/>
          <w:bCs w:val="0"/>
          <w:lang w:val="en-US" w:eastAsia="zh-CN"/>
        </w:rPr>
        <w:t>了6</w:t>
      </w:r>
      <w:r>
        <w:rPr>
          <w:b w:val="0"/>
          <w:bCs w:val="0"/>
        </w:rPr>
        <w:t>项检查，</w:t>
      </w:r>
      <w:r>
        <w:rPr>
          <w:rFonts w:hint="eastAsia"/>
          <w:b w:val="0"/>
          <w:bCs w:val="0"/>
          <w:lang w:val="en-US" w:eastAsia="zh-CN"/>
        </w:rPr>
        <w:t>6项被检查内容全部符合</w:t>
      </w:r>
      <w:r>
        <w:rPr>
          <w:b w:val="0"/>
          <w:bCs w:val="0"/>
        </w:rPr>
        <w:t>国家有关法律、法规、标准、</w:t>
      </w:r>
      <w:r>
        <w:rPr>
          <w:rFonts w:hint="eastAsia"/>
          <w:b w:val="0"/>
          <w:bCs w:val="0"/>
          <w:lang w:eastAsia="zh-CN"/>
        </w:rPr>
        <w:t>规范和设计</w:t>
      </w:r>
      <w:r>
        <w:rPr>
          <w:b w:val="0"/>
          <w:bCs w:val="0"/>
        </w:rPr>
        <w:t>要求</w:t>
      </w:r>
      <w:r>
        <w:rPr>
          <w:rFonts w:hint="eastAsia"/>
          <w:b w:val="0"/>
          <w:bCs w:val="0"/>
          <w:lang w:eastAsia="zh-CN"/>
        </w:rPr>
        <w:t>。</w:t>
      </w:r>
      <w:r>
        <w:rPr>
          <w:b w:val="0"/>
          <w:bCs w:val="0"/>
        </w:rPr>
        <w:t>检查结果表明，该矿山</w:t>
      </w:r>
      <w:r>
        <w:rPr>
          <w:rFonts w:hint="eastAsia"/>
          <w:b w:val="0"/>
          <w:bCs w:val="0"/>
          <w:lang w:val="en-US" w:eastAsia="zh-CN"/>
        </w:rPr>
        <w:t>矿岩运输系统单元，符合安全生产要求</w:t>
      </w:r>
      <w:r>
        <w:rPr>
          <w:b w:val="0"/>
          <w:bCs w:val="0"/>
        </w:rPr>
        <w:t>。</w:t>
      </w:r>
    </w:p>
    <w:p w14:paraId="19C90AF3">
      <w:pPr>
        <w:pStyle w:val="25"/>
        <w:bidi w:val="0"/>
        <w:ind w:left="720" w:leftChars="0" w:hanging="720" w:firstLineChars="0"/>
        <w:rPr>
          <w:rFonts w:hint="eastAsia"/>
        </w:rPr>
      </w:pPr>
      <w:r>
        <w:rPr>
          <w:rFonts w:hint="eastAsia"/>
        </w:rPr>
        <w:t>采场防排水系统</w:t>
      </w:r>
    </w:p>
    <w:p w14:paraId="7B0BAB31">
      <w:pPr>
        <w:pStyle w:val="18"/>
        <w:bidi w:val="0"/>
        <w:rPr>
          <w:b w:val="0"/>
          <w:bCs w:val="0"/>
        </w:rPr>
      </w:pPr>
      <w:r>
        <w:rPr>
          <w:rFonts w:hint="eastAsia"/>
          <w:b w:val="0"/>
          <w:bCs w:val="0"/>
        </w:rPr>
        <w:t>通过用安全检查表对</w:t>
      </w:r>
      <w:r>
        <w:rPr>
          <w:rFonts w:hint="eastAsia"/>
          <w:b w:val="0"/>
          <w:bCs w:val="0"/>
          <w:lang w:eastAsia="zh-CN"/>
        </w:rPr>
        <w:t>荣富耐火菱镁、滑石矿</w:t>
      </w:r>
      <w:r>
        <w:rPr>
          <w:rFonts w:hint="eastAsia"/>
          <w:b w:val="0"/>
          <w:bCs w:val="0"/>
        </w:rPr>
        <w:t>采场防排水系统单元进行</w:t>
      </w:r>
      <w:r>
        <w:rPr>
          <w:b w:val="0"/>
          <w:bCs w:val="0"/>
        </w:rPr>
        <w:t>了</w:t>
      </w:r>
      <w:r>
        <w:rPr>
          <w:rFonts w:hint="eastAsia"/>
          <w:b w:val="0"/>
          <w:bCs w:val="0"/>
          <w:lang w:val="en-US" w:eastAsia="zh-CN"/>
        </w:rPr>
        <w:t>3项</w:t>
      </w:r>
      <w:r>
        <w:rPr>
          <w:rFonts w:hint="eastAsia"/>
          <w:b w:val="0"/>
          <w:bCs w:val="0"/>
        </w:rPr>
        <w:t>检查，</w:t>
      </w:r>
      <w:r>
        <w:rPr>
          <w:rFonts w:hint="eastAsia"/>
          <w:b w:val="0"/>
          <w:bCs w:val="0"/>
          <w:lang w:val="en-US" w:eastAsia="zh-CN"/>
        </w:rPr>
        <w:t>被检查的3项内容全部</w:t>
      </w:r>
      <w:r>
        <w:rPr>
          <w:b w:val="0"/>
          <w:bCs w:val="0"/>
        </w:rPr>
        <w:t>符合国家有关法律、法规、标准、规范</w:t>
      </w:r>
      <w:r>
        <w:rPr>
          <w:rFonts w:hint="eastAsia"/>
          <w:b w:val="0"/>
          <w:bCs w:val="0"/>
          <w:lang w:val="en-US" w:eastAsia="zh-CN"/>
        </w:rPr>
        <w:t>和</w:t>
      </w:r>
      <w:r>
        <w:rPr>
          <w:b w:val="0"/>
          <w:bCs w:val="0"/>
        </w:rPr>
        <w:t>设计要求</w:t>
      </w:r>
      <w:r>
        <w:rPr>
          <w:rFonts w:hint="eastAsia"/>
          <w:b w:val="0"/>
          <w:bCs w:val="0"/>
          <w:lang w:eastAsia="zh-CN"/>
        </w:rPr>
        <w:t>。</w:t>
      </w:r>
      <w:r>
        <w:rPr>
          <w:rFonts w:hint="eastAsia"/>
          <w:b w:val="0"/>
          <w:bCs w:val="0"/>
        </w:rPr>
        <w:t>检查结果表明，该矿山防排水系统单元符合设计要求，满足安全生产条件。</w:t>
      </w:r>
    </w:p>
    <w:p w14:paraId="3BCDE76A">
      <w:pPr>
        <w:pStyle w:val="25"/>
        <w:bidi w:val="0"/>
        <w:ind w:left="720" w:leftChars="0" w:hanging="720" w:firstLineChars="0"/>
        <w:rPr>
          <w:rFonts w:hint="eastAsia"/>
        </w:rPr>
      </w:pPr>
      <w:r>
        <w:rPr>
          <w:rFonts w:hint="eastAsia"/>
        </w:rPr>
        <w:t>供配电与通信单元</w:t>
      </w:r>
    </w:p>
    <w:p w14:paraId="3E34B2EB">
      <w:pPr>
        <w:pStyle w:val="18"/>
        <w:bidi w:val="0"/>
        <w:rPr>
          <w:b w:val="0"/>
          <w:bCs w:val="0"/>
        </w:rPr>
      </w:pPr>
      <w:r>
        <w:rPr>
          <w:b w:val="0"/>
          <w:bCs w:val="0"/>
        </w:rPr>
        <w:t>通过</w:t>
      </w:r>
      <w:r>
        <w:rPr>
          <w:rFonts w:hint="eastAsia"/>
          <w:b w:val="0"/>
          <w:bCs w:val="0"/>
          <w:lang w:val="en-US" w:eastAsia="zh-CN"/>
        </w:rPr>
        <w:t>使用</w:t>
      </w:r>
      <w:r>
        <w:rPr>
          <w:b w:val="0"/>
          <w:bCs w:val="0"/>
        </w:rPr>
        <w:t>安全检查表</w:t>
      </w:r>
      <w:r>
        <w:rPr>
          <w:rFonts w:hint="eastAsia"/>
          <w:b w:val="0"/>
          <w:bCs w:val="0"/>
          <w:lang w:eastAsia="zh-CN"/>
        </w:rPr>
        <w:t>，</w:t>
      </w:r>
      <w:r>
        <w:rPr>
          <w:b w:val="0"/>
          <w:bCs w:val="0"/>
        </w:rPr>
        <w:t>对</w:t>
      </w:r>
      <w:r>
        <w:rPr>
          <w:rFonts w:hint="eastAsia"/>
          <w:b w:val="0"/>
          <w:bCs w:val="0"/>
          <w:lang w:eastAsia="zh-CN"/>
        </w:rPr>
        <w:t>荣富耐火菱镁、滑石矿</w:t>
      </w:r>
      <w:r>
        <w:rPr>
          <w:b w:val="0"/>
          <w:bCs w:val="0"/>
        </w:rPr>
        <w:t>的</w:t>
      </w:r>
      <w:r>
        <w:rPr>
          <w:rFonts w:hint="eastAsia"/>
          <w:b w:val="0"/>
          <w:bCs w:val="0"/>
          <w:lang w:val="en-US" w:eastAsia="zh-CN"/>
        </w:rPr>
        <w:t>供配电与通讯</w:t>
      </w:r>
      <w:r>
        <w:rPr>
          <w:b w:val="0"/>
          <w:bCs w:val="0"/>
        </w:rPr>
        <w:t>系统进行了</w:t>
      </w:r>
      <w:r>
        <w:rPr>
          <w:rFonts w:hint="eastAsia"/>
          <w:b w:val="0"/>
          <w:bCs w:val="0"/>
          <w:lang w:val="en-US" w:eastAsia="zh-CN"/>
        </w:rPr>
        <w:t>3项</w:t>
      </w:r>
      <w:r>
        <w:rPr>
          <w:b w:val="0"/>
          <w:bCs w:val="0"/>
        </w:rPr>
        <w:t>检查，</w:t>
      </w:r>
      <w:r>
        <w:rPr>
          <w:rFonts w:hint="eastAsia"/>
          <w:b w:val="0"/>
          <w:bCs w:val="0"/>
          <w:lang w:val="en-US" w:eastAsia="zh-CN"/>
        </w:rPr>
        <w:t>被检查的3项内容全部</w:t>
      </w:r>
      <w:r>
        <w:rPr>
          <w:b w:val="0"/>
          <w:bCs w:val="0"/>
        </w:rPr>
        <w:t>符合国家有关法律、法规、标准、规范</w:t>
      </w:r>
      <w:r>
        <w:rPr>
          <w:rFonts w:hint="eastAsia"/>
          <w:b w:val="0"/>
          <w:bCs w:val="0"/>
          <w:lang w:val="en-US" w:eastAsia="zh-CN"/>
        </w:rPr>
        <w:t>和</w:t>
      </w:r>
      <w:r>
        <w:rPr>
          <w:b w:val="0"/>
          <w:bCs w:val="0"/>
        </w:rPr>
        <w:t>设计要求</w:t>
      </w:r>
      <w:r>
        <w:rPr>
          <w:rFonts w:hint="eastAsia"/>
          <w:b w:val="0"/>
          <w:bCs w:val="0"/>
          <w:lang w:eastAsia="zh-CN"/>
        </w:rPr>
        <w:t>。</w:t>
      </w:r>
      <w:r>
        <w:rPr>
          <w:rFonts w:hint="eastAsia"/>
          <w:b w:val="0"/>
          <w:bCs w:val="0"/>
          <w:lang w:val="en-US" w:eastAsia="zh-CN"/>
        </w:rPr>
        <w:t>检查结果表明，该矿山供配电与通讯</w:t>
      </w:r>
      <w:r>
        <w:rPr>
          <w:b w:val="0"/>
          <w:bCs w:val="0"/>
        </w:rPr>
        <w:t>系统</w:t>
      </w:r>
      <w:r>
        <w:rPr>
          <w:rFonts w:hint="eastAsia"/>
          <w:b w:val="0"/>
          <w:bCs w:val="0"/>
          <w:lang w:val="en-US" w:eastAsia="zh-CN"/>
        </w:rPr>
        <w:t>单元，</w:t>
      </w:r>
      <w:r>
        <w:rPr>
          <w:rFonts w:hint="eastAsia"/>
          <w:b w:val="0"/>
          <w:bCs w:val="0"/>
          <w:lang w:eastAsia="zh-CN"/>
        </w:rPr>
        <w:t>符合安全生产要求</w:t>
      </w:r>
      <w:r>
        <w:rPr>
          <w:b w:val="0"/>
          <w:bCs w:val="0"/>
        </w:rPr>
        <w:t>。</w:t>
      </w:r>
    </w:p>
    <w:p w14:paraId="61226805">
      <w:pPr>
        <w:pStyle w:val="25"/>
        <w:bidi w:val="0"/>
        <w:ind w:left="720" w:leftChars="0" w:hanging="720" w:firstLineChars="0"/>
        <w:rPr>
          <w:rFonts w:hint="eastAsia"/>
        </w:rPr>
      </w:pPr>
      <w:r>
        <w:rPr>
          <w:rFonts w:hint="eastAsia"/>
        </w:rPr>
        <w:t>总平面布置单元</w:t>
      </w:r>
    </w:p>
    <w:p w14:paraId="242E0D37">
      <w:pPr>
        <w:pStyle w:val="18"/>
        <w:bidi w:val="0"/>
        <w:rPr>
          <w:b w:val="0"/>
          <w:bCs w:val="0"/>
        </w:rPr>
      </w:pPr>
      <w:r>
        <w:rPr>
          <w:b w:val="0"/>
          <w:bCs w:val="0"/>
        </w:rPr>
        <w:t>通过</w:t>
      </w:r>
      <w:r>
        <w:rPr>
          <w:rFonts w:hint="eastAsia"/>
          <w:b w:val="0"/>
          <w:bCs w:val="0"/>
          <w:lang w:val="en-US" w:eastAsia="zh-CN"/>
        </w:rPr>
        <w:t>使用</w:t>
      </w:r>
      <w:r>
        <w:rPr>
          <w:b w:val="0"/>
          <w:bCs w:val="0"/>
        </w:rPr>
        <w:t>安全检查表</w:t>
      </w:r>
      <w:r>
        <w:rPr>
          <w:rFonts w:hint="eastAsia"/>
          <w:b w:val="0"/>
          <w:bCs w:val="0"/>
          <w:lang w:eastAsia="zh-CN"/>
        </w:rPr>
        <w:t>，</w:t>
      </w:r>
      <w:r>
        <w:rPr>
          <w:b w:val="0"/>
          <w:bCs w:val="0"/>
        </w:rPr>
        <w:t>对</w:t>
      </w:r>
      <w:r>
        <w:rPr>
          <w:rFonts w:hint="eastAsia"/>
          <w:b w:val="0"/>
          <w:bCs w:val="0"/>
          <w:lang w:eastAsia="zh-CN"/>
        </w:rPr>
        <w:t>荣富耐火菱镁、滑石矿</w:t>
      </w:r>
      <w:r>
        <w:rPr>
          <w:b w:val="0"/>
          <w:bCs w:val="0"/>
        </w:rPr>
        <w:t>的</w:t>
      </w:r>
      <w:r>
        <w:rPr>
          <w:rFonts w:hint="eastAsia"/>
          <w:b w:val="0"/>
          <w:bCs w:val="0"/>
          <w:lang w:val="en-US" w:eastAsia="zh-CN"/>
        </w:rPr>
        <w:t>总平面布置单元</w:t>
      </w:r>
      <w:r>
        <w:rPr>
          <w:b w:val="0"/>
          <w:bCs w:val="0"/>
        </w:rPr>
        <w:t>进行了</w:t>
      </w:r>
      <w:r>
        <w:rPr>
          <w:rFonts w:hint="eastAsia"/>
          <w:b w:val="0"/>
          <w:bCs w:val="0"/>
          <w:lang w:val="en-US" w:eastAsia="zh-CN"/>
        </w:rPr>
        <w:t>8项</w:t>
      </w:r>
      <w:r>
        <w:rPr>
          <w:b w:val="0"/>
          <w:bCs w:val="0"/>
        </w:rPr>
        <w:t>检查，</w:t>
      </w:r>
      <w:r>
        <w:rPr>
          <w:rFonts w:hint="eastAsia"/>
          <w:b w:val="0"/>
          <w:bCs w:val="0"/>
          <w:lang w:val="en-US" w:eastAsia="zh-CN"/>
        </w:rPr>
        <w:t>被检查的8项内容全部</w:t>
      </w:r>
      <w:r>
        <w:rPr>
          <w:b w:val="0"/>
          <w:bCs w:val="0"/>
        </w:rPr>
        <w:t>符合国家有关法律、法规、标准、规范</w:t>
      </w:r>
      <w:r>
        <w:rPr>
          <w:rFonts w:hint="eastAsia"/>
          <w:b w:val="0"/>
          <w:bCs w:val="0"/>
          <w:lang w:val="en-US" w:eastAsia="zh-CN"/>
        </w:rPr>
        <w:t>和</w:t>
      </w:r>
      <w:r>
        <w:rPr>
          <w:b w:val="0"/>
          <w:bCs w:val="0"/>
        </w:rPr>
        <w:t>设计要求</w:t>
      </w:r>
      <w:r>
        <w:rPr>
          <w:rFonts w:hint="eastAsia"/>
          <w:b w:val="0"/>
          <w:bCs w:val="0"/>
          <w:lang w:eastAsia="zh-CN"/>
        </w:rPr>
        <w:t>。</w:t>
      </w:r>
      <w:r>
        <w:rPr>
          <w:rFonts w:hint="eastAsia"/>
          <w:b w:val="0"/>
          <w:bCs w:val="0"/>
          <w:lang w:val="en-US" w:eastAsia="zh-CN"/>
        </w:rPr>
        <w:t>检查结果表明，该矿山总平面布置单元，</w:t>
      </w:r>
      <w:r>
        <w:rPr>
          <w:rFonts w:hint="eastAsia"/>
          <w:b w:val="0"/>
          <w:bCs w:val="0"/>
          <w:lang w:eastAsia="zh-CN"/>
        </w:rPr>
        <w:t>符合安全生产要求</w:t>
      </w:r>
      <w:r>
        <w:rPr>
          <w:b w:val="0"/>
          <w:bCs w:val="0"/>
        </w:rPr>
        <w:t>。</w:t>
      </w:r>
    </w:p>
    <w:p w14:paraId="4E5FFA3C">
      <w:pPr>
        <w:pStyle w:val="25"/>
        <w:bidi w:val="0"/>
        <w:ind w:left="720" w:leftChars="0" w:hanging="720" w:firstLineChars="0"/>
        <w:rPr>
          <w:rFonts w:hint="eastAsia"/>
        </w:rPr>
      </w:pPr>
      <w:r>
        <w:rPr>
          <w:rFonts w:hint="eastAsia"/>
        </w:rPr>
        <w:t>个人安全防护单元</w:t>
      </w:r>
    </w:p>
    <w:p w14:paraId="1738F7F6">
      <w:pPr>
        <w:pStyle w:val="18"/>
        <w:bidi w:val="0"/>
        <w:rPr>
          <w:b w:val="0"/>
          <w:bCs w:val="0"/>
        </w:rPr>
      </w:pPr>
      <w:r>
        <w:rPr>
          <w:b w:val="0"/>
          <w:bCs w:val="0"/>
        </w:rPr>
        <w:t>通过</w:t>
      </w:r>
      <w:r>
        <w:rPr>
          <w:rFonts w:hint="eastAsia"/>
          <w:b w:val="0"/>
          <w:bCs w:val="0"/>
          <w:lang w:val="en-US" w:eastAsia="zh-CN"/>
        </w:rPr>
        <w:t>使用</w:t>
      </w:r>
      <w:r>
        <w:rPr>
          <w:b w:val="0"/>
          <w:bCs w:val="0"/>
        </w:rPr>
        <w:t>安全检查表</w:t>
      </w:r>
      <w:r>
        <w:rPr>
          <w:rFonts w:hint="eastAsia"/>
          <w:b w:val="0"/>
          <w:bCs w:val="0"/>
          <w:lang w:eastAsia="zh-CN"/>
        </w:rPr>
        <w:t>，</w:t>
      </w:r>
      <w:r>
        <w:rPr>
          <w:b w:val="0"/>
          <w:bCs w:val="0"/>
        </w:rPr>
        <w:t>对</w:t>
      </w:r>
      <w:r>
        <w:rPr>
          <w:rFonts w:hint="eastAsia"/>
          <w:b w:val="0"/>
          <w:bCs w:val="0"/>
          <w:lang w:eastAsia="zh-CN"/>
        </w:rPr>
        <w:t>荣富耐火菱镁、滑石矿</w:t>
      </w:r>
      <w:r>
        <w:rPr>
          <w:b w:val="0"/>
          <w:bCs w:val="0"/>
        </w:rPr>
        <w:t>的</w:t>
      </w:r>
      <w:r>
        <w:rPr>
          <w:rFonts w:hint="eastAsia"/>
          <w:b w:val="0"/>
          <w:bCs w:val="0"/>
          <w:lang w:val="en-US" w:eastAsia="zh-CN"/>
        </w:rPr>
        <w:t>个人安全防护单元</w:t>
      </w:r>
      <w:r>
        <w:rPr>
          <w:b w:val="0"/>
          <w:bCs w:val="0"/>
        </w:rPr>
        <w:t>进行了</w:t>
      </w:r>
      <w:r>
        <w:rPr>
          <w:rFonts w:hint="eastAsia"/>
          <w:b w:val="0"/>
          <w:bCs w:val="0"/>
          <w:lang w:val="en-US" w:eastAsia="zh-CN"/>
        </w:rPr>
        <w:t>11项</w:t>
      </w:r>
      <w:r>
        <w:rPr>
          <w:b w:val="0"/>
          <w:bCs w:val="0"/>
        </w:rPr>
        <w:t>检查，</w:t>
      </w:r>
      <w:r>
        <w:rPr>
          <w:rFonts w:hint="eastAsia"/>
          <w:b w:val="0"/>
          <w:bCs w:val="0"/>
          <w:lang w:val="en-US" w:eastAsia="zh-CN"/>
        </w:rPr>
        <w:t>被检查的11项内容全部</w:t>
      </w:r>
      <w:r>
        <w:rPr>
          <w:b w:val="0"/>
          <w:bCs w:val="0"/>
        </w:rPr>
        <w:t>符合国家有关法律、法规、标准、规范</w:t>
      </w:r>
      <w:r>
        <w:rPr>
          <w:rFonts w:hint="eastAsia"/>
          <w:b w:val="0"/>
          <w:bCs w:val="0"/>
          <w:lang w:val="en-US" w:eastAsia="zh-CN"/>
        </w:rPr>
        <w:t>和</w:t>
      </w:r>
      <w:r>
        <w:rPr>
          <w:b w:val="0"/>
          <w:bCs w:val="0"/>
        </w:rPr>
        <w:t>设计要求</w:t>
      </w:r>
      <w:r>
        <w:rPr>
          <w:rFonts w:hint="eastAsia"/>
          <w:b w:val="0"/>
          <w:bCs w:val="0"/>
          <w:lang w:eastAsia="zh-CN"/>
        </w:rPr>
        <w:t>。</w:t>
      </w:r>
      <w:r>
        <w:rPr>
          <w:rFonts w:hint="eastAsia"/>
          <w:b w:val="0"/>
          <w:bCs w:val="0"/>
          <w:lang w:val="en-US" w:eastAsia="zh-CN"/>
        </w:rPr>
        <w:t>检查结果表明，该矿山个人安全防护单元，</w:t>
      </w:r>
      <w:r>
        <w:rPr>
          <w:rFonts w:hint="eastAsia"/>
          <w:b w:val="0"/>
          <w:bCs w:val="0"/>
          <w:lang w:eastAsia="zh-CN"/>
        </w:rPr>
        <w:t>符合安全生产要求</w:t>
      </w:r>
      <w:r>
        <w:rPr>
          <w:b w:val="0"/>
          <w:bCs w:val="0"/>
        </w:rPr>
        <w:t>。</w:t>
      </w:r>
    </w:p>
    <w:p w14:paraId="6415FA63">
      <w:pPr>
        <w:pStyle w:val="25"/>
        <w:bidi w:val="0"/>
        <w:ind w:left="720" w:leftChars="0" w:hanging="720" w:firstLineChars="0"/>
        <w:rPr>
          <w:rFonts w:hint="eastAsia"/>
        </w:rPr>
      </w:pPr>
      <w:r>
        <w:rPr>
          <w:rFonts w:hint="eastAsia"/>
        </w:rPr>
        <w:t>安全标志单元</w:t>
      </w:r>
    </w:p>
    <w:p w14:paraId="28CB76FC">
      <w:pPr>
        <w:pStyle w:val="18"/>
        <w:keepNext w:val="0"/>
        <w:keepLines w:val="0"/>
        <w:pageBreakBefore w:val="0"/>
        <w:widowControl w:val="0"/>
        <w:kinsoku/>
        <w:wordWrap/>
        <w:overflowPunct/>
        <w:topLinePunct w:val="0"/>
        <w:autoSpaceDE/>
        <w:autoSpaceDN/>
        <w:bidi w:val="0"/>
        <w:adjustRightInd w:val="0"/>
        <w:snapToGrid w:val="0"/>
        <w:textAlignment w:val="auto"/>
        <w:rPr>
          <w:b w:val="0"/>
          <w:bCs w:val="0"/>
        </w:rPr>
      </w:pPr>
      <w:r>
        <w:rPr>
          <w:b w:val="0"/>
          <w:bCs w:val="0"/>
        </w:rPr>
        <w:t>通过</w:t>
      </w:r>
      <w:r>
        <w:rPr>
          <w:rFonts w:hint="eastAsia"/>
          <w:b w:val="0"/>
          <w:bCs w:val="0"/>
          <w:lang w:val="en-US" w:eastAsia="zh-CN"/>
        </w:rPr>
        <w:t>使用</w:t>
      </w:r>
      <w:r>
        <w:rPr>
          <w:b w:val="0"/>
          <w:bCs w:val="0"/>
        </w:rPr>
        <w:t>安全检查表</w:t>
      </w:r>
      <w:r>
        <w:rPr>
          <w:rFonts w:hint="eastAsia"/>
          <w:b w:val="0"/>
          <w:bCs w:val="0"/>
          <w:lang w:eastAsia="zh-CN"/>
        </w:rPr>
        <w:t>，</w:t>
      </w:r>
      <w:r>
        <w:rPr>
          <w:b w:val="0"/>
          <w:bCs w:val="0"/>
        </w:rPr>
        <w:t>对</w:t>
      </w:r>
      <w:r>
        <w:rPr>
          <w:rFonts w:hint="eastAsia"/>
          <w:b w:val="0"/>
          <w:bCs w:val="0"/>
          <w:lang w:eastAsia="zh-CN"/>
        </w:rPr>
        <w:t>荣富耐火菱镁、滑石矿</w:t>
      </w:r>
      <w:r>
        <w:rPr>
          <w:b w:val="0"/>
          <w:bCs w:val="0"/>
        </w:rPr>
        <w:t>的</w:t>
      </w:r>
      <w:r>
        <w:rPr>
          <w:rFonts w:hint="eastAsia"/>
          <w:b w:val="0"/>
          <w:bCs w:val="0"/>
          <w:lang w:val="en-US" w:eastAsia="zh-CN"/>
        </w:rPr>
        <w:t>安全标志单元</w:t>
      </w:r>
      <w:r>
        <w:rPr>
          <w:b w:val="0"/>
          <w:bCs w:val="0"/>
        </w:rPr>
        <w:t>进行了</w:t>
      </w:r>
      <w:r>
        <w:rPr>
          <w:rFonts w:hint="eastAsia"/>
          <w:b w:val="0"/>
          <w:bCs w:val="0"/>
          <w:lang w:val="en-US" w:eastAsia="zh-CN"/>
        </w:rPr>
        <w:t>3项</w:t>
      </w:r>
      <w:r>
        <w:rPr>
          <w:b w:val="0"/>
          <w:bCs w:val="0"/>
        </w:rPr>
        <w:t>检查，</w:t>
      </w:r>
      <w:r>
        <w:rPr>
          <w:rFonts w:hint="eastAsia"/>
          <w:b w:val="0"/>
          <w:bCs w:val="0"/>
          <w:lang w:val="en-US" w:eastAsia="zh-CN"/>
        </w:rPr>
        <w:t>被检查的3项内容全部</w:t>
      </w:r>
      <w:r>
        <w:rPr>
          <w:b w:val="0"/>
          <w:bCs w:val="0"/>
        </w:rPr>
        <w:t>符合国家有关法律、法规、标准、规范</w:t>
      </w:r>
      <w:r>
        <w:rPr>
          <w:rFonts w:hint="eastAsia"/>
          <w:b w:val="0"/>
          <w:bCs w:val="0"/>
          <w:lang w:val="en-US" w:eastAsia="zh-CN"/>
        </w:rPr>
        <w:t>和</w:t>
      </w:r>
      <w:r>
        <w:rPr>
          <w:b w:val="0"/>
          <w:bCs w:val="0"/>
        </w:rPr>
        <w:t>设计要求</w:t>
      </w:r>
      <w:r>
        <w:rPr>
          <w:rFonts w:hint="eastAsia"/>
          <w:b w:val="0"/>
          <w:bCs w:val="0"/>
          <w:lang w:eastAsia="zh-CN"/>
        </w:rPr>
        <w:t>。</w:t>
      </w:r>
      <w:r>
        <w:rPr>
          <w:rFonts w:hint="eastAsia"/>
          <w:b w:val="0"/>
          <w:bCs w:val="0"/>
          <w:lang w:val="en-US" w:eastAsia="zh-CN"/>
        </w:rPr>
        <w:t>检查结果表明，该矿山安全标志单元，</w:t>
      </w:r>
      <w:r>
        <w:rPr>
          <w:rFonts w:hint="eastAsia"/>
          <w:b w:val="0"/>
          <w:bCs w:val="0"/>
          <w:lang w:eastAsia="zh-CN"/>
        </w:rPr>
        <w:t>符合安全生产要求</w:t>
      </w:r>
      <w:r>
        <w:rPr>
          <w:b w:val="0"/>
          <w:bCs w:val="0"/>
        </w:rPr>
        <w:t>。</w:t>
      </w:r>
    </w:p>
    <w:p w14:paraId="2DB7F2ED">
      <w:pPr>
        <w:pStyle w:val="25"/>
        <w:bidi w:val="0"/>
        <w:ind w:left="720" w:leftChars="0" w:hanging="720" w:firstLineChars="0"/>
        <w:rPr>
          <w:rFonts w:hint="eastAsia"/>
        </w:rPr>
      </w:pPr>
      <w:r>
        <w:rPr>
          <w:rFonts w:hint="eastAsia"/>
        </w:rPr>
        <w:t>安全管理单元</w:t>
      </w:r>
    </w:p>
    <w:p w14:paraId="64F1A8AE">
      <w:pPr>
        <w:pStyle w:val="18"/>
        <w:bidi w:val="0"/>
        <w:rPr>
          <w:b w:val="0"/>
          <w:bCs w:val="0"/>
        </w:rPr>
      </w:pPr>
      <w:r>
        <w:rPr>
          <w:b w:val="0"/>
          <w:bCs w:val="0"/>
        </w:rPr>
        <w:t>通过</w:t>
      </w:r>
      <w:r>
        <w:rPr>
          <w:rFonts w:hint="eastAsia"/>
          <w:b w:val="0"/>
          <w:bCs w:val="0"/>
          <w:lang w:val="en-US" w:eastAsia="zh-CN"/>
        </w:rPr>
        <w:t>使用</w:t>
      </w:r>
      <w:r>
        <w:rPr>
          <w:b w:val="0"/>
          <w:bCs w:val="0"/>
        </w:rPr>
        <w:t>安全检查表</w:t>
      </w:r>
      <w:r>
        <w:rPr>
          <w:rFonts w:hint="eastAsia"/>
          <w:b w:val="0"/>
          <w:bCs w:val="0"/>
          <w:lang w:eastAsia="zh-CN"/>
        </w:rPr>
        <w:t>，</w:t>
      </w:r>
      <w:r>
        <w:rPr>
          <w:b w:val="0"/>
          <w:bCs w:val="0"/>
        </w:rPr>
        <w:t>对</w:t>
      </w:r>
      <w:r>
        <w:rPr>
          <w:rFonts w:hint="eastAsia"/>
          <w:b w:val="0"/>
          <w:bCs w:val="0"/>
          <w:lang w:eastAsia="zh-CN"/>
        </w:rPr>
        <w:t>荣富耐火菱镁、滑石矿</w:t>
      </w:r>
      <w:r>
        <w:rPr>
          <w:b w:val="0"/>
          <w:bCs w:val="0"/>
        </w:rPr>
        <w:t>的</w:t>
      </w:r>
      <w:r>
        <w:rPr>
          <w:rFonts w:hint="eastAsia"/>
          <w:b w:val="0"/>
          <w:bCs w:val="0"/>
          <w:lang w:val="en-US" w:eastAsia="zh-CN"/>
        </w:rPr>
        <w:t>安全生产管理单元</w:t>
      </w:r>
      <w:r>
        <w:rPr>
          <w:b w:val="0"/>
          <w:bCs w:val="0"/>
        </w:rPr>
        <w:t>进行了</w:t>
      </w:r>
      <w:r>
        <w:rPr>
          <w:rFonts w:hint="eastAsia"/>
          <w:b w:val="0"/>
          <w:bCs w:val="0"/>
          <w:lang w:val="en-US" w:eastAsia="zh-CN"/>
        </w:rPr>
        <w:t>21项</w:t>
      </w:r>
      <w:r>
        <w:rPr>
          <w:b w:val="0"/>
          <w:bCs w:val="0"/>
        </w:rPr>
        <w:t>检查，</w:t>
      </w:r>
      <w:r>
        <w:rPr>
          <w:rFonts w:hint="eastAsia"/>
          <w:b w:val="0"/>
          <w:bCs w:val="0"/>
          <w:lang w:val="en-US" w:eastAsia="zh-CN"/>
        </w:rPr>
        <w:t>被检查的21项内容全部</w:t>
      </w:r>
      <w:r>
        <w:rPr>
          <w:b w:val="0"/>
          <w:bCs w:val="0"/>
        </w:rPr>
        <w:t>符合国家有关法律、法规、标准、规范</w:t>
      </w:r>
      <w:r>
        <w:rPr>
          <w:rFonts w:hint="eastAsia"/>
          <w:b w:val="0"/>
          <w:bCs w:val="0"/>
          <w:lang w:val="en-US" w:eastAsia="zh-CN"/>
        </w:rPr>
        <w:t>和</w:t>
      </w:r>
      <w:r>
        <w:rPr>
          <w:b w:val="0"/>
          <w:bCs w:val="0"/>
        </w:rPr>
        <w:t>设计要求</w:t>
      </w:r>
      <w:r>
        <w:rPr>
          <w:rFonts w:hint="eastAsia"/>
          <w:b w:val="0"/>
          <w:bCs w:val="0"/>
          <w:lang w:eastAsia="zh-CN"/>
        </w:rPr>
        <w:t>。</w:t>
      </w:r>
      <w:r>
        <w:rPr>
          <w:rFonts w:hint="eastAsia"/>
          <w:b w:val="0"/>
          <w:bCs w:val="0"/>
          <w:lang w:val="en-US" w:eastAsia="zh-CN"/>
        </w:rPr>
        <w:t>检查结果表明，该矿山安全生产管理单元，</w:t>
      </w:r>
      <w:r>
        <w:rPr>
          <w:rFonts w:hint="eastAsia"/>
          <w:b w:val="0"/>
          <w:bCs w:val="0"/>
          <w:lang w:eastAsia="zh-CN"/>
        </w:rPr>
        <w:t>符合安全生产要求</w:t>
      </w:r>
      <w:r>
        <w:rPr>
          <w:b w:val="0"/>
          <w:bCs w:val="0"/>
        </w:rPr>
        <w:t>。</w:t>
      </w:r>
    </w:p>
    <w:p w14:paraId="4450F418">
      <w:pPr>
        <w:pStyle w:val="25"/>
        <w:bidi w:val="0"/>
        <w:ind w:left="720" w:leftChars="0" w:hanging="720" w:firstLineChars="0"/>
        <w:rPr>
          <w:rFonts w:hint="eastAsia"/>
        </w:rPr>
      </w:pPr>
      <w:r>
        <w:rPr>
          <w:rFonts w:hint="eastAsia"/>
          <w:lang w:eastAsia="zh-CN"/>
        </w:rPr>
        <w:t>重大事故隐患</w:t>
      </w:r>
      <w:r>
        <w:rPr>
          <w:rFonts w:hint="eastAsia"/>
        </w:rPr>
        <w:t>判定单元</w:t>
      </w:r>
    </w:p>
    <w:p w14:paraId="2E5933DE">
      <w:pPr>
        <w:pStyle w:val="18"/>
        <w:bidi w:val="0"/>
        <w:rPr>
          <w:b w:val="0"/>
          <w:bCs w:val="0"/>
        </w:rPr>
      </w:pPr>
      <w:r>
        <w:rPr>
          <w:b w:val="0"/>
          <w:bCs w:val="0"/>
        </w:rPr>
        <w:t>通过</w:t>
      </w:r>
      <w:r>
        <w:rPr>
          <w:rFonts w:hint="eastAsia"/>
          <w:b w:val="0"/>
          <w:bCs w:val="0"/>
          <w:lang w:val="en-US" w:eastAsia="zh-CN"/>
        </w:rPr>
        <w:t>使用</w:t>
      </w:r>
      <w:r>
        <w:rPr>
          <w:b w:val="0"/>
          <w:bCs w:val="0"/>
        </w:rPr>
        <w:t>安全检查表</w:t>
      </w:r>
      <w:r>
        <w:rPr>
          <w:rFonts w:hint="eastAsia"/>
          <w:b w:val="0"/>
          <w:bCs w:val="0"/>
          <w:lang w:eastAsia="zh-CN"/>
        </w:rPr>
        <w:t>，</w:t>
      </w:r>
      <w:r>
        <w:rPr>
          <w:b w:val="0"/>
          <w:bCs w:val="0"/>
        </w:rPr>
        <w:t>对</w:t>
      </w:r>
      <w:r>
        <w:rPr>
          <w:rFonts w:hint="eastAsia"/>
          <w:b w:val="0"/>
          <w:bCs w:val="0"/>
          <w:lang w:eastAsia="zh-CN"/>
        </w:rPr>
        <w:t>荣富耐火菱镁、滑石矿</w:t>
      </w:r>
      <w:r>
        <w:rPr>
          <w:b w:val="0"/>
          <w:bCs w:val="0"/>
        </w:rPr>
        <w:t>的</w:t>
      </w:r>
      <w:r>
        <w:rPr>
          <w:rFonts w:hint="eastAsia"/>
          <w:b w:val="0"/>
          <w:bCs w:val="0"/>
          <w:lang w:val="en-US" w:eastAsia="zh-CN"/>
        </w:rPr>
        <w:t>重大事故隐患判定标准单元</w:t>
      </w:r>
      <w:r>
        <w:rPr>
          <w:b w:val="0"/>
          <w:bCs w:val="0"/>
        </w:rPr>
        <w:t>进行了</w:t>
      </w:r>
      <w:r>
        <w:rPr>
          <w:rFonts w:hint="eastAsia"/>
          <w:b w:val="0"/>
          <w:bCs w:val="0"/>
          <w:lang w:val="en-US" w:eastAsia="zh-CN"/>
        </w:rPr>
        <w:t>15项</w:t>
      </w:r>
      <w:r>
        <w:rPr>
          <w:b w:val="0"/>
          <w:bCs w:val="0"/>
        </w:rPr>
        <w:t>检查，</w:t>
      </w:r>
      <w:r>
        <w:rPr>
          <w:rFonts w:hint="eastAsia"/>
          <w:b w:val="0"/>
          <w:bCs w:val="0"/>
          <w:lang w:val="en-US" w:eastAsia="zh-CN"/>
        </w:rPr>
        <w:t>其中不涉及内容2项，其它13项内容均不符合</w:t>
      </w:r>
      <w:r>
        <w:rPr>
          <w:rFonts w:hint="eastAsia"/>
          <w:b w:val="0"/>
          <w:bCs w:val="0"/>
          <w:lang w:eastAsia="zh-CN"/>
        </w:rPr>
        <w:t>重大事故隐患</w:t>
      </w:r>
      <w:r>
        <w:rPr>
          <w:b w:val="0"/>
          <w:bCs w:val="0"/>
        </w:rPr>
        <w:t>判定标准</w:t>
      </w:r>
      <w:r>
        <w:rPr>
          <w:rFonts w:hint="eastAsia"/>
          <w:b w:val="0"/>
          <w:bCs w:val="0"/>
          <w:lang w:eastAsia="zh-CN"/>
        </w:rPr>
        <w:t>。</w:t>
      </w:r>
      <w:r>
        <w:rPr>
          <w:rFonts w:hint="eastAsia"/>
          <w:b w:val="0"/>
          <w:bCs w:val="0"/>
          <w:lang w:val="en-US" w:eastAsia="zh-CN"/>
        </w:rPr>
        <w:t>因此，</w:t>
      </w:r>
      <w:r>
        <w:rPr>
          <w:b w:val="0"/>
          <w:bCs w:val="0"/>
        </w:rPr>
        <w:t>该项目</w:t>
      </w:r>
      <w:r>
        <w:rPr>
          <w:rFonts w:hint="eastAsia"/>
          <w:b w:val="0"/>
          <w:bCs w:val="0"/>
          <w:lang w:val="en-US" w:eastAsia="zh-CN"/>
        </w:rPr>
        <w:t>不</w:t>
      </w:r>
      <w:r>
        <w:rPr>
          <w:b w:val="0"/>
          <w:bCs w:val="0"/>
        </w:rPr>
        <w:t>构成</w:t>
      </w:r>
      <w:r>
        <w:rPr>
          <w:rFonts w:hint="eastAsia"/>
          <w:b w:val="0"/>
          <w:bCs w:val="0"/>
          <w:lang w:eastAsia="zh-CN"/>
        </w:rPr>
        <w:t>重大事故隐患</w:t>
      </w:r>
      <w:r>
        <w:rPr>
          <w:b w:val="0"/>
          <w:bCs w:val="0"/>
        </w:rPr>
        <w:t>。</w:t>
      </w:r>
    </w:p>
    <w:p w14:paraId="61465DFA">
      <w:pPr>
        <w:pStyle w:val="24"/>
        <w:bidi w:val="0"/>
        <w:ind w:left="0" w:leftChars="0" w:firstLine="0" w:firstLineChars="0"/>
      </w:pPr>
      <w:bookmarkStart w:id="332" w:name="_Toc143585779"/>
      <w:bookmarkStart w:id="333" w:name="_Toc130094618"/>
      <w:bookmarkStart w:id="334" w:name="_Toc144113354"/>
      <w:bookmarkStart w:id="335" w:name="_Toc143400451"/>
      <w:bookmarkStart w:id="336" w:name="_Toc130885602"/>
      <w:bookmarkStart w:id="337" w:name="_Toc109372985"/>
      <w:bookmarkStart w:id="338" w:name="_Toc122260957"/>
      <w:bookmarkStart w:id="339" w:name="_Toc143959846"/>
      <w:bookmarkStart w:id="340" w:name="_Toc144087554"/>
      <w:bookmarkStart w:id="341" w:name="_Toc119035672"/>
      <w:bookmarkStart w:id="342" w:name="_Toc121811824"/>
      <w:bookmarkStart w:id="343" w:name="_Toc177270411"/>
      <w:bookmarkStart w:id="344" w:name="_Toc29531"/>
      <w:bookmarkStart w:id="345" w:name="_Toc144008528"/>
      <w:bookmarkStart w:id="346" w:name="_Toc98566414"/>
      <w:bookmarkStart w:id="347" w:name="_Toc145300385"/>
      <w:bookmarkStart w:id="348" w:name="_Toc18320"/>
      <w:bookmarkStart w:id="349" w:name="_Toc143399950"/>
      <w:bookmarkStart w:id="350" w:name="_Toc216336895"/>
      <w:bookmarkStart w:id="351" w:name="_Toc104614596"/>
      <w:bookmarkStart w:id="352" w:name="_Toc278205658"/>
      <w:bookmarkStart w:id="353" w:name="_Toc107709921"/>
      <w:bookmarkStart w:id="354" w:name="_Toc144112443"/>
      <w:bookmarkStart w:id="355" w:name="_Toc144171296"/>
      <w:bookmarkStart w:id="356" w:name="_Toc104081473"/>
      <w:bookmarkStart w:id="357" w:name="_Toc144084230"/>
      <w:bookmarkStart w:id="358" w:name="_Toc122315931"/>
      <w:bookmarkStart w:id="359" w:name="_Toc109355631"/>
      <w:bookmarkStart w:id="360" w:name="_Toc186616580"/>
      <w:bookmarkStart w:id="361" w:name="_Toc144003786"/>
      <w:bookmarkStart w:id="362" w:name="_Toc129338866"/>
      <w:bookmarkStart w:id="363" w:name="_Toc128968158"/>
      <w:bookmarkStart w:id="364" w:name="_Toc120353734"/>
      <w:bookmarkStart w:id="365" w:name="_Toc145296287"/>
      <w:bookmarkStart w:id="366" w:name="_Toc137883928"/>
      <w:bookmarkStart w:id="367" w:name="_Toc128883402"/>
      <w:bookmarkStart w:id="368" w:name="_Toc10738"/>
      <w:bookmarkStart w:id="369" w:name="_Toc30236"/>
      <w:bookmarkStart w:id="370" w:name="_Toc160176683"/>
      <w:bookmarkStart w:id="371" w:name="_Toc109361567"/>
      <w:bookmarkStart w:id="372" w:name="_Toc144005984"/>
      <w:bookmarkStart w:id="373" w:name="_Toc109441619"/>
      <w:bookmarkStart w:id="374" w:name="_Toc110471680"/>
      <w:bookmarkStart w:id="375" w:name="_Toc144103982"/>
      <w:bookmarkStart w:id="376" w:name="_Toc116441691"/>
      <w:bookmarkStart w:id="377" w:name="_Toc143400255"/>
      <w:bookmarkStart w:id="378" w:name="_Toc148167797"/>
      <w:bookmarkStart w:id="379" w:name="_Toc144091719"/>
      <w:bookmarkStart w:id="380" w:name="_Toc142990409"/>
      <w:bookmarkStart w:id="381" w:name="_Toc148152387"/>
      <w:bookmarkStart w:id="382" w:name="_Toc144008553"/>
      <w:bookmarkStart w:id="383" w:name="_Toc109007567"/>
      <w:bookmarkStart w:id="384" w:name="_Toc129270030"/>
      <w:bookmarkStart w:id="385" w:name="_Toc129243987"/>
      <w:bookmarkStart w:id="386" w:name="_Toc107452841"/>
      <w:r>
        <w:t>安全总体评价结论</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p>
    <w:p w14:paraId="4DD3D7EB">
      <w:pPr>
        <w:pStyle w:val="18"/>
        <w:bidi w:val="0"/>
        <w:rPr>
          <w:rFonts w:hint="eastAsia"/>
          <w:lang w:val="en-US" w:eastAsia="zh-CN"/>
        </w:rPr>
      </w:pPr>
      <w:bookmarkStart w:id="387" w:name="_Toc525434486"/>
      <w:bookmarkEnd w:id="387"/>
      <w:bookmarkStart w:id="388" w:name="_Toc525258127"/>
      <w:bookmarkEnd w:id="388"/>
      <w:bookmarkStart w:id="389" w:name="_Toc58256694"/>
      <w:bookmarkEnd w:id="389"/>
      <w:bookmarkStart w:id="390" w:name="_Toc59255386"/>
      <w:bookmarkEnd w:id="390"/>
      <w:r>
        <w:rPr>
          <w:rFonts w:hint="eastAsia"/>
          <w:lang w:val="en-US" w:eastAsia="zh-CN"/>
        </w:rPr>
        <w:t>按照科学、严谨、客观、公正的原则，本着对工作高度负责的精神，依据国家及地方政府的相关法律、法规、文件及规范的规定，对照按照安监总管一〔2016〕14号文“关于金属非金属矿山建设项目安全设施竣工验收工作的要求”，以设计的内容进行现场检查，共检查102项，其中否决项5项，全部符合要求，一般项97项，除2项不涉及项以外，其余全部符合要求，不符合率小于5%。海城市荣富耐火材料有限公司镁矿（菱镁石、滑石）露天矿山建设项目安全设施各项指标达到竣工验收条件，符合安全设施设计及国家有关法律法规、标准、规章及规范的要求，满足安全生产条件。</w:t>
      </w:r>
      <w:r>
        <w:rPr>
          <w:rFonts w:hint="eastAsia"/>
          <w:b/>
          <w:bCs/>
          <w:lang w:val="en-US" w:eastAsia="zh-CN"/>
        </w:rPr>
        <w:t>本次安全设施验收评价认定：海城市荣富耐火材料有限公司镁矿（菱镁石、滑石）露天矿山建设项目符合《安全设施设计》要求，具备竣工验收条件。</w:t>
      </w:r>
    </w:p>
    <w:p w14:paraId="47D66AE7">
      <w:pPr>
        <w:rPr>
          <w:rFonts w:hint="default"/>
          <w:lang w:val="en-US" w:eastAsia="zh-CN"/>
        </w:rPr>
      </w:pPr>
      <w:r>
        <w:rPr>
          <w:rFonts w:hint="default"/>
          <w:lang w:val="en-US" w:eastAsia="zh-CN"/>
        </w:rPr>
        <w:br w:type="page"/>
      </w:r>
    </w:p>
    <w:p w14:paraId="48765D63">
      <w:pPr>
        <w:pStyle w:val="23"/>
        <w:bidi w:val="0"/>
        <w:rPr>
          <w:rFonts w:hint="default"/>
          <w:lang w:val="en-US" w:eastAsia="zh-CN"/>
        </w:rPr>
      </w:pPr>
      <w:bookmarkStart w:id="391" w:name="_Toc21384"/>
      <w:r>
        <w:rPr>
          <w:rFonts w:hint="eastAsia"/>
          <w:lang w:val="en-US" w:eastAsia="zh-CN"/>
        </w:rPr>
        <w:t>附件</w:t>
      </w:r>
      <w:bookmarkEnd w:id="391"/>
    </w:p>
    <w:p w14:paraId="005B12FA">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营业执照；</w:t>
      </w:r>
    </w:p>
    <w:p w14:paraId="1B4D8BC1">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采矿许可证；</w:t>
      </w:r>
    </w:p>
    <w:p w14:paraId="3B94C133">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建设项目备案证明；</w:t>
      </w:r>
    </w:p>
    <w:p w14:paraId="3A430018">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施工单位营业执照、建筑业企业资质证书和安全生产许可证；</w:t>
      </w:r>
    </w:p>
    <w:p w14:paraId="5A90B427">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监理单位营业执照、工程监理资质证书和负责人证件；</w:t>
      </w:r>
    </w:p>
    <w:p w14:paraId="6274111A">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安全设施设计审查批复</w:t>
      </w:r>
      <w:r>
        <w:rPr>
          <w:rFonts w:hint="eastAsia"/>
          <w:lang w:eastAsia="zh-CN"/>
        </w:rPr>
        <w:t>；</w:t>
      </w:r>
    </w:p>
    <w:p w14:paraId="5E64B961">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《关于任命矿山主要负责人的通知》（海荣富发[2024] 10 号）；</w:t>
      </w:r>
    </w:p>
    <w:p w14:paraId="0AF5CDD1">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《关于成立矿山安全科和任命安全员的通知》（海荣富发[2024]15号）；</w:t>
      </w:r>
    </w:p>
    <w:p w14:paraId="03E9FE4C">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主要负责人及安全生产管理人员证件；</w:t>
      </w:r>
    </w:p>
    <w:p w14:paraId="013F60A3">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《关于任命注册安全工程师的通知》（海荣富发[2024] 20号）及注册安全工程师证件；</w:t>
      </w:r>
    </w:p>
    <w:p w14:paraId="7C8389A1">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《关于成立生产技术科的通知》（海荣富发[2024] 18 号）及技术工程师毕业证书；</w:t>
      </w:r>
    </w:p>
    <w:p w14:paraId="4647178E">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特种作业人员证书；</w:t>
      </w:r>
    </w:p>
    <w:p w14:paraId="5E17EA94">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《关于发布安全生产岗位责任制的通知》（海荣富发[2024] 5号）；</w:t>
      </w:r>
    </w:p>
    <w:p w14:paraId="3EC28420">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安全生产责任制汇编；</w:t>
      </w:r>
    </w:p>
    <w:p w14:paraId="4E130901">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《关于发布安全管理制度的通知》（海荣富发[2024] 6 号）；</w:t>
      </w:r>
    </w:p>
    <w:p w14:paraId="6968CE48">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安全生产管理制度汇编封面及目录；</w:t>
      </w:r>
    </w:p>
    <w:p w14:paraId="4E1E8FFC">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《关于发布安全操作规程的通知》（海荣富发[2024] 7 号）；</w:t>
      </w:r>
    </w:p>
    <w:p w14:paraId="2F3B6EA0">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安全技术操作规程汇编封面及目录；</w:t>
      </w:r>
    </w:p>
    <w:p w14:paraId="3E527CC7">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default" w:ascii="Times New Roman" w:hAnsi="Times New Roman" w:eastAsia="宋体"/>
          <w:lang w:val="en-US" w:eastAsia="zh-CN"/>
        </w:rPr>
      </w:pPr>
      <w:r>
        <w:rPr>
          <w:rFonts w:hint="eastAsia" w:ascii="Times New Roman" w:hAnsi="Times New Roman" w:eastAsia="宋体"/>
          <w:lang w:val="en-US" w:eastAsia="zh-CN"/>
        </w:rPr>
        <w:t>《2024 年安全生产费用提取计划》</w:t>
      </w:r>
      <w:r>
        <w:rPr>
          <w:rFonts w:hint="eastAsia"/>
          <w:lang w:val="en-US" w:eastAsia="zh-CN"/>
        </w:rPr>
        <w:t>、2024 年度安全技术措施费用落实使用台账、2024年安全技术措施费用落实发票</w:t>
      </w:r>
      <w:r>
        <w:rPr>
          <w:rFonts w:hint="eastAsia" w:ascii="Times New Roman" w:hAnsi="Times New Roman" w:eastAsia="宋体"/>
          <w:lang w:val="en-US" w:eastAsia="zh-CN"/>
        </w:rPr>
        <w:t>；</w:t>
      </w:r>
    </w:p>
    <w:p w14:paraId="7ADB05E8">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社会保险缴费申报表</w:t>
      </w:r>
      <w:r>
        <w:rPr>
          <w:rFonts w:hint="eastAsia"/>
          <w:lang w:eastAsia="zh-CN"/>
        </w:rPr>
        <w:t>；</w:t>
      </w:r>
    </w:p>
    <w:p w14:paraId="2FEE2C70">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安全生产责任保险</w:t>
      </w:r>
      <w:r>
        <w:rPr>
          <w:rFonts w:hint="eastAsia"/>
          <w:lang w:eastAsia="zh-CN"/>
        </w:rPr>
        <w:t>、安全责任险修改回执单（增5人）；</w:t>
      </w:r>
    </w:p>
    <w:p w14:paraId="39266BA2">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《关于设置事故应急救援组织机构的通知》（海荣富发[2024] 21号）</w:t>
      </w:r>
      <w:r>
        <w:rPr>
          <w:rFonts w:hint="eastAsia"/>
          <w:lang w:eastAsia="zh-CN"/>
        </w:rPr>
        <w:t>；</w:t>
      </w:r>
    </w:p>
    <w:p w14:paraId="15E139E7">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应急预案备案登记表</w:t>
      </w:r>
      <w:r>
        <w:rPr>
          <w:rFonts w:hint="eastAsia"/>
          <w:lang w:eastAsia="zh-CN"/>
        </w:rPr>
        <w:t>；</w:t>
      </w:r>
    </w:p>
    <w:p w14:paraId="2E8D291B">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应急演练方案及演练记录</w:t>
      </w:r>
      <w:r>
        <w:rPr>
          <w:rFonts w:hint="eastAsia"/>
          <w:lang w:eastAsia="zh-CN"/>
        </w:rPr>
        <w:t>；</w:t>
      </w:r>
    </w:p>
    <w:p w14:paraId="7CA33CFE">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培训考试试卷</w:t>
      </w:r>
      <w:r>
        <w:rPr>
          <w:rFonts w:hint="eastAsia"/>
          <w:lang w:eastAsia="zh-CN"/>
        </w:rPr>
        <w:t>；</w:t>
      </w:r>
    </w:p>
    <w:p w14:paraId="5BCAD4C5">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劳保用品领取明细</w:t>
      </w:r>
      <w:r>
        <w:rPr>
          <w:rFonts w:hint="eastAsia"/>
          <w:lang w:eastAsia="zh-CN"/>
        </w:rPr>
        <w:t>；</w:t>
      </w:r>
    </w:p>
    <w:p w14:paraId="4644580C">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爆破施工合同</w:t>
      </w:r>
      <w:r>
        <w:rPr>
          <w:rFonts w:hint="eastAsia"/>
          <w:lang w:eastAsia="zh-CN"/>
        </w:rPr>
        <w:t>；</w:t>
      </w:r>
    </w:p>
    <w:p w14:paraId="34CA4E0B">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爆破作业单位许可证</w:t>
      </w:r>
      <w:r>
        <w:rPr>
          <w:rFonts w:hint="eastAsia"/>
          <w:lang w:eastAsia="zh-CN"/>
        </w:rPr>
        <w:t>；</w:t>
      </w:r>
    </w:p>
    <w:p w14:paraId="0B53AC19">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水泵及空压机检测报告</w:t>
      </w:r>
      <w:r>
        <w:rPr>
          <w:rFonts w:hint="eastAsia"/>
          <w:lang w:eastAsia="zh-CN"/>
        </w:rPr>
        <w:t>；</w:t>
      </w:r>
    </w:p>
    <w:p w14:paraId="76446A30">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边坡稳定性评价报告封面及结论页</w:t>
      </w:r>
      <w:r>
        <w:rPr>
          <w:rFonts w:hint="eastAsia"/>
          <w:lang w:eastAsia="zh-CN"/>
        </w:rPr>
        <w:t>；</w:t>
      </w:r>
    </w:p>
    <w:p w14:paraId="63CA4629">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试运行报告</w:t>
      </w:r>
      <w:r>
        <w:rPr>
          <w:rFonts w:hint="eastAsia"/>
          <w:lang w:eastAsia="zh-CN"/>
        </w:rPr>
        <w:t>；</w:t>
      </w:r>
    </w:p>
    <w:p w14:paraId="61006ADD">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安全互保协议</w:t>
      </w:r>
      <w:r>
        <w:rPr>
          <w:rFonts w:hint="eastAsia"/>
          <w:lang w:eastAsia="zh-CN"/>
        </w:rPr>
        <w:t>；</w:t>
      </w:r>
    </w:p>
    <w:p w14:paraId="37B57DF6">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安全避炮协议书</w:t>
      </w:r>
      <w:r>
        <w:rPr>
          <w:rFonts w:hint="eastAsia"/>
          <w:lang w:eastAsia="zh-CN"/>
        </w:rPr>
        <w:t>；</w:t>
      </w:r>
    </w:p>
    <w:p w14:paraId="1CE50C24">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货场租赁协议</w:t>
      </w:r>
      <w:r>
        <w:rPr>
          <w:rFonts w:hint="eastAsia"/>
          <w:lang w:eastAsia="zh-CN"/>
        </w:rPr>
        <w:t>；</w:t>
      </w:r>
    </w:p>
    <w:p w14:paraId="7AF19C0C">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废石、废渣清运协议书</w:t>
      </w:r>
      <w:r>
        <w:rPr>
          <w:rFonts w:hint="eastAsia"/>
          <w:lang w:eastAsia="zh-CN"/>
        </w:rPr>
        <w:t>；</w:t>
      </w:r>
    </w:p>
    <w:p w14:paraId="3373CA01">
      <w:pPr>
        <w:pStyle w:val="18"/>
        <w:keepNext w:val="0"/>
        <w:keepLines w:val="0"/>
        <w:pageBreakBefore w:val="0"/>
        <w:widowControl/>
        <w:numPr>
          <w:ilvl w:val="0"/>
          <w:numId w:val="5"/>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lang w:eastAsia="zh-CN"/>
        </w:rPr>
        <w:t>洪水位标高。</w:t>
      </w:r>
    </w:p>
    <w:p w14:paraId="0A1D1911">
      <w:pPr>
        <w:rPr>
          <w:rFonts w:hint="default"/>
          <w:lang w:val="en-US" w:eastAsia="zh-CN"/>
        </w:rPr>
      </w:pPr>
      <w:r>
        <w:rPr>
          <w:rFonts w:hint="default"/>
          <w:lang w:val="en-US" w:eastAsia="zh-CN"/>
        </w:rPr>
        <w:br w:type="page"/>
      </w:r>
    </w:p>
    <w:p w14:paraId="1D131049">
      <w:pPr>
        <w:pStyle w:val="23"/>
        <w:bidi w:val="0"/>
        <w:rPr>
          <w:rFonts w:hint="default"/>
          <w:lang w:val="en-US" w:eastAsia="zh-CN"/>
        </w:rPr>
      </w:pPr>
      <w:bookmarkStart w:id="392" w:name="_Toc8873"/>
      <w:r>
        <w:rPr>
          <w:rFonts w:hint="eastAsia"/>
          <w:lang w:val="en-US" w:eastAsia="zh-CN"/>
        </w:rPr>
        <w:t>附图</w:t>
      </w:r>
      <w:bookmarkEnd w:id="392"/>
    </w:p>
    <w:p w14:paraId="6EB82BEB">
      <w:pPr>
        <w:pStyle w:val="18"/>
        <w:keepNext w:val="0"/>
        <w:keepLines w:val="0"/>
        <w:pageBreakBefore w:val="0"/>
        <w:widowControl/>
        <w:numPr>
          <w:ilvl w:val="0"/>
          <w:numId w:val="6"/>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地质地形</w:t>
      </w:r>
      <w:r>
        <w:rPr>
          <w:rFonts w:hint="eastAsia" w:ascii="Times New Roman" w:hAnsi="Times New Roman" w:eastAsia="宋体"/>
          <w:lang w:val="en-US" w:eastAsia="zh-CN"/>
        </w:rPr>
        <w:t>图</w:t>
      </w:r>
      <w:r>
        <w:rPr>
          <w:rFonts w:hint="eastAsia" w:ascii="Times New Roman" w:hAnsi="Times New Roman" w:eastAsia="宋体"/>
          <w:lang w:eastAsia="zh-CN"/>
        </w:rPr>
        <w:t>；</w:t>
      </w:r>
    </w:p>
    <w:p w14:paraId="5F9F49B9">
      <w:pPr>
        <w:pStyle w:val="18"/>
        <w:keepNext w:val="0"/>
        <w:keepLines w:val="0"/>
        <w:pageBreakBefore w:val="0"/>
        <w:widowControl/>
        <w:numPr>
          <w:ilvl w:val="0"/>
          <w:numId w:val="6"/>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val="en-US" w:eastAsia="zh-CN"/>
        </w:rPr>
        <w:t>采场终了境界平面</w:t>
      </w:r>
      <w:r>
        <w:rPr>
          <w:rFonts w:hint="eastAsia" w:ascii="Times New Roman" w:hAnsi="Times New Roman" w:eastAsia="宋体"/>
          <w:lang w:eastAsia="zh-CN"/>
        </w:rPr>
        <w:t>图；</w:t>
      </w:r>
    </w:p>
    <w:p w14:paraId="4878807B">
      <w:pPr>
        <w:pStyle w:val="18"/>
        <w:keepNext w:val="0"/>
        <w:keepLines w:val="0"/>
        <w:pageBreakBefore w:val="0"/>
        <w:widowControl/>
        <w:numPr>
          <w:ilvl w:val="0"/>
          <w:numId w:val="6"/>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eastAsia="zh-CN"/>
        </w:rPr>
        <w:t>露天开采现状</w:t>
      </w:r>
      <w:r>
        <w:rPr>
          <w:rFonts w:hint="eastAsia"/>
          <w:lang w:val="en-US" w:eastAsia="zh-CN"/>
        </w:rPr>
        <w:t>总平面布置竣工</w:t>
      </w:r>
      <w:r>
        <w:rPr>
          <w:rFonts w:hint="eastAsia" w:ascii="Times New Roman" w:hAnsi="Times New Roman" w:eastAsia="宋体"/>
          <w:lang w:eastAsia="zh-CN"/>
        </w:rPr>
        <w:t>图；</w:t>
      </w:r>
    </w:p>
    <w:p w14:paraId="2D0EA387">
      <w:pPr>
        <w:pStyle w:val="18"/>
        <w:keepNext w:val="0"/>
        <w:keepLines w:val="0"/>
        <w:pageBreakBefore w:val="0"/>
        <w:widowControl/>
        <w:numPr>
          <w:ilvl w:val="0"/>
          <w:numId w:val="6"/>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val="en-US" w:eastAsia="zh-CN"/>
        </w:rPr>
        <w:t>基建工程</w:t>
      </w:r>
      <w:r>
        <w:rPr>
          <w:rFonts w:hint="eastAsia"/>
          <w:lang w:val="en-US" w:eastAsia="zh-CN"/>
        </w:rPr>
        <w:t>及排水系统</w:t>
      </w:r>
      <w:r>
        <w:rPr>
          <w:rFonts w:hint="eastAsia" w:ascii="Times New Roman" w:hAnsi="Times New Roman" w:eastAsia="宋体"/>
          <w:lang w:val="en-US" w:eastAsia="zh-CN"/>
        </w:rPr>
        <w:t>平面</w:t>
      </w:r>
      <w:r>
        <w:rPr>
          <w:rFonts w:hint="eastAsia" w:ascii="Times New Roman" w:hAnsi="Times New Roman" w:eastAsia="宋体"/>
          <w:lang w:eastAsia="zh-CN"/>
        </w:rPr>
        <w:t>图；</w:t>
      </w:r>
    </w:p>
    <w:p w14:paraId="1C262BBF">
      <w:pPr>
        <w:pStyle w:val="18"/>
        <w:keepNext w:val="0"/>
        <w:keepLines w:val="0"/>
        <w:pageBreakBefore w:val="0"/>
        <w:widowControl/>
        <w:numPr>
          <w:ilvl w:val="0"/>
          <w:numId w:val="6"/>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eastAsia="zh-CN"/>
        </w:rPr>
      </w:pPr>
      <w:r>
        <w:rPr>
          <w:rFonts w:hint="eastAsia" w:ascii="Times New Roman" w:hAnsi="Times New Roman" w:eastAsia="宋体"/>
          <w:lang w:val="en-US" w:eastAsia="zh-CN"/>
        </w:rPr>
        <w:t>基建工程竣工</w:t>
      </w:r>
      <w:r>
        <w:rPr>
          <w:rFonts w:hint="eastAsia" w:ascii="Times New Roman" w:hAnsi="Times New Roman" w:eastAsia="宋体"/>
          <w:lang w:eastAsia="zh-CN"/>
        </w:rPr>
        <w:t>剖面图；</w:t>
      </w:r>
    </w:p>
    <w:p w14:paraId="1A4B6338">
      <w:pPr>
        <w:pStyle w:val="18"/>
        <w:keepNext w:val="0"/>
        <w:keepLines w:val="0"/>
        <w:pageBreakBefore w:val="0"/>
        <w:widowControl/>
        <w:numPr>
          <w:ilvl w:val="0"/>
          <w:numId w:val="6"/>
        </w:numPr>
        <w:kinsoku/>
        <w:wordWrap/>
        <w:overflowPunct/>
        <w:topLinePunct w:val="0"/>
        <w:autoSpaceDE/>
        <w:autoSpaceDN/>
        <w:bidi w:val="0"/>
        <w:adjustRightInd w:val="0"/>
        <w:snapToGrid w:val="0"/>
        <w:ind w:left="0" w:leftChars="0" w:firstLine="425" w:firstLineChars="0"/>
        <w:textAlignment w:val="auto"/>
        <w:rPr>
          <w:rFonts w:hint="eastAsia" w:ascii="Times New Roman" w:hAnsi="Times New Roman" w:eastAsia="宋体"/>
          <w:lang w:val="en-US" w:eastAsia="zh-CN"/>
        </w:rPr>
      </w:pPr>
      <w:r>
        <w:rPr>
          <w:rFonts w:hint="eastAsia" w:ascii="Times New Roman" w:hAnsi="Times New Roman" w:eastAsia="宋体"/>
          <w:lang w:val="en-US" w:eastAsia="zh-CN"/>
        </w:rPr>
        <w:t>采矿方法示意图；</w:t>
      </w:r>
    </w:p>
    <w:p w14:paraId="6D85A0CE">
      <w:pPr>
        <w:pStyle w:val="18"/>
        <w:keepNext w:val="0"/>
        <w:keepLines w:val="0"/>
        <w:pageBreakBefore w:val="0"/>
        <w:widowControl/>
        <w:numPr>
          <w:ilvl w:val="0"/>
          <w:numId w:val="6"/>
        </w:numPr>
        <w:kinsoku/>
        <w:wordWrap/>
        <w:overflowPunct/>
        <w:topLinePunct w:val="0"/>
        <w:autoSpaceDE/>
        <w:autoSpaceDN/>
        <w:bidi w:val="0"/>
        <w:adjustRightInd w:val="0"/>
        <w:snapToGrid w:val="0"/>
        <w:ind w:left="0" w:leftChars="0" w:firstLine="425" w:firstLineChars="0"/>
        <w:textAlignment w:val="auto"/>
        <w:rPr>
          <w:rFonts w:hint="default" w:ascii="Times New Roman" w:hAnsi="Times New Roman" w:eastAsia="宋体"/>
          <w:lang w:val="en-US" w:eastAsia="zh-CN"/>
        </w:rPr>
      </w:pPr>
      <w:r>
        <w:rPr>
          <w:rFonts w:hint="eastAsia" w:ascii="Times New Roman" w:hAnsi="Times New Roman" w:eastAsia="宋体"/>
          <w:lang w:val="en-US" w:eastAsia="zh-CN"/>
        </w:rPr>
        <w:t>供电系统竣工图。</w:t>
      </w:r>
    </w:p>
    <w:p w14:paraId="577D994F">
      <w:pPr>
        <w:rPr>
          <w:rFonts w:hint="default"/>
          <w:lang w:val="en-US" w:eastAsia="zh-CN"/>
        </w:rPr>
      </w:pPr>
    </w:p>
    <w:sectPr>
      <w:headerReference r:id="rId3" w:type="default"/>
      <w:footerReference r:id="rId4" w:type="default"/>
      <w:pgSz w:w="11906" w:h="16838"/>
      <w:pgMar w:top="1440" w:right="1800" w:bottom="1440" w:left="1800" w:header="851" w:footer="992" w:gutter="0"/>
      <w:pgNumType w:fmt="decimal" w:start="1"/>
      <w:cols w:space="425" w:num="1"/>
      <w:docGrid w:type="lines" w:linePitch="312" w:charSpace="0"/>
    </w:sectPr>
  </w:body>
</w:document>
</file>

<file path=word/customizations.xml><?xml version="1.0" encoding="utf-8"?>
<wne:tcg xmlns:r="http://schemas.openxmlformats.org/officeDocument/2006/relationships" xmlns:wne="http://schemas.microsoft.com/office/word/2006/wordml">
  <wne:keymaps>
    <wne:keymap wne:kcmPrimary="0070">
      <wne:acd wne:acdName="acd0"/>
    </wne:keymap>
    <wne:keymap wne:kcmPrimary="0072">
      <wne:acd wne:acdName="acd1"/>
    </wne:keymap>
    <wne:keymap wne:kcmPrimary="0071">
      <wne:acd wne:acdName="acd2"/>
    </wne:keymap>
    <wne:keymap wne:kcmPrimary="0074">
      <wne:acd wne:acdName="acd3"/>
    </wne:keymap>
    <wne:keymap wne:kcmPrimary="0073">
      <wne:acd wne:acdName="acd4"/>
    </wne:keymap>
  </wne:keymaps>
  <wne:acds>
    <wne:acd wne:argValue="AgAATqd+B2iYmA==" wne:acdName="acd0" wne:fciIndexBasedOn="0065"/>
    <wne:acd wne:argValue="AgAJTqd+B2iYmA==" wne:acdName="acd1" wne:fciIndexBasedOn="0065"/>
    <wne:acd wne:argValue="AgCMTqd+B2iYmA==" wne:acdName="acd2" wne:fciIndexBasedOn="0065"/>
    <wne:acd wne:argValue="AgD+VmiIDVTweQ==" wne:acdName="acd3" wne:fciIndexBasedOn="0065"/>
    <wne:acd wne:argValue="AgCHZSxn" wne:acdName="acd4" wne:fciIndexBasedOn="0065"/>
  </wne:acds>
</wne:tcg>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290E4">
    <w:pPr>
      <w:pStyle w:val="14"/>
      <w:pBdr>
        <w:top w:val="single" w:color="auto" w:sz="4" w:space="0"/>
      </w:pBdr>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5E2FCA">
                          <w:pPr>
                            <w:pStyle w:val="14"/>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4D5E2FCA">
                    <w:pPr>
                      <w:pStyle w:val="14"/>
                    </w:pPr>
                    <w:r>
                      <w:fldChar w:fldCharType="begin"/>
                    </w:r>
                    <w:r>
                      <w:instrText xml:space="preserve"> PAGE  \* MERGEFORMAT </w:instrText>
                    </w:r>
                    <w:r>
                      <w:fldChar w:fldCharType="separate"/>
                    </w:r>
                    <w:r>
                      <w:t>3</w:t>
                    </w:r>
                    <w:r>
                      <w:fldChar w:fldCharType="end"/>
                    </w:r>
                  </w:p>
                </w:txbxContent>
              </v:textbox>
            </v:shape>
          </w:pict>
        </mc:Fallback>
      </mc:AlternateContent>
    </w:r>
    <w:r>
      <w:rPr>
        <w:rFonts w:hint="eastAsia"/>
      </w:rPr>
      <w:drawing>
        <wp:inline distT="0" distB="0" distL="114300" distR="114300">
          <wp:extent cx="361315" cy="136525"/>
          <wp:effectExtent l="0" t="0" r="0" b="15875"/>
          <wp:docPr id="3" name="图片 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2"/>
                  <pic:cNvPicPr>
                    <a:picLocks noChangeAspect="1"/>
                  </pic:cNvPicPr>
                </pic:nvPicPr>
                <pic:blipFill>
                  <a:blip r:embed="rId1"/>
                  <a:srcRect t="9578" b="16475"/>
                  <a:stretch>
                    <a:fillRect/>
                  </a:stretch>
                </pic:blipFill>
                <pic:spPr>
                  <a:xfrm>
                    <a:off x="0" y="0"/>
                    <a:ext cx="361315" cy="136525"/>
                  </a:xfrm>
                  <a:prstGeom prst="rect">
                    <a:avLst/>
                  </a:prstGeom>
                  <a:noFill/>
                  <a:ln>
                    <a:noFill/>
                  </a:ln>
                </pic:spPr>
              </pic:pic>
            </a:graphicData>
          </a:graphic>
        </wp:inline>
      </w:drawing>
    </w:r>
    <w:r>
      <w:rPr>
        <w:rFonts w:hint="eastAsia" w:ascii="楷体" w:hAnsi="楷体" w:eastAsia="楷体" w:cs="楷体"/>
        <w:sz w:val="21"/>
        <w:szCs w:val="21"/>
        <w:lang w:eastAsia="zh-CN"/>
      </w:rPr>
      <w:t>辽宁诺诚安全科技有限公司</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874FB0">
    <w:pPr>
      <w:pStyle w:val="15"/>
      <w:pBdr>
        <w:bottom w:val="single" w:color="auto" w:sz="4" w:space="1"/>
      </w:pBdr>
      <w:jc w:val="center"/>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海城市荣富耐火材料有限公司镁矿（菱镁石、滑石）露天矿山建设项目安全设施验收评价报告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9988BE"/>
    <w:multiLevelType w:val="multilevel"/>
    <w:tmpl w:val="AF9988BE"/>
    <w:lvl w:ilvl="0" w:tentative="0">
      <w:start w:val="1"/>
      <w:numFmt w:val="decimal"/>
      <w:pStyle w:val="23"/>
      <w:suff w:val="space"/>
      <w:lvlText w:val="%1"/>
      <w:lvlJc w:val="center"/>
      <w:pPr>
        <w:tabs>
          <w:tab w:val="left" w:pos="420"/>
        </w:tabs>
        <w:ind w:left="0" w:leftChars="0" w:firstLine="0" w:firstLineChars="0"/>
      </w:pPr>
      <w:rPr>
        <w:rFonts w:hint="default"/>
      </w:rPr>
    </w:lvl>
    <w:lvl w:ilvl="1" w:tentative="0">
      <w:start w:val="1"/>
      <w:numFmt w:val="decimal"/>
      <w:pStyle w:val="24"/>
      <w:suff w:val="space"/>
      <w:lvlText w:val="%1.%2"/>
      <w:lvlJc w:val="center"/>
      <w:pPr>
        <w:tabs>
          <w:tab w:val="left" w:pos="0"/>
        </w:tabs>
        <w:ind w:left="0" w:leftChars="0" w:firstLine="0" w:firstLineChars="0"/>
      </w:pPr>
      <w:rPr>
        <w:rFonts w:hint="default"/>
      </w:rPr>
    </w:lvl>
    <w:lvl w:ilvl="2" w:tentative="0">
      <w:start w:val="1"/>
      <w:numFmt w:val="decimal"/>
      <w:pStyle w:val="25"/>
      <w:suff w:val="nothing"/>
      <w:lvlText w:val="%1.%2.%3"/>
      <w:lvlJc w:val="left"/>
      <w:pPr>
        <w:tabs>
          <w:tab w:val="left" w:pos="420"/>
        </w:tabs>
        <w:ind w:left="720" w:hanging="720"/>
      </w:pPr>
      <w:rPr>
        <w:rFonts w:hint="default"/>
      </w:rPr>
    </w:lvl>
    <w:lvl w:ilvl="3" w:tentative="0">
      <w:start w:val="1"/>
      <w:numFmt w:val="decimal"/>
      <w:pStyle w:val="7"/>
      <w:lvlText w:val="%1.%2.%3.%4."/>
      <w:lvlJc w:val="left"/>
      <w:pPr>
        <w:ind w:left="864" w:hanging="864"/>
      </w:pPr>
      <w:rPr>
        <w:rFonts w:hint="default"/>
      </w:rPr>
    </w:lvl>
    <w:lvl w:ilvl="4" w:tentative="0">
      <w:start w:val="1"/>
      <w:numFmt w:val="decimal"/>
      <w:pStyle w:val="8"/>
      <w:lvlText w:val="%1.%2.%3.%4.%5."/>
      <w:lvlJc w:val="left"/>
      <w:pPr>
        <w:ind w:left="1008" w:hanging="1008"/>
      </w:pPr>
      <w:rPr>
        <w:rFonts w:hint="default"/>
      </w:rPr>
    </w:lvl>
    <w:lvl w:ilvl="5" w:tentative="0">
      <w:start w:val="1"/>
      <w:numFmt w:val="decimal"/>
      <w:pStyle w:val="9"/>
      <w:lvlText w:val="%1.%2.%3.%4.%5.%6."/>
      <w:lvlJc w:val="left"/>
      <w:pPr>
        <w:ind w:left="1151" w:hanging="1151"/>
      </w:pPr>
      <w:rPr>
        <w:rFonts w:hint="default"/>
      </w:rPr>
    </w:lvl>
    <w:lvl w:ilvl="6" w:tentative="0">
      <w:start w:val="1"/>
      <w:numFmt w:val="decimal"/>
      <w:pStyle w:val="10"/>
      <w:lvlText w:val="%1.%2.%3.%4.%5.%6.%7."/>
      <w:lvlJc w:val="left"/>
      <w:pPr>
        <w:ind w:left="1296" w:hanging="1296"/>
      </w:pPr>
      <w:rPr>
        <w:rFonts w:hint="default"/>
      </w:rPr>
    </w:lvl>
    <w:lvl w:ilvl="7" w:tentative="0">
      <w:start w:val="1"/>
      <w:numFmt w:val="decimal"/>
      <w:pStyle w:val="11"/>
      <w:lvlText w:val="%1.%2.%3.%4.%5.%6.%7.%8."/>
      <w:lvlJc w:val="left"/>
      <w:pPr>
        <w:ind w:left="1440" w:hanging="1440"/>
      </w:pPr>
      <w:rPr>
        <w:rFonts w:hint="default"/>
      </w:rPr>
    </w:lvl>
    <w:lvl w:ilvl="8" w:tentative="0">
      <w:start w:val="1"/>
      <w:numFmt w:val="decimal"/>
      <w:pStyle w:val="12"/>
      <w:lvlText w:val="%1.%2.%3.%4.%5.%6.%7.%8.%9."/>
      <w:lvlJc w:val="left"/>
      <w:pPr>
        <w:ind w:left="1583" w:hanging="1583"/>
      </w:pPr>
      <w:rPr>
        <w:rFonts w:hint="default"/>
      </w:rPr>
    </w:lvl>
  </w:abstractNum>
  <w:abstractNum w:abstractNumId="1">
    <w:nsid w:val="BF57197D"/>
    <w:multiLevelType w:val="singleLevel"/>
    <w:tmpl w:val="BF57197D"/>
    <w:lvl w:ilvl="0" w:tentative="0">
      <w:start w:val="1"/>
      <w:numFmt w:val="decimal"/>
      <w:suff w:val="nothing"/>
      <w:lvlText w:val="（%1）"/>
      <w:lvlJc w:val="left"/>
      <w:pPr>
        <w:ind w:left="0" w:leftChars="0" w:firstLine="425" w:firstLineChars="0"/>
      </w:pPr>
      <w:rPr>
        <w:rFonts w:hint="default"/>
      </w:rPr>
    </w:lvl>
  </w:abstractNum>
  <w:abstractNum w:abstractNumId="2">
    <w:nsid w:val="E5C73C8B"/>
    <w:multiLevelType w:val="multilevel"/>
    <w:tmpl w:val="E5C73C8B"/>
    <w:lvl w:ilvl="0" w:tentative="0">
      <w:start w:val="1"/>
      <w:numFmt w:val="decimal"/>
      <w:suff w:val="space"/>
      <w:lvlText w:val="%1."/>
      <w:lvlJc w:val="center"/>
      <w:pPr>
        <w:tabs>
          <w:tab w:val="left" w:pos="0"/>
        </w:tabs>
        <w:ind w:left="0" w:leftChars="0" w:firstLine="0" w:firstLineChars="0"/>
      </w:pPr>
      <w:rPr>
        <w:rFonts w:hint="default"/>
      </w:rPr>
    </w:lvl>
    <w:lvl w:ilvl="1" w:tentative="0">
      <w:start w:val="1"/>
      <w:numFmt w:val="decimal"/>
      <w:suff w:val="space"/>
      <w:lvlText w:val="%1.%2."/>
      <w:lvlJc w:val="center"/>
      <w:pPr>
        <w:tabs>
          <w:tab w:val="left" w:pos="0"/>
        </w:tabs>
        <w:ind w:left="0" w:leftChars="0" w:firstLine="0" w:firstLineChars="0"/>
      </w:pPr>
      <w:rPr>
        <w:rFonts w:hint="default"/>
      </w:rPr>
    </w:lvl>
    <w:lvl w:ilvl="2" w:tentative="0">
      <w:start w:val="1"/>
      <w:numFmt w:val="decimal"/>
      <w:pStyle w:val="6"/>
      <w:suff w:val="nothing"/>
      <w:lvlText w:val="%1.%2.%3."/>
      <w:lvlJc w:val="left"/>
      <w:pPr>
        <w:tabs>
          <w:tab w:val="left" w:pos="0"/>
        </w:tabs>
        <w:ind w:left="720" w:hanging="720"/>
      </w:pPr>
      <w:rPr>
        <w:rFonts w:hint="default"/>
      </w:rPr>
    </w:lvl>
    <w:lvl w:ilvl="3" w:tentative="0">
      <w:start w:val="1"/>
      <w:numFmt w:val="decimal"/>
      <w:lvlText w:val="%1.%2.%3.%4."/>
      <w:lvlJc w:val="left"/>
      <w:pPr>
        <w:ind w:left="864" w:hanging="864"/>
      </w:pPr>
      <w:rPr>
        <w:rFonts w:hint="default"/>
      </w:rPr>
    </w:lvl>
    <w:lvl w:ilvl="4" w:tentative="0">
      <w:start w:val="1"/>
      <w:numFmt w:val="decimal"/>
      <w:lvlText w:val="%1.%2.%3.%4.%5."/>
      <w:lvlJc w:val="left"/>
      <w:pPr>
        <w:ind w:left="1008" w:hanging="1008"/>
      </w:pPr>
      <w:rPr>
        <w:rFonts w:hint="default"/>
      </w:rPr>
    </w:lvl>
    <w:lvl w:ilvl="5" w:tentative="0">
      <w:start w:val="1"/>
      <w:numFmt w:val="decimal"/>
      <w:lvlText w:val="%1.%2.%3.%4.%5.%6."/>
      <w:lvlJc w:val="left"/>
      <w:pPr>
        <w:ind w:left="1151" w:hanging="1151"/>
      </w:pPr>
      <w:rPr>
        <w:rFonts w:hint="default"/>
      </w:rPr>
    </w:lvl>
    <w:lvl w:ilvl="6" w:tentative="0">
      <w:start w:val="1"/>
      <w:numFmt w:val="decimal"/>
      <w:lvlText w:val="%1.%2.%3.%4.%5.%6.%7."/>
      <w:lvlJc w:val="left"/>
      <w:pPr>
        <w:ind w:left="1296" w:hanging="1296"/>
      </w:pPr>
      <w:rPr>
        <w:rFonts w:hint="default"/>
      </w:rPr>
    </w:lvl>
    <w:lvl w:ilvl="7" w:tentative="0">
      <w:start w:val="1"/>
      <w:numFmt w:val="decimal"/>
      <w:lvlText w:val="%1.%2.%3.%4.%5.%6.%7.%8."/>
      <w:lvlJc w:val="left"/>
      <w:pPr>
        <w:ind w:left="1440" w:hanging="1440"/>
      </w:pPr>
      <w:rPr>
        <w:rFonts w:hint="default"/>
      </w:rPr>
    </w:lvl>
    <w:lvl w:ilvl="8" w:tentative="0">
      <w:start w:val="1"/>
      <w:numFmt w:val="decimal"/>
      <w:lvlText w:val="%1.%2.%3.%4.%5.%6.%7.%8.%9."/>
      <w:lvlJc w:val="left"/>
      <w:pPr>
        <w:ind w:left="1583" w:hanging="1583"/>
      </w:pPr>
      <w:rPr>
        <w:rFonts w:hint="default"/>
      </w:rPr>
    </w:lvl>
  </w:abstractNum>
  <w:abstractNum w:abstractNumId="3">
    <w:nsid w:val="1388F797"/>
    <w:multiLevelType w:val="singleLevel"/>
    <w:tmpl w:val="1388F797"/>
    <w:lvl w:ilvl="0" w:tentative="0">
      <w:start w:val="1"/>
      <w:numFmt w:val="decimal"/>
      <w:suff w:val="nothing"/>
      <w:lvlText w:val="（%1）"/>
      <w:lvlJc w:val="left"/>
      <w:pPr>
        <w:ind w:left="0" w:leftChars="0" w:firstLine="425" w:firstLineChars="0"/>
      </w:pPr>
      <w:rPr>
        <w:rFonts w:hint="default"/>
      </w:rPr>
    </w:lvl>
  </w:abstractNum>
  <w:abstractNum w:abstractNumId="4">
    <w:nsid w:val="2C773A78"/>
    <w:multiLevelType w:val="singleLevel"/>
    <w:tmpl w:val="2C773A78"/>
    <w:lvl w:ilvl="0" w:tentative="0">
      <w:start w:val="1"/>
      <w:numFmt w:val="decimal"/>
      <w:suff w:val="nothing"/>
      <w:lvlText w:val="（%1）"/>
      <w:lvlJc w:val="left"/>
      <w:pPr>
        <w:ind w:left="0" w:leftChars="0" w:firstLine="425" w:firstLineChars="0"/>
      </w:pPr>
      <w:rPr>
        <w:rFonts w:hint="default"/>
      </w:rPr>
    </w:lvl>
  </w:abstractNum>
  <w:abstractNum w:abstractNumId="5">
    <w:nsid w:val="3D2C140D"/>
    <w:multiLevelType w:val="multilevel"/>
    <w:tmpl w:val="3D2C140D"/>
    <w:lvl w:ilvl="0" w:tentative="0">
      <w:start w:val="1"/>
      <w:numFmt w:val="decimal"/>
      <w:pStyle w:val="35"/>
      <w:suff w:val="nothing"/>
      <w:lvlText w:val="%1、"/>
      <w:lvlJc w:val="left"/>
      <w:pPr>
        <w:ind w:left="0" w:firstLine="561"/>
      </w:pPr>
      <w:rPr>
        <w:b w:val="0"/>
        <w:bCs w:val="0"/>
        <w:i w:val="0"/>
        <w:iCs w:val="0"/>
        <w:caps w:val="0"/>
        <w:smallCaps w:val="0"/>
        <w:strike w:val="0"/>
        <w:dstrike w:val="0"/>
        <w:vanish w:val="0"/>
        <w:color w:val="auto"/>
        <w:spacing w:val="0"/>
        <w:position w:val="0"/>
        <w:u w:val="none"/>
        <w:vertAlign w:val="baseline"/>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num w:numId="1">
    <w:abstractNumId w:val="2"/>
  </w:num>
  <w:num w:numId="2">
    <w:abstractNumId w:val="0"/>
  </w:num>
  <w:num w:numId="3">
    <w:abstractNumId w:val="5"/>
  </w:num>
  <w:num w:numId="4">
    <w:abstractNumId w:val="3"/>
  </w:num>
  <w:num w:numId="5">
    <w:abstractNumId w:val="4"/>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225378"/>
    <w:rsid w:val="005A0FB6"/>
    <w:rsid w:val="00692FA7"/>
    <w:rsid w:val="00A6244D"/>
    <w:rsid w:val="00A81D22"/>
    <w:rsid w:val="00C14B91"/>
    <w:rsid w:val="00EF683B"/>
    <w:rsid w:val="010D7DD7"/>
    <w:rsid w:val="014D4677"/>
    <w:rsid w:val="01527EDF"/>
    <w:rsid w:val="016A347B"/>
    <w:rsid w:val="01853E11"/>
    <w:rsid w:val="019B1886"/>
    <w:rsid w:val="01BD7A4F"/>
    <w:rsid w:val="01D134FA"/>
    <w:rsid w:val="01D34B7C"/>
    <w:rsid w:val="01DC6BF5"/>
    <w:rsid w:val="01DF79C5"/>
    <w:rsid w:val="01E734EB"/>
    <w:rsid w:val="01F1594A"/>
    <w:rsid w:val="01F86CD9"/>
    <w:rsid w:val="02025461"/>
    <w:rsid w:val="02145195"/>
    <w:rsid w:val="02184C85"/>
    <w:rsid w:val="02335F57"/>
    <w:rsid w:val="02375428"/>
    <w:rsid w:val="02385327"/>
    <w:rsid w:val="02421D02"/>
    <w:rsid w:val="02510197"/>
    <w:rsid w:val="025832D3"/>
    <w:rsid w:val="02677761"/>
    <w:rsid w:val="028C041D"/>
    <w:rsid w:val="0293734B"/>
    <w:rsid w:val="029A1B3E"/>
    <w:rsid w:val="029C1412"/>
    <w:rsid w:val="02A12ECC"/>
    <w:rsid w:val="02AD7AC3"/>
    <w:rsid w:val="02C170CB"/>
    <w:rsid w:val="02E96621"/>
    <w:rsid w:val="02EE59E6"/>
    <w:rsid w:val="02F92D08"/>
    <w:rsid w:val="02FA25DD"/>
    <w:rsid w:val="02FD418E"/>
    <w:rsid w:val="030D0562"/>
    <w:rsid w:val="03130462"/>
    <w:rsid w:val="03351867"/>
    <w:rsid w:val="03367AB9"/>
    <w:rsid w:val="03457CFC"/>
    <w:rsid w:val="03505757"/>
    <w:rsid w:val="0363071E"/>
    <w:rsid w:val="036363D4"/>
    <w:rsid w:val="03767EB5"/>
    <w:rsid w:val="037800D1"/>
    <w:rsid w:val="037A6C86"/>
    <w:rsid w:val="03920A67"/>
    <w:rsid w:val="039A11E0"/>
    <w:rsid w:val="03A8028B"/>
    <w:rsid w:val="03C9092D"/>
    <w:rsid w:val="03D17D05"/>
    <w:rsid w:val="03DE3CAC"/>
    <w:rsid w:val="03EE0393"/>
    <w:rsid w:val="03F678EC"/>
    <w:rsid w:val="03FB2D2A"/>
    <w:rsid w:val="04253689"/>
    <w:rsid w:val="04272E41"/>
    <w:rsid w:val="043F299D"/>
    <w:rsid w:val="04770389"/>
    <w:rsid w:val="04820ADC"/>
    <w:rsid w:val="048E47CB"/>
    <w:rsid w:val="048E7480"/>
    <w:rsid w:val="049251C3"/>
    <w:rsid w:val="04C17856"/>
    <w:rsid w:val="04C9495C"/>
    <w:rsid w:val="04D550AF"/>
    <w:rsid w:val="04E46248"/>
    <w:rsid w:val="05031C1C"/>
    <w:rsid w:val="050F6813"/>
    <w:rsid w:val="051A51B8"/>
    <w:rsid w:val="052E656D"/>
    <w:rsid w:val="053718C6"/>
    <w:rsid w:val="05595CE0"/>
    <w:rsid w:val="055E32F7"/>
    <w:rsid w:val="05954730"/>
    <w:rsid w:val="05A84572"/>
    <w:rsid w:val="05BD626F"/>
    <w:rsid w:val="05D13AC9"/>
    <w:rsid w:val="05D84E57"/>
    <w:rsid w:val="05D9297D"/>
    <w:rsid w:val="05D94D16"/>
    <w:rsid w:val="05DB04A3"/>
    <w:rsid w:val="05F41565"/>
    <w:rsid w:val="05FC520E"/>
    <w:rsid w:val="06007F0A"/>
    <w:rsid w:val="06253E14"/>
    <w:rsid w:val="062A31D9"/>
    <w:rsid w:val="062C43E7"/>
    <w:rsid w:val="063171D2"/>
    <w:rsid w:val="063F6C84"/>
    <w:rsid w:val="06456265"/>
    <w:rsid w:val="064E6EC7"/>
    <w:rsid w:val="066466EB"/>
    <w:rsid w:val="066B5CCB"/>
    <w:rsid w:val="067D59FE"/>
    <w:rsid w:val="06B45919"/>
    <w:rsid w:val="06B70F10"/>
    <w:rsid w:val="06B9739A"/>
    <w:rsid w:val="06BD5DFB"/>
    <w:rsid w:val="06C4362D"/>
    <w:rsid w:val="06C90C44"/>
    <w:rsid w:val="06CC603E"/>
    <w:rsid w:val="06F55595"/>
    <w:rsid w:val="06FD269B"/>
    <w:rsid w:val="07084435"/>
    <w:rsid w:val="071E2D3E"/>
    <w:rsid w:val="07222102"/>
    <w:rsid w:val="072440CC"/>
    <w:rsid w:val="07351E35"/>
    <w:rsid w:val="0754467F"/>
    <w:rsid w:val="075A7AEE"/>
    <w:rsid w:val="076072C9"/>
    <w:rsid w:val="07610E7C"/>
    <w:rsid w:val="076D15CF"/>
    <w:rsid w:val="0777244E"/>
    <w:rsid w:val="077961C6"/>
    <w:rsid w:val="077E1A2E"/>
    <w:rsid w:val="07832BA1"/>
    <w:rsid w:val="0795326A"/>
    <w:rsid w:val="07A11279"/>
    <w:rsid w:val="07A121DD"/>
    <w:rsid w:val="07A50D69"/>
    <w:rsid w:val="07A5520D"/>
    <w:rsid w:val="07AF3996"/>
    <w:rsid w:val="07C84A57"/>
    <w:rsid w:val="07CF228A"/>
    <w:rsid w:val="07DB478B"/>
    <w:rsid w:val="07E6312F"/>
    <w:rsid w:val="08110A1D"/>
    <w:rsid w:val="083245C7"/>
    <w:rsid w:val="08444A26"/>
    <w:rsid w:val="08496777"/>
    <w:rsid w:val="085B47BB"/>
    <w:rsid w:val="08670714"/>
    <w:rsid w:val="088A61B1"/>
    <w:rsid w:val="08D613F6"/>
    <w:rsid w:val="08E9737B"/>
    <w:rsid w:val="092D54BA"/>
    <w:rsid w:val="094B1DE4"/>
    <w:rsid w:val="095D5673"/>
    <w:rsid w:val="0966277A"/>
    <w:rsid w:val="096D3B08"/>
    <w:rsid w:val="097D04E3"/>
    <w:rsid w:val="0992356F"/>
    <w:rsid w:val="09A92667"/>
    <w:rsid w:val="09C13E54"/>
    <w:rsid w:val="09C35E1E"/>
    <w:rsid w:val="09C474A0"/>
    <w:rsid w:val="09FB1114"/>
    <w:rsid w:val="0A23066B"/>
    <w:rsid w:val="0A285C81"/>
    <w:rsid w:val="0A2D14EA"/>
    <w:rsid w:val="0A304CFB"/>
    <w:rsid w:val="0A342878"/>
    <w:rsid w:val="0A344626"/>
    <w:rsid w:val="0A4F1460"/>
    <w:rsid w:val="0A622F41"/>
    <w:rsid w:val="0A825391"/>
    <w:rsid w:val="0AB45767"/>
    <w:rsid w:val="0AC51722"/>
    <w:rsid w:val="0AC57974"/>
    <w:rsid w:val="0AD57BB7"/>
    <w:rsid w:val="0ADA341F"/>
    <w:rsid w:val="0ADF474F"/>
    <w:rsid w:val="0AE0030A"/>
    <w:rsid w:val="0AEE2A27"/>
    <w:rsid w:val="0AF838A6"/>
    <w:rsid w:val="0B0B7F7B"/>
    <w:rsid w:val="0B196157"/>
    <w:rsid w:val="0B3643CE"/>
    <w:rsid w:val="0B505490"/>
    <w:rsid w:val="0B5660DD"/>
    <w:rsid w:val="0B844659"/>
    <w:rsid w:val="0B903ADE"/>
    <w:rsid w:val="0B957346"/>
    <w:rsid w:val="0B9A4EF3"/>
    <w:rsid w:val="0BA80E28"/>
    <w:rsid w:val="0BB35A1E"/>
    <w:rsid w:val="0BBE064B"/>
    <w:rsid w:val="0BC23C69"/>
    <w:rsid w:val="0BF16C73"/>
    <w:rsid w:val="0BF57DE5"/>
    <w:rsid w:val="0C0D1227"/>
    <w:rsid w:val="0C122745"/>
    <w:rsid w:val="0C14470F"/>
    <w:rsid w:val="0C1F7B9B"/>
    <w:rsid w:val="0C2A7A8F"/>
    <w:rsid w:val="0C3E178C"/>
    <w:rsid w:val="0C62191E"/>
    <w:rsid w:val="0C774C9E"/>
    <w:rsid w:val="0C7E7DDA"/>
    <w:rsid w:val="0C8F4B2F"/>
    <w:rsid w:val="0C915D60"/>
    <w:rsid w:val="0C9413AC"/>
    <w:rsid w:val="0C9C64B3"/>
    <w:rsid w:val="0CBE28CD"/>
    <w:rsid w:val="0CC9374C"/>
    <w:rsid w:val="0CEE31B2"/>
    <w:rsid w:val="0D2E75FC"/>
    <w:rsid w:val="0D407866"/>
    <w:rsid w:val="0D4C7ED9"/>
    <w:rsid w:val="0D617503"/>
    <w:rsid w:val="0D633394"/>
    <w:rsid w:val="0D696CDD"/>
    <w:rsid w:val="0D7063D6"/>
    <w:rsid w:val="0D7705B8"/>
    <w:rsid w:val="0D8256A8"/>
    <w:rsid w:val="0DA73361"/>
    <w:rsid w:val="0DAB2E51"/>
    <w:rsid w:val="0DB55A7E"/>
    <w:rsid w:val="0DC932D7"/>
    <w:rsid w:val="0DDC300B"/>
    <w:rsid w:val="0DDF4DFE"/>
    <w:rsid w:val="0DF26CD2"/>
    <w:rsid w:val="0DFF4F4B"/>
    <w:rsid w:val="0E0B38F0"/>
    <w:rsid w:val="0E1235A8"/>
    <w:rsid w:val="0E2246A2"/>
    <w:rsid w:val="0E2624D8"/>
    <w:rsid w:val="0E2B5D40"/>
    <w:rsid w:val="0E326D66"/>
    <w:rsid w:val="0E344BF5"/>
    <w:rsid w:val="0E4536AF"/>
    <w:rsid w:val="0E5E6115"/>
    <w:rsid w:val="0E6C0832"/>
    <w:rsid w:val="0E7A0C4F"/>
    <w:rsid w:val="0E7A1980"/>
    <w:rsid w:val="0E883192"/>
    <w:rsid w:val="0E8A2A67"/>
    <w:rsid w:val="0E8D07A9"/>
    <w:rsid w:val="0EA7186A"/>
    <w:rsid w:val="0EB16245"/>
    <w:rsid w:val="0EC0292C"/>
    <w:rsid w:val="0EC046DA"/>
    <w:rsid w:val="0ECF491D"/>
    <w:rsid w:val="0ED32660"/>
    <w:rsid w:val="0ED87C76"/>
    <w:rsid w:val="0EEA79A9"/>
    <w:rsid w:val="0EF44384"/>
    <w:rsid w:val="0F1F3AF7"/>
    <w:rsid w:val="0F30565D"/>
    <w:rsid w:val="0F437B1F"/>
    <w:rsid w:val="0F713C26"/>
    <w:rsid w:val="0F7656DC"/>
    <w:rsid w:val="0F7B4AA5"/>
    <w:rsid w:val="0F847DFE"/>
    <w:rsid w:val="0FA47B58"/>
    <w:rsid w:val="0FC048D4"/>
    <w:rsid w:val="0FCD175A"/>
    <w:rsid w:val="10107FF7"/>
    <w:rsid w:val="10156CA8"/>
    <w:rsid w:val="102B64CB"/>
    <w:rsid w:val="10467F75"/>
    <w:rsid w:val="104A4BA3"/>
    <w:rsid w:val="104D01F0"/>
    <w:rsid w:val="105B0B5E"/>
    <w:rsid w:val="10771710"/>
    <w:rsid w:val="10863EBB"/>
    <w:rsid w:val="1088747A"/>
    <w:rsid w:val="10945158"/>
    <w:rsid w:val="10B57E5D"/>
    <w:rsid w:val="10F16DCD"/>
    <w:rsid w:val="110A4333"/>
    <w:rsid w:val="1111121D"/>
    <w:rsid w:val="11146F5F"/>
    <w:rsid w:val="1125116C"/>
    <w:rsid w:val="112C24FB"/>
    <w:rsid w:val="1142587A"/>
    <w:rsid w:val="11482C2E"/>
    <w:rsid w:val="115C6374"/>
    <w:rsid w:val="11785740"/>
    <w:rsid w:val="1185547F"/>
    <w:rsid w:val="118A3AC3"/>
    <w:rsid w:val="11A42091"/>
    <w:rsid w:val="11B5604C"/>
    <w:rsid w:val="11C42733"/>
    <w:rsid w:val="11CC783A"/>
    <w:rsid w:val="11EB5F12"/>
    <w:rsid w:val="11FA3C6A"/>
    <w:rsid w:val="11FD5C45"/>
    <w:rsid w:val="12170AB5"/>
    <w:rsid w:val="125A6BF4"/>
    <w:rsid w:val="12647A72"/>
    <w:rsid w:val="12751FBA"/>
    <w:rsid w:val="128D521B"/>
    <w:rsid w:val="128F2D41"/>
    <w:rsid w:val="129C0FBA"/>
    <w:rsid w:val="12A460C1"/>
    <w:rsid w:val="12CF1390"/>
    <w:rsid w:val="13235AD8"/>
    <w:rsid w:val="13294F44"/>
    <w:rsid w:val="13367661"/>
    <w:rsid w:val="13385187"/>
    <w:rsid w:val="13405DEA"/>
    <w:rsid w:val="134F427F"/>
    <w:rsid w:val="136A10B9"/>
    <w:rsid w:val="136B6FEA"/>
    <w:rsid w:val="137F256B"/>
    <w:rsid w:val="1384217A"/>
    <w:rsid w:val="13914897"/>
    <w:rsid w:val="13A4281C"/>
    <w:rsid w:val="13A91BE1"/>
    <w:rsid w:val="13DF1AA7"/>
    <w:rsid w:val="13E175CD"/>
    <w:rsid w:val="13F05A62"/>
    <w:rsid w:val="142007B3"/>
    <w:rsid w:val="1424570B"/>
    <w:rsid w:val="14302302"/>
    <w:rsid w:val="14305E5E"/>
    <w:rsid w:val="1430641E"/>
    <w:rsid w:val="143C2A55"/>
    <w:rsid w:val="146401FE"/>
    <w:rsid w:val="14795A57"/>
    <w:rsid w:val="149F2FE4"/>
    <w:rsid w:val="14B37EFB"/>
    <w:rsid w:val="14E76E65"/>
    <w:rsid w:val="14FE5F5C"/>
    <w:rsid w:val="14FF01CE"/>
    <w:rsid w:val="15431BC1"/>
    <w:rsid w:val="15694528"/>
    <w:rsid w:val="15A06CAE"/>
    <w:rsid w:val="15BF393E"/>
    <w:rsid w:val="15D31197"/>
    <w:rsid w:val="15D65076"/>
    <w:rsid w:val="161B1156"/>
    <w:rsid w:val="161D2412"/>
    <w:rsid w:val="162639BD"/>
    <w:rsid w:val="163B0AEA"/>
    <w:rsid w:val="163C6D3C"/>
    <w:rsid w:val="16481B85"/>
    <w:rsid w:val="16534086"/>
    <w:rsid w:val="165779D5"/>
    <w:rsid w:val="165C73DE"/>
    <w:rsid w:val="166718DF"/>
    <w:rsid w:val="168C12D1"/>
    <w:rsid w:val="16921052"/>
    <w:rsid w:val="16922E00"/>
    <w:rsid w:val="16930926"/>
    <w:rsid w:val="169721C5"/>
    <w:rsid w:val="16D056D6"/>
    <w:rsid w:val="16D9376D"/>
    <w:rsid w:val="16F119F4"/>
    <w:rsid w:val="16F643D6"/>
    <w:rsid w:val="17013AE2"/>
    <w:rsid w:val="17263548"/>
    <w:rsid w:val="172D48D7"/>
    <w:rsid w:val="172E7CE3"/>
    <w:rsid w:val="17377504"/>
    <w:rsid w:val="173C2D6C"/>
    <w:rsid w:val="17463BEB"/>
    <w:rsid w:val="17626C76"/>
    <w:rsid w:val="178D35C8"/>
    <w:rsid w:val="1798116C"/>
    <w:rsid w:val="17C27715"/>
    <w:rsid w:val="17C40257"/>
    <w:rsid w:val="17D47448"/>
    <w:rsid w:val="17E4768B"/>
    <w:rsid w:val="17E72CD8"/>
    <w:rsid w:val="17EB6C6C"/>
    <w:rsid w:val="17FD074D"/>
    <w:rsid w:val="18055854"/>
    <w:rsid w:val="18090EA0"/>
    <w:rsid w:val="180B10BC"/>
    <w:rsid w:val="180D7409"/>
    <w:rsid w:val="18153CE9"/>
    <w:rsid w:val="182A4058"/>
    <w:rsid w:val="184815FD"/>
    <w:rsid w:val="185D2F9A"/>
    <w:rsid w:val="18761375"/>
    <w:rsid w:val="187A1D9E"/>
    <w:rsid w:val="187B0B24"/>
    <w:rsid w:val="189A2440"/>
    <w:rsid w:val="189A41EE"/>
    <w:rsid w:val="18B3705E"/>
    <w:rsid w:val="18C354F3"/>
    <w:rsid w:val="18D86AC4"/>
    <w:rsid w:val="18D92F68"/>
    <w:rsid w:val="18DC65B5"/>
    <w:rsid w:val="18EB2C9C"/>
    <w:rsid w:val="18EF453A"/>
    <w:rsid w:val="190B50EC"/>
    <w:rsid w:val="190F0738"/>
    <w:rsid w:val="193F0D14"/>
    <w:rsid w:val="195264FF"/>
    <w:rsid w:val="19570331"/>
    <w:rsid w:val="19921369"/>
    <w:rsid w:val="19924EC5"/>
    <w:rsid w:val="199E7D0E"/>
    <w:rsid w:val="19D13C3F"/>
    <w:rsid w:val="19DF45AE"/>
    <w:rsid w:val="19E576EB"/>
    <w:rsid w:val="19E716B5"/>
    <w:rsid w:val="1A0E6C42"/>
    <w:rsid w:val="1A141D7E"/>
    <w:rsid w:val="1A246465"/>
    <w:rsid w:val="1A271AB1"/>
    <w:rsid w:val="1A46462D"/>
    <w:rsid w:val="1A4C59BC"/>
    <w:rsid w:val="1A514D80"/>
    <w:rsid w:val="1A564145"/>
    <w:rsid w:val="1A58610F"/>
    <w:rsid w:val="1A75180F"/>
    <w:rsid w:val="1A824F3A"/>
    <w:rsid w:val="1A846F04"/>
    <w:rsid w:val="1A8578EB"/>
    <w:rsid w:val="1ABB3EE2"/>
    <w:rsid w:val="1ADD6614"/>
    <w:rsid w:val="1AEB2ADF"/>
    <w:rsid w:val="1B063DBD"/>
    <w:rsid w:val="1B1A1616"/>
    <w:rsid w:val="1B2129A5"/>
    <w:rsid w:val="1B440441"/>
    <w:rsid w:val="1B83540D"/>
    <w:rsid w:val="1B9B2757"/>
    <w:rsid w:val="1B9E5DA3"/>
    <w:rsid w:val="1BBC26CD"/>
    <w:rsid w:val="1BE91714"/>
    <w:rsid w:val="1BF43C15"/>
    <w:rsid w:val="1BFA7D55"/>
    <w:rsid w:val="1C3C07FD"/>
    <w:rsid w:val="1C444B9D"/>
    <w:rsid w:val="1C4B61CA"/>
    <w:rsid w:val="1C556DAA"/>
    <w:rsid w:val="1C5A616E"/>
    <w:rsid w:val="1C6C7C4F"/>
    <w:rsid w:val="1C746B04"/>
    <w:rsid w:val="1C821221"/>
    <w:rsid w:val="1C827473"/>
    <w:rsid w:val="1C8E6761"/>
    <w:rsid w:val="1C964CCC"/>
    <w:rsid w:val="1C99656B"/>
    <w:rsid w:val="1CA13D9D"/>
    <w:rsid w:val="1CB25FAA"/>
    <w:rsid w:val="1CB33AD0"/>
    <w:rsid w:val="1CC01D49"/>
    <w:rsid w:val="1CDC3027"/>
    <w:rsid w:val="1CF0262F"/>
    <w:rsid w:val="1CF06AD2"/>
    <w:rsid w:val="1CFC5477"/>
    <w:rsid w:val="1D0D31E0"/>
    <w:rsid w:val="1D4B1F5B"/>
    <w:rsid w:val="1D4B3D09"/>
    <w:rsid w:val="1D7E5E8C"/>
    <w:rsid w:val="1DA578BD"/>
    <w:rsid w:val="1DB77EC3"/>
    <w:rsid w:val="1DC35F95"/>
    <w:rsid w:val="1DD43CFE"/>
    <w:rsid w:val="1DDC0E05"/>
    <w:rsid w:val="1DF61EC7"/>
    <w:rsid w:val="1DFC5003"/>
    <w:rsid w:val="1E0C793C"/>
    <w:rsid w:val="1E0F4D36"/>
    <w:rsid w:val="1E136E7C"/>
    <w:rsid w:val="1E205195"/>
    <w:rsid w:val="1E220F0E"/>
    <w:rsid w:val="1E360515"/>
    <w:rsid w:val="1E534E56"/>
    <w:rsid w:val="1E5D0198"/>
    <w:rsid w:val="1E7352C5"/>
    <w:rsid w:val="1E764DB5"/>
    <w:rsid w:val="1EB624A3"/>
    <w:rsid w:val="1F0028D1"/>
    <w:rsid w:val="1F01666F"/>
    <w:rsid w:val="1F170346"/>
    <w:rsid w:val="1F1D58B1"/>
    <w:rsid w:val="1F2E743E"/>
    <w:rsid w:val="1F4B6242"/>
    <w:rsid w:val="1F525822"/>
    <w:rsid w:val="1F7532BF"/>
    <w:rsid w:val="1F775289"/>
    <w:rsid w:val="1F8F25D3"/>
    <w:rsid w:val="1F9279CD"/>
    <w:rsid w:val="1FB3744D"/>
    <w:rsid w:val="1FB738D7"/>
    <w:rsid w:val="1FBC0EEE"/>
    <w:rsid w:val="1FC3402A"/>
    <w:rsid w:val="1FD3514A"/>
    <w:rsid w:val="1FD75D28"/>
    <w:rsid w:val="1FE8583F"/>
    <w:rsid w:val="1FFC578E"/>
    <w:rsid w:val="200A7EAB"/>
    <w:rsid w:val="201E6DFF"/>
    <w:rsid w:val="20234AC9"/>
    <w:rsid w:val="20334F74"/>
    <w:rsid w:val="20362A4E"/>
    <w:rsid w:val="204131A1"/>
    <w:rsid w:val="20474C5B"/>
    <w:rsid w:val="205660BD"/>
    <w:rsid w:val="205B4263"/>
    <w:rsid w:val="205E1FA5"/>
    <w:rsid w:val="206A6B9C"/>
    <w:rsid w:val="20743577"/>
    <w:rsid w:val="208520D7"/>
    <w:rsid w:val="20987265"/>
    <w:rsid w:val="209B4FA7"/>
    <w:rsid w:val="20AC4ABE"/>
    <w:rsid w:val="20BB11A5"/>
    <w:rsid w:val="20D858B3"/>
    <w:rsid w:val="20DD55C0"/>
    <w:rsid w:val="20F36B91"/>
    <w:rsid w:val="21026DD4"/>
    <w:rsid w:val="21133619"/>
    <w:rsid w:val="211F1734"/>
    <w:rsid w:val="21294361"/>
    <w:rsid w:val="212E2532"/>
    <w:rsid w:val="215313DE"/>
    <w:rsid w:val="215C64E4"/>
    <w:rsid w:val="21611D4D"/>
    <w:rsid w:val="21822D59"/>
    <w:rsid w:val="21871088"/>
    <w:rsid w:val="2190618E"/>
    <w:rsid w:val="21B005DE"/>
    <w:rsid w:val="21B53E47"/>
    <w:rsid w:val="21CD73E2"/>
    <w:rsid w:val="21EE1107"/>
    <w:rsid w:val="21F91F85"/>
    <w:rsid w:val="220F3557"/>
    <w:rsid w:val="22317971"/>
    <w:rsid w:val="22476665"/>
    <w:rsid w:val="22482214"/>
    <w:rsid w:val="226A7D6C"/>
    <w:rsid w:val="2271206B"/>
    <w:rsid w:val="227710FC"/>
    <w:rsid w:val="227855A0"/>
    <w:rsid w:val="228D6B72"/>
    <w:rsid w:val="229B303C"/>
    <w:rsid w:val="22A04AF7"/>
    <w:rsid w:val="22A26755"/>
    <w:rsid w:val="22BD7457"/>
    <w:rsid w:val="22D93B65"/>
    <w:rsid w:val="22E06CA1"/>
    <w:rsid w:val="22F32E79"/>
    <w:rsid w:val="233F1C1A"/>
    <w:rsid w:val="23566F63"/>
    <w:rsid w:val="23571659"/>
    <w:rsid w:val="23757D31"/>
    <w:rsid w:val="237D0994"/>
    <w:rsid w:val="237F295E"/>
    <w:rsid w:val="2389558B"/>
    <w:rsid w:val="23A61C99"/>
    <w:rsid w:val="23A83C63"/>
    <w:rsid w:val="23C16AD3"/>
    <w:rsid w:val="23CC4733"/>
    <w:rsid w:val="23CE11F0"/>
    <w:rsid w:val="23D031BA"/>
    <w:rsid w:val="23D36E15"/>
    <w:rsid w:val="23DD1433"/>
    <w:rsid w:val="23E66539"/>
    <w:rsid w:val="23EE3640"/>
    <w:rsid w:val="23FC3FAF"/>
    <w:rsid w:val="2412732E"/>
    <w:rsid w:val="24194B61"/>
    <w:rsid w:val="242552B4"/>
    <w:rsid w:val="24280900"/>
    <w:rsid w:val="243454F7"/>
    <w:rsid w:val="24390D5F"/>
    <w:rsid w:val="24561911"/>
    <w:rsid w:val="247022A7"/>
    <w:rsid w:val="24773635"/>
    <w:rsid w:val="2492221D"/>
    <w:rsid w:val="24A26904"/>
    <w:rsid w:val="24A46477"/>
    <w:rsid w:val="24A87C93"/>
    <w:rsid w:val="24C10BC5"/>
    <w:rsid w:val="24C90335"/>
    <w:rsid w:val="24D34D10"/>
    <w:rsid w:val="24D740D4"/>
    <w:rsid w:val="24DB1E16"/>
    <w:rsid w:val="24DD5B8E"/>
    <w:rsid w:val="24E0567E"/>
    <w:rsid w:val="24E16D01"/>
    <w:rsid w:val="24EF7670"/>
    <w:rsid w:val="250824DF"/>
    <w:rsid w:val="250C6474"/>
    <w:rsid w:val="25115838"/>
    <w:rsid w:val="25117CC1"/>
    <w:rsid w:val="25164BFC"/>
    <w:rsid w:val="25251EEB"/>
    <w:rsid w:val="255120D8"/>
    <w:rsid w:val="2561625B"/>
    <w:rsid w:val="256367CC"/>
    <w:rsid w:val="256F255E"/>
    <w:rsid w:val="25757B75"/>
    <w:rsid w:val="257D4C7B"/>
    <w:rsid w:val="25956469"/>
    <w:rsid w:val="25987D07"/>
    <w:rsid w:val="259D3570"/>
    <w:rsid w:val="25BC57A4"/>
    <w:rsid w:val="25F34F3E"/>
    <w:rsid w:val="25FC0296"/>
    <w:rsid w:val="2607503C"/>
    <w:rsid w:val="26084E8D"/>
    <w:rsid w:val="260929B3"/>
    <w:rsid w:val="2610184F"/>
    <w:rsid w:val="262D35EA"/>
    <w:rsid w:val="263712CE"/>
    <w:rsid w:val="263F63D5"/>
    <w:rsid w:val="26451C3D"/>
    <w:rsid w:val="264D6A1C"/>
    <w:rsid w:val="265E4AAD"/>
    <w:rsid w:val="26720558"/>
    <w:rsid w:val="2685203A"/>
    <w:rsid w:val="26914E82"/>
    <w:rsid w:val="26924756"/>
    <w:rsid w:val="26A46896"/>
    <w:rsid w:val="26B6680A"/>
    <w:rsid w:val="26D62895"/>
    <w:rsid w:val="26EB3E67"/>
    <w:rsid w:val="26F62F37"/>
    <w:rsid w:val="26FE1F5C"/>
    <w:rsid w:val="27225ADA"/>
    <w:rsid w:val="273B4DEE"/>
    <w:rsid w:val="276F4A98"/>
    <w:rsid w:val="27734588"/>
    <w:rsid w:val="27985D9D"/>
    <w:rsid w:val="279938C3"/>
    <w:rsid w:val="27B23302"/>
    <w:rsid w:val="27B30E28"/>
    <w:rsid w:val="27B801ED"/>
    <w:rsid w:val="27B96E8B"/>
    <w:rsid w:val="27C44DE4"/>
    <w:rsid w:val="27CB7F20"/>
    <w:rsid w:val="27D35027"/>
    <w:rsid w:val="27D74B17"/>
    <w:rsid w:val="27E47234"/>
    <w:rsid w:val="27E532D7"/>
    <w:rsid w:val="27F05BD9"/>
    <w:rsid w:val="280451E0"/>
    <w:rsid w:val="280653FC"/>
    <w:rsid w:val="280E32DC"/>
    <w:rsid w:val="28123DA1"/>
    <w:rsid w:val="281A4A03"/>
    <w:rsid w:val="282B7B1E"/>
    <w:rsid w:val="28341F69"/>
    <w:rsid w:val="28353194"/>
    <w:rsid w:val="283830DC"/>
    <w:rsid w:val="283C0E1E"/>
    <w:rsid w:val="284731E8"/>
    <w:rsid w:val="284D6B87"/>
    <w:rsid w:val="285F2D5E"/>
    <w:rsid w:val="286F2FA1"/>
    <w:rsid w:val="28A569C3"/>
    <w:rsid w:val="28AC5FA3"/>
    <w:rsid w:val="28B74948"/>
    <w:rsid w:val="28C36E49"/>
    <w:rsid w:val="28CB21A2"/>
    <w:rsid w:val="28ED6CB4"/>
    <w:rsid w:val="28FE60D3"/>
    <w:rsid w:val="290336EA"/>
    <w:rsid w:val="290C6A42"/>
    <w:rsid w:val="290D6316"/>
    <w:rsid w:val="29395380"/>
    <w:rsid w:val="293B2E83"/>
    <w:rsid w:val="29477A7A"/>
    <w:rsid w:val="29581C87"/>
    <w:rsid w:val="2959155B"/>
    <w:rsid w:val="295D729E"/>
    <w:rsid w:val="295E3016"/>
    <w:rsid w:val="296419B8"/>
    <w:rsid w:val="296E3259"/>
    <w:rsid w:val="297B3A7E"/>
    <w:rsid w:val="29804D3A"/>
    <w:rsid w:val="29947356"/>
    <w:rsid w:val="29A63FC9"/>
    <w:rsid w:val="29A94291"/>
    <w:rsid w:val="29AA01E2"/>
    <w:rsid w:val="29B9024C"/>
    <w:rsid w:val="29C410CB"/>
    <w:rsid w:val="29C4731D"/>
    <w:rsid w:val="29FA4AED"/>
    <w:rsid w:val="2A094D30"/>
    <w:rsid w:val="2A0C2A72"/>
    <w:rsid w:val="2A1606A4"/>
    <w:rsid w:val="2A225DF1"/>
    <w:rsid w:val="2A2D4EC2"/>
    <w:rsid w:val="2A2E4796"/>
    <w:rsid w:val="2A3049B2"/>
    <w:rsid w:val="2A3224D8"/>
    <w:rsid w:val="2A385615"/>
    <w:rsid w:val="2A497822"/>
    <w:rsid w:val="2A693A20"/>
    <w:rsid w:val="2A7E571E"/>
    <w:rsid w:val="2A84085A"/>
    <w:rsid w:val="2A8F792B"/>
    <w:rsid w:val="2A9211C9"/>
    <w:rsid w:val="2A9860B3"/>
    <w:rsid w:val="2AA95768"/>
    <w:rsid w:val="2ABC7FF4"/>
    <w:rsid w:val="2ABE1FBE"/>
    <w:rsid w:val="2AC33130"/>
    <w:rsid w:val="2AD4533E"/>
    <w:rsid w:val="2AD45722"/>
    <w:rsid w:val="2AD510B6"/>
    <w:rsid w:val="2AEF03C9"/>
    <w:rsid w:val="2AEF2177"/>
    <w:rsid w:val="2AF43C32"/>
    <w:rsid w:val="2B5D3585"/>
    <w:rsid w:val="2B7164D1"/>
    <w:rsid w:val="2B732DA8"/>
    <w:rsid w:val="2B9845BD"/>
    <w:rsid w:val="2BE710A1"/>
    <w:rsid w:val="2BF612E4"/>
    <w:rsid w:val="2C0E487F"/>
    <w:rsid w:val="2C33078A"/>
    <w:rsid w:val="2C3C763E"/>
    <w:rsid w:val="2C42277B"/>
    <w:rsid w:val="2C504E98"/>
    <w:rsid w:val="2C520C10"/>
    <w:rsid w:val="2C5667E1"/>
    <w:rsid w:val="2C6E17C2"/>
    <w:rsid w:val="2C6E531E"/>
    <w:rsid w:val="2C9805ED"/>
    <w:rsid w:val="2C98683F"/>
    <w:rsid w:val="2C9C1E8B"/>
    <w:rsid w:val="2CA927FA"/>
    <w:rsid w:val="2CA945A8"/>
    <w:rsid w:val="2CBA4A07"/>
    <w:rsid w:val="2CBF201D"/>
    <w:rsid w:val="2CCB7772"/>
    <w:rsid w:val="2CCC46FF"/>
    <w:rsid w:val="2CCF654D"/>
    <w:rsid w:val="2CE75135"/>
    <w:rsid w:val="2CF73565"/>
    <w:rsid w:val="2D177764"/>
    <w:rsid w:val="2D212671"/>
    <w:rsid w:val="2D3E1194"/>
    <w:rsid w:val="2D46629B"/>
    <w:rsid w:val="2D485B6F"/>
    <w:rsid w:val="2D4F5FC7"/>
    <w:rsid w:val="2D597D7C"/>
    <w:rsid w:val="2D5B3AF4"/>
    <w:rsid w:val="2D684463"/>
    <w:rsid w:val="2D76092E"/>
    <w:rsid w:val="2D9C3532"/>
    <w:rsid w:val="2D9E7E85"/>
    <w:rsid w:val="2DA22DA8"/>
    <w:rsid w:val="2DBE4083"/>
    <w:rsid w:val="2DD85145"/>
    <w:rsid w:val="2DED6716"/>
    <w:rsid w:val="2E075A2A"/>
    <w:rsid w:val="2E0979F4"/>
    <w:rsid w:val="2E24482E"/>
    <w:rsid w:val="2E2A1718"/>
    <w:rsid w:val="2E2F6D2F"/>
    <w:rsid w:val="2E383E35"/>
    <w:rsid w:val="2E3B3926"/>
    <w:rsid w:val="2E552C39"/>
    <w:rsid w:val="2E772BB0"/>
    <w:rsid w:val="2E7D5CEC"/>
    <w:rsid w:val="2E7E50A6"/>
    <w:rsid w:val="2E821554"/>
    <w:rsid w:val="2E8D23D3"/>
    <w:rsid w:val="2EA27501"/>
    <w:rsid w:val="2EAE2349"/>
    <w:rsid w:val="2ED012A9"/>
    <w:rsid w:val="2ED31DB0"/>
    <w:rsid w:val="2ED578D6"/>
    <w:rsid w:val="2EDA6C9B"/>
    <w:rsid w:val="2F097580"/>
    <w:rsid w:val="2F1E5661"/>
    <w:rsid w:val="2F452CAE"/>
    <w:rsid w:val="2F4C44C4"/>
    <w:rsid w:val="2F634EE2"/>
    <w:rsid w:val="2F835584"/>
    <w:rsid w:val="2F8C268B"/>
    <w:rsid w:val="2F8C4439"/>
    <w:rsid w:val="2FAB0637"/>
    <w:rsid w:val="300E12F2"/>
    <w:rsid w:val="301245AE"/>
    <w:rsid w:val="30183F1E"/>
    <w:rsid w:val="305B2983"/>
    <w:rsid w:val="306C426A"/>
    <w:rsid w:val="307373A7"/>
    <w:rsid w:val="30A734F4"/>
    <w:rsid w:val="30AB6B41"/>
    <w:rsid w:val="30B4367E"/>
    <w:rsid w:val="30BD6874"/>
    <w:rsid w:val="30C37E55"/>
    <w:rsid w:val="30E16A06"/>
    <w:rsid w:val="31244B45"/>
    <w:rsid w:val="312B7988"/>
    <w:rsid w:val="312D1C4B"/>
    <w:rsid w:val="31381D50"/>
    <w:rsid w:val="31660CB9"/>
    <w:rsid w:val="31745184"/>
    <w:rsid w:val="317E4255"/>
    <w:rsid w:val="317F3B29"/>
    <w:rsid w:val="318B0720"/>
    <w:rsid w:val="31A11CF2"/>
    <w:rsid w:val="31C0486E"/>
    <w:rsid w:val="31CA749A"/>
    <w:rsid w:val="31D2634F"/>
    <w:rsid w:val="31D420C7"/>
    <w:rsid w:val="31D77D3F"/>
    <w:rsid w:val="31D811CF"/>
    <w:rsid w:val="31DE38B1"/>
    <w:rsid w:val="32087FC3"/>
    <w:rsid w:val="32290665"/>
    <w:rsid w:val="323D5EBE"/>
    <w:rsid w:val="32586854"/>
    <w:rsid w:val="32717916"/>
    <w:rsid w:val="327D450D"/>
    <w:rsid w:val="327F0285"/>
    <w:rsid w:val="32957AA8"/>
    <w:rsid w:val="32BB6DE3"/>
    <w:rsid w:val="32C57C62"/>
    <w:rsid w:val="32C97752"/>
    <w:rsid w:val="32F12805"/>
    <w:rsid w:val="32F32A21"/>
    <w:rsid w:val="32F95753"/>
    <w:rsid w:val="331C1F78"/>
    <w:rsid w:val="33291F9F"/>
    <w:rsid w:val="333170A5"/>
    <w:rsid w:val="33356B95"/>
    <w:rsid w:val="33424B21"/>
    <w:rsid w:val="33437504"/>
    <w:rsid w:val="33466FF4"/>
    <w:rsid w:val="335D7E9A"/>
    <w:rsid w:val="335E6CEC"/>
    <w:rsid w:val="33654A87"/>
    <w:rsid w:val="33753436"/>
    <w:rsid w:val="33755B7B"/>
    <w:rsid w:val="33775400"/>
    <w:rsid w:val="337E678E"/>
    <w:rsid w:val="33843679"/>
    <w:rsid w:val="33900270"/>
    <w:rsid w:val="339D151E"/>
    <w:rsid w:val="33A619A9"/>
    <w:rsid w:val="33D33B35"/>
    <w:rsid w:val="33E81099"/>
    <w:rsid w:val="3411315F"/>
    <w:rsid w:val="341E2D11"/>
    <w:rsid w:val="34207846"/>
    <w:rsid w:val="344277BC"/>
    <w:rsid w:val="34545741"/>
    <w:rsid w:val="347D6A46"/>
    <w:rsid w:val="348C4EDB"/>
    <w:rsid w:val="34A95CF3"/>
    <w:rsid w:val="34BB756E"/>
    <w:rsid w:val="34DD74E5"/>
    <w:rsid w:val="35004F81"/>
    <w:rsid w:val="353A66E5"/>
    <w:rsid w:val="35540080"/>
    <w:rsid w:val="35633E8E"/>
    <w:rsid w:val="35696FCA"/>
    <w:rsid w:val="357065AB"/>
    <w:rsid w:val="358A766C"/>
    <w:rsid w:val="358D2CB9"/>
    <w:rsid w:val="35A3072E"/>
    <w:rsid w:val="35A324DC"/>
    <w:rsid w:val="35BC534C"/>
    <w:rsid w:val="360016DD"/>
    <w:rsid w:val="36105698"/>
    <w:rsid w:val="36140CE4"/>
    <w:rsid w:val="361E7DB5"/>
    <w:rsid w:val="36394BEF"/>
    <w:rsid w:val="3639649D"/>
    <w:rsid w:val="366854D4"/>
    <w:rsid w:val="366B28CE"/>
    <w:rsid w:val="366D6646"/>
    <w:rsid w:val="36963DEF"/>
    <w:rsid w:val="36981915"/>
    <w:rsid w:val="36A10F39"/>
    <w:rsid w:val="36A24542"/>
    <w:rsid w:val="36A55DE0"/>
    <w:rsid w:val="36A77DAA"/>
    <w:rsid w:val="36AF6C5F"/>
    <w:rsid w:val="36B81FB7"/>
    <w:rsid w:val="36D62AE9"/>
    <w:rsid w:val="36E0150E"/>
    <w:rsid w:val="36F86858"/>
    <w:rsid w:val="370D4B9D"/>
    <w:rsid w:val="37522992"/>
    <w:rsid w:val="37616CA1"/>
    <w:rsid w:val="37621F23"/>
    <w:rsid w:val="3768578B"/>
    <w:rsid w:val="377A101B"/>
    <w:rsid w:val="379910A0"/>
    <w:rsid w:val="37B247C4"/>
    <w:rsid w:val="37B3277F"/>
    <w:rsid w:val="37B3452D"/>
    <w:rsid w:val="37D01583"/>
    <w:rsid w:val="37D90437"/>
    <w:rsid w:val="37E335F2"/>
    <w:rsid w:val="37F331A8"/>
    <w:rsid w:val="380F5C07"/>
    <w:rsid w:val="3810197F"/>
    <w:rsid w:val="381C6576"/>
    <w:rsid w:val="381D77E4"/>
    <w:rsid w:val="381E0F4E"/>
    <w:rsid w:val="38207E14"/>
    <w:rsid w:val="384D672F"/>
    <w:rsid w:val="38523D46"/>
    <w:rsid w:val="38545D10"/>
    <w:rsid w:val="38651CCB"/>
    <w:rsid w:val="386E2DF5"/>
    <w:rsid w:val="3885411B"/>
    <w:rsid w:val="388A20A7"/>
    <w:rsid w:val="389425B0"/>
    <w:rsid w:val="38A26A7B"/>
    <w:rsid w:val="38A50319"/>
    <w:rsid w:val="38AD71CE"/>
    <w:rsid w:val="38B4055C"/>
    <w:rsid w:val="38C05153"/>
    <w:rsid w:val="38D26C34"/>
    <w:rsid w:val="38D94467"/>
    <w:rsid w:val="38E4149C"/>
    <w:rsid w:val="390414E4"/>
    <w:rsid w:val="394C2E8B"/>
    <w:rsid w:val="39565C38"/>
    <w:rsid w:val="39581830"/>
    <w:rsid w:val="39673821"/>
    <w:rsid w:val="397B1835"/>
    <w:rsid w:val="397C3770"/>
    <w:rsid w:val="398E4A17"/>
    <w:rsid w:val="399D36E6"/>
    <w:rsid w:val="39A405D1"/>
    <w:rsid w:val="39AE31FE"/>
    <w:rsid w:val="39C37EED"/>
    <w:rsid w:val="39DC7D6B"/>
    <w:rsid w:val="39EA57B0"/>
    <w:rsid w:val="39F23A32"/>
    <w:rsid w:val="3A00614F"/>
    <w:rsid w:val="3A192D6D"/>
    <w:rsid w:val="3A2F07E2"/>
    <w:rsid w:val="3A3758E9"/>
    <w:rsid w:val="3A555D6F"/>
    <w:rsid w:val="3A644A9D"/>
    <w:rsid w:val="3A6B5876"/>
    <w:rsid w:val="3A6D4E67"/>
    <w:rsid w:val="3A850402"/>
    <w:rsid w:val="3A9643BE"/>
    <w:rsid w:val="3AB24F6F"/>
    <w:rsid w:val="3ABC7B9C"/>
    <w:rsid w:val="3ABE1B66"/>
    <w:rsid w:val="3ACF78CF"/>
    <w:rsid w:val="3ADE5D64"/>
    <w:rsid w:val="3B005CDB"/>
    <w:rsid w:val="3B035FAC"/>
    <w:rsid w:val="3B066B81"/>
    <w:rsid w:val="3B0F4170"/>
    <w:rsid w:val="3B133C60"/>
    <w:rsid w:val="3B141786"/>
    <w:rsid w:val="3B143534"/>
    <w:rsid w:val="3B1479D8"/>
    <w:rsid w:val="3B1503C1"/>
    <w:rsid w:val="3B223EA3"/>
    <w:rsid w:val="3B2A5072"/>
    <w:rsid w:val="3B514788"/>
    <w:rsid w:val="3B5A0DA7"/>
    <w:rsid w:val="3B5B73B5"/>
    <w:rsid w:val="3B5F0C53"/>
    <w:rsid w:val="3B6E533A"/>
    <w:rsid w:val="3B974891"/>
    <w:rsid w:val="3BB70A8F"/>
    <w:rsid w:val="3BCB4FF9"/>
    <w:rsid w:val="3BD038FF"/>
    <w:rsid w:val="3BE63123"/>
    <w:rsid w:val="3BEB24E7"/>
    <w:rsid w:val="3C0049B8"/>
    <w:rsid w:val="3C243C4B"/>
    <w:rsid w:val="3C2E0626"/>
    <w:rsid w:val="3C3814A4"/>
    <w:rsid w:val="3C4E4BA9"/>
    <w:rsid w:val="3C5213B0"/>
    <w:rsid w:val="3C526A0A"/>
    <w:rsid w:val="3C5525F0"/>
    <w:rsid w:val="3C776471"/>
    <w:rsid w:val="3C7A1ABD"/>
    <w:rsid w:val="3C8446EA"/>
    <w:rsid w:val="3C9C7C85"/>
    <w:rsid w:val="3CBF226A"/>
    <w:rsid w:val="3CD66CDD"/>
    <w:rsid w:val="3CDB69FF"/>
    <w:rsid w:val="3D08531B"/>
    <w:rsid w:val="3D0D46DF"/>
    <w:rsid w:val="3D4E5423"/>
    <w:rsid w:val="3D4E71D1"/>
    <w:rsid w:val="3D510A70"/>
    <w:rsid w:val="3D6E1D27"/>
    <w:rsid w:val="3D74650C"/>
    <w:rsid w:val="3D8E3A72"/>
    <w:rsid w:val="3E1A5306"/>
    <w:rsid w:val="3E2717D1"/>
    <w:rsid w:val="3E353EED"/>
    <w:rsid w:val="3E6A003B"/>
    <w:rsid w:val="3EA03A5D"/>
    <w:rsid w:val="3EB70DA6"/>
    <w:rsid w:val="3EED2A1A"/>
    <w:rsid w:val="3EFC4A0B"/>
    <w:rsid w:val="3F177A97"/>
    <w:rsid w:val="3F381EE7"/>
    <w:rsid w:val="3F4F5483"/>
    <w:rsid w:val="3F5D194E"/>
    <w:rsid w:val="3F5D7D01"/>
    <w:rsid w:val="3F634A8A"/>
    <w:rsid w:val="3F941513"/>
    <w:rsid w:val="3F966C0E"/>
    <w:rsid w:val="3F9D1D4A"/>
    <w:rsid w:val="3FA96941"/>
    <w:rsid w:val="3FC70145"/>
    <w:rsid w:val="3FD61700"/>
    <w:rsid w:val="3FDE1024"/>
    <w:rsid w:val="3FE200A5"/>
    <w:rsid w:val="3FFA144F"/>
    <w:rsid w:val="4001677D"/>
    <w:rsid w:val="40185875"/>
    <w:rsid w:val="4018778E"/>
    <w:rsid w:val="402C30CE"/>
    <w:rsid w:val="40552625"/>
    <w:rsid w:val="405D597D"/>
    <w:rsid w:val="406A043B"/>
    <w:rsid w:val="407E7215"/>
    <w:rsid w:val="40861EE8"/>
    <w:rsid w:val="40A62E81"/>
    <w:rsid w:val="40E37C31"/>
    <w:rsid w:val="410271DD"/>
    <w:rsid w:val="41210759"/>
    <w:rsid w:val="41526B64"/>
    <w:rsid w:val="41761145"/>
    <w:rsid w:val="41A90E7A"/>
    <w:rsid w:val="41AC7E24"/>
    <w:rsid w:val="41B96BE3"/>
    <w:rsid w:val="41CA0DF1"/>
    <w:rsid w:val="41E77BF5"/>
    <w:rsid w:val="42025593"/>
    <w:rsid w:val="420D6FB4"/>
    <w:rsid w:val="42220C2D"/>
    <w:rsid w:val="422E5823"/>
    <w:rsid w:val="42440BA3"/>
    <w:rsid w:val="424B3CDF"/>
    <w:rsid w:val="425A02DC"/>
    <w:rsid w:val="42815953"/>
    <w:rsid w:val="42870A90"/>
    <w:rsid w:val="42935A4A"/>
    <w:rsid w:val="42937435"/>
    <w:rsid w:val="42997141"/>
    <w:rsid w:val="42C43A92"/>
    <w:rsid w:val="42CD3809"/>
    <w:rsid w:val="42EF5206"/>
    <w:rsid w:val="430D368B"/>
    <w:rsid w:val="432804C5"/>
    <w:rsid w:val="432B1AFF"/>
    <w:rsid w:val="432C5DEE"/>
    <w:rsid w:val="43346E69"/>
    <w:rsid w:val="434F5A51"/>
    <w:rsid w:val="4355293C"/>
    <w:rsid w:val="435E5C94"/>
    <w:rsid w:val="43813731"/>
    <w:rsid w:val="43994F1E"/>
    <w:rsid w:val="43996CCD"/>
    <w:rsid w:val="43B6787E"/>
    <w:rsid w:val="43BB6C43"/>
    <w:rsid w:val="43C006FD"/>
    <w:rsid w:val="43CE2E1A"/>
    <w:rsid w:val="43E20674"/>
    <w:rsid w:val="43E77A38"/>
    <w:rsid w:val="43F62371"/>
    <w:rsid w:val="44112D07"/>
    <w:rsid w:val="44254A04"/>
    <w:rsid w:val="442E1B0B"/>
    <w:rsid w:val="44316F05"/>
    <w:rsid w:val="444906F3"/>
    <w:rsid w:val="44557097"/>
    <w:rsid w:val="445D39F9"/>
    <w:rsid w:val="44876B0D"/>
    <w:rsid w:val="4497145E"/>
    <w:rsid w:val="449F6565"/>
    <w:rsid w:val="44D53D34"/>
    <w:rsid w:val="45097E82"/>
    <w:rsid w:val="45120AE5"/>
    <w:rsid w:val="451505D5"/>
    <w:rsid w:val="451E392D"/>
    <w:rsid w:val="4521341D"/>
    <w:rsid w:val="453A628D"/>
    <w:rsid w:val="455F7AA2"/>
    <w:rsid w:val="45611A6C"/>
    <w:rsid w:val="45633A36"/>
    <w:rsid w:val="456D21BF"/>
    <w:rsid w:val="45717F01"/>
    <w:rsid w:val="45837C34"/>
    <w:rsid w:val="45A656D1"/>
    <w:rsid w:val="45D44A40"/>
    <w:rsid w:val="45D71D2E"/>
    <w:rsid w:val="45E44949"/>
    <w:rsid w:val="45E83F3B"/>
    <w:rsid w:val="4603181D"/>
    <w:rsid w:val="4613530C"/>
    <w:rsid w:val="4629483F"/>
    <w:rsid w:val="463E3B5B"/>
    <w:rsid w:val="464E0242"/>
    <w:rsid w:val="465B470D"/>
    <w:rsid w:val="466B2BA2"/>
    <w:rsid w:val="46EF6468"/>
    <w:rsid w:val="46FE3A16"/>
    <w:rsid w:val="47226FD9"/>
    <w:rsid w:val="472B3AEA"/>
    <w:rsid w:val="47351451"/>
    <w:rsid w:val="475E1E4D"/>
    <w:rsid w:val="47613FA5"/>
    <w:rsid w:val="47746D69"/>
    <w:rsid w:val="478B610A"/>
    <w:rsid w:val="47AF6ABF"/>
    <w:rsid w:val="47B916EB"/>
    <w:rsid w:val="47C22C96"/>
    <w:rsid w:val="47CF53B3"/>
    <w:rsid w:val="47CF7161"/>
    <w:rsid w:val="47D5062C"/>
    <w:rsid w:val="47D76157"/>
    <w:rsid w:val="47DD66CD"/>
    <w:rsid w:val="47E30E5E"/>
    <w:rsid w:val="47E36768"/>
    <w:rsid w:val="47EC1AC1"/>
    <w:rsid w:val="47FE278F"/>
    <w:rsid w:val="48142AB6"/>
    <w:rsid w:val="48276F9D"/>
    <w:rsid w:val="48482A6F"/>
    <w:rsid w:val="487321E2"/>
    <w:rsid w:val="487D4E0F"/>
    <w:rsid w:val="488B2930"/>
    <w:rsid w:val="488F069E"/>
    <w:rsid w:val="48BB1493"/>
    <w:rsid w:val="48CC18F2"/>
    <w:rsid w:val="48D569F9"/>
    <w:rsid w:val="48E409EA"/>
    <w:rsid w:val="48E924A4"/>
    <w:rsid w:val="48FC21D7"/>
    <w:rsid w:val="48FF5824"/>
    <w:rsid w:val="49080B7C"/>
    <w:rsid w:val="490F795A"/>
    <w:rsid w:val="493059DD"/>
    <w:rsid w:val="493F0316"/>
    <w:rsid w:val="495D254A"/>
    <w:rsid w:val="495E079C"/>
    <w:rsid w:val="497E0E3E"/>
    <w:rsid w:val="49891591"/>
    <w:rsid w:val="49A563CB"/>
    <w:rsid w:val="49B04D70"/>
    <w:rsid w:val="49B74350"/>
    <w:rsid w:val="49C01200"/>
    <w:rsid w:val="49D7054F"/>
    <w:rsid w:val="49FE77F1"/>
    <w:rsid w:val="4A012325"/>
    <w:rsid w:val="4A094FB0"/>
    <w:rsid w:val="4A394D65"/>
    <w:rsid w:val="4A757101"/>
    <w:rsid w:val="4A767D68"/>
    <w:rsid w:val="4A8A55C1"/>
    <w:rsid w:val="4A914BA1"/>
    <w:rsid w:val="4A946440"/>
    <w:rsid w:val="4AA06B93"/>
    <w:rsid w:val="4AA85A47"/>
    <w:rsid w:val="4AB32D6A"/>
    <w:rsid w:val="4AC05487"/>
    <w:rsid w:val="4AD60806"/>
    <w:rsid w:val="4ADF520B"/>
    <w:rsid w:val="4AEE5A53"/>
    <w:rsid w:val="4AEE5B50"/>
    <w:rsid w:val="4AF320B9"/>
    <w:rsid w:val="4AF3760A"/>
    <w:rsid w:val="4AF96F69"/>
    <w:rsid w:val="4B0C247A"/>
    <w:rsid w:val="4B245A16"/>
    <w:rsid w:val="4B315A3D"/>
    <w:rsid w:val="4B3C4B0D"/>
    <w:rsid w:val="4B571947"/>
    <w:rsid w:val="4B59328B"/>
    <w:rsid w:val="4B5A0522"/>
    <w:rsid w:val="4B614574"/>
    <w:rsid w:val="4B6B0F4E"/>
    <w:rsid w:val="4B865D88"/>
    <w:rsid w:val="4B8E10E1"/>
    <w:rsid w:val="4B985ABC"/>
    <w:rsid w:val="4B9D3A4B"/>
    <w:rsid w:val="4BD905AE"/>
    <w:rsid w:val="4C225785"/>
    <w:rsid w:val="4C251A45"/>
    <w:rsid w:val="4C453E95"/>
    <w:rsid w:val="4C46376A"/>
    <w:rsid w:val="4C48536F"/>
    <w:rsid w:val="4C4874E2"/>
    <w:rsid w:val="4C663913"/>
    <w:rsid w:val="4C6D0CF6"/>
    <w:rsid w:val="4C9149E5"/>
    <w:rsid w:val="4CAC53E1"/>
    <w:rsid w:val="4CCF375F"/>
    <w:rsid w:val="4D094EC3"/>
    <w:rsid w:val="4D2E492A"/>
    <w:rsid w:val="4D471547"/>
    <w:rsid w:val="4D616AAD"/>
    <w:rsid w:val="4D626381"/>
    <w:rsid w:val="4D6A629B"/>
    <w:rsid w:val="4D73058E"/>
    <w:rsid w:val="4D814A88"/>
    <w:rsid w:val="4D8B1D7C"/>
    <w:rsid w:val="4D950505"/>
    <w:rsid w:val="4DBA61BD"/>
    <w:rsid w:val="4DC82688"/>
    <w:rsid w:val="4DFE7486"/>
    <w:rsid w:val="4E0D453F"/>
    <w:rsid w:val="4E172040"/>
    <w:rsid w:val="4E1753BE"/>
    <w:rsid w:val="4E1A6EFE"/>
    <w:rsid w:val="4E1E499E"/>
    <w:rsid w:val="4E3715BC"/>
    <w:rsid w:val="4E4F2DA9"/>
    <w:rsid w:val="4E5A670C"/>
    <w:rsid w:val="4E5B4ABB"/>
    <w:rsid w:val="4E612ADD"/>
    <w:rsid w:val="4E683E6B"/>
    <w:rsid w:val="4E6F6FA8"/>
    <w:rsid w:val="4E8F764A"/>
    <w:rsid w:val="4E971F39"/>
    <w:rsid w:val="4E9B7D9D"/>
    <w:rsid w:val="4EA34EA3"/>
    <w:rsid w:val="4EAC01FC"/>
    <w:rsid w:val="4EBB233F"/>
    <w:rsid w:val="4ECB3BC1"/>
    <w:rsid w:val="4ED54BEF"/>
    <w:rsid w:val="4F0612C4"/>
    <w:rsid w:val="4F1813ED"/>
    <w:rsid w:val="4F245FE4"/>
    <w:rsid w:val="4F2A2ECF"/>
    <w:rsid w:val="4F3C3BFE"/>
    <w:rsid w:val="4F493C9D"/>
    <w:rsid w:val="4F55619D"/>
    <w:rsid w:val="4F5F701C"/>
    <w:rsid w:val="4F734876"/>
    <w:rsid w:val="4F9071D6"/>
    <w:rsid w:val="4F9F6D9C"/>
    <w:rsid w:val="4FC450D1"/>
    <w:rsid w:val="4FC54D35"/>
    <w:rsid w:val="4FCC21D8"/>
    <w:rsid w:val="4FE6773D"/>
    <w:rsid w:val="4FF51023"/>
    <w:rsid w:val="4FF97471"/>
    <w:rsid w:val="50137E07"/>
    <w:rsid w:val="501871CB"/>
    <w:rsid w:val="501C44EF"/>
    <w:rsid w:val="502F4C40"/>
    <w:rsid w:val="50574197"/>
    <w:rsid w:val="50616DC4"/>
    <w:rsid w:val="50650662"/>
    <w:rsid w:val="50720FD1"/>
    <w:rsid w:val="50770396"/>
    <w:rsid w:val="50795EBC"/>
    <w:rsid w:val="50903205"/>
    <w:rsid w:val="509E39A8"/>
    <w:rsid w:val="50AB003F"/>
    <w:rsid w:val="50C11611"/>
    <w:rsid w:val="50D92DFE"/>
    <w:rsid w:val="50E066F5"/>
    <w:rsid w:val="51055C8F"/>
    <w:rsid w:val="51231542"/>
    <w:rsid w:val="514F4E6E"/>
    <w:rsid w:val="51583D23"/>
    <w:rsid w:val="5164091A"/>
    <w:rsid w:val="51825244"/>
    <w:rsid w:val="51842D6A"/>
    <w:rsid w:val="518C1C1F"/>
    <w:rsid w:val="519531C9"/>
    <w:rsid w:val="51A27694"/>
    <w:rsid w:val="51BD5911"/>
    <w:rsid w:val="51C23892"/>
    <w:rsid w:val="51C70EA9"/>
    <w:rsid w:val="51D84913"/>
    <w:rsid w:val="51F003FF"/>
    <w:rsid w:val="5201260D"/>
    <w:rsid w:val="52102850"/>
    <w:rsid w:val="521560B8"/>
    <w:rsid w:val="521B0357"/>
    <w:rsid w:val="52750905"/>
    <w:rsid w:val="528154FB"/>
    <w:rsid w:val="52846D9A"/>
    <w:rsid w:val="52AB2578"/>
    <w:rsid w:val="52BE04FE"/>
    <w:rsid w:val="52CC2C1B"/>
    <w:rsid w:val="52D47D21"/>
    <w:rsid w:val="52FB3500"/>
    <w:rsid w:val="530A54F1"/>
    <w:rsid w:val="533A0E0E"/>
    <w:rsid w:val="53400F13"/>
    <w:rsid w:val="53424C8B"/>
    <w:rsid w:val="534722A1"/>
    <w:rsid w:val="534E7AD3"/>
    <w:rsid w:val="535350EA"/>
    <w:rsid w:val="53643DF8"/>
    <w:rsid w:val="53670B95"/>
    <w:rsid w:val="53764710"/>
    <w:rsid w:val="537961D3"/>
    <w:rsid w:val="538452A3"/>
    <w:rsid w:val="538C05FC"/>
    <w:rsid w:val="53B06098"/>
    <w:rsid w:val="53DA1367"/>
    <w:rsid w:val="53DD0E57"/>
    <w:rsid w:val="53E775E0"/>
    <w:rsid w:val="53F00B8B"/>
    <w:rsid w:val="53FA7313"/>
    <w:rsid w:val="54120B01"/>
    <w:rsid w:val="543445A0"/>
    <w:rsid w:val="543A0058"/>
    <w:rsid w:val="5463310B"/>
    <w:rsid w:val="546A70A7"/>
    <w:rsid w:val="54752E3E"/>
    <w:rsid w:val="54BE2A37"/>
    <w:rsid w:val="54D77655"/>
    <w:rsid w:val="551268DF"/>
    <w:rsid w:val="551408A9"/>
    <w:rsid w:val="551D59AF"/>
    <w:rsid w:val="552503C0"/>
    <w:rsid w:val="552A00CC"/>
    <w:rsid w:val="552C5BF2"/>
    <w:rsid w:val="552C79A0"/>
    <w:rsid w:val="553E76D4"/>
    <w:rsid w:val="55517407"/>
    <w:rsid w:val="55627866"/>
    <w:rsid w:val="55780E38"/>
    <w:rsid w:val="558C0AB8"/>
    <w:rsid w:val="55CA48DC"/>
    <w:rsid w:val="55CF47D0"/>
    <w:rsid w:val="55DD0C9B"/>
    <w:rsid w:val="55E0078B"/>
    <w:rsid w:val="55E464CD"/>
    <w:rsid w:val="55EC2C79"/>
    <w:rsid w:val="55FF6E63"/>
    <w:rsid w:val="56101070"/>
    <w:rsid w:val="56252E0A"/>
    <w:rsid w:val="5627460C"/>
    <w:rsid w:val="56293EE0"/>
    <w:rsid w:val="56384123"/>
    <w:rsid w:val="563B3C13"/>
    <w:rsid w:val="563F3595"/>
    <w:rsid w:val="56410322"/>
    <w:rsid w:val="565E3307"/>
    <w:rsid w:val="56665134"/>
    <w:rsid w:val="566E5D97"/>
    <w:rsid w:val="568023CE"/>
    <w:rsid w:val="56814847"/>
    <w:rsid w:val="56853574"/>
    <w:rsid w:val="568D26C1"/>
    <w:rsid w:val="56941CA1"/>
    <w:rsid w:val="56A874FB"/>
    <w:rsid w:val="56C66E8C"/>
    <w:rsid w:val="56CE6835"/>
    <w:rsid w:val="56E46059"/>
    <w:rsid w:val="56FA347B"/>
    <w:rsid w:val="570A713B"/>
    <w:rsid w:val="5714693E"/>
    <w:rsid w:val="57255484"/>
    <w:rsid w:val="5738478E"/>
    <w:rsid w:val="575431DF"/>
    <w:rsid w:val="57560D05"/>
    <w:rsid w:val="575D4053"/>
    <w:rsid w:val="578A4E52"/>
    <w:rsid w:val="57A04676"/>
    <w:rsid w:val="57C32112"/>
    <w:rsid w:val="57CF2865"/>
    <w:rsid w:val="580F7106"/>
    <w:rsid w:val="5827444F"/>
    <w:rsid w:val="583848AE"/>
    <w:rsid w:val="584C035A"/>
    <w:rsid w:val="585B2DA9"/>
    <w:rsid w:val="585F1E3B"/>
    <w:rsid w:val="5878114F"/>
    <w:rsid w:val="58A67A6A"/>
    <w:rsid w:val="58D26AB1"/>
    <w:rsid w:val="58D41C07"/>
    <w:rsid w:val="58D77C23"/>
    <w:rsid w:val="58F702C5"/>
    <w:rsid w:val="59011144"/>
    <w:rsid w:val="590C79A9"/>
    <w:rsid w:val="59114A7B"/>
    <w:rsid w:val="59195066"/>
    <w:rsid w:val="59253BBA"/>
    <w:rsid w:val="592B61C1"/>
    <w:rsid w:val="5961765F"/>
    <w:rsid w:val="597C6A1D"/>
    <w:rsid w:val="599128FF"/>
    <w:rsid w:val="599B569F"/>
    <w:rsid w:val="59A26483"/>
    <w:rsid w:val="59BD660D"/>
    <w:rsid w:val="59C12681"/>
    <w:rsid w:val="59C53F20"/>
    <w:rsid w:val="59F14D15"/>
    <w:rsid w:val="59FA62BF"/>
    <w:rsid w:val="5A1A070F"/>
    <w:rsid w:val="5A2E7D17"/>
    <w:rsid w:val="5A3E3CD2"/>
    <w:rsid w:val="5A53777D"/>
    <w:rsid w:val="5A5D4984"/>
    <w:rsid w:val="5A5F6122"/>
    <w:rsid w:val="5A76346C"/>
    <w:rsid w:val="5A951B44"/>
    <w:rsid w:val="5A971D60"/>
    <w:rsid w:val="5AA601F5"/>
    <w:rsid w:val="5AA75448"/>
    <w:rsid w:val="5AAB580B"/>
    <w:rsid w:val="5AB126F6"/>
    <w:rsid w:val="5AB52C6E"/>
    <w:rsid w:val="5AB81CD6"/>
    <w:rsid w:val="5B046CCA"/>
    <w:rsid w:val="5B240428"/>
    <w:rsid w:val="5B2630E4"/>
    <w:rsid w:val="5B331769"/>
    <w:rsid w:val="5B3E0807"/>
    <w:rsid w:val="5B4517BC"/>
    <w:rsid w:val="5B470B72"/>
    <w:rsid w:val="5B615ECA"/>
    <w:rsid w:val="5B653C0C"/>
    <w:rsid w:val="5B694D7F"/>
    <w:rsid w:val="5B6A2FD1"/>
    <w:rsid w:val="5BA5225B"/>
    <w:rsid w:val="5BB57FC4"/>
    <w:rsid w:val="5BB66640"/>
    <w:rsid w:val="5BC22E0D"/>
    <w:rsid w:val="5BC70423"/>
    <w:rsid w:val="5BE2525D"/>
    <w:rsid w:val="5BF40AEC"/>
    <w:rsid w:val="5C190553"/>
    <w:rsid w:val="5C417026"/>
    <w:rsid w:val="5C441A74"/>
    <w:rsid w:val="5C447CC6"/>
    <w:rsid w:val="5C49708A"/>
    <w:rsid w:val="5C581867"/>
    <w:rsid w:val="5C695BB6"/>
    <w:rsid w:val="5C7731E9"/>
    <w:rsid w:val="5C893F80"/>
    <w:rsid w:val="5CB70498"/>
    <w:rsid w:val="5CBA7F88"/>
    <w:rsid w:val="5CC02467"/>
    <w:rsid w:val="5CC70579"/>
    <w:rsid w:val="5D1963D4"/>
    <w:rsid w:val="5D1E0517"/>
    <w:rsid w:val="5D235B2D"/>
    <w:rsid w:val="5D284EF1"/>
    <w:rsid w:val="5D375134"/>
    <w:rsid w:val="5D47794D"/>
    <w:rsid w:val="5DA14CA4"/>
    <w:rsid w:val="5DCF2133"/>
    <w:rsid w:val="5DD45079"/>
    <w:rsid w:val="5DED1C97"/>
    <w:rsid w:val="5DED2098"/>
    <w:rsid w:val="5DF059F7"/>
    <w:rsid w:val="5E100764"/>
    <w:rsid w:val="5E4D0988"/>
    <w:rsid w:val="5E563CE0"/>
    <w:rsid w:val="5E824AD5"/>
    <w:rsid w:val="5E835C43"/>
    <w:rsid w:val="5E9860A7"/>
    <w:rsid w:val="5E9D36BD"/>
    <w:rsid w:val="5EA54320"/>
    <w:rsid w:val="5EC549C2"/>
    <w:rsid w:val="5ECA3D86"/>
    <w:rsid w:val="5ED846F5"/>
    <w:rsid w:val="5EE4753E"/>
    <w:rsid w:val="5EF95EB4"/>
    <w:rsid w:val="5F04373C"/>
    <w:rsid w:val="5F357D99"/>
    <w:rsid w:val="5F36141C"/>
    <w:rsid w:val="5F385194"/>
    <w:rsid w:val="5F4973A1"/>
    <w:rsid w:val="5F6661A5"/>
    <w:rsid w:val="5F697A43"/>
    <w:rsid w:val="5F6B5569"/>
    <w:rsid w:val="5F6D42D3"/>
    <w:rsid w:val="5F750196"/>
    <w:rsid w:val="5F904FD0"/>
    <w:rsid w:val="5F950838"/>
    <w:rsid w:val="5F97635E"/>
    <w:rsid w:val="5FA82319"/>
    <w:rsid w:val="5FAB1E0A"/>
    <w:rsid w:val="5FAE5456"/>
    <w:rsid w:val="5FBE1B3D"/>
    <w:rsid w:val="5FD41360"/>
    <w:rsid w:val="5FEE4392"/>
    <w:rsid w:val="5FF23595"/>
    <w:rsid w:val="6031230F"/>
    <w:rsid w:val="603F1B04"/>
    <w:rsid w:val="60483AFC"/>
    <w:rsid w:val="6050498F"/>
    <w:rsid w:val="605424A1"/>
    <w:rsid w:val="606A3A73"/>
    <w:rsid w:val="606F2E37"/>
    <w:rsid w:val="60714E01"/>
    <w:rsid w:val="6078146D"/>
    <w:rsid w:val="60820DBC"/>
    <w:rsid w:val="60AC7BE7"/>
    <w:rsid w:val="60BD0047"/>
    <w:rsid w:val="60C5514D"/>
    <w:rsid w:val="60CE5DB0"/>
    <w:rsid w:val="610477B3"/>
    <w:rsid w:val="6109328C"/>
    <w:rsid w:val="61161505"/>
    <w:rsid w:val="611759A9"/>
    <w:rsid w:val="61181721"/>
    <w:rsid w:val="611A7247"/>
    <w:rsid w:val="611D0AE5"/>
    <w:rsid w:val="61202383"/>
    <w:rsid w:val="61222A7A"/>
    <w:rsid w:val="613876CD"/>
    <w:rsid w:val="614442C4"/>
    <w:rsid w:val="61453B98"/>
    <w:rsid w:val="6162299C"/>
    <w:rsid w:val="6162474A"/>
    <w:rsid w:val="61CE3B8D"/>
    <w:rsid w:val="61D373F6"/>
    <w:rsid w:val="61E635CD"/>
    <w:rsid w:val="61F01D56"/>
    <w:rsid w:val="61F81F6A"/>
    <w:rsid w:val="62053A53"/>
    <w:rsid w:val="620677CB"/>
    <w:rsid w:val="622B7232"/>
    <w:rsid w:val="623A1223"/>
    <w:rsid w:val="62516C98"/>
    <w:rsid w:val="6254574D"/>
    <w:rsid w:val="627D5CDF"/>
    <w:rsid w:val="628506F0"/>
    <w:rsid w:val="629B43B7"/>
    <w:rsid w:val="62B86D17"/>
    <w:rsid w:val="62CC631F"/>
    <w:rsid w:val="62DE695C"/>
    <w:rsid w:val="62E541D8"/>
    <w:rsid w:val="62F87114"/>
    <w:rsid w:val="63224191"/>
    <w:rsid w:val="63462575"/>
    <w:rsid w:val="634A36E8"/>
    <w:rsid w:val="636649C5"/>
    <w:rsid w:val="63716EC6"/>
    <w:rsid w:val="637644DD"/>
    <w:rsid w:val="637864A7"/>
    <w:rsid w:val="63870498"/>
    <w:rsid w:val="63911317"/>
    <w:rsid w:val="63A948B2"/>
    <w:rsid w:val="63B03E93"/>
    <w:rsid w:val="63C74D38"/>
    <w:rsid w:val="63E37DC4"/>
    <w:rsid w:val="63E8362C"/>
    <w:rsid w:val="63EB4ECB"/>
    <w:rsid w:val="64085A7D"/>
    <w:rsid w:val="640970FF"/>
    <w:rsid w:val="641C5084"/>
    <w:rsid w:val="642B176B"/>
    <w:rsid w:val="645B3DFE"/>
    <w:rsid w:val="64630CF2"/>
    <w:rsid w:val="646447D2"/>
    <w:rsid w:val="649410BE"/>
    <w:rsid w:val="64992B79"/>
    <w:rsid w:val="64A532CB"/>
    <w:rsid w:val="64B259E8"/>
    <w:rsid w:val="64B928D3"/>
    <w:rsid w:val="64CF20F6"/>
    <w:rsid w:val="64F34D5A"/>
    <w:rsid w:val="64F658D5"/>
    <w:rsid w:val="65051FBC"/>
    <w:rsid w:val="65150451"/>
    <w:rsid w:val="651F307E"/>
    <w:rsid w:val="65273CE0"/>
    <w:rsid w:val="653D52B2"/>
    <w:rsid w:val="653F727C"/>
    <w:rsid w:val="6558033E"/>
    <w:rsid w:val="655D5954"/>
    <w:rsid w:val="655F791E"/>
    <w:rsid w:val="656E190F"/>
    <w:rsid w:val="65735178"/>
    <w:rsid w:val="658C7FE7"/>
    <w:rsid w:val="658E3D60"/>
    <w:rsid w:val="65901886"/>
    <w:rsid w:val="65A2780B"/>
    <w:rsid w:val="65AC6F8A"/>
    <w:rsid w:val="65C15EE3"/>
    <w:rsid w:val="65D14C99"/>
    <w:rsid w:val="65E14B73"/>
    <w:rsid w:val="65EC0A86"/>
    <w:rsid w:val="66044022"/>
    <w:rsid w:val="66083B12"/>
    <w:rsid w:val="6635242D"/>
    <w:rsid w:val="66456B14"/>
    <w:rsid w:val="664803B2"/>
    <w:rsid w:val="665054B9"/>
    <w:rsid w:val="665705F5"/>
    <w:rsid w:val="6659436D"/>
    <w:rsid w:val="666D606B"/>
    <w:rsid w:val="66815672"/>
    <w:rsid w:val="66903B07"/>
    <w:rsid w:val="66BA2932"/>
    <w:rsid w:val="66BC66AA"/>
    <w:rsid w:val="66C832A1"/>
    <w:rsid w:val="66D734E4"/>
    <w:rsid w:val="66D87988"/>
    <w:rsid w:val="66EA0F89"/>
    <w:rsid w:val="66F916AD"/>
    <w:rsid w:val="6707201B"/>
    <w:rsid w:val="670818F0"/>
    <w:rsid w:val="67310E46"/>
    <w:rsid w:val="6736645D"/>
    <w:rsid w:val="67376850"/>
    <w:rsid w:val="675A0F05"/>
    <w:rsid w:val="6760797E"/>
    <w:rsid w:val="67654F94"/>
    <w:rsid w:val="67694A84"/>
    <w:rsid w:val="676E3E49"/>
    <w:rsid w:val="679141EB"/>
    <w:rsid w:val="679B2764"/>
    <w:rsid w:val="67A374C5"/>
    <w:rsid w:val="67D16185"/>
    <w:rsid w:val="67DF6AF4"/>
    <w:rsid w:val="67F3434E"/>
    <w:rsid w:val="680E73DA"/>
    <w:rsid w:val="68103152"/>
    <w:rsid w:val="682269E1"/>
    <w:rsid w:val="68353276"/>
    <w:rsid w:val="6845051C"/>
    <w:rsid w:val="684A0335"/>
    <w:rsid w:val="687436E1"/>
    <w:rsid w:val="687F3E33"/>
    <w:rsid w:val="68983D3B"/>
    <w:rsid w:val="689E69AF"/>
    <w:rsid w:val="68AA7102"/>
    <w:rsid w:val="68B00491"/>
    <w:rsid w:val="68C06926"/>
    <w:rsid w:val="68C31F72"/>
    <w:rsid w:val="68C36416"/>
    <w:rsid w:val="68C44E48"/>
    <w:rsid w:val="68CF6B69"/>
    <w:rsid w:val="68D777CC"/>
    <w:rsid w:val="68DE6680"/>
    <w:rsid w:val="68FB170C"/>
    <w:rsid w:val="69083E29"/>
    <w:rsid w:val="69292367"/>
    <w:rsid w:val="692F585A"/>
    <w:rsid w:val="6937322A"/>
    <w:rsid w:val="695B61C4"/>
    <w:rsid w:val="69823BDB"/>
    <w:rsid w:val="69855479"/>
    <w:rsid w:val="69B47B0D"/>
    <w:rsid w:val="69BA3375"/>
    <w:rsid w:val="69CC12FA"/>
    <w:rsid w:val="69DC6B19"/>
    <w:rsid w:val="69DD2BDB"/>
    <w:rsid w:val="69DD52B6"/>
    <w:rsid w:val="69E623BC"/>
    <w:rsid w:val="69F11830"/>
    <w:rsid w:val="69FC250D"/>
    <w:rsid w:val="6A1862EE"/>
    <w:rsid w:val="6A3273AF"/>
    <w:rsid w:val="6A42336B"/>
    <w:rsid w:val="6A537326"/>
    <w:rsid w:val="6A5D1F52"/>
    <w:rsid w:val="6A643A3F"/>
    <w:rsid w:val="6A6908F7"/>
    <w:rsid w:val="6A6E4160"/>
    <w:rsid w:val="6A815C41"/>
    <w:rsid w:val="6A876FCF"/>
    <w:rsid w:val="6A9260A0"/>
    <w:rsid w:val="6AAB4D4D"/>
    <w:rsid w:val="6AC87D14"/>
    <w:rsid w:val="6ACA583A"/>
    <w:rsid w:val="6ACB15B2"/>
    <w:rsid w:val="6AD40467"/>
    <w:rsid w:val="6AE12B83"/>
    <w:rsid w:val="6AF97ECD"/>
    <w:rsid w:val="6AFA59F3"/>
    <w:rsid w:val="6AFC176B"/>
    <w:rsid w:val="6B056872"/>
    <w:rsid w:val="6B0B7C00"/>
    <w:rsid w:val="6B0D1BCA"/>
    <w:rsid w:val="6B144D07"/>
    <w:rsid w:val="6B286A04"/>
    <w:rsid w:val="6B405AFC"/>
    <w:rsid w:val="6B421874"/>
    <w:rsid w:val="6B6903CA"/>
    <w:rsid w:val="6B7B4D86"/>
    <w:rsid w:val="6B8E4AB9"/>
    <w:rsid w:val="6BC4672D"/>
    <w:rsid w:val="6BD526E8"/>
    <w:rsid w:val="6BE40B7D"/>
    <w:rsid w:val="6BFF7765"/>
    <w:rsid w:val="6C021003"/>
    <w:rsid w:val="6C2C6080"/>
    <w:rsid w:val="6C5C0714"/>
    <w:rsid w:val="6C5E0930"/>
    <w:rsid w:val="6C643A6C"/>
    <w:rsid w:val="6C661592"/>
    <w:rsid w:val="6C6770B8"/>
    <w:rsid w:val="6C9F6852"/>
    <w:rsid w:val="6CA95923"/>
    <w:rsid w:val="6CB56076"/>
    <w:rsid w:val="6CDC7AA6"/>
    <w:rsid w:val="6CE60925"/>
    <w:rsid w:val="6CED5810"/>
    <w:rsid w:val="6D0D7C60"/>
    <w:rsid w:val="6D1565AB"/>
    <w:rsid w:val="6D2154B9"/>
    <w:rsid w:val="6D237483"/>
    <w:rsid w:val="6D30394E"/>
    <w:rsid w:val="6D321474"/>
    <w:rsid w:val="6D3276C6"/>
    <w:rsid w:val="6D5B4E6F"/>
    <w:rsid w:val="6D6A3304"/>
    <w:rsid w:val="6D6F0EB3"/>
    <w:rsid w:val="6D763A57"/>
    <w:rsid w:val="6D870634"/>
    <w:rsid w:val="6D877A12"/>
    <w:rsid w:val="6D910891"/>
    <w:rsid w:val="6D9914F3"/>
    <w:rsid w:val="6DA73C10"/>
    <w:rsid w:val="6DAC7479"/>
    <w:rsid w:val="6DB4092C"/>
    <w:rsid w:val="6DCA78FF"/>
    <w:rsid w:val="6DCC18C9"/>
    <w:rsid w:val="6DDE33AA"/>
    <w:rsid w:val="6DE0518A"/>
    <w:rsid w:val="6DE2733E"/>
    <w:rsid w:val="6DF61381"/>
    <w:rsid w:val="6E245261"/>
    <w:rsid w:val="6E2F3C06"/>
    <w:rsid w:val="6E405E13"/>
    <w:rsid w:val="6E414065"/>
    <w:rsid w:val="6E4A0A40"/>
    <w:rsid w:val="6E535698"/>
    <w:rsid w:val="6E5C0D3E"/>
    <w:rsid w:val="6E6733A0"/>
    <w:rsid w:val="6E697118"/>
    <w:rsid w:val="6E6E0BD2"/>
    <w:rsid w:val="6E737F96"/>
    <w:rsid w:val="6E777A87"/>
    <w:rsid w:val="6E7D7067"/>
    <w:rsid w:val="6E7F2DDF"/>
    <w:rsid w:val="6E895A0C"/>
    <w:rsid w:val="6E910D1A"/>
    <w:rsid w:val="6E95615F"/>
    <w:rsid w:val="6EA36ACE"/>
    <w:rsid w:val="6EA42846"/>
    <w:rsid w:val="6EB55876"/>
    <w:rsid w:val="6EDA6DB9"/>
    <w:rsid w:val="6EDE7B06"/>
    <w:rsid w:val="6EF015E7"/>
    <w:rsid w:val="6EF32E85"/>
    <w:rsid w:val="6F03756C"/>
    <w:rsid w:val="6F103A37"/>
    <w:rsid w:val="6F15104E"/>
    <w:rsid w:val="6F173018"/>
    <w:rsid w:val="6F1C418A"/>
    <w:rsid w:val="6F255735"/>
    <w:rsid w:val="6F345978"/>
    <w:rsid w:val="6F35524C"/>
    <w:rsid w:val="6F3911E0"/>
    <w:rsid w:val="6F3D03B5"/>
    <w:rsid w:val="6F4575D7"/>
    <w:rsid w:val="6F547DC8"/>
    <w:rsid w:val="6F7704D0"/>
    <w:rsid w:val="6F7D6FD7"/>
    <w:rsid w:val="6FAA6067"/>
    <w:rsid w:val="6FB24AEE"/>
    <w:rsid w:val="6FDE705F"/>
    <w:rsid w:val="6FE86762"/>
    <w:rsid w:val="6FF66E62"/>
    <w:rsid w:val="6FFD220E"/>
    <w:rsid w:val="7016507D"/>
    <w:rsid w:val="70187047"/>
    <w:rsid w:val="70333E81"/>
    <w:rsid w:val="704E0CBB"/>
    <w:rsid w:val="704E2A69"/>
    <w:rsid w:val="705F4C76"/>
    <w:rsid w:val="706109EE"/>
    <w:rsid w:val="706A7177"/>
    <w:rsid w:val="706C7393"/>
    <w:rsid w:val="70710506"/>
    <w:rsid w:val="70781894"/>
    <w:rsid w:val="707B3132"/>
    <w:rsid w:val="707D50FC"/>
    <w:rsid w:val="708757D0"/>
    <w:rsid w:val="709A3F00"/>
    <w:rsid w:val="709B5583"/>
    <w:rsid w:val="70A628A5"/>
    <w:rsid w:val="70D177C0"/>
    <w:rsid w:val="70EC09CA"/>
    <w:rsid w:val="70FA21C2"/>
    <w:rsid w:val="7101188A"/>
    <w:rsid w:val="71031AA6"/>
    <w:rsid w:val="71094BE2"/>
    <w:rsid w:val="713D5CAB"/>
    <w:rsid w:val="7148570A"/>
    <w:rsid w:val="714874B8"/>
    <w:rsid w:val="714B0D57"/>
    <w:rsid w:val="714F6A99"/>
    <w:rsid w:val="715A71EC"/>
    <w:rsid w:val="71632544"/>
    <w:rsid w:val="719E532A"/>
    <w:rsid w:val="71A861A9"/>
    <w:rsid w:val="71C805F9"/>
    <w:rsid w:val="71CF24E6"/>
    <w:rsid w:val="71DC40A5"/>
    <w:rsid w:val="71DF6F94"/>
    <w:rsid w:val="71E573FD"/>
    <w:rsid w:val="721A5509"/>
    <w:rsid w:val="72323CC5"/>
    <w:rsid w:val="72685EBE"/>
    <w:rsid w:val="729130E1"/>
    <w:rsid w:val="72A252EE"/>
    <w:rsid w:val="72CC236B"/>
    <w:rsid w:val="72E94CCB"/>
    <w:rsid w:val="72F01BB6"/>
    <w:rsid w:val="72FA0C86"/>
    <w:rsid w:val="731004AA"/>
    <w:rsid w:val="73102258"/>
    <w:rsid w:val="731C0BFD"/>
    <w:rsid w:val="732B1E82"/>
    <w:rsid w:val="732E26DE"/>
    <w:rsid w:val="733E5017"/>
    <w:rsid w:val="73474B54"/>
    <w:rsid w:val="735F4F8D"/>
    <w:rsid w:val="73691A00"/>
    <w:rsid w:val="737547B1"/>
    <w:rsid w:val="73886292"/>
    <w:rsid w:val="738A200A"/>
    <w:rsid w:val="738F5872"/>
    <w:rsid w:val="739015EB"/>
    <w:rsid w:val="739509AF"/>
    <w:rsid w:val="73A429A0"/>
    <w:rsid w:val="73AA018B"/>
    <w:rsid w:val="73B1673D"/>
    <w:rsid w:val="73C44DF0"/>
    <w:rsid w:val="73C82B32"/>
    <w:rsid w:val="73CA68AB"/>
    <w:rsid w:val="73D72D76"/>
    <w:rsid w:val="73FB6A64"/>
    <w:rsid w:val="73FE6554"/>
    <w:rsid w:val="74235FBB"/>
    <w:rsid w:val="742E046D"/>
    <w:rsid w:val="7432016B"/>
    <w:rsid w:val="74341F76"/>
    <w:rsid w:val="7447614D"/>
    <w:rsid w:val="747D6309"/>
    <w:rsid w:val="748E5B2A"/>
    <w:rsid w:val="74AA0C93"/>
    <w:rsid w:val="74B217AD"/>
    <w:rsid w:val="74C57072"/>
    <w:rsid w:val="74F55BA9"/>
    <w:rsid w:val="75022074"/>
    <w:rsid w:val="751A60D1"/>
    <w:rsid w:val="751D2A0A"/>
    <w:rsid w:val="75265D63"/>
    <w:rsid w:val="752913AF"/>
    <w:rsid w:val="754206C3"/>
    <w:rsid w:val="75524DAA"/>
    <w:rsid w:val="755521A4"/>
    <w:rsid w:val="75703482"/>
    <w:rsid w:val="757273BD"/>
    <w:rsid w:val="757A2611"/>
    <w:rsid w:val="757E5B9F"/>
    <w:rsid w:val="75803254"/>
    <w:rsid w:val="758A4454"/>
    <w:rsid w:val="759156D7"/>
    <w:rsid w:val="75950E36"/>
    <w:rsid w:val="75B01AD0"/>
    <w:rsid w:val="75B3511C"/>
    <w:rsid w:val="75BA64AB"/>
    <w:rsid w:val="75C64E50"/>
    <w:rsid w:val="75F52CE2"/>
    <w:rsid w:val="75F701D3"/>
    <w:rsid w:val="75FB611F"/>
    <w:rsid w:val="75FF0362"/>
    <w:rsid w:val="76123CE0"/>
    <w:rsid w:val="76206C56"/>
    <w:rsid w:val="7645046A"/>
    <w:rsid w:val="764C75E9"/>
    <w:rsid w:val="767026A5"/>
    <w:rsid w:val="76740D50"/>
    <w:rsid w:val="767C6495"/>
    <w:rsid w:val="76861C0D"/>
    <w:rsid w:val="768A2321"/>
    <w:rsid w:val="76D8308D"/>
    <w:rsid w:val="76DB492B"/>
    <w:rsid w:val="7711659E"/>
    <w:rsid w:val="771D3195"/>
    <w:rsid w:val="77212C85"/>
    <w:rsid w:val="772B3B04"/>
    <w:rsid w:val="77381D7D"/>
    <w:rsid w:val="774C75D7"/>
    <w:rsid w:val="774D3A7A"/>
    <w:rsid w:val="77587E56"/>
    <w:rsid w:val="777464E5"/>
    <w:rsid w:val="77747C82"/>
    <w:rsid w:val="777D1E86"/>
    <w:rsid w:val="777E2AB0"/>
    <w:rsid w:val="77933457"/>
    <w:rsid w:val="77A6318B"/>
    <w:rsid w:val="77C11D73"/>
    <w:rsid w:val="77D45F4A"/>
    <w:rsid w:val="77D61EDF"/>
    <w:rsid w:val="77EB5041"/>
    <w:rsid w:val="77ED700C"/>
    <w:rsid w:val="78174088"/>
    <w:rsid w:val="781A5362"/>
    <w:rsid w:val="782A5B6A"/>
    <w:rsid w:val="782B18E2"/>
    <w:rsid w:val="782B3690"/>
    <w:rsid w:val="782C66D7"/>
    <w:rsid w:val="784A7FBA"/>
    <w:rsid w:val="784E69AF"/>
    <w:rsid w:val="785B2BE5"/>
    <w:rsid w:val="785E3A65"/>
    <w:rsid w:val="78994A9D"/>
    <w:rsid w:val="78B95140"/>
    <w:rsid w:val="78EF290F"/>
    <w:rsid w:val="790A7F45"/>
    <w:rsid w:val="79112886"/>
    <w:rsid w:val="792151BF"/>
    <w:rsid w:val="79586707"/>
    <w:rsid w:val="796C56AF"/>
    <w:rsid w:val="797572B9"/>
    <w:rsid w:val="797A042B"/>
    <w:rsid w:val="79903C2F"/>
    <w:rsid w:val="79BD2909"/>
    <w:rsid w:val="79C913B2"/>
    <w:rsid w:val="79DA35C0"/>
    <w:rsid w:val="7A2465E9"/>
    <w:rsid w:val="7A340F22"/>
    <w:rsid w:val="7A440A39"/>
    <w:rsid w:val="7A456C8B"/>
    <w:rsid w:val="7A546ECE"/>
    <w:rsid w:val="7A70182E"/>
    <w:rsid w:val="7A792214"/>
    <w:rsid w:val="7A8D0632"/>
    <w:rsid w:val="7A8F6158"/>
    <w:rsid w:val="7AA37E55"/>
    <w:rsid w:val="7AC878BC"/>
    <w:rsid w:val="7AD05796"/>
    <w:rsid w:val="7AD11372"/>
    <w:rsid w:val="7ADB4DD1"/>
    <w:rsid w:val="7AE85868"/>
    <w:rsid w:val="7AEC5358"/>
    <w:rsid w:val="7AEF4E49"/>
    <w:rsid w:val="7B1A0118"/>
    <w:rsid w:val="7B430CF1"/>
    <w:rsid w:val="7B5F3D7C"/>
    <w:rsid w:val="7B713AB0"/>
    <w:rsid w:val="7B876E2F"/>
    <w:rsid w:val="7B8E6EAD"/>
    <w:rsid w:val="7B9647DB"/>
    <w:rsid w:val="7B9C6D7F"/>
    <w:rsid w:val="7BA852D8"/>
    <w:rsid w:val="7BBF481B"/>
    <w:rsid w:val="7BCB7664"/>
    <w:rsid w:val="7BD06A28"/>
    <w:rsid w:val="7BD972EE"/>
    <w:rsid w:val="7BDA3403"/>
    <w:rsid w:val="7C0861C2"/>
    <w:rsid w:val="7C266648"/>
    <w:rsid w:val="7C3F3BAE"/>
    <w:rsid w:val="7C444D20"/>
    <w:rsid w:val="7C5036C5"/>
    <w:rsid w:val="7C63789C"/>
    <w:rsid w:val="7C7E46D6"/>
    <w:rsid w:val="7C8C4D0F"/>
    <w:rsid w:val="7C920181"/>
    <w:rsid w:val="7C9537CE"/>
    <w:rsid w:val="7CAF663E"/>
    <w:rsid w:val="7CB974BC"/>
    <w:rsid w:val="7CCD740C"/>
    <w:rsid w:val="7CDB7433"/>
    <w:rsid w:val="7CDE33C7"/>
    <w:rsid w:val="7D000640"/>
    <w:rsid w:val="7D032E2D"/>
    <w:rsid w:val="7D1D5C9D"/>
    <w:rsid w:val="7D272678"/>
    <w:rsid w:val="7D4F1BCF"/>
    <w:rsid w:val="7D831878"/>
    <w:rsid w:val="7D8E6B9B"/>
    <w:rsid w:val="7DAA5057"/>
    <w:rsid w:val="7DC358D6"/>
    <w:rsid w:val="7DC600E3"/>
    <w:rsid w:val="7DCE408B"/>
    <w:rsid w:val="7DDF11A4"/>
    <w:rsid w:val="7E000601"/>
    <w:rsid w:val="7E0A6CC5"/>
    <w:rsid w:val="7E17093E"/>
    <w:rsid w:val="7E3A287F"/>
    <w:rsid w:val="7E492AC2"/>
    <w:rsid w:val="7E576F8D"/>
    <w:rsid w:val="7E9F26E2"/>
    <w:rsid w:val="7EA8188D"/>
    <w:rsid w:val="7EB75C7D"/>
    <w:rsid w:val="7EB919F5"/>
    <w:rsid w:val="7EBE525E"/>
    <w:rsid w:val="7EDC1B88"/>
    <w:rsid w:val="7EF7251E"/>
    <w:rsid w:val="7F0D6B06"/>
    <w:rsid w:val="7F174739"/>
    <w:rsid w:val="7F18132D"/>
    <w:rsid w:val="7F2A28F3"/>
    <w:rsid w:val="7F471DFC"/>
    <w:rsid w:val="7F4C0ABC"/>
    <w:rsid w:val="7F4C2DEE"/>
    <w:rsid w:val="7F567244"/>
    <w:rsid w:val="7F6776A3"/>
    <w:rsid w:val="7F765B38"/>
    <w:rsid w:val="7F840255"/>
    <w:rsid w:val="7F842003"/>
    <w:rsid w:val="7FA56256"/>
    <w:rsid w:val="7FB328E9"/>
    <w:rsid w:val="7FBF128D"/>
    <w:rsid w:val="7FC9210C"/>
    <w:rsid w:val="7FCC7507"/>
    <w:rsid w:val="7FE545BA"/>
    <w:rsid w:val="7FEB055A"/>
    <w:rsid w:val="7FF52F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2"/>
    <w:basedOn w:val="1"/>
    <w:next w:val="1"/>
    <w:qFormat/>
    <w:uiPriority w:val="0"/>
    <w:pPr>
      <w:adjustRightInd w:val="0"/>
      <w:snapToGrid w:val="0"/>
      <w:spacing w:before="160" w:after="50" w:afterLines="50"/>
      <w:ind w:firstLine="0" w:firstLineChars="0"/>
      <w:jc w:val="left"/>
      <w:outlineLvl w:val="1"/>
    </w:pPr>
    <w:rPr>
      <w:rFonts w:ascii="Times New Roman" w:hAnsi="Times New Roman" w:eastAsia="黑体"/>
      <w:b/>
      <w:smallCaps/>
      <w:snapToGrid w:val="0"/>
      <w:kern w:val="0"/>
      <w:sz w:val="36"/>
      <w:szCs w:val="36"/>
    </w:rPr>
  </w:style>
  <w:style w:type="paragraph" w:styleId="6">
    <w:name w:val="heading 3"/>
    <w:basedOn w:val="1"/>
    <w:next w:val="1"/>
    <w:semiHidden/>
    <w:unhideWhenUsed/>
    <w:qFormat/>
    <w:uiPriority w:val="0"/>
    <w:pPr>
      <w:keepNext/>
      <w:keepLines/>
      <w:numPr>
        <w:ilvl w:val="2"/>
        <w:numId w:val="1"/>
      </w:numPr>
      <w:spacing w:before="260" w:beforeLines="0" w:beforeAutospacing="0" w:after="260" w:afterLines="0" w:afterAutospacing="0" w:line="413" w:lineRule="auto"/>
      <w:ind w:left="720" w:hanging="720"/>
      <w:outlineLvl w:val="2"/>
    </w:pPr>
    <w:rPr>
      <w:b/>
      <w:sz w:val="32"/>
    </w:rPr>
  </w:style>
  <w:style w:type="paragraph" w:styleId="7">
    <w:name w:val="heading 4"/>
    <w:basedOn w:val="1"/>
    <w:next w:val="1"/>
    <w:semiHidden/>
    <w:unhideWhenUsed/>
    <w:qFormat/>
    <w:uiPriority w:val="0"/>
    <w:pPr>
      <w:keepNext/>
      <w:keepLines/>
      <w:numPr>
        <w:ilvl w:val="3"/>
        <w:numId w:val="2"/>
      </w:numPr>
      <w:spacing w:before="280" w:beforeLines="0" w:beforeAutospacing="0" w:after="290" w:afterLines="0" w:afterAutospacing="0" w:line="372" w:lineRule="auto"/>
      <w:ind w:left="864" w:hanging="864"/>
      <w:outlineLvl w:val="3"/>
    </w:pPr>
    <w:rPr>
      <w:rFonts w:ascii="Arial" w:hAnsi="Arial" w:eastAsia="黑体"/>
      <w:b/>
      <w:sz w:val="28"/>
    </w:rPr>
  </w:style>
  <w:style w:type="paragraph" w:styleId="8">
    <w:name w:val="heading 5"/>
    <w:basedOn w:val="1"/>
    <w:next w:val="1"/>
    <w:semiHidden/>
    <w:unhideWhenUsed/>
    <w:qFormat/>
    <w:uiPriority w:val="0"/>
    <w:pPr>
      <w:keepNext/>
      <w:keepLines/>
      <w:numPr>
        <w:ilvl w:val="4"/>
        <w:numId w:val="2"/>
      </w:numPr>
      <w:spacing w:before="280" w:beforeLines="0" w:beforeAutospacing="0" w:after="290" w:afterLines="0" w:afterAutospacing="0" w:line="372" w:lineRule="auto"/>
      <w:ind w:left="1008" w:hanging="1008"/>
      <w:outlineLvl w:val="4"/>
    </w:pPr>
    <w:rPr>
      <w:b/>
      <w:sz w:val="28"/>
    </w:rPr>
  </w:style>
  <w:style w:type="paragraph" w:styleId="9">
    <w:name w:val="heading 6"/>
    <w:basedOn w:val="1"/>
    <w:next w:val="1"/>
    <w:semiHidden/>
    <w:unhideWhenUsed/>
    <w:qFormat/>
    <w:uiPriority w:val="0"/>
    <w:pPr>
      <w:keepNext/>
      <w:keepLines/>
      <w:numPr>
        <w:ilvl w:val="5"/>
        <w:numId w:val="2"/>
      </w:numPr>
      <w:spacing w:before="240" w:beforeLines="0" w:beforeAutospacing="0" w:after="64" w:afterLines="0" w:afterAutospacing="0" w:line="317" w:lineRule="auto"/>
      <w:ind w:left="1151" w:hanging="1151"/>
      <w:outlineLvl w:val="5"/>
    </w:pPr>
    <w:rPr>
      <w:rFonts w:ascii="Arial" w:hAnsi="Arial" w:eastAsia="黑体"/>
      <w:b/>
      <w:sz w:val="24"/>
    </w:rPr>
  </w:style>
  <w:style w:type="paragraph" w:styleId="10">
    <w:name w:val="heading 7"/>
    <w:basedOn w:val="1"/>
    <w:next w:val="1"/>
    <w:semiHidden/>
    <w:unhideWhenUsed/>
    <w:qFormat/>
    <w:uiPriority w:val="0"/>
    <w:pPr>
      <w:keepNext/>
      <w:keepLines/>
      <w:numPr>
        <w:ilvl w:val="6"/>
        <w:numId w:val="2"/>
      </w:numPr>
      <w:spacing w:before="240" w:beforeLines="0" w:beforeAutospacing="0" w:after="64" w:afterLines="0" w:afterAutospacing="0" w:line="317" w:lineRule="auto"/>
      <w:ind w:left="1296" w:hanging="1296"/>
      <w:outlineLvl w:val="6"/>
    </w:pPr>
    <w:rPr>
      <w:b/>
      <w:sz w:val="24"/>
    </w:rPr>
  </w:style>
  <w:style w:type="paragraph" w:styleId="11">
    <w:name w:val="heading 8"/>
    <w:basedOn w:val="1"/>
    <w:next w:val="1"/>
    <w:semiHidden/>
    <w:unhideWhenUsed/>
    <w:qFormat/>
    <w:uiPriority w:val="0"/>
    <w:pPr>
      <w:keepNext/>
      <w:keepLines/>
      <w:numPr>
        <w:ilvl w:val="7"/>
        <w:numId w:val="2"/>
      </w:numPr>
      <w:spacing w:before="240" w:beforeLines="0" w:beforeAutospacing="0" w:after="64" w:afterLines="0" w:afterAutospacing="0" w:line="317" w:lineRule="auto"/>
      <w:ind w:left="1440" w:hanging="1440"/>
      <w:outlineLvl w:val="7"/>
    </w:pPr>
    <w:rPr>
      <w:rFonts w:ascii="Arial" w:hAnsi="Arial" w:eastAsia="黑体"/>
      <w:sz w:val="24"/>
    </w:rPr>
  </w:style>
  <w:style w:type="paragraph" w:styleId="12">
    <w:name w:val="heading 9"/>
    <w:basedOn w:val="1"/>
    <w:next w:val="1"/>
    <w:semiHidden/>
    <w:unhideWhenUsed/>
    <w:qFormat/>
    <w:uiPriority w:val="0"/>
    <w:pPr>
      <w:keepNext/>
      <w:keepLines/>
      <w:numPr>
        <w:ilvl w:val="8"/>
        <w:numId w:val="2"/>
      </w:numPr>
      <w:spacing w:before="240" w:beforeLines="0" w:beforeAutospacing="0" w:after="64" w:afterLines="0" w:afterAutospacing="0" w:line="317" w:lineRule="auto"/>
      <w:ind w:left="1583" w:hanging="1583"/>
      <w:outlineLvl w:val="8"/>
    </w:pPr>
    <w:rPr>
      <w:rFonts w:ascii="Arial" w:hAnsi="Arial" w:eastAsia="黑体"/>
      <w:sz w:val="21"/>
    </w:rPr>
  </w:style>
  <w:style w:type="character" w:default="1" w:styleId="22">
    <w:name w:val="Default Paragraph Font"/>
    <w:semiHidden/>
    <w:qFormat/>
    <w:uiPriority w:val="0"/>
  </w:style>
  <w:style w:type="table" w:default="1" w:styleId="20">
    <w:name w:val="Normal Table"/>
    <w:semiHidden/>
    <w:qFormat/>
    <w:uiPriority w:val="0"/>
    <w:tblPr>
      <w:tblCellMar>
        <w:top w:w="0" w:type="dxa"/>
        <w:left w:w="108" w:type="dxa"/>
        <w:bottom w:w="0" w:type="dxa"/>
        <w:right w:w="108" w:type="dxa"/>
      </w:tblCellMar>
    </w:tblPr>
  </w:style>
  <w:style w:type="paragraph" w:styleId="2">
    <w:name w:val="Body Text First Indent 2"/>
    <w:next w:val="3"/>
    <w:qFormat/>
    <w:uiPriority w:val="0"/>
    <w:pPr>
      <w:widowControl w:val="0"/>
      <w:adjustRightInd w:val="0"/>
      <w:snapToGrid w:val="0"/>
      <w:spacing w:line="500" w:lineRule="exact"/>
      <w:ind w:firstLine="420" w:firstLineChars="200"/>
      <w:jc w:val="left"/>
    </w:pPr>
    <w:rPr>
      <w:rFonts w:ascii="Calibri" w:hAnsi="Calibri" w:eastAsia="宋体" w:cs="Times New Roman"/>
      <w:snapToGrid w:val="0"/>
      <w:kern w:val="2"/>
      <w:sz w:val="28"/>
      <w:szCs w:val="28"/>
      <w:lang w:val="en-US" w:eastAsia="zh-CN" w:bidi="ar-SA"/>
    </w:rPr>
  </w:style>
  <w:style w:type="paragraph" w:styleId="3">
    <w:name w:val="Body Text Indent"/>
    <w:next w:val="4"/>
    <w:qFormat/>
    <w:uiPriority w:val="0"/>
    <w:pPr>
      <w:widowControl w:val="0"/>
      <w:spacing w:line="240" w:lineRule="auto"/>
      <w:ind w:firstLine="600" w:firstLineChars="0"/>
      <w:jc w:val="both"/>
    </w:pPr>
    <w:rPr>
      <w:rFonts w:ascii="Times New Roman" w:hAnsi="Times New Roman" w:eastAsia="宋体" w:cs="Times New Roman"/>
      <w:snapToGrid w:val="0"/>
      <w:kern w:val="0"/>
      <w:sz w:val="30"/>
      <w:szCs w:val="20"/>
      <w:lang w:val="en-US" w:eastAsia="zh-CN" w:bidi="ar-SA"/>
    </w:rPr>
  </w:style>
  <w:style w:type="paragraph" w:styleId="4">
    <w:name w:val="Normal Indent"/>
    <w:next w:val="1"/>
    <w:qFormat/>
    <w:uiPriority w:val="0"/>
    <w:pPr>
      <w:widowControl w:val="0"/>
      <w:spacing w:line="240" w:lineRule="auto"/>
      <w:ind w:firstLine="200" w:firstLineChars="200"/>
      <w:jc w:val="both"/>
    </w:pPr>
    <w:rPr>
      <w:rFonts w:ascii="Times New Roman" w:hAnsi="Times New Roman" w:eastAsia="宋体" w:cs="Times New Roman"/>
      <w:snapToGrid w:val="0"/>
      <w:kern w:val="2"/>
      <w:sz w:val="21"/>
      <w:szCs w:val="24"/>
      <w:lang w:val="en-US" w:eastAsia="zh-CN" w:bidi="ar-SA"/>
    </w:rPr>
  </w:style>
  <w:style w:type="paragraph" w:styleId="13">
    <w:name w:val="annotation text"/>
    <w:basedOn w:val="1"/>
    <w:qFormat/>
    <w:uiPriority w:val="0"/>
    <w:pPr>
      <w:jc w:val="left"/>
    </w:pPr>
  </w:style>
  <w:style w:type="paragraph" w:styleId="14">
    <w:name w:val="footer"/>
    <w:basedOn w:val="1"/>
    <w:qFormat/>
    <w:uiPriority w:val="0"/>
    <w:pPr>
      <w:tabs>
        <w:tab w:val="center" w:pos="4153"/>
        <w:tab w:val="right" w:pos="8306"/>
      </w:tabs>
      <w:snapToGrid w:val="0"/>
      <w:jc w:val="left"/>
    </w:pPr>
    <w:rPr>
      <w:sz w:val="18"/>
    </w:rPr>
  </w:style>
  <w:style w:type="paragraph" w:styleId="15">
    <w:name w:val="header"/>
    <w:basedOn w:val="1"/>
    <w:next w:val="16"/>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16">
    <w:name w:val="样式5"/>
    <w:qFormat/>
    <w:uiPriority w:val="99"/>
    <w:pPr>
      <w:widowControl w:val="0"/>
      <w:adjustRightInd/>
      <w:spacing w:line="480" w:lineRule="exact"/>
      <w:ind w:firstLine="200" w:firstLineChars="200"/>
      <w:jc w:val="both"/>
    </w:pPr>
    <w:rPr>
      <w:rFonts w:ascii="Times New Roman" w:hAnsi="Times New Roman" w:eastAsia="仿宋_GB2312" w:cs="Times New Roman"/>
      <w:snapToGrid w:val="0"/>
      <w:kern w:val="2"/>
      <w:sz w:val="24"/>
      <w:szCs w:val="24"/>
      <w:lang w:val="en-US" w:eastAsia="zh-CN" w:bidi="ar-SA"/>
    </w:rPr>
  </w:style>
  <w:style w:type="paragraph" w:styleId="17">
    <w:name w:val="toc 1"/>
    <w:next w:val="18"/>
    <w:qFormat/>
    <w:uiPriority w:val="0"/>
    <w:pPr>
      <w:adjustRightInd w:val="0"/>
      <w:snapToGrid w:val="0"/>
      <w:spacing w:before="50" w:beforeLines="50" w:after="50" w:afterLines="50" w:line="240" w:lineRule="auto"/>
    </w:pPr>
    <w:rPr>
      <w:rFonts w:ascii="Times New Roman" w:hAnsi="Times New Roman" w:eastAsia="宋体" w:cstheme="minorBidi"/>
      <w:b/>
      <w:sz w:val="28"/>
    </w:rPr>
  </w:style>
  <w:style w:type="paragraph" w:customStyle="1" w:styleId="18">
    <w:name w:val="文本"/>
    <w:link w:val="37"/>
    <w:qFormat/>
    <w:uiPriority w:val="0"/>
    <w:pPr>
      <w:adjustRightInd w:val="0"/>
      <w:snapToGrid w:val="0"/>
      <w:spacing w:line="360" w:lineRule="auto"/>
      <w:ind w:firstLine="560" w:firstLineChars="200"/>
      <w:jc w:val="both"/>
    </w:pPr>
    <w:rPr>
      <w:rFonts w:ascii="Times New Roman" w:hAnsi="Times New Roman" w:eastAsia="宋体" w:cstheme="minorBidi"/>
      <w:sz w:val="28"/>
      <w:szCs w:val="28"/>
    </w:rPr>
  </w:style>
  <w:style w:type="paragraph" w:styleId="19">
    <w:name w:val="toc 2"/>
    <w:next w:val="1"/>
    <w:qFormat/>
    <w:uiPriority w:val="0"/>
    <w:pPr>
      <w:adjustRightInd w:val="0"/>
      <w:snapToGrid w:val="0"/>
      <w:spacing w:line="360" w:lineRule="auto"/>
      <w:ind w:left="420" w:leftChars="200"/>
    </w:pPr>
    <w:rPr>
      <w:rFonts w:ascii="Times New Roman" w:hAnsi="Times New Roman" w:eastAsia="宋体" w:cstheme="minorBidi"/>
      <w:sz w:val="28"/>
    </w:rPr>
  </w:style>
  <w:style w:type="table" w:styleId="21">
    <w:name w:val="Table Grid"/>
    <w:unhideWhenUsed/>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3">
    <w:name w:val="一级标题"/>
    <w:next w:val="24"/>
    <w:qFormat/>
    <w:uiPriority w:val="0"/>
    <w:pPr>
      <w:pageBreakBefore/>
      <w:numPr>
        <w:ilvl w:val="0"/>
        <w:numId w:val="2"/>
      </w:numPr>
      <w:tabs>
        <w:tab w:val="left" w:pos="0"/>
        <w:tab w:val="clear" w:pos="420"/>
      </w:tabs>
      <w:adjustRightInd w:val="0"/>
      <w:snapToGrid w:val="0"/>
      <w:spacing w:before="100" w:beforeLines="100" w:after="100" w:afterLines="100" w:line="240" w:lineRule="auto"/>
      <w:jc w:val="center"/>
      <w:outlineLvl w:val="0"/>
    </w:pPr>
    <w:rPr>
      <w:rFonts w:hint="eastAsia" w:ascii="Times New Roman" w:hAnsi="Times New Roman" w:eastAsia="黑体" w:cs="黑体"/>
      <w:b/>
      <w:bCs/>
      <w:sz w:val="32"/>
      <w:szCs w:val="32"/>
    </w:rPr>
  </w:style>
  <w:style w:type="paragraph" w:customStyle="1" w:styleId="24">
    <w:name w:val="二级标题"/>
    <w:next w:val="25"/>
    <w:link w:val="38"/>
    <w:qFormat/>
    <w:uiPriority w:val="0"/>
    <w:pPr>
      <w:numPr>
        <w:ilvl w:val="1"/>
        <w:numId w:val="2"/>
      </w:numPr>
      <w:adjustRightInd w:val="0"/>
      <w:snapToGrid w:val="0"/>
      <w:spacing w:before="50" w:beforeLines="50" w:after="50" w:afterLines="50"/>
      <w:jc w:val="center"/>
      <w:outlineLvl w:val="1"/>
    </w:pPr>
    <w:rPr>
      <w:rFonts w:hint="eastAsia" w:ascii="黑体" w:hAnsi="黑体" w:eastAsia="黑体" w:cs="黑体"/>
      <w:b/>
      <w:bCs/>
      <w:sz w:val="30"/>
      <w:szCs w:val="30"/>
    </w:rPr>
  </w:style>
  <w:style w:type="paragraph" w:customStyle="1" w:styleId="25">
    <w:name w:val="三级标题"/>
    <w:next w:val="18"/>
    <w:qFormat/>
    <w:uiPriority w:val="0"/>
    <w:pPr>
      <w:numPr>
        <w:ilvl w:val="2"/>
        <w:numId w:val="2"/>
      </w:numPr>
      <w:adjustRightInd w:val="0"/>
      <w:snapToGrid w:val="0"/>
      <w:spacing w:line="360" w:lineRule="auto"/>
      <w:ind w:left="720" w:hanging="720" w:firstLineChars="0"/>
      <w:outlineLvl w:val="2"/>
    </w:pPr>
    <w:rPr>
      <w:rFonts w:ascii="Times New Roman" w:hAnsi="Times New Roman" w:eastAsia="宋体" w:cstheme="minorBidi"/>
      <w:b/>
      <w:bCs/>
      <w:sz w:val="28"/>
      <w:szCs w:val="28"/>
    </w:rPr>
  </w:style>
  <w:style w:type="paragraph" w:customStyle="1" w:styleId="26">
    <w:name w:val="图表名称"/>
    <w:next w:val="18"/>
    <w:qFormat/>
    <w:uiPriority w:val="0"/>
    <w:pPr>
      <w:adjustRightInd w:val="0"/>
      <w:snapToGrid w:val="0"/>
      <w:jc w:val="center"/>
    </w:pPr>
    <w:rPr>
      <w:rFonts w:ascii="Times New Roman" w:hAnsi="Times New Roman" w:eastAsia="宋体" w:cs="Times New Roman"/>
      <w:b/>
      <w:bCs/>
      <w:sz w:val="24"/>
    </w:rPr>
  </w:style>
  <w:style w:type="paragraph" w:customStyle="1" w:styleId="27">
    <w:name w:val="表格格式"/>
    <w:qFormat/>
    <w:uiPriority w:val="0"/>
    <w:pPr>
      <w:adjustRightInd w:val="0"/>
      <w:snapToGrid w:val="0"/>
      <w:jc w:val="center"/>
    </w:pPr>
    <w:rPr>
      <w:rFonts w:hint="eastAsia" w:ascii="Times New Roman" w:hAnsi="Times New Roman" w:eastAsia="宋体" w:cs="宋体"/>
      <w:color w:val="000000"/>
      <w:sz w:val="24"/>
    </w:rPr>
  </w:style>
  <w:style w:type="paragraph" w:customStyle="1" w:styleId="28">
    <w:name w:val="WPSOffice手动目录 1"/>
    <w:qFormat/>
    <w:uiPriority w:val="0"/>
    <w:pPr>
      <w:ind w:leftChars="0"/>
    </w:pPr>
    <w:rPr>
      <w:rFonts w:asciiTheme="minorHAnsi" w:hAnsiTheme="minorHAnsi" w:eastAsiaTheme="minorEastAsia" w:cstheme="minorBidi"/>
      <w:sz w:val="20"/>
      <w:szCs w:val="20"/>
    </w:rPr>
  </w:style>
  <w:style w:type="paragraph" w:customStyle="1" w:styleId="29">
    <w:name w:val="WPSOffice手动目录 2"/>
    <w:qFormat/>
    <w:uiPriority w:val="0"/>
    <w:pPr>
      <w:ind w:leftChars="200"/>
    </w:pPr>
    <w:rPr>
      <w:rFonts w:asciiTheme="minorHAnsi" w:hAnsiTheme="minorHAnsi" w:eastAsiaTheme="minorEastAsia" w:cstheme="minorBidi"/>
      <w:sz w:val="20"/>
      <w:szCs w:val="20"/>
    </w:rPr>
  </w:style>
  <w:style w:type="paragraph" w:customStyle="1" w:styleId="30">
    <w:name w:val="Table Text"/>
    <w:semiHidden/>
    <w:qFormat/>
    <w:uiPriority w:val="0"/>
    <w:pPr>
      <w:widowControl w:val="0"/>
      <w:spacing w:line="500" w:lineRule="exact"/>
      <w:ind w:firstLine="200" w:firstLineChars="200"/>
      <w:jc w:val="both"/>
    </w:pPr>
    <w:rPr>
      <w:rFonts w:ascii="宋体" w:hAnsi="宋体" w:eastAsia="宋体" w:cs="宋体"/>
      <w:snapToGrid w:val="0"/>
      <w:kern w:val="2"/>
      <w:sz w:val="22"/>
      <w:szCs w:val="22"/>
      <w:lang w:val="en-US" w:eastAsia="en-US" w:bidi="ar-SA"/>
    </w:rPr>
  </w:style>
  <w:style w:type="table" w:customStyle="1" w:styleId="31">
    <w:name w:val="Table Normal"/>
    <w:unhideWhenUsed/>
    <w:qFormat/>
    <w:uiPriority w:val="0"/>
    <w:tblPr>
      <w:tblCellMar>
        <w:top w:w="0" w:type="dxa"/>
        <w:left w:w="0" w:type="dxa"/>
        <w:bottom w:w="0" w:type="dxa"/>
        <w:right w:w="0" w:type="dxa"/>
      </w:tblCellMar>
    </w:tblPr>
  </w:style>
  <w:style w:type="paragraph" w:customStyle="1" w:styleId="32">
    <w:name w:val="表格 标题"/>
    <w:next w:val="1"/>
    <w:qFormat/>
    <w:uiPriority w:val="0"/>
    <w:pPr>
      <w:spacing w:line="360" w:lineRule="auto"/>
      <w:jc w:val="center"/>
    </w:pPr>
    <w:rPr>
      <w:rFonts w:ascii="Times New Roman" w:hAnsi="Times New Roman" w:eastAsia="宋体" w:cs="Times New Roman"/>
      <w:b/>
      <w:kern w:val="2"/>
      <w:sz w:val="24"/>
      <w:szCs w:val="24"/>
      <w:lang w:val="en-US" w:eastAsia="zh-CN" w:bidi="ar-SA"/>
    </w:rPr>
  </w:style>
  <w:style w:type="paragraph" w:customStyle="1" w:styleId="33">
    <w:name w:val="正文非煤评价"/>
    <w:qFormat/>
    <w:uiPriority w:val="0"/>
    <w:pPr>
      <w:spacing w:line="360" w:lineRule="auto"/>
      <w:ind w:firstLine="200" w:firstLineChars="200"/>
      <w:jc w:val="both"/>
    </w:pPr>
    <w:rPr>
      <w:rFonts w:ascii="Times New Roman" w:hAnsi="Times New Roman" w:eastAsia="宋体" w:cs="Times New Roman"/>
      <w:kern w:val="2"/>
      <w:sz w:val="28"/>
      <w:szCs w:val="28"/>
      <w:lang w:val="en-US" w:eastAsia="zh-CN" w:bidi="ar-SA"/>
    </w:rPr>
  </w:style>
  <w:style w:type="character" w:customStyle="1" w:styleId="34">
    <w:name w:val="序号 2 Char"/>
    <w:link w:val="35"/>
    <w:qFormat/>
    <w:uiPriority w:val="0"/>
    <w:rPr>
      <w:kern w:val="2"/>
      <w:sz w:val="28"/>
      <w:szCs w:val="28"/>
      <w:lang w:val="en-US" w:eastAsia="zh-CN" w:bidi="ar-SA"/>
    </w:rPr>
  </w:style>
  <w:style w:type="paragraph" w:customStyle="1" w:styleId="35">
    <w:name w:val="序号 2"/>
    <w:link w:val="34"/>
    <w:qFormat/>
    <w:uiPriority w:val="0"/>
    <w:pPr>
      <w:numPr>
        <w:ilvl w:val="0"/>
        <w:numId w:val="3"/>
      </w:numPr>
      <w:spacing w:line="360" w:lineRule="auto"/>
      <w:jc w:val="both"/>
    </w:pPr>
    <w:rPr>
      <w:rFonts w:ascii="Times New Roman" w:hAnsi="Times New Roman" w:eastAsia="宋体" w:cs="Times New Roman"/>
      <w:kern w:val="2"/>
      <w:sz w:val="28"/>
      <w:szCs w:val="28"/>
      <w:lang w:val="en-US" w:eastAsia="zh-CN" w:bidi="ar-SA"/>
    </w:rPr>
  </w:style>
  <w:style w:type="paragraph" w:customStyle="1" w:styleId="36">
    <w:name w:val="表格 内容"/>
    <w:basedOn w:val="1"/>
    <w:qFormat/>
    <w:uiPriority w:val="0"/>
    <w:pPr>
      <w:spacing w:line="360" w:lineRule="exact"/>
      <w:jc w:val="center"/>
    </w:pPr>
  </w:style>
  <w:style w:type="character" w:customStyle="1" w:styleId="37">
    <w:name w:val="文本 Char"/>
    <w:link w:val="18"/>
    <w:qFormat/>
    <w:uiPriority w:val="0"/>
    <w:rPr>
      <w:rFonts w:ascii="Times New Roman" w:hAnsi="Times New Roman" w:eastAsia="宋体" w:cstheme="minorBidi"/>
      <w:sz w:val="28"/>
      <w:szCs w:val="28"/>
    </w:rPr>
  </w:style>
  <w:style w:type="character" w:customStyle="1" w:styleId="38">
    <w:name w:val="二级标题 Char"/>
    <w:link w:val="24"/>
    <w:qFormat/>
    <w:uiPriority w:val="0"/>
    <w:rPr>
      <w:rFonts w:hint="eastAsia" w:ascii="黑体" w:hAnsi="黑体" w:eastAsia="黑体" w:cs="黑体"/>
      <w:b/>
      <w:bCs/>
      <w:sz w:val="30"/>
      <w:szCs w:val="30"/>
    </w:rPr>
  </w:style>
  <w:style w:type="paragraph" w:styleId="39">
    <w:name w:val="List Paragraph"/>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pn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microsoft.com/office/2006/relationships/keyMapCustomizations" Target="customizations.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18.jpeg"/><Relationship Id="rId21" Type="http://schemas.openxmlformats.org/officeDocument/2006/relationships/image" Target="media/image17.jpeg"/><Relationship Id="rId20" Type="http://schemas.openxmlformats.org/officeDocument/2006/relationships/image" Target="media/image16.jpeg"/><Relationship Id="rId2" Type="http://schemas.openxmlformats.org/officeDocument/2006/relationships/settings" Target="settings.xml"/><Relationship Id="rId19" Type="http://schemas.openxmlformats.org/officeDocument/2006/relationships/image" Target="media/image15.jpeg"/><Relationship Id="rId18" Type="http://schemas.openxmlformats.org/officeDocument/2006/relationships/image" Target="media/image14.jpeg"/><Relationship Id="rId17" Type="http://schemas.openxmlformats.org/officeDocument/2006/relationships/image" Target="media/image13.jpeg"/><Relationship Id="rId16" Type="http://schemas.openxmlformats.org/officeDocument/2006/relationships/image" Target="media/image12.jpeg"/><Relationship Id="rId15" Type="http://schemas.openxmlformats.org/officeDocument/2006/relationships/image" Target="media/image11.jpeg"/><Relationship Id="rId14" Type="http://schemas.openxmlformats.org/officeDocument/2006/relationships/image" Target="media/image10.jpeg"/><Relationship Id="rId13" Type="http://schemas.openxmlformats.org/officeDocument/2006/relationships/image" Target="media/image9.jpeg"/><Relationship Id="rId12" Type="http://schemas.openxmlformats.org/officeDocument/2006/relationships/image" Target="media/image8.jpeg"/><Relationship Id="rId11" Type="http://schemas.openxmlformats.org/officeDocument/2006/relationships/image" Target="media/image7.jpeg"/><Relationship Id="rId10" Type="http://schemas.openxmlformats.org/officeDocument/2006/relationships/image" Target="media/image6.jpeg"/><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57</Pages>
  <Words>25676</Words>
  <Characters>29017</Characters>
  <Lines>0</Lines>
  <Paragraphs>0</Paragraphs>
  <TotalTime>2</TotalTime>
  <ScaleCrop>false</ScaleCrop>
  <LinksUpToDate>false</LinksUpToDate>
  <CharactersWithSpaces>29172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2025-03-13T01:57:00Z</dcterms:created>
  <dc:creator>Administrator</dc:creator>
  <cp:lastModifiedBy>真高兴。</cp:lastModifiedBy>
  <dcterms:modified xsi:type="dcterms:W3CDTF">2026-04-23T06:33:39Z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eyJoZGlkIjoiNDRhZjNlYzBlNWZkMzE2NWRhNDRhMzNhZGE3NzUwOTYiLCJ1c2VySWQiOiIxNDE0MzI5NTM0In0=</vt:lpwstr>
  </property>
  <property fmtid="{D5CDD505-2E9C-101B-9397-08002B2CF9AE}" pid="4" name="ICV">
    <vt:lpwstr>A0794F666C87455980D277FA590A83F6_12</vt:lpwstr>
  </property>
</Properties>
</file>