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16"/>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color w:val="auto"/>
          <w:sz w:val="32"/>
          <w:szCs w:val="32"/>
          <w:lang w:val="en-US" w:eastAsia="zh-CN"/>
        </w:rPr>
      </w:pPr>
      <w:bookmarkStart w:id="64" w:name="_GoBack"/>
      <w:bookmarkEnd w:id="64"/>
      <w:r>
        <w:rPr>
          <w:rFonts w:hint="eastAsia" w:ascii="黑体" w:hAnsi="黑体" w:eastAsia="黑体" w:cs="黑体"/>
          <w:color w:val="auto"/>
          <w:sz w:val="32"/>
          <w:szCs w:val="32"/>
          <w:lang w:val="en-US" w:eastAsia="zh-CN"/>
        </w:rPr>
        <w:t>前  言</w:t>
      </w:r>
    </w:p>
    <w:p w14:paraId="701F2938">
      <w:pPr>
        <w:pStyle w:val="16"/>
        <w:bidi w:val="0"/>
        <w:rPr>
          <w:rFonts w:hint="eastAsia"/>
          <w:color w:val="auto"/>
        </w:rPr>
      </w:pPr>
      <w:r>
        <w:rPr>
          <w:rFonts w:hint="eastAsia"/>
          <w:color w:val="auto"/>
        </w:rPr>
        <w:t>鞍山东盛源矿业有限公司（以下简称“东盛源矿业”）成立于201</w:t>
      </w:r>
      <w:r>
        <w:rPr>
          <w:rFonts w:hint="eastAsia"/>
          <w:color w:val="auto"/>
          <w:lang w:val="en-US" w:eastAsia="zh-CN"/>
        </w:rPr>
        <w:t>2</w:t>
      </w:r>
      <w:r>
        <w:rPr>
          <w:rFonts w:hint="eastAsia"/>
          <w:color w:val="auto"/>
        </w:rPr>
        <w:t>年6月</w:t>
      </w:r>
      <w:r>
        <w:rPr>
          <w:rFonts w:hint="eastAsia"/>
          <w:color w:val="auto"/>
          <w:lang w:val="en-US" w:eastAsia="zh-CN"/>
        </w:rPr>
        <w:t>4</w:t>
      </w:r>
      <w:r>
        <w:rPr>
          <w:rFonts w:hint="eastAsia"/>
          <w:color w:val="auto"/>
        </w:rPr>
        <w:t>日，经济类型为有限责任公司，法定代表人为</w:t>
      </w:r>
      <w:r>
        <w:rPr>
          <w:rFonts w:hint="eastAsia"/>
          <w:color w:val="auto"/>
          <w:lang w:val="en-US" w:eastAsia="zh-CN"/>
        </w:rPr>
        <w:t>夏玉东</w:t>
      </w:r>
      <w:r>
        <w:rPr>
          <w:rFonts w:hint="eastAsia"/>
          <w:color w:val="auto"/>
        </w:rPr>
        <w:t>。公司位于辽宁省</w:t>
      </w:r>
      <w:r>
        <w:rPr>
          <w:rFonts w:hint="eastAsia"/>
          <w:color w:val="auto"/>
          <w:lang w:val="en-US" w:eastAsia="zh-CN"/>
        </w:rPr>
        <w:t>鞍山市岫岩满族自治县偏岭镇包家堡村</w:t>
      </w:r>
      <w:r>
        <w:rPr>
          <w:rFonts w:hint="eastAsia"/>
          <w:color w:val="auto"/>
        </w:rPr>
        <w:t>，行政区划隶属于偏岭镇郭家堡村管辖。</w:t>
      </w:r>
    </w:p>
    <w:p w14:paraId="1B6D4FEC">
      <w:pPr>
        <w:pStyle w:val="16"/>
        <w:bidi w:val="0"/>
        <w:rPr>
          <w:color w:val="auto"/>
        </w:rPr>
      </w:pPr>
      <w:r>
        <w:rPr>
          <w:rFonts w:hint="eastAsia"/>
          <w:color w:val="auto"/>
        </w:rPr>
        <w:t>东盛源矿业采用露天开采方式开采</w:t>
      </w:r>
      <w:r>
        <w:rPr>
          <w:rFonts w:hint="eastAsia"/>
          <w:color w:val="auto"/>
          <w:lang w:val="en-US" w:eastAsia="zh-CN"/>
        </w:rPr>
        <w:t>大理岩</w:t>
      </w:r>
      <w:r>
        <w:rPr>
          <w:rFonts w:hint="eastAsia"/>
          <w:color w:val="auto"/>
          <w:lang w:eastAsia="zh-CN"/>
        </w:rPr>
        <w:t>，</w:t>
      </w:r>
      <w:r>
        <w:rPr>
          <w:rFonts w:hint="eastAsia"/>
          <w:color w:val="auto"/>
        </w:rPr>
        <w:t>生产规模为</w:t>
      </w:r>
      <w:r>
        <w:rPr>
          <w:rFonts w:hint="eastAsia"/>
          <w:color w:val="auto"/>
          <w:lang w:val="en-US" w:eastAsia="zh-CN"/>
        </w:rPr>
        <w:t>5</w:t>
      </w:r>
      <w:r>
        <w:rPr>
          <w:rFonts w:hint="eastAsia"/>
          <w:color w:val="auto"/>
        </w:rPr>
        <w:t>万</w:t>
      </w:r>
      <w:r>
        <w:rPr>
          <w:rFonts w:hint="eastAsia"/>
          <w:color w:val="auto"/>
          <w:lang w:val="en-US" w:eastAsia="zh-CN"/>
        </w:rPr>
        <w:t>m</w:t>
      </w:r>
      <w:r>
        <w:rPr>
          <w:rFonts w:hint="default" w:ascii="Times New Roman" w:hAnsi="Times New Roman" w:cs="Times New Roman"/>
          <w:color w:val="auto"/>
          <w:lang w:val="en-US" w:eastAsia="zh-CN"/>
        </w:rPr>
        <w:t>³</w:t>
      </w:r>
      <w:r>
        <w:rPr>
          <w:rFonts w:hint="eastAsia"/>
          <w:color w:val="auto"/>
        </w:rPr>
        <w:t>/</w:t>
      </w:r>
      <w:r>
        <w:rPr>
          <w:rFonts w:hint="eastAsia"/>
          <w:color w:val="auto"/>
          <w:lang w:val="en-US" w:eastAsia="zh-CN"/>
        </w:rPr>
        <w:t>a</w:t>
      </w:r>
      <w:r>
        <w:rPr>
          <w:rFonts w:hint="eastAsia"/>
          <w:color w:val="auto"/>
        </w:rPr>
        <w:t>，服务年限</w:t>
      </w:r>
      <w:r>
        <w:rPr>
          <w:rFonts w:hint="eastAsia"/>
          <w:color w:val="auto"/>
          <w:lang w:val="en-US" w:eastAsia="zh-CN"/>
        </w:rPr>
        <w:t>32.77年</w:t>
      </w:r>
      <w:r>
        <w:rPr>
          <w:rFonts w:hint="eastAsia"/>
          <w:color w:val="auto"/>
        </w:rPr>
        <w:t>，开拓方式为公路开拓，汽车运输，开采顺序为采场1</w:t>
      </w:r>
      <w:r>
        <w:rPr>
          <w:rFonts w:hint="eastAsia"/>
          <w:color w:val="auto"/>
          <w:lang w:eastAsia="zh-CN"/>
        </w:rPr>
        <w:t>、</w:t>
      </w:r>
      <w:r>
        <w:rPr>
          <w:rFonts w:hint="eastAsia"/>
          <w:color w:val="auto"/>
        </w:rPr>
        <w:t>采场2</w:t>
      </w:r>
      <w:r>
        <w:rPr>
          <w:rFonts w:hint="eastAsia"/>
          <w:color w:val="auto"/>
          <w:lang w:eastAsia="zh-CN"/>
        </w:rPr>
        <w:t>、</w:t>
      </w:r>
      <w:r>
        <w:rPr>
          <w:rFonts w:hint="eastAsia"/>
          <w:color w:val="auto"/>
        </w:rPr>
        <w:t>采场3</w:t>
      </w:r>
      <w:r>
        <w:rPr>
          <w:rFonts w:hint="eastAsia"/>
          <w:color w:val="auto"/>
          <w:lang w:eastAsia="zh-CN"/>
        </w:rPr>
        <w:t>，</w:t>
      </w:r>
      <w:r>
        <w:rPr>
          <w:rFonts w:hint="eastAsia"/>
          <w:color w:val="auto"/>
        </w:rPr>
        <w:t>采用水平分层采矿方法。</w:t>
      </w:r>
    </w:p>
    <w:p w14:paraId="289DFA34">
      <w:pPr>
        <w:pStyle w:val="16"/>
        <w:bidi w:val="0"/>
        <w:rPr>
          <w:rFonts w:hint="eastAsia"/>
          <w:color w:val="auto"/>
        </w:rPr>
      </w:pPr>
      <w:r>
        <w:rPr>
          <w:rFonts w:hint="eastAsia"/>
          <w:color w:val="auto"/>
        </w:rPr>
        <w:t>东盛源矿业于</w:t>
      </w:r>
      <w:r>
        <w:rPr>
          <w:rFonts w:hint="eastAsia"/>
          <w:color w:val="auto"/>
          <w:lang w:val="en-US" w:eastAsia="zh-CN"/>
        </w:rPr>
        <w:t>2022</w:t>
      </w:r>
      <w:r>
        <w:rPr>
          <w:rFonts w:hint="eastAsia"/>
          <w:color w:val="auto"/>
        </w:rPr>
        <w:t>年</w:t>
      </w:r>
      <w:r>
        <w:rPr>
          <w:rFonts w:hint="eastAsia"/>
          <w:color w:val="auto"/>
          <w:lang w:val="en-US" w:eastAsia="zh-CN"/>
        </w:rPr>
        <w:t>6</w:t>
      </w:r>
      <w:r>
        <w:rPr>
          <w:rFonts w:hint="eastAsia"/>
          <w:color w:val="auto"/>
        </w:rPr>
        <w:t>月10日取得</w:t>
      </w:r>
      <w:r>
        <w:rPr>
          <w:rFonts w:hint="eastAsia"/>
          <w:color w:val="auto"/>
          <w:lang w:val="en-US" w:eastAsia="zh-CN"/>
        </w:rPr>
        <w:t>鞍山市行政审批局</w:t>
      </w:r>
      <w:r>
        <w:rPr>
          <w:rFonts w:hint="eastAsia"/>
          <w:color w:val="auto"/>
        </w:rPr>
        <w:t>颁发的《采矿许可证》（证号：</w:t>
      </w:r>
      <w:r>
        <w:rPr>
          <w:rFonts w:hint="eastAsia"/>
          <w:color w:val="auto"/>
          <w:lang w:eastAsia="zh-CN"/>
        </w:rPr>
        <w:t>XXXXXXXXXXXXX</w:t>
      </w:r>
      <w:r>
        <w:rPr>
          <w:rFonts w:hint="eastAsia"/>
          <w:color w:val="auto"/>
        </w:rPr>
        <w:t>）（有效期为</w:t>
      </w:r>
      <w:r>
        <w:rPr>
          <w:rFonts w:hint="eastAsia"/>
          <w:color w:val="auto"/>
          <w:lang w:val="en-US" w:eastAsia="zh-CN"/>
        </w:rPr>
        <w:t>2020</w:t>
      </w:r>
      <w:r>
        <w:rPr>
          <w:rFonts w:hint="eastAsia"/>
          <w:color w:val="auto"/>
        </w:rPr>
        <w:t>年</w:t>
      </w:r>
      <w:r>
        <w:rPr>
          <w:rFonts w:hint="eastAsia"/>
          <w:color w:val="auto"/>
          <w:lang w:val="en-US" w:eastAsia="zh-CN"/>
        </w:rPr>
        <w:t>4</w:t>
      </w:r>
      <w:r>
        <w:rPr>
          <w:rFonts w:hint="eastAsia"/>
          <w:color w:val="auto"/>
        </w:rPr>
        <w:t>月</w:t>
      </w:r>
      <w:r>
        <w:rPr>
          <w:rFonts w:hint="eastAsia"/>
          <w:color w:val="auto"/>
          <w:lang w:val="en-US" w:eastAsia="zh-CN"/>
        </w:rPr>
        <w:t>24</w:t>
      </w:r>
      <w:r>
        <w:rPr>
          <w:rFonts w:hint="eastAsia"/>
          <w:color w:val="auto"/>
        </w:rPr>
        <w:t>日至</w:t>
      </w:r>
      <w:r>
        <w:rPr>
          <w:rFonts w:hint="eastAsia"/>
          <w:color w:val="auto"/>
          <w:lang w:val="en-US" w:eastAsia="zh-CN"/>
        </w:rPr>
        <w:t>2032</w:t>
      </w:r>
      <w:r>
        <w:rPr>
          <w:rFonts w:hint="eastAsia"/>
          <w:color w:val="auto"/>
        </w:rPr>
        <w:t>年</w:t>
      </w:r>
      <w:r>
        <w:rPr>
          <w:rFonts w:hint="eastAsia"/>
          <w:color w:val="auto"/>
          <w:lang w:val="en-US" w:eastAsia="zh-CN"/>
        </w:rPr>
        <w:t>5</w:t>
      </w:r>
      <w:r>
        <w:rPr>
          <w:rFonts w:hint="eastAsia"/>
          <w:color w:val="auto"/>
        </w:rPr>
        <w:t>月</w:t>
      </w:r>
      <w:r>
        <w:rPr>
          <w:rFonts w:hint="eastAsia"/>
          <w:color w:val="auto"/>
          <w:lang w:val="en-US" w:eastAsia="zh-CN"/>
        </w:rPr>
        <w:t>24</w:t>
      </w:r>
      <w:r>
        <w:rPr>
          <w:rFonts w:hint="eastAsia"/>
          <w:color w:val="auto"/>
        </w:rPr>
        <w:t>日）</w:t>
      </w:r>
      <w:r>
        <w:rPr>
          <w:rFonts w:hint="eastAsia"/>
          <w:color w:val="auto"/>
          <w:lang w:eastAsia="zh-CN"/>
        </w:rPr>
        <w:t>，</w:t>
      </w:r>
      <w:r>
        <w:rPr>
          <w:rFonts w:hint="eastAsia"/>
          <w:color w:val="auto"/>
        </w:rPr>
        <w:t>持有辽宁省应急管理厅核发的《安全生产许可证》（（辽）FM安许证字〔</w:t>
      </w:r>
      <w:r>
        <w:rPr>
          <w:rFonts w:hint="eastAsia"/>
          <w:color w:val="auto"/>
          <w:lang w:val="en-US" w:eastAsia="zh-CN"/>
        </w:rPr>
        <w:t>2022</w:t>
      </w:r>
      <w:r>
        <w:rPr>
          <w:rFonts w:hint="eastAsia"/>
          <w:color w:val="auto"/>
        </w:rPr>
        <w:t>〕</w:t>
      </w:r>
      <w:r>
        <w:rPr>
          <w:rFonts w:hint="eastAsia"/>
          <w:color w:val="auto"/>
          <w:lang w:val="en-US" w:eastAsia="zh-CN"/>
        </w:rPr>
        <w:t>YC031090L</w:t>
      </w:r>
      <w:r>
        <w:rPr>
          <w:rFonts w:hint="eastAsia"/>
          <w:color w:val="auto"/>
        </w:rPr>
        <w:t>）（有效期为202</w:t>
      </w:r>
      <w:r>
        <w:rPr>
          <w:rFonts w:hint="eastAsia"/>
          <w:color w:val="auto"/>
          <w:lang w:val="en-US" w:eastAsia="zh-CN"/>
        </w:rPr>
        <w:t>2</w:t>
      </w:r>
      <w:r>
        <w:rPr>
          <w:rFonts w:hint="eastAsia"/>
          <w:color w:val="auto"/>
        </w:rPr>
        <w:t>年</w:t>
      </w:r>
      <w:r>
        <w:rPr>
          <w:rFonts w:hint="eastAsia"/>
          <w:color w:val="auto"/>
          <w:lang w:val="en-US" w:eastAsia="zh-CN"/>
        </w:rPr>
        <w:t>10</w:t>
      </w:r>
      <w:r>
        <w:rPr>
          <w:rFonts w:hint="eastAsia"/>
          <w:color w:val="auto"/>
        </w:rPr>
        <w:t>月1</w:t>
      </w:r>
      <w:r>
        <w:rPr>
          <w:rFonts w:hint="eastAsia"/>
          <w:color w:val="auto"/>
          <w:lang w:val="en-US" w:eastAsia="zh-CN"/>
        </w:rPr>
        <w:t>9</w:t>
      </w:r>
      <w:r>
        <w:rPr>
          <w:rFonts w:hint="eastAsia"/>
          <w:color w:val="auto"/>
        </w:rPr>
        <w:t>日至202</w:t>
      </w:r>
      <w:r>
        <w:rPr>
          <w:rFonts w:hint="eastAsia"/>
          <w:color w:val="auto"/>
          <w:lang w:val="en-US" w:eastAsia="zh-CN"/>
        </w:rPr>
        <w:t>5</w:t>
      </w:r>
      <w:r>
        <w:rPr>
          <w:rFonts w:hint="eastAsia"/>
          <w:color w:val="auto"/>
        </w:rPr>
        <w:t>年</w:t>
      </w:r>
      <w:r>
        <w:rPr>
          <w:rFonts w:hint="eastAsia"/>
          <w:color w:val="auto"/>
          <w:lang w:val="en-US" w:eastAsia="zh-CN"/>
        </w:rPr>
        <w:t>10</w:t>
      </w:r>
      <w:r>
        <w:rPr>
          <w:rFonts w:hint="eastAsia"/>
          <w:color w:val="auto"/>
        </w:rPr>
        <w:t>月</w:t>
      </w:r>
      <w:r>
        <w:rPr>
          <w:rFonts w:hint="eastAsia"/>
          <w:color w:val="auto"/>
          <w:lang w:val="en-US" w:eastAsia="zh-CN"/>
        </w:rPr>
        <w:t>18</w:t>
      </w:r>
      <w:r>
        <w:rPr>
          <w:rFonts w:hint="eastAsia"/>
          <w:color w:val="auto"/>
        </w:rPr>
        <w:t>日），持有</w:t>
      </w:r>
      <w:r>
        <w:rPr>
          <w:rFonts w:hint="eastAsia"/>
          <w:color w:val="auto"/>
          <w:lang w:val="en-US" w:eastAsia="zh-CN"/>
        </w:rPr>
        <w:t>岫岩满族自治县市场监督管理局</w:t>
      </w:r>
      <w:r>
        <w:rPr>
          <w:rFonts w:hint="eastAsia"/>
          <w:color w:val="auto"/>
        </w:rPr>
        <w:t>于</w:t>
      </w:r>
      <w:r>
        <w:rPr>
          <w:rFonts w:hint="eastAsia"/>
          <w:color w:val="auto"/>
          <w:lang w:val="en-US" w:eastAsia="zh-CN"/>
        </w:rPr>
        <w:t>2022</w:t>
      </w:r>
      <w:r>
        <w:rPr>
          <w:rFonts w:hint="eastAsia"/>
          <w:color w:val="auto"/>
        </w:rPr>
        <w:t>年11月15日下发的《营业执照》（统一社会信用代码</w:t>
      </w:r>
      <w:r>
        <w:rPr>
          <w:rFonts w:hint="eastAsia"/>
          <w:color w:val="auto"/>
          <w:lang w:val="en-US" w:eastAsia="zh-CN"/>
        </w:rPr>
        <w:t>XXXXXXXXXXXXX</w:t>
      </w:r>
      <w:r>
        <w:rPr>
          <w:rFonts w:hint="eastAsia"/>
          <w:color w:val="auto"/>
        </w:rPr>
        <w:t>）。</w:t>
      </w:r>
    </w:p>
    <w:p w14:paraId="12FDECA7">
      <w:pPr>
        <w:pStyle w:val="16"/>
        <w:bidi w:val="0"/>
        <w:rPr>
          <w:rFonts w:hint="default" w:eastAsia="宋体"/>
          <w:color w:val="auto"/>
          <w:lang w:val="en-US" w:eastAsia="zh-CN"/>
        </w:rPr>
      </w:pPr>
      <w:r>
        <w:rPr>
          <w:rFonts w:hint="eastAsia"/>
          <w:color w:val="auto"/>
          <w:lang w:val="en-US" w:eastAsia="zh-CN"/>
        </w:rPr>
        <w:t>2009年，</w:t>
      </w:r>
      <w:r>
        <w:rPr>
          <w:rFonts w:hint="eastAsia"/>
          <w:color w:val="auto"/>
        </w:rPr>
        <w:t>东盛源矿业</w:t>
      </w:r>
      <w:r>
        <w:rPr>
          <w:rFonts w:hint="eastAsia"/>
          <w:color w:val="auto"/>
          <w:lang w:val="en-US" w:eastAsia="zh-CN"/>
        </w:rPr>
        <w:t>委托鞍山冶金设计研究院有限责任公司编制</w:t>
      </w:r>
      <w:r>
        <w:rPr>
          <w:rFonts w:hint="eastAsia"/>
          <w:color w:val="auto"/>
        </w:rPr>
        <w:t>《岫岩满族自治县偏岭镇郭家堡村石米厂白云石大理岩开采设计》</w:t>
      </w:r>
      <w:r>
        <w:rPr>
          <w:rFonts w:hint="eastAsia"/>
          <w:color w:val="auto"/>
          <w:lang w:val="en-US" w:eastAsia="zh-CN"/>
        </w:rPr>
        <w:t>；2012</w:t>
      </w:r>
      <w:r>
        <w:rPr>
          <w:rFonts w:hint="eastAsia"/>
          <w:color w:val="auto"/>
        </w:rPr>
        <w:t>年</w:t>
      </w:r>
      <w:r>
        <w:rPr>
          <w:rFonts w:hint="eastAsia"/>
          <w:color w:val="auto"/>
          <w:lang w:val="en-US" w:eastAsia="zh-CN"/>
        </w:rPr>
        <w:t>8</w:t>
      </w:r>
      <w:r>
        <w:rPr>
          <w:rFonts w:hint="eastAsia"/>
          <w:color w:val="auto"/>
        </w:rPr>
        <w:t>月，东盛源矿业</w:t>
      </w:r>
      <w:r>
        <w:rPr>
          <w:rFonts w:hint="eastAsia"/>
          <w:color w:val="auto"/>
          <w:lang w:val="en-US" w:eastAsia="zh-CN"/>
        </w:rPr>
        <w:t>委托</w:t>
      </w:r>
      <w:r>
        <w:rPr>
          <w:rFonts w:hint="eastAsia"/>
          <w:color w:val="auto"/>
        </w:rPr>
        <w:t>岫岩满族自治县华玉源地质勘查有限公司</w:t>
      </w:r>
      <w:r>
        <w:rPr>
          <w:rFonts w:hint="eastAsia"/>
          <w:color w:val="auto"/>
          <w:lang w:val="en-US" w:eastAsia="zh-CN"/>
        </w:rPr>
        <w:t>编制提交</w:t>
      </w:r>
      <w:r>
        <w:rPr>
          <w:rFonts w:hint="eastAsia"/>
          <w:color w:val="auto"/>
        </w:rPr>
        <w:t>《辽宁省岫岩满族自治县偏岭镇郭家堡村矿区建筑石料用大理岩资源储量核实报告》</w:t>
      </w:r>
      <w:r>
        <w:rPr>
          <w:rFonts w:hint="eastAsia"/>
          <w:color w:val="auto"/>
          <w:lang w:eastAsia="zh-CN"/>
        </w:rPr>
        <w:t>，</w:t>
      </w:r>
      <w:r>
        <w:rPr>
          <w:rFonts w:hint="eastAsia"/>
          <w:color w:val="auto"/>
          <w:lang w:val="en-US" w:eastAsia="zh-CN"/>
        </w:rPr>
        <w:t>于2012年11月18日取得《评审意见书》</w:t>
      </w:r>
      <w:r>
        <w:rPr>
          <w:rFonts w:hint="eastAsia"/>
          <w:color w:val="auto"/>
        </w:rPr>
        <w:t>（辽储评（储）字〔</w:t>
      </w:r>
      <w:r>
        <w:rPr>
          <w:rFonts w:hint="eastAsia"/>
          <w:color w:val="auto"/>
          <w:lang w:val="en-US" w:eastAsia="zh-CN"/>
        </w:rPr>
        <w:t>2012</w:t>
      </w:r>
      <w:r>
        <w:rPr>
          <w:rFonts w:hint="eastAsia"/>
          <w:color w:val="auto"/>
        </w:rPr>
        <w:t>〕242号），</w:t>
      </w:r>
      <w:r>
        <w:rPr>
          <w:rFonts w:hint="eastAsia"/>
          <w:color w:val="auto"/>
          <w:lang w:val="en-US" w:eastAsia="zh-CN"/>
        </w:rPr>
        <w:t>并于2012年11月26日取得《评审备案证明》（辽国土资储备字</w:t>
      </w:r>
      <w:r>
        <w:rPr>
          <w:rFonts w:hint="eastAsia"/>
          <w:color w:val="auto"/>
        </w:rPr>
        <w:t>〔</w:t>
      </w:r>
      <w:r>
        <w:rPr>
          <w:rFonts w:hint="eastAsia"/>
          <w:color w:val="auto"/>
          <w:lang w:val="en-US" w:eastAsia="zh-CN"/>
        </w:rPr>
        <w:t>2012</w:t>
      </w:r>
      <w:r>
        <w:rPr>
          <w:rFonts w:hint="eastAsia"/>
          <w:color w:val="auto"/>
        </w:rPr>
        <w:t>〕</w:t>
      </w:r>
      <w:r>
        <w:rPr>
          <w:rFonts w:hint="eastAsia"/>
          <w:color w:val="auto"/>
          <w:lang w:val="en-US" w:eastAsia="zh-CN"/>
        </w:rPr>
        <w:t>292号）；2012年12月，委托鞍钢矿山附企设计研究所编制《岫岩满族自治县偏岭镇郭家卜村石米厂（大理岩矿）矿产资源开发利用方案》；2014年5月，岫岩满族自治县华玉源地质勘查有限公司编制</w:t>
      </w:r>
      <w:r>
        <w:rPr>
          <w:rFonts w:hint="eastAsia"/>
          <w:color w:val="auto"/>
        </w:rPr>
        <w:t>《鞍山东盛源矿业有限公司（大理岩矿）矿山地质环境保护与恢复治理方案》；</w:t>
      </w:r>
      <w:r>
        <w:rPr>
          <w:rFonts w:hint="eastAsia"/>
          <w:color w:val="auto"/>
          <w:lang w:val="en-US" w:eastAsia="zh-CN"/>
        </w:rPr>
        <w:t>2015年10月，委托沈阳一方正和工程技术咨询有限公司编制《鞍山东盛源矿业有限公司（大理岩矿）露天开采建设项目补充设计》。</w:t>
      </w:r>
      <w:r>
        <w:rPr>
          <w:rFonts w:hint="eastAsia"/>
          <w:color w:val="auto"/>
        </w:rPr>
        <w:t>以上资料为本次安全现状评价提供了主要依据。</w:t>
      </w:r>
    </w:p>
    <w:p w14:paraId="0E14E486">
      <w:pPr>
        <w:pStyle w:val="16"/>
        <w:bidi w:val="0"/>
        <w:rPr>
          <w:rFonts w:hint="eastAsia"/>
          <w:color w:val="auto"/>
        </w:rPr>
      </w:pPr>
      <w:r>
        <w:rPr>
          <w:rFonts w:hint="eastAsia"/>
          <w:color w:val="auto"/>
        </w:rPr>
        <w:t>鞍山东盛源矿业有限公司为了贯彻执行“安全第一、预防为主、综合治理”的方针，提高矿山企业本质安全程度和安全管理水平，减少和控制矿山企业生产中的危险、有害因素，降低生产安全风险，预防事故发生，保护企业人员的健康和生命安全及财产安全，根据《非煤矿矿山企业安全生产许可证实施办法》</w:t>
      </w:r>
      <w:r>
        <w:rPr>
          <w:rFonts w:hint="eastAsia"/>
          <w:color w:val="auto"/>
          <w:lang w:eastAsia="zh-CN"/>
        </w:rPr>
        <w:t>（国家安全生产监督管理总局令第20号公布、国家安全生产监督管理总局令第78号修正）</w:t>
      </w:r>
      <w:r>
        <w:rPr>
          <w:rFonts w:hint="eastAsia"/>
          <w:color w:val="auto"/>
        </w:rPr>
        <w:t>的要求，鞍山东盛源矿业有限公司委托辽宁诺诚安全科技有限公司为其进行安全现状评价，评价组于202</w:t>
      </w:r>
      <w:r>
        <w:rPr>
          <w:rFonts w:hint="eastAsia"/>
          <w:color w:val="auto"/>
          <w:lang w:val="en-US" w:eastAsia="zh-CN"/>
        </w:rPr>
        <w:t>5</w:t>
      </w:r>
      <w:r>
        <w:rPr>
          <w:rFonts w:hint="eastAsia"/>
          <w:color w:val="auto"/>
        </w:rPr>
        <w:t>年</w:t>
      </w:r>
      <w:r>
        <w:rPr>
          <w:rFonts w:hint="eastAsia"/>
          <w:color w:val="auto"/>
          <w:lang w:val="en-US" w:eastAsia="zh-CN"/>
        </w:rPr>
        <w:t>6</w:t>
      </w:r>
      <w:r>
        <w:rPr>
          <w:rFonts w:hint="eastAsia"/>
          <w:color w:val="auto"/>
        </w:rPr>
        <w:t>月</w:t>
      </w:r>
      <w:r>
        <w:rPr>
          <w:rFonts w:hint="eastAsia"/>
          <w:color w:val="auto"/>
          <w:lang w:val="en-US" w:eastAsia="zh-CN"/>
        </w:rPr>
        <w:t>24</w:t>
      </w:r>
      <w:r>
        <w:rPr>
          <w:rFonts w:hint="eastAsia"/>
          <w:color w:val="auto"/>
        </w:rPr>
        <w:t>日进入现场勘察，对其进行安全现状评价。依据《安全评价通则》（AQ8001-2007），评价组本着科学、公正的原则编写了《鞍山东盛源矿业有限公司露天矿山安全现状评价报告》。</w:t>
      </w:r>
    </w:p>
    <w:p w14:paraId="12621923">
      <w:pPr>
        <w:adjustRightInd w:val="0"/>
        <w:snapToGrid w:val="0"/>
        <w:spacing w:line="360" w:lineRule="auto"/>
        <w:ind w:firstLine="560" w:firstLineChars="200"/>
        <w:jc w:val="right"/>
        <w:rPr>
          <w:rFonts w:hint="eastAsia" w:ascii="宋体" w:hAnsi="宋体" w:cs="宋体"/>
          <w:color w:val="auto"/>
          <w:sz w:val="28"/>
          <w:szCs w:val="28"/>
        </w:rPr>
      </w:pPr>
    </w:p>
    <w:p w14:paraId="7C0820CA">
      <w:pPr>
        <w:pStyle w:val="16"/>
        <w:bidi w:val="0"/>
        <w:jc w:val="right"/>
        <w:rPr>
          <w:rFonts w:hint="eastAsia"/>
          <w:color w:val="auto"/>
        </w:rPr>
      </w:pPr>
      <w:r>
        <w:rPr>
          <w:rFonts w:hint="eastAsia"/>
          <w:color w:val="auto"/>
        </w:rPr>
        <w:t>辽宁诺诚安全科技有限公司</w:t>
      </w:r>
    </w:p>
    <w:p w14:paraId="2934FBDB">
      <w:pPr>
        <w:pStyle w:val="16"/>
        <w:bidi w:val="0"/>
        <w:rPr>
          <w:rFonts w:hint="eastAsia"/>
          <w:color w:val="auto"/>
        </w:rPr>
      </w:pPr>
    </w:p>
    <w:p w14:paraId="49A4F669">
      <w:pPr>
        <w:pStyle w:val="16"/>
        <w:bidi w:val="0"/>
        <w:rPr>
          <w:rFonts w:hint="eastAsia"/>
          <w:color w:val="auto"/>
        </w:rPr>
      </w:pPr>
      <w:r>
        <w:rPr>
          <w:rFonts w:hint="eastAsia"/>
          <w:color w:val="auto"/>
        </w:rPr>
        <w:br w:type="page"/>
      </w:r>
    </w:p>
    <w:sdt>
      <w:sdtPr>
        <w:rPr>
          <w:rFonts w:ascii="宋体" w:hAnsi="宋体" w:eastAsia="宋体" w:cstheme="minorBidi"/>
          <w:color w:val="auto"/>
          <w:kern w:val="2"/>
          <w:sz w:val="21"/>
          <w:szCs w:val="24"/>
          <w:lang w:val="en-US" w:eastAsia="zh-CN" w:bidi="ar-SA"/>
        </w:rPr>
        <w:id w:val="147452412"/>
        <w15:color w:val="DBDBDB"/>
        <w:docPartObj>
          <w:docPartGallery w:val="Table of Contents"/>
          <w:docPartUnique/>
        </w:docPartObj>
      </w:sdtPr>
      <w:sdtEndPr>
        <w:rPr>
          <w:rFonts w:hint="default" w:ascii="Times New Roman" w:hAnsi="Times New Roman" w:eastAsiaTheme="minorEastAsia" w:cstheme="minorBidi"/>
          <w:b/>
          <w:color w:val="auto"/>
          <w:kern w:val="2"/>
          <w:sz w:val="21"/>
          <w:szCs w:val="28"/>
          <w:lang w:val="en-US" w:eastAsia="zh-CN" w:bidi="ar-SA"/>
        </w:rPr>
      </w:sdtEndPr>
      <w:sdtContent>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color w:val="auto"/>
            </w:rPr>
          </w:pPr>
          <w:r>
            <w:rPr>
              <w:rFonts w:hint="eastAsia" w:ascii="黑体" w:hAnsi="黑体" w:eastAsia="黑体" w:cs="黑体"/>
              <w:color w:val="auto"/>
              <w:sz w:val="32"/>
              <w:szCs w:val="32"/>
            </w:rPr>
            <w:t>目</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录</w:t>
          </w:r>
        </w:p>
        <w:p w14:paraId="24F4C4B4">
          <w:pPr>
            <w:pStyle w:val="15"/>
            <w:tabs>
              <w:tab w:val="right" w:leader="dot" w:pos="9185"/>
            </w:tabs>
          </w:pPr>
          <w:r>
            <w:rPr>
              <w:rFonts w:hint="default" w:ascii="Times New Roman" w:hAnsi="Times New Roman" w:eastAsiaTheme="minorEastAsia"/>
              <w:color w:val="auto"/>
              <w:sz w:val="28"/>
              <w:szCs w:val="28"/>
              <w:lang w:val="en-US" w:eastAsia="zh-CN"/>
            </w:rPr>
            <w:fldChar w:fldCharType="begin"/>
          </w:r>
          <w:r>
            <w:rPr>
              <w:rFonts w:hint="default" w:ascii="Times New Roman" w:hAnsi="Times New Roman" w:eastAsiaTheme="minorEastAsia"/>
              <w:color w:val="auto"/>
              <w:sz w:val="28"/>
              <w:szCs w:val="28"/>
              <w:lang w:val="en-US" w:eastAsia="zh-CN"/>
            </w:rPr>
            <w:instrText xml:space="preserve">TOC \o "1-2" \h \u </w:instrText>
          </w:r>
          <w:r>
            <w:rPr>
              <w:rFonts w:hint="default" w:ascii="Times New Roman" w:hAnsi="Times New Roman" w:eastAsiaTheme="minorEastAsia"/>
              <w:color w:val="auto"/>
              <w:sz w:val="28"/>
              <w:szCs w:val="28"/>
              <w:lang w:val="en-US" w:eastAsia="zh-CN"/>
            </w:rPr>
            <w:fldChar w:fldCharType="separate"/>
          </w: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_Toc13165 </w:instrText>
          </w:r>
          <w:r>
            <w:rPr>
              <w:rFonts w:hint="default" w:ascii="Times New Roman" w:hAnsi="Times New Roman" w:eastAsiaTheme="minorEastAsia"/>
              <w:szCs w:val="28"/>
              <w:lang w:val="en-US" w:eastAsia="zh-CN"/>
            </w:rPr>
            <w:fldChar w:fldCharType="separate"/>
          </w:r>
          <w:r>
            <w:rPr>
              <w:rFonts w:hint="default"/>
              <w:lang w:val="en-US" w:eastAsia="zh-CN"/>
            </w:rPr>
            <w:t>1 概述</w:t>
          </w:r>
          <w:r>
            <w:tab/>
          </w:r>
          <w:r>
            <w:fldChar w:fldCharType="begin"/>
          </w:r>
          <w:r>
            <w:instrText xml:space="preserve"> PAGEREF _Toc13165 \h </w:instrText>
          </w:r>
          <w:r>
            <w:fldChar w:fldCharType="separate"/>
          </w:r>
          <w:r>
            <w:t>1</w:t>
          </w:r>
          <w:r>
            <w:fldChar w:fldCharType="end"/>
          </w:r>
          <w:r>
            <w:rPr>
              <w:rFonts w:hint="default" w:ascii="Times New Roman" w:hAnsi="Times New Roman" w:eastAsiaTheme="minorEastAsia"/>
              <w:color w:val="auto"/>
              <w:szCs w:val="28"/>
              <w:lang w:val="en-US" w:eastAsia="zh-CN"/>
            </w:rPr>
            <w:fldChar w:fldCharType="end"/>
          </w:r>
        </w:p>
        <w:p w14:paraId="02B8A951">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_Toc7078 </w:instrText>
          </w:r>
          <w:r>
            <w:rPr>
              <w:rFonts w:hint="default" w:ascii="Times New Roman" w:hAnsi="Times New Roman" w:eastAsiaTheme="minorEastAsia"/>
              <w:szCs w:val="28"/>
              <w:lang w:val="en-US" w:eastAsia="zh-CN"/>
            </w:rPr>
            <w:fldChar w:fldCharType="separate"/>
          </w:r>
          <w:r>
            <w:rPr>
              <w:rFonts w:hint="default"/>
              <w:lang w:val="en-US" w:eastAsia="zh-CN"/>
            </w:rPr>
            <w:t xml:space="preserve">1.1 </w:t>
          </w:r>
          <w:r>
            <w:rPr>
              <w:rFonts w:hint="eastAsia"/>
              <w:lang w:val="en-US" w:eastAsia="zh-CN"/>
            </w:rPr>
            <w:t>安全现状评价目的</w:t>
          </w:r>
          <w:r>
            <w:tab/>
          </w:r>
          <w:r>
            <w:fldChar w:fldCharType="begin"/>
          </w:r>
          <w:r>
            <w:instrText xml:space="preserve"> PAGEREF _Toc7078 \h </w:instrText>
          </w:r>
          <w:r>
            <w:fldChar w:fldCharType="separate"/>
          </w:r>
          <w:r>
            <w:t>1</w:t>
          </w:r>
          <w:r>
            <w:fldChar w:fldCharType="end"/>
          </w:r>
          <w:r>
            <w:rPr>
              <w:rFonts w:hint="default" w:ascii="Times New Roman" w:hAnsi="Times New Roman" w:eastAsiaTheme="minorEastAsia"/>
              <w:color w:val="auto"/>
              <w:szCs w:val="28"/>
              <w:lang w:val="en-US" w:eastAsia="zh-CN"/>
            </w:rPr>
            <w:fldChar w:fldCharType="end"/>
          </w:r>
        </w:p>
        <w:p w14:paraId="4B71EC4B">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_Toc17707 </w:instrText>
          </w:r>
          <w:r>
            <w:rPr>
              <w:rFonts w:hint="default" w:ascii="Times New Roman" w:hAnsi="Times New Roman" w:eastAsiaTheme="minorEastAsia"/>
              <w:szCs w:val="28"/>
              <w:lang w:val="en-US" w:eastAsia="zh-CN"/>
            </w:rPr>
            <w:fldChar w:fldCharType="separate"/>
          </w:r>
          <w:r>
            <w:rPr>
              <w:rFonts w:hint="default"/>
              <w:lang w:val="en-US" w:eastAsia="zh-CN"/>
            </w:rPr>
            <w:t>1.2 编制依据</w:t>
          </w:r>
          <w:r>
            <w:tab/>
          </w:r>
          <w:r>
            <w:fldChar w:fldCharType="begin"/>
          </w:r>
          <w:r>
            <w:instrText xml:space="preserve"> PAGEREF _Toc17707 \h </w:instrText>
          </w:r>
          <w:r>
            <w:fldChar w:fldCharType="separate"/>
          </w:r>
          <w:r>
            <w:t>1</w:t>
          </w:r>
          <w:r>
            <w:fldChar w:fldCharType="end"/>
          </w:r>
          <w:r>
            <w:rPr>
              <w:rFonts w:hint="default" w:ascii="Times New Roman" w:hAnsi="Times New Roman" w:eastAsiaTheme="minorEastAsia"/>
              <w:color w:val="auto"/>
              <w:szCs w:val="28"/>
              <w:lang w:val="en-US" w:eastAsia="zh-CN"/>
            </w:rPr>
            <w:fldChar w:fldCharType="end"/>
          </w:r>
        </w:p>
        <w:p w14:paraId="0C989C38">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_Toc8381 </w:instrText>
          </w:r>
          <w:r>
            <w:rPr>
              <w:rFonts w:hint="default" w:ascii="Times New Roman" w:hAnsi="Times New Roman" w:eastAsiaTheme="minorEastAsia"/>
              <w:szCs w:val="28"/>
              <w:lang w:val="en-US" w:eastAsia="zh-CN"/>
            </w:rPr>
            <w:fldChar w:fldCharType="separate"/>
          </w:r>
          <w:r>
            <w:rPr>
              <w:rFonts w:hint="default"/>
              <w:lang w:val="en-US" w:eastAsia="zh-CN"/>
            </w:rPr>
            <w:t>1.3 安全现状评价范围</w:t>
          </w:r>
          <w:r>
            <w:tab/>
          </w:r>
          <w:r>
            <w:fldChar w:fldCharType="begin"/>
          </w:r>
          <w:r>
            <w:instrText xml:space="preserve"> PAGEREF _Toc8381 \h </w:instrText>
          </w:r>
          <w:r>
            <w:fldChar w:fldCharType="separate"/>
          </w:r>
          <w:r>
            <w:t>8</w:t>
          </w:r>
          <w:r>
            <w:fldChar w:fldCharType="end"/>
          </w:r>
          <w:r>
            <w:rPr>
              <w:rFonts w:hint="default" w:ascii="Times New Roman" w:hAnsi="Times New Roman" w:eastAsiaTheme="minorEastAsia"/>
              <w:color w:val="auto"/>
              <w:szCs w:val="28"/>
              <w:lang w:val="en-US" w:eastAsia="zh-CN"/>
            </w:rPr>
            <w:fldChar w:fldCharType="end"/>
          </w:r>
        </w:p>
        <w:p w14:paraId="565323BE">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_Toc18838 </w:instrText>
          </w:r>
          <w:r>
            <w:rPr>
              <w:rFonts w:hint="default" w:ascii="Times New Roman" w:hAnsi="Times New Roman" w:eastAsiaTheme="minorEastAsia"/>
              <w:szCs w:val="28"/>
              <w:lang w:val="en-US" w:eastAsia="zh-CN"/>
            </w:rPr>
            <w:fldChar w:fldCharType="separate"/>
          </w:r>
          <w:r>
            <w:rPr>
              <w:rFonts w:hint="default"/>
              <w:lang w:val="en-US" w:eastAsia="zh-CN"/>
            </w:rPr>
            <w:t>1.4 安全现状评价程序</w:t>
          </w:r>
          <w:r>
            <w:tab/>
          </w:r>
          <w:r>
            <w:fldChar w:fldCharType="begin"/>
          </w:r>
          <w:r>
            <w:instrText xml:space="preserve"> PAGEREF _Toc18838 \h </w:instrText>
          </w:r>
          <w:r>
            <w:fldChar w:fldCharType="separate"/>
          </w:r>
          <w:r>
            <w:t>10</w:t>
          </w:r>
          <w:r>
            <w:fldChar w:fldCharType="end"/>
          </w:r>
          <w:r>
            <w:rPr>
              <w:rFonts w:hint="default" w:ascii="Times New Roman" w:hAnsi="Times New Roman" w:eastAsiaTheme="minorEastAsia"/>
              <w:color w:val="auto"/>
              <w:szCs w:val="28"/>
              <w:lang w:val="en-US" w:eastAsia="zh-CN"/>
            </w:rPr>
            <w:fldChar w:fldCharType="end"/>
          </w:r>
        </w:p>
        <w:p w14:paraId="0ACAF55C">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_Toc4237 </w:instrText>
          </w:r>
          <w:r>
            <w:rPr>
              <w:rFonts w:hint="default" w:ascii="Times New Roman" w:hAnsi="Times New Roman" w:eastAsiaTheme="minorEastAsia"/>
              <w:szCs w:val="28"/>
              <w:lang w:val="en-US" w:eastAsia="zh-CN"/>
            </w:rPr>
            <w:fldChar w:fldCharType="separate"/>
          </w:r>
          <w:r>
            <w:rPr>
              <w:rFonts w:hint="default"/>
            </w:rPr>
            <w:t xml:space="preserve">2 </w:t>
          </w:r>
          <w:r>
            <w:rPr>
              <w:rFonts w:hint="eastAsia"/>
            </w:rPr>
            <w:t>矿山基本情况</w:t>
          </w:r>
          <w:r>
            <w:tab/>
          </w:r>
          <w:r>
            <w:fldChar w:fldCharType="begin"/>
          </w:r>
          <w:r>
            <w:instrText xml:space="preserve"> PAGEREF _Toc4237 \h </w:instrText>
          </w:r>
          <w:r>
            <w:fldChar w:fldCharType="separate"/>
          </w:r>
          <w:r>
            <w:t>11</w:t>
          </w:r>
          <w:r>
            <w:fldChar w:fldCharType="end"/>
          </w:r>
          <w:r>
            <w:rPr>
              <w:rFonts w:hint="default" w:ascii="Times New Roman" w:hAnsi="Times New Roman" w:eastAsiaTheme="minorEastAsia"/>
              <w:color w:val="auto"/>
              <w:szCs w:val="28"/>
              <w:lang w:val="en-US" w:eastAsia="zh-CN"/>
            </w:rPr>
            <w:fldChar w:fldCharType="end"/>
          </w:r>
        </w:p>
        <w:p w14:paraId="74B1D025">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_Toc23185 </w:instrText>
          </w:r>
          <w:r>
            <w:rPr>
              <w:rFonts w:hint="default" w:ascii="Times New Roman" w:hAnsi="Times New Roman" w:eastAsiaTheme="minorEastAsia"/>
              <w:szCs w:val="28"/>
              <w:lang w:val="en-US" w:eastAsia="zh-CN"/>
            </w:rPr>
            <w:fldChar w:fldCharType="separate"/>
          </w:r>
          <w:r>
            <w:rPr>
              <w:rFonts w:hint="default"/>
              <w:lang w:val="en-US" w:eastAsia="zh-CN"/>
            </w:rPr>
            <w:t>2.1 项目概况</w:t>
          </w:r>
          <w:r>
            <w:tab/>
          </w:r>
          <w:r>
            <w:fldChar w:fldCharType="begin"/>
          </w:r>
          <w:r>
            <w:instrText xml:space="preserve"> PAGEREF _Toc23185 \h </w:instrText>
          </w:r>
          <w:r>
            <w:fldChar w:fldCharType="separate"/>
          </w:r>
          <w:r>
            <w:t>11</w:t>
          </w:r>
          <w:r>
            <w:fldChar w:fldCharType="end"/>
          </w:r>
          <w:r>
            <w:rPr>
              <w:rFonts w:hint="default" w:ascii="Times New Roman" w:hAnsi="Times New Roman" w:eastAsiaTheme="minorEastAsia"/>
              <w:color w:val="auto"/>
              <w:szCs w:val="28"/>
              <w:lang w:val="en-US" w:eastAsia="zh-CN"/>
            </w:rPr>
            <w:fldChar w:fldCharType="end"/>
          </w:r>
        </w:p>
        <w:p w14:paraId="29DB660F">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_Toc13690 </w:instrText>
          </w:r>
          <w:r>
            <w:rPr>
              <w:rFonts w:hint="default" w:ascii="Times New Roman" w:hAnsi="Times New Roman" w:eastAsiaTheme="minorEastAsia"/>
              <w:szCs w:val="28"/>
              <w:lang w:val="en-US" w:eastAsia="zh-CN"/>
            </w:rPr>
            <w:fldChar w:fldCharType="separate"/>
          </w:r>
          <w:r>
            <w:rPr>
              <w:rFonts w:hint="default"/>
              <w:lang w:val="en-US" w:eastAsia="zh-CN"/>
            </w:rPr>
            <w:t xml:space="preserve">2.2 </w:t>
          </w:r>
          <w:r>
            <w:rPr>
              <w:rFonts w:hint="eastAsia"/>
              <w:lang w:val="en-US" w:eastAsia="zh-CN"/>
            </w:rPr>
            <w:t>地质概况</w:t>
          </w:r>
          <w:r>
            <w:tab/>
          </w:r>
          <w:r>
            <w:fldChar w:fldCharType="begin"/>
          </w:r>
          <w:r>
            <w:instrText xml:space="preserve"> PAGEREF _Toc13690 \h </w:instrText>
          </w:r>
          <w:r>
            <w:fldChar w:fldCharType="separate"/>
          </w:r>
          <w:r>
            <w:t>13</w:t>
          </w:r>
          <w:r>
            <w:fldChar w:fldCharType="end"/>
          </w:r>
          <w:r>
            <w:rPr>
              <w:rFonts w:hint="default" w:ascii="Times New Roman" w:hAnsi="Times New Roman" w:eastAsiaTheme="minorEastAsia"/>
              <w:color w:val="auto"/>
              <w:szCs w:val="28"/>
              <w:lang w:val="en-US" w:eastAsia="zh-CN"/>
            </w:rPr>
            <w:fldChar w:fldCharType="end"/>
          </w:r>
        </w:p>
        <w:p w14:paraId="2B4A0273">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_Toc30934 </w:instrText>
          </w:r>
          <w:r>
            <w:rPr>
              <w:rFonts w:hint="default" w:ascii="Times New Roman" w:hAnsi="Times New Roman" w:eastAsiaTheme="minorEastAsia"/>
              <w:szCs w:val="28"/>
              <w:lang w:val="en-US" w:eastAsia="zh-CN"/>
            </w:rPr>
            <w:fldChar w:fldCharType="separate"/>
          </w:r>
          <w:r>
            <w:rPr>
              <w:rFonts w:hint="default"/>
              <w:lang w:val="en-US" w:eastAsia="zh-CN"/>
            </w:rPr>
            <w:t xml:space="preserve">2.3 </w:t>
          </w:r>
          <w:r>
            <w:rPr>
              <w:rFonts w:hint="eastAsia"/>
              <w:lang w:val="en-US" w:eastAsia="zh-CN"/>
            </w:rPr>
            <w:t>开采技术条件</w:t>
          </w:r>
          <w:r>
            <w:tab/>
          </w:r>
          <w:r>
            <w:fldChar w:fldCharType="begin"/>
          </w:r>
          <w:r>
            <w:instrText xml:space="preserve"> PAGEREF _Toc30934 \h </w:instrText>
          </w:r>
          <w:r>
            <w:fldChar w:fldCharType="separate"/>
          </w:r>
          <w:r>
            <w:t>15</w:t>
          </w:r>
          <w:r>
            <w:fldChar w:fldCharType="end"/>
          </w:r>
          <w:r>
            <w:rPr>
              <w:rFonts w:hint="default" w:ascii="Times New Roman" w:hAnsi="Times New Roman" w:eastAsiaTheme="minorEastAsia"/>
              <w:color w:val="auto"/>
              <w:szCs w:val="28"/>
              <w:lang w:val="en-US" w:eastAsia="zh-CN"/>
            </w:rPr>
            <w:fldChar w:fldCharType="end"/>
          </w:r>
        </w:p>
        <w:p w14:paraId="1F72AB2D">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_Toc30125 </w:instrText>
          </w:r>
          <w:r>
            <w:rPr>
              <w:rFonts w:hint="default" w:ascii="Times New Roman" w:hAnsi="Times New Roman" w:eastAsiaTheme="minorEastAsia"/>
              <w:szCs w:val="28"/>
              <w:lang w:val="en-US" w:eastAsia="zh-CN"/>
            </w:rPr>
            <w:fldChar w:fldCharType="separate"/>
          </w:r>
          <w:r>
            <w:rPr>
              <w:rFonts w:hint="default"/>
              <w:lang w:val="en-US" w:eastAsia="zh-CN"/>
            </w:rPr>
            <w:t xml:space="preserve">2.4 </w:t>
          </w:r>
          <w:r>
            <w:rPr>
              <w:rFonts w:hint="eastAsia"/>
              <w:lang w:val="en-US" w:eastAsia="zh-CN"/>
            </w:rPr>
            <w:t>设计概况</w:t>
          </w:r>
          <w:r>
            <w:tab/>
          </w:r>
          <w:r>
            <w:fldChar w:fldCharType="begin"/>
          </w:r>
          <w:r>
            <w:instrText xml:space="preserve"> PAGEREF _Toc30125 \h </w:instrText>
          </w:r>
          <w:r>
            <w:fldChar w:fldCharType="separate"/>
          </w:r>
          <w:r>
            <w:t>17</w:t>
          </w:r>
          <w:r>
            <w:fldChar w:fldCharType="end"/>
          </w:r>
          <w:r>
            <w:rPr>
              <w:rFonts w:hint="default" w:ascii="Times New Roman" w:hAnsi="Times New Roman" w:eastAsiaTheme="minorEastAsia"/>
              <w:color w:val="auto"/>
              <w:szCs w:val="28"/>
              <w:lang w:val="en-US" w:eastAsia="zh-CN"/>
            </w:rPr>
            <w:fldChar w:fldCharType="end"/>
          </w:r>
        </w:p>
        <w:p w14:paraId="1CCA6C6A">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_Toc8405 </w:instrText>
          </w:r>
          <w:r>
            <w:rPr>
              <w:rFonts w:hint="default" w:ascii="Times New Roman" w:hAnsi="Times New Roman" w:eastAsiaTheme="minorEastAsia"/>
              <w:szCs w:val="28"/>
              <w:lang w:val="en-US" w:eastAsia="zh-CN"/>
            </w:rPr>
            <w:fldChar w:fldCharType="separate"/>
          </w:r>
          <w:r>
            <w:rPr>
              <w:rFonts w:hint="default"/>
              <w:lang w:val="en-US" w:eastAsia="zh-CN"/>
            </w:rPr>
            <w:t>2.5 上一轮安全生产许可期间生产基本情况</w:t>
          </w:r>
          <w:r>
            <w:tab/>
          </w:r>
          <w:r>
            <w:fldChar w:fldCharType="begin"/>
          </w:r>
          <w:r>
            <w:instrText xml:space="preserve"> PAGEREF _Toc8405 \h </w:instrText>
          </w:r>
          <w:r>
            <w:fldChar w:fldCharType="separate"/>
          </w:r>
          <w:r>
            <w:t>21</w:t>
          </w:r>
          <w:r>
            <w:fldChar w:fldCharType="end"/>
          </w:r>
          <w:r>
            <w:rPr>
              <w:rFonts w:hint="default" w:ascii="Times New Roman" w:hAnsi="Times New Roman" w:eastAsiaTheme="minorEastAsia"/>
              <w:color w:val="auto"/>
              <w:szCs w:val="28"/>
              <w:lang w:val="en-US" w:eastAsia="zh-CN"/>
            </w:rPr>
            <w:fldChar w:fldCharType="end"/>
          </w:r>
        </w:p>
        <w:p w14:paraId="11927539">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_Toc5888 </w:instrText>
          </w:r>
          <w:r>
            <w:rPr>
              <w:rFonts w:hint="default" w:ascii="Times New Roman" w:hAnsi="Times New Roman" w:eastAsiaTheme="minorEastAsia"/>
              <w:szCs w:val="28"/>
              <w:lang w:val="en-US" w:eastAsia="zh-CN"/>
            </w:rPr>
            <w:fldChar w:fldCharType="separate"/>
          </w:r>
          <w:r>
            <w:rPr>
              <w:rFonts w:hint="default"/>
              <w:lang w:val="en-US" w:eastAsia="zh-CN"/>
            </w:rPr>
            <w:t xml:space="preserve">2.6 </w:t>
          </w:r>
          <w:r>
            <w:rPr>
              <w:rFonts w:hint="eastAsia"/>
              <w:lang w:val="en-US" w:eastAsia="zh-CN"/>
            </w:rPr>
            <w:t>安全现状</w:t>
          </w:r>
          <w:r>
            <w:tab/>
          </w:r>
          <w:r>
            <w:fldChar w:fldCharType="begin"/>
          </w:r>
          <w:r>
            <w:instrText xml:space="preserve"> PAGEREF _Toc5888 \h </w:instrText>
          </w:r>
          <w:r>
            <w:fldChar w:fldCharType="separate"/>
          </w:r>
          <w:r>
            <w:t>21</w:t>
          </w:r>
          <w:r>
            <w:fldChar w:fldCharType="end"/>
          </w:r>
          <w:r>
            <w:rPr>
              <w:rFonts w:hint="default" w:ascii="Times New Roman" w:hAnsi="Times New Roman" w:eastAsiaTheme="minorEastAsia"/>
              <w:color w:val="auto"/>
              <w:szCs w:val="28"/>
              <w:lang w:val="en-US" w:eastAsia="zh-CN"/>
            </w:rPr>
            <w:fldChar w:fldCharType="end"/>
          </w:r>
        </w:p>
        <w:p w14:paraId="5244D48C">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_Toc30602 </w:instrText>
          </w:r>
          <w:r>
            <w:rPr>
              <w:rFonts w:hint="default" w:ascii="Times New Roman" w:hAnsi="Times New Roman" w:eastAsiaTheme="minorEastAsia"/>
              <w:szCs w:val="28"/>
              <w:lang w:val="en-US" w:eastAsia="zh-CN"/>
            </w:rPr>
            <w:fldChar w:fldCharType="separate"/>
          </w:r>
          <w:r>
            <w:rPr>
              <w:rFonts w:hint="default"/>
              <w:lang w:val="en-US" w:eastAsia="zh-CN"/>
            </w:rPr>
            <w:t xml:space="preserve">2.7 </w:t>
          </w:r>
          <w:r>
            <w:rPr>
              <w:rFonts w:hint="eastAsia"/>
              <w:lang w:val="en-US" w:eastAsia="zh-CN"/>
            </w:rPr>
            <w:t>安全管理及其他</w:t>
          </w:r>
          <w:r>
            <w:tab/>
          </w:r>
          <w:r>
            <w:fldChar w:fldCharType="begin"/>
          </w:r>
          <w:r>
            <w:instrText xml:space="preserve"> PAGEREF _Toc30602 \h </w:instrText>
          </w:r>
          <w:r>
            <w:fldChar w:fldCharType="separate"/>
          </w:r>
          <w:r>
            <w:t>28</w:t>
          </w:r>
          <w:r>
            <w:fldChar w:fldCharType="end"/>
          </w:r>
          <w:r>
            <w:rPr>
              <w:rFonts w:hint="default" w:ascii="Times New Roman" w:hAnsi="Times New Roman" w:eastAsiaTheme="minorEastAsia"/>
              <w:color w:val="auto"/>
              <w:szCs w:val="28"/>
              <w:lang w:val="en-US" w:eastAsia="zh-CN"/>
            </w:rPr>
            <w:fldChar w:fldCharType="end"/>
          </w:r>
        </w:p>
        <w:p w14:paraId="3A85AD02">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_Toc20219 </w:instrText>
          </w:r>
          <w:r>
            <w:rPr>
              <w:rFonts w:hint="default" w:ascii="Times New Roman" w:hAnsi="Times New Roman" w:eastAsiaTheme="minorEastAsia"/>
              <w:szCs w:val="28"/>
              <w:lang w:val="en-US" w:eastAsia="zh-CN"/>
            </w:rPr>
            <w:fldChar w:fldCharType="separate"/>
          </w:r>
          <w:r>
            <w:rPr>
              <w:rFonts w:hint="default"/>
              <w:lang w:val="en-US" w:eastAsia="zh-CN"/>
            </w:rPr>
            <w:t>3 危险、有害因素识别及分析</w:t>
          </w:r>
          <w:r>
            <w:tab/>
          </w:r>
          <w:r>
            <w:fldChar w:fldCharType="begin"/>
          </w:r>
          <w:r>
            <w:instrText xml:space="preserve"> PAGEREF _Toc20219 \h </w:instrText>
          </w:r>
          <w:r>
            <w:fldChar w:fldCharType="separate"/>
          </w:r>
          <w:r>
            <w:t>32</w:t>
          </w:r>
          <w:r>
            <w:fldChar w:fldCharType="end"/>
          </w:r>
          <w:r>
            <w:rPr>
              <w:rFonts w:hint="default" w:ascii="Times New Roman" w:hAnsi="Times New Roman" w:eastAsiaTheme="minorEastAsia"/>
              <w:color w:val="auto"/>
              <w:szCs w:val="28"/>
              <w:lang w:val="en-US" w:eastAsia="zh-CN"/>
            </w:rPr>
            <w:fldChar w:fldCharType="end"/>
          </w:r>
        </w:p>
        <w:p w14:paraId="0CFB6F2A">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_Toc22251 </w:instrText>
          </w:r>
          <w:r>
            <w:rPr>
              <w:rFonts w:hint="default" w:ascii="Times New Roman" w:hAnsi="Times New Roman" w:eastAsiaTheme="minorEastAsia"/>
              <w:szCs w:val="28"/>
              <w:lang w:val="en-US" w:eastAsia="zh-CN"/>
            </w:rPr>
            <w:fldChar w:fldCharType="separate"/>
          </w:r>
          <w:r>
            <w:rPr>
              <w:rFonts w:hint="default"/>
              <w:lang w:val="en-US" w:eastAsia="zh-CN"/>
            </w:rPr>
            <w:t>3.1 主要危险、有害因素辨识与分析</w:t>
          </w:r>
          <w:r>
            <w:tab/>
          </w:r>
          <w:r>
            <w:fldChar w:fldCharType="begin"/>
          </w:r>
          <w:r>
            <w:instrText xml:space="preserve"> PAGEREF _Toc22251 \h </w:instrText>
          </w:r>
          <w:r>
            <w:fldChar w:fldCharType="separate"/>
          </w:r>
          <w:r>
            <w:t>32</w:t>
          </w:r>
          <w:r>
            <w:fldChar w:fldCharType="end"/>
          </w:r>
          <w:r>
            <w:rPr>
              <w:rFonts w:hint="default" w:ascii="Times New Roman" w:hAnsi="Times New Roman" w:eastAsiaTheme="minorEastAsia"/>
              <w:color w:val="auto"/>
              <w:szCs w:val="28"/>
              <w:lang w:val="en-US" w:eastAsia="zh-CN"/>
            </w:rPr>
            <w:fldChar w:fldCharType="end"/>
          </w:r>
        </w:p>
        <w:p w14:paraId="17A47626">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_Toc26631 </w:instrText>
          </w:r>
          <w:r>
            <w:rPr>
              <w:rFonts w:hint="default" w:ascii="Times New Roman" w:hAnsi="Times New Roman" w:eastAsiaTheme="minorEastAsia"/>
              <w:szCs w:val="28"/>
              <w:lang w:val="en-US" w:eastAsia="zh-CN"/>
            </w:rPr>
            <w:fldChar w:fldCharType="separate"/>
          </w:r>
          <w:r>
            <w:rPr>
              <w:rFonts w:hint="default"/>
              <w:lang w:val="en-US" w:eastAsia="zh-CN"/>
            </w:rPr>
            <w:t>3.2 重大危险源辨识分析</w:t>
          </w:r>
          <w:r>
            <w:tab/>
          </w:r>
          <w:r>
            <w:fldChar w:fldCharType="begin"/>
          </w:r>
          <w:r>
            <w:instrText xml:space="preserve"> PAGEREF _Toc26631 \h </w:instrText>
          </w:r>
          <w:r>
            <w:fldChar w:fldCharType="separate"/>
          </w:r>
          <w:r>
            <w:t>40</w:t>
          </w:r>
          <w:r>
            <w:fldChar w:fldCharType="end"/>
          </w:r>
          <w:r>
            <w:rPr>
              <w:rFonts w:hint="default" w:ascii="Times New Roman" w:hAnsi="Times New Roman" w:eastAsiaTheme="minorEastAsia"/>
              <w:color w:val="auto"/>
              <w:szCs w:val="28"/>
              <w:lang w:val="en-US" w:eastAsia="zh-CN"/>
            </w:rPr>
            <w:fldChar w:fldCharType="end"/>
          </w:r>
        </w:p>
        <w:p w14:paraId="21429493">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_Toc32476 </w:instrText>
          </w:r>
          <w:r>
            <w:rPr>
              <w:rFonts w:hint="default" w:ascii="Times New Roman" w:hAnsi="Times New Roman" w:eastAsiaTheme="minorEastAsia"/>
              <w:szCs w:val="28"/>
              <w:lang w:val="en-US" w:eastAsia="zh-CN"/>
            </w:rPr>
            <w:fldChar w:fldCharType="separate"/>
          </w:r>
          <w:r>
            <w:rPr>
              <w:rFonts w:hint="default"/>
              <w:lang w:val="en-US" w:eastAsia="zh-CN"/>
            </w:rPr>
            <w:t>4 评价单元的划分与评价方法选择</w:t>
          </w:r>
          <w:r>
            <w:tab/>
          </w:r>
          <w:r>
            <w:fldChar w:fldCharType="begin"/>
          </w:r>
          <w:r>
            <w:instrText xml:space="preserve"> PAGEREF _Toc32476 \h </w:instrText>
          </w:r>
          <w:r>
            <w:fldChar w:fldCharType="separate"/>
          </w:r>
          <w:r>
            <w:t>41</w:t>
          </w:r>
          <w:r>
            <w:fldChar w:fldCharType="end"/>
          </w:r>
          <w:r>
            <w:rPr>
              <w:rFonts w:hint="default" w:ascii="Times New Roman" w:hAnsi="Times New Roman" w:eastAsiaTheme="minorEastAsia"/>
              <w:color w:val="auto"/>
              <w:szCs w:val="28"/>
              <w:lang w:val="en-US" w:eastAsia="zh-CN"/>
            </w:rPr>
            <w:fldChar w:fldCharType="end"/>
          </w:r>
        </w:p>
        <w:p w14:paraId="1D0F56F5">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_Toc19726 </w:instrText>
          </w:r>
          <w:r>
            <w:rPr>
              <w:rFonts w:hint="default" w:ascii="Times New Roman" w:hAnsi="Times New Roman" w:eastAsiaTheme="minorEastAsia"/>
              <w:szCs w:val="28"/>
              <w:lang w:val="en-US" w:eastAsia="zh-CN"/>
            </w:rPr>
            <w:fldChar w:fldCharType="separate"/>
          </w:r>
          <w:r>
            <w:rPr>
              <w:rFonts w:hint="default"/>
              <w:lang w:val="en-US" w:eastAsia="zh-CN"/>
            </w:rPr>
            <w:t>4.1 评价单元划分</w:t>
          </w:r>
          <w:r>
            <w:tab/>
          </w:r>
          <w:r>
            <w:fldChar w:fldCharType="begin"/>
          </w:r>
          <w:r>
            <w:instrText xml:space="preserve"> PAGEREF _Toc19726 \h </w:instrText>
          </w:r>
          <w:r>
            <w:fldChar w:fldCharType="separate"/>
          </w:r>
          <w:r>
            <w:t>41</w:t>
          </w:r>
          <w:r>
            <w:fldChar w:fldCharType="end"/>
          </w:r>
          <w:r>
            <w:rPr>
              <w:rFonts w:hint="default" w:ascii="Times New Roman" w:hAnsi="Times New Roman" w:eastAsiaTheme="minorEastAsia"/>
              <w:color w:val="auto"/>
              <w:szCs w:val="28"/>
              <w:lang w:val="en-US" w:eastAsia="zh-CN"/>
            </w:rPr>
            <w:fldChar w:fldCharType="end"/>
          </w:r>
        </w:p>
        <w:p w14:paraId="6B69A8EC">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_Toc5847 </w:instrText>
          </w:r>
          <w:r>
            <w:rPr>
              <w:rFonts w:hint="default" w:ascii="Times New Roman" w:hAnsi="Times New Roman" w:eastAsiaTheme="minorEastAsia"/>
              <w:szCs w:val="28"/>
              <w:lang w:val="en-US" w:eastAsia="zh-CN"/>
            </w:rPr>
            <w:fldChar w:fldCharType="separate"/>
          </w:r>
          <w:r>
            <w:rPr>
              <w:rFonts w:hint="default"/>
              <w:lang w:val="en-US" w:eastAsia="zh-CN"/>
            </w:rPr>
            <w:t>4.2 评价方法的选择</w:t>
          </w:r>
          <w:r>
            <w:tab/>
          </w:r>
          <w:r>
            <w:fldChar w:fldCharType="begin"/>
          </w:r>
          <w:r>
            <w:instrText xml:space="preserve"> PAGEREF _Toc5847 \h </w:instrText>
          </w:r>
          <w:r>
            <w:fldChar w:fldCharType="separate"/>
          </w:r>
          <w:r>
            <w:t>41</w:t>
          </w:r>
          <w:r>
            <w:fldChar w:fldCharType="end"/>
          </w:r>
          <w:r>
            <w:rPr>
              <w:rFonts w:hint="default" w:ascii="Times New Roman" w:hAnsi="Times New Roman" w:eastAsiaTheme="minorEastAsia"/>
              <w:color w:val="auto"/>
              <w:szCs w:val="28"/>
              <w:lang w:val="en-US" w:eastAsia="zh-CN"/>
            </w:rPr>
            <w:fldChar w:fldCharType="end"/>
          </w:r>
        </w:p>
        <w:p w14:paraId="0B1EE63E">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_Toc5902 </w:instrText>
          </w:r>
          <w:r>
            <w:rPr>
              <w:rFonts w:hint="default" w:ascii="Times New Roman" w:hAnsi="Times New Roman" w:eastAsiaTheme="minorEastAsia"/>
              <w:szCs w:val="28"/>
              <w:lang w:val="en-US" w:eastAsia="zh-CN"/>
            </w:rPr>
            <w:fldChar w:fldCharType="separate"/>
          </w:r>
          <w:r>
            <w:rPr>
              <w:rFonts w:hint="default"/>
              <w:lang w:val="en-US" w:eastAsia="zh-CN"/>
            </w:rPr>
            <w:t xml:space="preserve">5 </w:t>
          </w:r>
          <w:r>
            <w:rPr>
              <w:rFonts w:hint="eastAsia"/>
            </w:rPr>
            <w:t>定性、定量评价</w:t>
          </w:r>
          <w:r>
            <w:tab/>
          </w:r>
          <w:r>
            <w:fldChar w:fldCharType="begin"/>
          </w:r>
          <w:r>
            <w:instrText xml:space="preserve"> PAGEREF _Toc5902 \h </w:instrText>
          </w:r>
          <w:r>
            <w:fldChar w:fldCharType="separate"/>
          </w:r>
          <w:r>
            <w:t>43</w:t>
          </w:r>
          <w:r>
            <w:fldChar w:fldCharType="end"/>
          </w:r>
          <w:r>
            <w:rPr>
              <w:rFonts w:hint="default" w:ascii="Times New Roman" w:hAnsi="Times New Roman" w:eastAsiaTheme="minorEastAsia"/>
              <w:color w:val="auto"/>
              <w:szCs w:val="28"/>
              <w:lang w:val="en-US" w:eastAsia="zh-CN"/>
            </w:rPr>
            <w:fldChar w:fldCharType="end"/>
          </w:r>
        </w:p>
        <w:p w14:paraId="6952747C">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_Toc19872 </w:instrText>
          </w:r>
          <w:r>
            <w:rPr>
              <w:rFonts w:hint="default" w:ascii="Times New Roman" w:hAnsi="Times New Roman" w:eastAsiaTheme="minorEastAsia"/>
              <w:szCs w:val="28"/>
              <w:lang w:val="en-US" w:eastAsia="zh-CN"/>
            </w:rPr>
            <w:fldChar w:fldCharType="separate"/>
          </w:r>
          <w:r>
            <w:rPr>
              <w:rFonts w:hint="default"/>
              <w:lang w:val="en-US" w:eastAsia="zh-CN"/>
            </w:rPr>
            <w:t>5.1 全管理单元评价</w:t>
          </w:r>
          <w:r>
            <w:tab/>
          </w:r>
          <w:r>
            <w:fldChar w:fldCharType="begin"/>
          </w:r>
          <w:r>
            <w:instrText xml:space="preserve"> PAGEREF _Toc19872 \h </w:instrText>
          </w:r>
          <w:r>
            <w:fldChar w:fldCharType="separate"/>
          </w:r>
          <w:r>
            <w:t>43</w:t>
          </w:r>
          <w:r>
            <w:fldChar w:fldCharType="end"/>
          </w:r>
          <w:r>
            <w:rPr>
              <w:rFonts w:hint="default" w:ascii="Times New Roman" w:hAnsi="Times New Roman" w:eastAsiaTheme="minorEastAsia"/>
              <w:color w:val="auto"/>
              <w:szCs w:val="28"/>
              <w:lang w:val="en-US" w:eastAsia="zh-CN"/>
            </w:rPr>
            <w:fldChar w:fldCharType="end"/>
          </w:r>
        </w:p>
        <w:p w14:paraId="315C7C87">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_Toc21624 </w:instrText>
          </w:r>
          <w:r>
            <w:rPr>
              <w:rFonts w:hint="default" w:ascii="Times New Roman" w:hAnsi="Times New Roman" w:eastAsiaTheme="minorEastAsia"/>
              <w:szCs w:val="28"/>
              <w:lang w:val="en-US" w:eastAsia="zh-CN"/>
            </w:rPr>
            <w:fldChar w:fldCharType="separate"/>
          </w:r>
          <w:r>
            <w:rPr>
              <w:rFonts w:hint="default"/>
              <w:lang w:val="en-US" w:eastAsia="zh-CN"/>
            </w:rPr>
            <w:t xml:space="preserve">5.2 </w:t>
          </w:r>
          <w:r>
            <w:rPr>
              <w:rFonts w:hint="eastAsia"/>
              <w:lang w:val="en-US" w:eastAsia="zh-CN"/>
            </w:rPr>
            <w:t>露天开采单元评价</w:t>
          </w:r>
          <w:r>
            <w:tab/>
          </w:r>
          <w:r>
            <w:fldChar w:fldCharType="begin"/>
          </w:r>
          <w:r>
            <w:instrText xml:space="preserve"> PAGEREF _Toc21624 \h </w:instrText>
          </w:r>
          <w:r>
            <w:fldChar w:fldCharType="separate"/>
          </w:r>
          <w:r>
            <w:t>46</w:t>
          </w:r>
          <w:r>
            <w:fldChar w:fldCharType="end"/>
          </w:r>
          <w:r>
            <w:rPr>
              <w:rFonts w:hint="default" w:ascii="Times New Roman" w:hAnsi="Times New Roman" w:eastAsiaTheme="minorEastAsia"/>
              <w:color w:val="auto"/>
              <w:szCs w:val="28"/>
              <w:lang w:val="en-US" w:eastAsia="zh-CN"/>
            </w:rPr>
            <w:fldChar w:fldCharType="end"/>
          </w:r>
        </w:p>
        <w:p w14:paraId="7663428D">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_Toc4024 </w:instrText>
          </w:r>
          <w:r>
            <w:rPr>
              <w:rFonts w:hint="default" w:ascii="Times New Roman" w:hAnsi="Times New Roman" w:eastAsiaTheme="minorEastAsia"/>
              <w:szCs w:val="28"/>
              <w:lang w:val="en-US" w:eastAsia="zh-CN"/>
            </w:rPr>
            <w:fldChar w:fldCharType="separate"/>
          </w:r>
          <w:r>
            <w:rPr>
              <w:rFonts w:hint="default"/>
              <w:lang w:val="en-US" w:eastAsia="zh-CN"/>
            </w:rPr>
            <w:t>5.3 周边环境影响评价</w:t>
          </w:r>
          <w:r>
            <w:tab/>
          </w:r>
          <w:r>
            <w:fldChar w:fldCharType="begin"/>
          </w:r>
          <w:r>
            <w:instrText xml:space="preserve"> PAGEREF _Toc4024 \h </w:instrText>
          </w:r>
          <w:r>
            <w:fldChar w:fldCharType="separate"/>
          </w:r>
          <w:r>
            <w:t>57</w:t>
          </w:r>
          <w:r>
            <w:fldChar w:fldCharType="end"/>
          </w:r>
          <w:r>
            <w:rPr>
              <w:rFonts w:hint="default" w:ascii="Times New Roman" w:hAnsi="Times New Roman" w:eastAsiaTheme="minorEastAsia"/>
              <w:color w:val="auto"/>
              <w:szCs w:val="28"/>
              <w:lang w:val="en-US" w:eastAsia="zh-CN"/>
            </w:rPr>
            <w:fldChar w:fldCharType="end"/>
          </w:r>
        </w:p>
        <w:p w14:paraId="5C0D0F73">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_Toc16461 </w:instrText>
          </w:r>
          <w:r>
            <w:rPr>
              <w:rFonts w:hint="default" w:ascii="Times New Roman" w:hAnsi="Times New Roman" w:eastAsiaTheme="minorEastAsia"/>
              <w:szCs w:val="28"/>
              <w:lang w:val="en-US" w:eastAsia="zh-CN"/>
            </w:rPr>
            <w:fldChar w:fldCharType="separate"/>
          </w:r>
          <w:r>
            <w:rPr>
              <w:rFonts w:hint="default"/>
              <w:lang w:val="en-US" w:eastAsia="zh-CN"/>
            </w:rPr>
            <w:t>5.4 重大事故隐患判定标准单元</w:t>
          </w:r>
          <w:r>
            <w:tab/>
          </w:r>
          <w:r>
            <w:fldChar w:fldCharType="begin"/>
          </w:r>
          <w:r>
            <w:instrText xml:space="preserve"> PAGEREF _Toc16461 \h </w:instrText>
          </w:r>
          <w:r>
            <w:fldChar w:fldCharType="separate"/>
          </w:r>
          <w:r>
            <w:t>57</w:t>
          </w:r>
          <w:r>
            <w:fldChar w:fldCharType="end"/>
          </w:r>
          <w:r>
            <w:rPr>
              <w:rFonts w:hint="default" w:ascii="Times New Roman" w:hAnsi="Times New Roman" w:eastAsiaTheme="minorEastAsia"/>
              <w:color w:val="auto"/>
              <w:szCs w:val="28"/>
              <w:lang w:val="en-US" w:eastAsia="zh-CN"/>
            </w:rPr>
            <w:fldChar w:fldCharType="end"/>
          </w:r>
        </w:p>
        <w:p w14:paraId="3D48E607">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_Toc21116 </w:instrText>
          </w:r>
          <w:r>
            <w:rPr>
              <w:rFonts w:hint="default" w:ascii="Times New Roman" w:hAnsi="Times New Roman" w:eastAsiaTheme="minorEastAsia"/>
              <w:szCs w:val="28"/>
              <w:lang w:val="en-US" w:eastAsia="zh-CN"/>
            </w:rPr>
            <w:fldChar w:fldCharType="separate"/>
          </w:r>
          <w:r>
            <w:rPr>
              <w:rFonts w:hint="default"/>
            </w:rPr>
            <w:t xml:space="preserve">5.5 </w:t>
          </w:r>
          <w:r>
            <w:rPr>
              <w:rFonts w:hint="eastAsia"/>
            </w:rPr>
            <w:t>延期换证审核单元</w:t>
          </w:r>
          <w:r>
            <w:tab/>
          </w:r>
          <w:r>
            <w:fldChar w:fldCharType="begin"/>
          </w:r>
          <w:r>
            <w:instrText xml:space="preserve"> PAGEREF _Toc21116 \h </w:instrText>
          </w:r>
          <w:r>
            <w:fldChar w:fldCharType="separate"/>
          </w:r>
          <w:r>
            <w:t>59</w:t>
          </w:r>
          <w:r>
            <w:fldChar w:fldCharType="end"/>
          </w:r>
          <w:r>
            <w:rPr>
              <w:rFonts w:hint="default" w:ascii="Times New Roman" w:hAnsi="Times New Roman" w:eastAsiaTheme="minorEastAsia"/>
              <w:color w:val="auto"/>
              <w:szCs w:val="28"/>
              <w:lang w:val="en-US" w:eastAsia="zh-CN"/>
            </w:rPr>
            <w:fldChar w:fldCharType="end"/>
          </w:r>
        </w:p>
        <w:p w14:paraId="4B734E48">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_Toc3926 </w:instrText>
          </w:r>
          <w:r>
            <w:rPr>
              <w:rFonts w:hint="default" w:ascii="Times New Roman" w:hAnsi="Times New Roman" w:eastAsiaTheme="minorEastAsia"/>
              <w:szCs w:val="28"/>
              <w:lang w:val="en-US" w:eastAsia="zh-CN"/>
            </w:rPr>
            <w:fldChar w:fldCharType="separate"/>
          </w:r>
          <w:r>
            <w:rPr>
              <w:rFonts w:hint="default"/>
            </w:rPr>
            <w:t xml:space="preserve">5.6 </w:t>
          </w:r>
          <w:r>
            <w:rPr>
              <w:rFonts w:hint="eastAsia"/>
            </w:rPr>
            <w:t>评价小结</w:t>
          </w:r>
          <w:r>
            <w:tab/>
          </w:r>
          <w:r>
            <w:fldChar w:fldCharType="begin"/>
          </w:r>
          <w:r>
            <w:instrText xml:space="preserve"> PAGEREF _Toc3926 \h </w:instrText>
          </w:r>
          <w:r>
            <w:fldChar w:fldCharType="separate"/>
          </w:r>
          <w:r>
            <w:t>61</w:t>
          </w:r>
          <w:r>
            <w:fldChar w:fldCharType="end"/>
          </w:r>
          <w:r>
            <w:rPr>
              <w:rFonts w:hint="default" w:ascii="Times New Roman" w:hAnsi="Times New Roman" w:eastAsiaTheme="minorEastAsia"/>
              <w:color w:val="auto"/>
              <w:szCs w:val="28"/>
              <w:lang w:val="en-US" w:eastAsia="zh-CN"/>
            </w:rPr>
            <w:fldChar w:fldCharType="end"/>
          </w:r>
        </w:p>
        <w:p w14:paraId="2D0C7D3F">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_Toc8454 </w:instrText>
          </w:r>
          <w:r>
            <w:rPr>
              <w:rFonts w:hint="default" w:ascii="Times New Roman" w:hAnsi="Times New Roman" w:eastAsiaTheme="minorEastAsia"/>
              <w:szCs w:val="28"/>
              <w:lang w:val="en-US" w:eastAsia="zh-CN"/>
            </w:rPr>
            <w:fldChar w:fldCharType="separate"/>
          </w:r>
          <w:r>
            <w:rPr>
              <w:rFonts w:hint="default"/>
              <w:lang w:val="en-US" w:eastAsia="zh-CN"/>
            </w:rPr>
            <w:t>6 安全对策措施及建议</w:t>
          </w:r>
          <w:r>
            <w:tab/>
          </w:r>
          <w:r>
            <w:fldChar w:fldCharType="begin"/>
          </w:r>
          <w:r>
            <w:instrText xml:space="preserve"> PAGEREF _Toc8454 \h </w:instrText>
          </w:r>
          <w:r>
            <w:fldChar w:fldCharType="separate"/>
          </w:r>
          <w:r>
            <w:t>62</w:t>
          </w:r>
          <w:r>
            <w:fldChar w:fldCharType="end"/>
          </w:r>
          <w:r>
            <w:rPr>
              <w:rFonts w:hint="default" w:ascii="Times New Roman" w:hAnsi="Times New Roman" w:eastAsiaTheme="minorEastAsia"/>
              <w:color w:val="auto"/>
              <w:szCs w:val="28"/>
              <w:lang w:val="en-US" w:eastAsia="zh-CN"/>
            </w:rPr>
            <w:fldChar w:fldCharType="end"/>
          </w:r>
        </w:p>
        <w:p w14:paraId="68F9D89F">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_Toc27628 </w:instrText>
          </w:r>
          <w:r>
            <w:rPr>
              <w:rFonts w:hint="default" w:ascii="Times New Roman" w:hAnsi="Times New Roman" w:eastAsiaTheme="minorEastAsia"/>
              <w:szCs w:val="28"/>
              <w:lang w:val="en-US" w:eastAsia="zh-CN"/>
            </w:rPr>
            <w:fldChar w:fldCharType="separate"/>
          </w:r>
          <w:r>
            <w:rPr>
              <w:rFonts w:hint="default"/>
            </w:rPr>
            <w:t xml:space="preserve">6.1 </w:t>
          </w:r>
          <w:r>
            <w:rPr>
              <w:rFonts w:hint="eastAsia"/>
            </w:rPr>
            <w:t>安全技术对策措施</w:t>
          </w:r>
          <w:r>
            <w:tab/>
          </w:r>
          <w:r>
            <w:fldChar w:fldCharType="begin"/>
          </w:r>
          <w:r>
            <w:instrText xml:space="preserve"> PAGEREF _Toc27628 \h </w:instrText>
          </w:r>
          <w:r>
            <w:fldChar w:fldCharType="separate"/>
          </w:r>
          <w:r>
            <w:t>62</w:t>
          </w:r>
          <w:r>
            <w:fldChar w:fldCharType="end"/>
          </w:r>
          <w:r>
            <w:rPr>
              <w:rFonts w:hint="default" w:ascii="Times New Roman" w:hAnsi="Times New Roman" w:eastAsiaTheme="minorEastAsia"/>
              <w:color w:val="auto"/>
              <w:szCs w:val="28"/>
              <w:lang w:val="en-US" w:eastAsia="zh-CN"/>
            </w:rPr>
            <w:fldChar w:fldCharType="end"/>
          </w:r>
        </w:p>
        <w:p w14:paraId="27DE75DC">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_Toc16716 </w:instrText>
          </w:r>
          <w:r>
            <w:rPr>
              <w:rFonts w:hint="default" w:ascii="Times New Roman" w:hAnsi="Times New Roman" w:eastAsiaTheme="minorEastAsia"/>
              <w:szCs w:val="28"/>
              <w:lang w:val="en-US" w:eastAsia="zh-CN"/>
            </w:rPr>
            <w:fldChar w:fldCharType="separate"/>
          </w:r>
          <w:r>
            <w:rPr>
              <w:rFonts w:hint="default"/>
              <w:lang w:val="en-US" w:eastAsia="zh-CN"/>
            </w:rPr>
            <w:t>6.2 安全管理对策措施</w:t>
          </w:r>
          <w:r>
            <w:tab/>
          </w:r>
          <w:r>
            <w:fldChar w:fldCharType="begin"/>
          </w:r>
          <w:r>
            <w:instrText xml:space="preserve"> PAGEREF _Toc16716 \h </w:instrText>
          </w:r>
          <w:r>
            <w:fldChar w:fldCharType="separate"/>
          </w:r>
          <w:r>
            <w:t>62</w:t>
          </w:r>
          <w:r>
            <w:fldChar w:fldCharType="end"/>
          </w:r>
          <w:r>
            <w:rPr>
              <w:rFonts w:hint="default" w:ascii="Times New Roman" w:hAnsi="Times New Roman" w:eastAsiaTheme="minorEastAsia"/>
              <w:color w:val="auto"/>
              <w:szCs w:val="28"/>
              <w:lang w:val="en-US" w:eastAsia="zh-CN"/>
            </w:rPr>
            <w:fldChar w:fldCharType="end"/>
          </w:r>
        </w:p>
        <w:p w14:paraId="31F65A64">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_Toc15654 </w:instrText>
          </w:r>
          <w:r>
            <w:rPr>
              <w:rFonts w:hint="default" w:ascii="Times New Roman" w:hAnsi="Times New Roman" w:eastAsiaTheme="minorEastAsia"/>
              <w:szCs w:val="28"/>
              <w:lang w:val="en-US" w:eastAsia="zh-CN"/>
            </w:rPr>
            <w:fldChar w:fldCharType="separate"/>
          </w:r>
          <w:r>
            <w:rPr>
              <w:rFonts w:hint="default"/>
              <w:lang w:val="en-US" w:eastAsia="zh-CN"/>
            </w:rPr>
            <w:t>7 评价结论</w:t>
          </w:r>
          <w:r>
            <w:tab/>
          </w:r>
          <w:r>
            <w:fldChar w:fldCharType="begin"/>
          </w:r>
          <w:r>
            <w:instrText xml:space="preserve"> PAGEREF _Toc15654 \h </w:instrText>
          </w:r>
          <w:r>
            <w:fldChar w:fldCharType="separate"/>
          </w:r>
          <w:r>
            <w:t>64</w:t>
          </w:r>
          <w:r>
            <w:fldChar w:fldCharType="end"/>
          </w:r>
          <w:r>
            <w:rPr>
              <w:rFonts w:hint="default" w:ascii="Times New Roman" w:hAnsi="Times New Roman" w:eastAsiaTheme="minorEastAsia"/>
              <w:color w:val="auto"/>
              <w:szCs w:val="28"/>
              <w:lang w:val="en-US" w:eastAsia="zh-CN"/>
            </w:rPr>
            <w:fldChar w:fldCharType="end"/>
          </w:r>
        </w:p>
        <w:p w14:paraId="27D74051">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_Toc15128 </w:instrText>
          </w:r>
          <w:r>
            <w:rPr>
              <w:rFonts w:hint="default" w:ascii="Times New Roman" w:hAnsi="Times New Roman" w:eastAsiaTheme="minorEastAsia"/>
              <w:szCs w:val="28"/>
              <w:lang w:val="en-US" w:eastAsia="zh-CN"/>
            </w:rPr>
            <w:fldChar w:fldCharType="separate"/>
          </w:r>
          <w:r>
            <w:rPr>
              <w:rFonts w:hint="default"/>
              <w:lang w:val="en-US" w:eastAsia="zh-CN"/>
            </w:rPr>
            <w:t>7.1 安全现状综合评述</w:t>
          </w:r>
          <w:r>
            <w:tab/>
          </w:r>
          <w:r>
            <w:fldChar w:fldCharType="begin"/>
          </w:r>
          <w:r>
            <w:instrText xml:space="preserve"> PAGEREF _Toc15128 \h </w:instrText>
          </w:r>
          <w:r>
            <w:fldChar w:fldCharType="separate"/>
          </w:r>
          <w:r>
            <w:t>64</w:t>
          </w:r>
          <w:r>
            <w:fldChar w:fldCharType="end"/>
          </w:r>
          <w:r>
            <w:rPr>
              <w:rFonts w:hint="default" w:ascii="Times New Roman" w:hAnsi="Times New Roman" w:eastAsiaTheme="minorEastAsia"/>
              <w:color w:val="auto"/>
              <w:szCs w:val="28"/>
              <w:lang w:val="en-US" w:eastAsia="zh-CN"/>
            </w:rPr>
            <w:fldChar w:fldCharType="end"/>
          </w:r>
        </w:p>
        <w:p w14:paraId="661177B2">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_Toc31858 </w:instrText>
          </w:r>
          <w:r>
            <w:rPr>
              <w:rFonts w:hint="default" w:ascii="Times New Roman" w:hAnsi="Times New Roman" w:eastAsiaTheme="minorEastAsia"/>
              <w:szCs w:val="28"/>
              <w:lang w:val="en-US" w:eastAsia="zh-CN"/>
            </w:rPr>
            <w:fldChar w:fldCharType="separate"/>
          </w:r>
          <w:r>
            <w:rPr>
              <w:rFonts w:hint="default"/>
            </w:rPr>
            <w:t xml:space="preserve">7.2 </w:t>
          </w:r>
          <w:r>
            <w:rPr>
              <w:rFonts w:hint="eastAsia"/>
            </w:rPr>
            <w:t>各评价单元的评价结果</w:t>
          </w:r>
          <w:r>
            <w:tab/>
          </w:r>
          <w:r>
            <w:fldChar w:fldCharType="begin"/>
          </w:r>
          <w:r>
            <w:instrText xml:space="preserve"> PAGEREF _Toc31858 \h </w:instrText>
          </w:r>
          <w:r>
            <w:fldChar w:fldCharType="separate"/>
          </w:r>
          <w:r>
            <w:t>65</w:t>
          </w:r>
          <w:r>
            <w:fldChar w:fldCharType="end"/>
          </w:r>
          <w:r>
            <w:rPr>
              <w:rFonts w:hint="default" w:ascii="Times New Roman" w:hAnsi="Times New Roman" w:eastAsiaTheme="minorEastAsia"/>
              <w:color w:val="auto"/>
              <w:szCs w:val="28"/>
              <w:lang w:val="en-US" w:eastAsia="zh-CN"/>
            </w:rPr>
            <w:fldChar w:fldCharType="end"/>
          </w:r>
        </w:p>
        <w:p w14:paraId="6D79D778">
          <w:pPr>
            <w:pStyle w:val="18"/>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_Toc6084 </w:instrText>
          </w:r>
          <w:r>
            <w:rPr>
              <w:rFonts w:hint="default" w:ascii="Times New Roman" w:hAnsi="Times New Roman" w:eastAsiaTheme="minorEastAsia"/>
              <w:szCs w:val="28"/>
              <w:lang w:val="en-US" w:eastAsia="zh-CN"/>
            </w:rPr>
            <w:fldChar w:fldCharType="separate"/>
          </w:r>
          <w:r>
            <w:rPr>
              <w:rFonts w:hint="default"/>
              <w:lang w:val="en-US" w:eastAsia="zh-CN"/>
            </w:rPr>
            <w:t xml:space="preserve">7.3 </w:t>
          </w:r>
          <w:r>
            <w:rPr>
              <w:rFonts w:hint="eastAsia"/>
              <w:lang w:val="en-US" w:eastAsia="zh-CN"/>
            </w:rPr>
            <w:t>结论</w:t>
          </w:r>
          <w:r>
            <w:tab/>
          </w:r>
          <w:r>
            <w:fldChar w:fldCharType="begin"/>
          </w:r>
          <w:r>
            <w:instrText xml:space="preserve"> PAGEREF _Toc6084 \h </w:instrText>
          </w:r>
          <w:r>
            <w:fldChar w:fldCharType="separate"/>
          </w:r>
          <w:r>
            <w:t>66</w:t>
          </w:r>
          <w:r>
            <w:fldChar w:fldCharType="end"/>
          </w:r>
          <w:r>
            <w:rPr>
              <w:rFonts w:hint="default" w:ascii="Times New Roman" w:hAnsi="Times New Roman" w:eastAsiaTheme="minorEastAsia"/>
              <w:color w:val="auto"/>
              <w:szCs w:val="28"/>
              <w:lang w:val="en-US" w:eastAsia="zh-CN"/>
            </w:rPr>
            <w:fldChar w:fldCharType="end"/>
          </w:r>
        </w:p>
        <w:p w14:paraId="445F1FE0">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_Toc13529 </w:instrText>
          </w:r>
          <w:r>
            <w:rPr>
              <w:rFonts w:hint="default" w:ascii="Times New Roman" w:hAnsi="Times New Roman" w:eastAsiaTheme="minorEastAsia"/>
              <w:szCs w:val="28"/>
              <w:lang w:val="en-US" w:eastAsia="zh-CN"/>
            </w:rPr>
            <w:fldChar w:fldCharType="separate"/>
          </w:r>
          <w:r>
            <w:rPr>
              <w:rFonts w:hint="default"/>
              <w:lang w:val="en-US" w:eastAsia="zh-CN"/>
            </w:rPr>
            <w:t xml:space="preserve">8 </w:t>
          </w:r>
          <w:r>
            <w:rPr>
              <w:rFonts w:hint="eastAsia"/>
              <w:lang w:val="en-US" w:eastAsia="zh-CN"/>
            </w:rPr>
            <w:t>附件</w:t>
          </w:r>
          <w:r>
            <w:tab/>
          </w:r>
          <w:r>
            <w:fldChar w:fldCharType="begin"/>
          </w:r>
          <w:r>
            <w:instrText xml:space="preserve"> PAGEREF _Toc13529 \h </w:instrText>
          </w:r>
          <w:r>
            <w:fldChar w:fldCharType="separate"/>
          </w:r>
          <w:r>
            <w:t>68</w:t>
          </w:r>
          <w:r>
            <w:fldChar w:fldCharType="end"/>
          </w:r>
          <w:r>
            <w:rPr>
              <w:rFonts w:hint="default" w:ascii="Times New Roman" w:hAnsi="Times New Roman" w:eastAsiaTheme="minorEastAsia"/>
              <w:color w:val="auto"/>
              <w:szCs w:val="28"/>
              <w:lang w:val="en-US" w:eastAsia="zh-CN"/>
            </w:rPr>
            <w:fldChar w:fldCharType="end"/>
          </w:r>
        </w:p>
        <w:p w14:paraId="7A5FD44A">
          <w:pPr>
            <w:pStyle w:val="15"/>
            <w:tabs>
              <w:tab w:val="right" w:leader="dot" w:pos="9185"/>
            </w:tabs>
          </w:pPr>
          <w:r>
            <w:rPr>
              <w:rFonts w:hint="default" w:ascii="Times New Roman" w:hAnsi="Times New Roman" w:eastAsiaTheme="minorEastAsia"/>
              <w:color w:val="auto"/>
              <w:szCs w:val="28"/>
              <w:lang w:val="en-US" w:eastAsia="zh-CN"/>
            </w:rPr>
            <w:fldChar w:fldCharType="begin"/>
          </w:r>
          <w:r>
            <w:rPr>
              <w:rFonts w:hint="default" w:ascii="Times New Roman" w:hAnsi="Times New Roman" w:eastAsiaTheme="minorEastAsia"/>
              <w:szCs w:val="28"/>
              <w:lang w:val="en-US" w:eastAsia="zh-CN"/>
            </w:rPr>
            <w:instrText xml:space="preserve"> HYPERLINK \l _Toc10473 </w:instrText>
          </w:r>
          <w:r>
            <w:rPr>
              <w:rFonts w:hint="default" w:ascii="Times New Roman" w:hAnsi="Times New Roman" w:eastAsiaTheme="minorEastAsia"/>
              <w:szCs w:val="28"/>
              <w:lang w:val="en-US" w:eastAsia="zh-CN"/>
            </w:rPr>
            <w:fldChar w:fldCharType="separate"/>
          </w:r>
          <w:r>
            <w:rPr>
              <w:rFonts w:hint="default"/>
              <w:lang w:val="en-US" w:eastAsia="zh-CN"/>
            </w:rPr>
            <w:t xml:space="preserve">9 </w:t>
          </w:r>
          <w:r>
            <w:rPr>
              <w:rFonts w:hint="eastAsia"/>
              <w:lang w:val="en-US" w:eastAsia="zh-CN"/>
            </w:rPr>
            <w:t>附图</w:t>
          </w:r>
          <w:r>
            <w:tab/>
          </w:r>
          <w:r>
            <w:fldChar w:fldCharType="begin"/>
          </w:r>
          <w:r>
            <w:instrText xml:space="preserve"> PAGEREF _Toc10473 \h </w:instrText>
          </w:r>
          <w:r>
            <w:fldChar w:fldCharType="separate"/>
          </w:r>
          <w:r>
            <w:t>69</w:t>
          </w:r>
          <w:r>
            <w:fldChar w:fldCharType="end"/>
          </w:r>
          <w:r>
            <w:rPr>
              <w:rFonts w:hint="default" w:ascii="Times New Roman" w:hAnsi="Times New Roman" w:eastAsiaTheme="minorEastAsia"/>
              <w:color w:val="auto"/>
              <w:szCs w:val="28"/>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Theme="minorEastAsia" w:cstheme="minorBidi"/>
              <w:b/>
              <w:color w:val="auto"/>
              <w:kern w:val="2"/>
              <w:sz w:val="21"/>
              <w:szCs w:val="28"/>
              <w:lang w:val="en-US" w:eastAsia="zh-CN" w:bidi="ar-SA"/>
            </w:rPr>
          </w:pPr>
          <w:r>
            <w:rPr>
              <w:rFonts w:hint="default" w:ascii="Times New Roman" w:hAnsi="Times New Roman" w:eastAsiaTheme="minorEastAsia"/>
              <w:color w:val="auto"/>
              <w:szCs w:val="28"/>
              <w:lang w:val="en-US" w:eastAsia="zh-CN"/>
            </w:rPr>
            <w:fldChar w:fldCharType="end"/>
          </w:r>
        </w:p>
      </w:sdtContent>
    </w:sdt>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color w:val="auto"/>
          <w:kern w:val="2"/>
          <w:sz w:val="21"/>
          <w:szCs w:val="28"/>
          <w:lang w:val="en-US" w:eastAsia="zh-CN" w:bidi="ar-SA"/>
        </w:rPr>
      </w:pPr>
    </w:p>
    <w:p w14:paraId="7522F8D8">
      <w:pPr>
        <w:pStyle w:val="16"/>
        <w:bidi w:val="0"/>
        <w:rPr>
          <w:rFonts w:hint="eastAsia"/>
          <w:color w:val="auto"/>
        </w:rPr>
        <w:sectPr>
          <w:pgSz w:w="11906" w:h="16838"/>
          <w:pgMar w:top="1417" w:right="1134" w:bottom="1134" w:left="1587" w:header="851" w:footer="992" w:gutter="0"/>
          <w:cols w:space="0" w:num="1"/>
          <w:rtlGutter w:val="0"/>
          <w:docGrid w:type="lines" w:linePitch="312" w:charSpace="0"/>
        </w:sectPr>
      </w:pPr>
    </w:p>
    <w:p w14:paraId="353630C2">
      <w:pPr>
        <w:pStyle w:val="22"/>
        <w:bidi w:val="0"/>
        <w:ind w:left="0" w:leftChars="0" w:firstLine="0" w:firstLineChars="0"/>
        <w:rPr>
          <w:rFonts w:hint="default"/>
          <w:color w:val="auto"/>
          <w:lang w:val="en-US" w:eastAsia="zh-CN"/>
        </w:rPr>
      </w:pPr>
      <w:bookmarkStart w:id="0" w:name="_Toc13165"/>
      <w:r>
        <w:rPr>
          <w:rFonts w:hint="default"/>
          <w:color w:val="auto"/>
          <w:lang w:val="en-US" w:eastAsia="zh-CN"/>
        </w:rPr>
        <w:t>概述</w:t>
      </w:r>
      <w:bookmarkEnd w:id="0"/>
    </w:p>
    <w:p w14:paraId="514C0AF5">
      <w:pPr>
        <w:pStyle w:val="23"/>
        <w:bidi w:val="0"/>
        <w:ind w:left="0" w:leftChars="0" w:firstLine="0" w:firstLineChars="0"/>
        <w:rPr>
          <w:rFonts w:hint="eastAsia"/>
          <w:color w:val="auto"/>
          <w:lang w:val="en-US" w:eastAsia="zh-CN"/>
        </w:rPr>
      </w:pPr>
      <w:bookmarkStart w:id="1" w:name="_Toc7078"/>
      <w:r>
        <w:rPr>
          <w:rFonts w:hint="eastAsia"/>
          <w:color w:val="auto"/>
          <w:lang w:val="en-US" w:eastAsia="zh-CN"/>
        </w:rPr>
        <w:t>安全现状评价目的</w:t>
      </w:r>
      <w:bookmarkEnd w:id="1"/>
    </w:p>
    <w:p w14:paraId="08FFA988">
      <w:pPr>
        <w:pStyle w:val="16"/>
        <w:bidi w:val="0"/>
        <w:rPr>
          <w:rFonts w:hint="default"/>
          <w:color w:val="auto"/>
          <w:lang w:val="en-US" w:eastAsia="zh-CN"/>
        </w:rPr>
      </w:pPr>
      <w:r>
        <w:rPr>
          <w:rFonts w:hint="default"/>
          <w:color w:val="auto"/>
          <w:lang w:val="en-US" w:eastAsia="zh-CN"/>
        </w:rPr>
        <w:t>非煤矿山安全现状评价目的是贯彻</w:t>
      </w:r>
      <w:r>
        <w:rPr>
          <w:rFonts w:hint="eastAsia"/>
          <w:color w:val="auto"/>
          <w:lang w:val="en-US" w:eastAsia="zh-CN"/>
        </w:rPr>
        <w:t>“</w:t>
      </w:r>
      <w:r>
        <w:rPr>
          <w:rFonts w:hint="default"/>
          <w:color w:val="auto"/>
          <w:lang w:val="en-US" w:eastAsia="zh-CN"/>
        </w:rPr>
        <w:t>安全第一</w:t>
      </w:r>
      <w:r>
        <w:rPr>
          <w:rFonts w:hint="eastAsia"/>
          <w:color w:val="auto"/>
          <w:lang w:val="en-US" w:eastAsia="zh-CN"/>
        </w:rPr>
        <w:t>、</w:t>
      </w:r>
      <w:r>
        <w:rPr>
          <w:rFonts w:hint="default"/>
          <w:color w:val="auto"/>
          <w:lang w:val="en-US" w:eastAsia="zh-CN"/>
        </w:rPr>
        <w:t>预防为主</w:t>
      </w:r>
      <w:r>
        <w:rPr>
          <w:rFonts w:hint="eastAsia"/>
          <w:color w:val="auto"/>
          <w:lang w:val="en-US" w:eastAsia="zh-CN"/>
        </w:rPr>
        <w:t>、</w:t>
      </w:r>
      <w:r>
        <w:rPr>
          <w:rFonts w:hint="default"/>
          <w:color w:val="auto"/>
          <w:lang w:val="en-US" w:eastAsia="zh-CN"/>
        </w:rPr>
        <w:t>综合治理</w:t>
      </w:r>
      <w:r>
        <w:rPr>
          <w:rFonts w:hint="eastAsia"/>
          <w:color w:val="auto"/>
          <w:lang w:val="en-US" w:eastAsia="zh-CN"/>
        </w:rPr>
        <w:t>”</w:t>
      </w:r>
      <w:r>
        <w:rPr>
          <w:rFonts w:hint="default"/>
          <w:color w:val="auto"/>
          <w:lang w:val="en-US" w:eastAsia="zh-CN"/>
        </w:rPr>
        <w:t>的方针，提高非煤矿山的安全程度和安全管理水平，减少和控制非煤矿山生产中的危险、有害因素，降低非煤矿山生产安全风险，预防事故发生，保护非煤矿山企业的财产安全及人员的健康和生命安全。</w:t>
      </w:r>
    </w:p>
    <w:p w14:paraId="11944F54">
      <w:pPr>
        <w:pStyle w:val="16"/>
        <w:bidi w:val="0"/>
        <w:rPr>
          <w:rFonts w:hint="default"/>
          <w:color w:val="auto"/>
          <w:lang w:val="en-US" w:eastAsia="zh-CN"/>
        </w:rPr>
      </w:pPr>
      <w:r>
        <w:rPr>
          <w:rFonts w:hint="default"/>
          <w:color w:val="auto"/>
          <w:lang w:val="en-US" w:eastAsia="zh-CN"/>
        </w:rPr>
        <w:t>本评价报告是安全生产监督管理部门延期换发《安全生产许可证》的依据之一，同时为应急管理部门进行矿山安全监督、监察提供依据。</w:t>
      </w:r>
    </w:p>
    <w:p w14:paraId="0B0E781A">
      <w:pPr>
        <w:pStyle w:val="23"/>
        <w:bidi w:val="0"/>
        <w:ind w:left="0" w:leftChars="0" w:firstLine="0" w:firstLineChars="0"/>
        <w:rPr>
          <w:rFonts w:hint="default"/>
          <w:color w:val="auto"/>
          <w:lang w:val="en-US" w:eastAsia="zh-CN"/>
        </w:rPr>
      </w:pPr>
      <w:bookmarkStart w:id="2" w:name="_Toc17707"/>
      <w:r>
        <w:rPr>
          <w:rFonts w:hint="default"/>
          <w:color w:val="auto"/>
          <w:lang w:val="en-US" w:eastAsia="zh-CN"/>
        </w:rPr>
        <w:t>编制依据</w:t>
      </w:r>
      <w:bookmarkEnd w:id="2"/>
    </w:p>
    <w:p w14:paraId="127FC80B">
      <w:pPr>
        <w:pStyle w:val="24"/>
        <w:bidi w:val="0"/>
        <w:ind w:left="720" w:leftChars="0" w:hanging="720" w:firstLineChars="0"/>
        <w:rPr>
          <w:rFonts w:hint="default"/>
          <w:color w:val="auto"/>
          <w:lang w:val="en-US" w:eastAsia="zh-CN"/>
        </w:rPr>
      </w:pPr>
      <w:r>
        <w:rPr>
          <w:rFonts w:hint="default"/>
          <w:color w:val="auto"/>
          <w:lang w:val="en-US" w:eastAsia="zh-CN"/>
        </w:rPr>
        <w:t>法律</w:t>
      </w:r>
    </w:p>
    <w:p w14:paraId="48317B0C">
      <w:pPr>
        <w:pStyle w:val="16"/>
        <w:numPr>
          <w:ilvl w:val="0"/>
          <w:numId w:val="4"/>
        </w:numPr>
        <w:bidi w:val="0"/>
        <w:rPr>
          <w:color w:val="auto"/>
        </w:rPr>
      </w:pPr>
      <w:r>
        <w:rPr>
          <w:color w:val="auto"/>
        </w:rPr>
        <w:t>《中华人民共和国突发事件应对法》（</w:t>
      </w:r>
      <w:bookmarkStart w:id="3" w:name="_Hlk172214835"/>
      <w:r>
        <w:rPr>
          <w:color w:val="auto"/>
        </w:rPr>
        <w:t>中华人民共和国主席令第六十九号，</w:t>
      </w:r>
      <w:r>
        <w:rPr>
          <w:rFonts w:hint="eastAsia"/>
          <w:color w:val="auto"/>
        </w:rPr>
        <w:t>2007年8月30日第十届全国人民代表大会常务委员会第二十九次会议通过，2024年6月28日第十四届全国人民代表大会常务委员会第十次会议修订，2024年11月1日起施行</w:t>
      </w:r>
      <w:bookmarkEnd w:id="3"/>
      <w:r>
        <w:rPr>
          <w:color w:val="auto"/>
        </w:rPr>
        <w:t>）。</w:t>
      </w:r>
    </w:p>
    <w:p w14:paraId="143ECDAA">
      <w:pPr>
        <w:pStyle w:val="16"/>
        <w:numPr>
          <w:ilvl w:val="0"/>
          <w:numId w:val="4"/>
        </w:numPr>
        <w:bidi w:val="0"/>
        <w:rPr>
          <w:color w:val="auto"/>
        </w:rPr>
      </w:pPr>
      <w:r>
        <w:rPr>
          <w:color w:val="auto"/>
        </w:rPr>
        <w:t>《中华人民共和国防震减灾法》（</w:t>
      </w:r>
      <w:r>
        <w:rPr>
          <w:rFonts w:hint="eastAsia"/>
          <w:color w:val="auto"/>
        </w:rPr>
        <w:t>1997年</w:t>
      </w:r>
      <w:r>
        <w:rPr>
          <w:color w:val="auto"/>
        </w:rPr>
        <w:t>中华人民共和国主席令第九十四号</w:t>
      </w:r>
      <w:r>
        <w:rPr>
          <w:rFonts w:hint="eastAsia"/>
          <w:color w:val="auto"/>
        </w:rPr>
        <w:t>公布</w:t>
      </w:r>
      <w:r>
        <w:rPr>
          <w:color w:val="auto"/>
        </w:rPr>
        <w:t>，</w:t>
      </w:r>
      <w:r>
        <w:rPr>
          <w:rFonts w:hint="eastAsia"/>
          <w:color w:val="auto"/>
        </w:rPr>
        <w:t>2008年</w:t>
      </w:r>
      <w:r>
        <w:rPr>
          <w:color w:val="auto"/>
        </w:rPr>
        <w:t>第十一届全国人民代表大会常务委员会第六次会议修订，2008年12月27日施行）。</w:t>
      </w:r>
    </w:p>
    <w:p w14:paraId="1BA06831">
      <w:pPr>
        <w:pStyle w:val="16"/>
        <w:numPr>
          <w:ilvl w:val="0"/>
          <w:numId w:val="4"/>
        </w:numPr>
        <w:bidi w:val="0"/>
        <w:rPr>
          <w:color w:val="auto"/>
        </w:rPr>
      </w:pPr>
      <w:r>
        <w:rPr>
          <w:color w:val="auto"/>
        </w:rPr>
        <w:t>《中华人民共和国环境保护法》（</w:t>
      </w:r>
      <w:r>
        <w:rPr>
          <w:rFonts w:hint="eastAsia"/>
          <w:color w:val="auto"/>
        </w:rPr>
        <w:t>1989年</w:t>
      </w:r>
      <w:r>
        <w:rPr>
          <w:color w:val="auto"/>
        </w:rPr>
        <w:t>中华人民共和国主席令第二十二号</w:t>
      </w:r>
      <w:r>
        <w:rPr>
          <w:rFonts w:hint="eastAsia"/>
          <w:color w:val="auto"/>
        </w:rPr>
        <w:t>公布</w:t>
      </w:r>
      <w:r>
        <w:rPr>
          <w:color w:val="auto"/>
        </w:rPr>
        <w:t>，</w:t>
      </w:r>
      <w:r>
        <w:rPr>
          <w:rFonts w:hint="eastAsia"/>
          <w:color w:val="auto"/>
        </w:rPr>
        <w:t>2014年第十二届全国人民代表大会常务委员会第八次会议修订，</w:t>
      </w:r>
      <w:r>
        <w:rPr>
          <w:color w:val="auto"/>
        </w:rPr>
        <w:t>2015年1月1日起施行）。</w:t>
      </w:r>
    </w:p>
    <w:p w14:paraId="2007FEC3">
      <w:pPr>
        <w:pStyle w:val="16"/>
        <w:numPr>
          <w:ilvl w:val="0"/>
          <w:numId w:val="4"/>
        </w:numPr>
        <w:bidi w:val="0"/>
        <w:rPr>
          <w:color w:val="auto"/>
        </w:rPr>
      </w:pPr>
      <w:r>
        <w:rPr>
          <w:color w:val="auto"/>
        </w:rPr>
        <w:t>《中华人民共和国防洪法》（</w:t>
      </w:r>
      <w:r>
        <w:rPr>
          <w:rFonts w:hint="eastAsia"/>
          <w:color w:val="auto"/>
        </w:rPr>
        <w:t>1997年</w:t>
      </w:r>
      <w:r>
        <w:rPr>
          <w:color w:val="auto"/>
        </w:rPr>
        <w:t>中华人民共和国主席令第</w:t>
      </w:r>
      <w:r>
        <w:rPr>
          <w:rFonts w:hint="eastAsia"/>
          <w:color w:val="auto"/>
        </w:rPr>
        <w:t>八</w:t>
      </w:r>
      <w:r>
        <w:rPr>
          <w:color w:val="auto"/>
        </w:rPr>
        <w:t>十八号</w:t>
      </w:r>
      <w:r>
        <w:rPr>
          <w:rFonts w:hint="eastAsia"/>
          <w:color w:val="auto"/>
        </w:rPr>
        <w:t>公布</w:t>
      </w:r>
      <w:r>
        <w:rPr>
          <w:color w:val="auto"/>
        </w:rPr>
        <w:t>，</w:t>
      </w:r>
      <w:r>
        <w:rPr>
          <w:rFonts w:hint="eastAsia"/>
          <w:color w:val="auto"/>
        </w:rPr>
        <w:t>2016年</w:t>
      </w:r>
      <w:r>
        <w:rPr>
          <w:color w:val="auto"/>
        </w:rPr>
        <w:t>第十二届全国人民代表大会常务委员会第三次</w:t>
      </w:r>
      <w:r>
        <w:rPr>
          <w:rFonts w:hint="eastAsia"/>
          <w:color w:val="auto"/>
        </w:rPr>
        <w:t>修正</w:t>
      </w:r>
      <w:r>
        <w:rPr>
          <w:color w:val="auto"/>
        </w:rPr>
        <w:t>，2016年7月2日施行）。</w:t>
      </w:r>
    </w:p>
    <w:p w14:paraId="61735BFE">
      <w:pPr>
        <w:pStyle w:val="16"/>
        <w:numPr>
          <w:ilvl w:val="0"/>
          <w:numId w:val="4"/>
        </w:numPr>
        <w:bidi w:val="0"/>
        <w:rPr>
          <w:color w:val="auto"/>
        </w:rPr>
      </w:pPr>
      <w:r>
        <w:rPr>
          <w:color w:val="auto"/>
        </w:rPr>
        <w:t>《中华人民共和国气象法》（</w:t>
      </w:r>
      <w:r>
        <w:rPr>
          <w:rFonts w:hint="eastAsia"/>
          <w:color w:val="auto"/>
        </w:rPr>
        <w:t>1999年</w:t>
      </w:r>
      <w:r>
        <w:rPr>
          <w:color w:val="auto"/>
        </w:rPr>
        <w:t>中华人民共和国主席令第二十三号</w:t>
      </w:r>
      <w:r>
        <w:rPr>
          <w:rFonts w:hint="eastAsia"/>
          <w:color w:val="auto"/>
        </w:rPr>
        <w:t>公布</w:t>
      </w:r>
      <w:r>
        <w:rPr>
          <w:color w:val="auto"/>
        </w:rPr>
        <w:t>，2016年第十二届全国人民代表大会常务委员会第二十四次会议第三次修正，2016年11月7日施行）。</w:t>
      </w:r>
    </w:p>
    <w:p w14:paraId="0BBC93AA">
      <w:pPr>
        <w:pStyle w:val="16"/>
        <w:numPr>
          <w:ilvl w:val="0"/>
          <w:numId w:val="4"/>
        </w:numPr>
        <w:bidi w:val="0"/>
        <w:rPr>
          <w:color w:val="auto"/>
        </w:rPr>
      </w:pPr>
      <w:r>
        <w:rPr>
          <w:color w:val="auto"/>
        </w:rPr>
        <w:t>《中华人民共和国劳动法》（</w:t>
      </w:r>
      <w:r>
        <w:rPr>
          <w:rFonts w:hint="eastAsia"/>
          <w:color w:val="auto"/>
        </w:rPr>
        <w:t>1994年</w:t>
      </w:r>
      <w:r>
        <w:rPr>
          <w:color w:val="auto"/>
        </w:rPr>
        <w:t>中华人民共和国主席令第二十八号</w:t>
      </w:r>
      <w:r>
        <w:rPr>
          <w:rFonts w:hint="eastAsia"/>
          <w:color w:val="auto"/>
        </w:rPr>
        <w:t>公布</w:t>
      </w:r>
      <w:r>
        <w:rPr>
          <w:color w:val="auto"/>
        </w:rPr>
        <w:t>，2018年第十三届全国人民代表大会常务委员会第七次会议第二次修正，2018年12月29日施行）。</w:t>
      </w:r>
    </w:p>
    <w:p w14:paraId="0C01FF24">
      <w:pPr>
        <w:pStyle w:val="16"/>
        <w:numPr>
          <w:ilvl w:val="0"/>
          <w:numId w:val="4"/>
        </w:numPr>
        <w:bidi w:val="0"/>
        <w:rPr>
          <w:color w:val="auto"/>
        </w:rPr>
      </w:pPr>
      <w:r>
        <w:rPr>
          <w:color w:val="auto"/>
        </w:rPr>
        <w:t>《中华人民共和国消防法》（</w:t>
      </w:r>
      <w:r>
        <w:rPr>
          <w:rFonts w:hint="eastAsia"/>
          <w:color w:val="auto"/>
        </w:rPr>
        <w:t>1998年</w:t>
      </w:r>
      <w:r>
        <w:rPr>
          <w:color w:val="auto"/>
        </w:rPr>
        <w:t>中华人民共和国主席令第六号</w:t>
      </w:r>
      <w:r>
        <w:rPr>
          <w:rFonts w:hint="eastAsia"/>
          <w:color w:val="auto"/>
        </w:rPr>
        <w:t>公布</w:t>
      </w:r>
      <w:r>
        <w:rPr>
          <w:color w:val="auto"/>
        </w:rPr>
        <w:t>，2021年第十三届全国人民代表大会常务委员会第二十八次会议</w:t>
      </w:r>
      <w:r>
        <w:rPr>
          <w:rFonts w:hint="eastAsia"/>
          <w:color w:val="auto"/>
        </w:rPr>
        <w:t>第二次</w:t>
      </w:r>
      <w:r>
        <w:rPr>
          <w:color w:val="auto"/>
        </w:rPr>
        <w:t>修正</w:t>
      </w:r>
      <w:r>
        <w:rPr>
          <w:rFonts w:hint="eastAsia"/>
          <w:color w:val="auto"/>
        </w:rPr>
        <w:t>，2021年4月29日施行</w:t>
      </w:r>
      <w:r>
        <w:rPr>
          <w:color w:val="auto"/>
        </w:rPr>
        <w:t>）。</w:t>
      </w:r>
    </w:p>
    <w:p w14:paraId="329B5FDA">
      <w:pPr>
        <w:pStyle w:val="16"/>
        <w:numPr>
          <w:ilvl w:val="0"/>
          <w:numId w:val="4"/>
        </w:numPr>
        <w:bidi w:val="0"/>
        <w:rPr>
          <w:color w:val="auto"/>
        </w:rPr>
      </w:pPr>
      <w:r>
        <w:rPr>
          <w:color w:val="auto"/>
        </w:rPr>
        <w:t>《中华人民共和国安全生产法》（</w:t>
      </w:r>
      <w:r>
        <w:rPr>
          <w:rFonts w:hint="eastAsia"/>
          <w:color w:val="auto"/>
        </w:rPr>
        <w:t>2002年中华人民共和国主席令第七十号公布，</w:t>
      </w:r>
      <w:r>
        <w:rPr>
          <w:color w:val="auto"/>
        </w:rPr>
        <w:t>2021</w:t>
      </w:r>
      <w:r>
        <w:rPr>
          <w:rFonts w:hint="eastAsia"/>
          <w:color w:val="auto"/>
        </w:rPr>
        <w:t>年</w:t>
      </w:r>
      <w:r>
        <w:rPr>
          <w:color w:val="auto"/>
        </w:rPr>
        <w:t>第十三届全国人民代表大会常务委员会第二十九次会议第三次修正，2021年9月1日施行）。</w:t>
      </w:r>
    </w:p>
    <w:p w14:paraId="78E4609B">
      <w:pPr>
        <w:pStyle w:val="16"/>
        <w:numPr>
          <w:ilvl w:val="0"/>
          <w:numId w:val="4"/>
        </w:numPr>
        <w:bidi w:val="0"/>
        <w:rPr>
          <w:color w:val="auto"/>
        </w:rPr>
      </w:pPr>
      <w:r>
        <w:rPr>
          <w:rFonts w:hint="eastAsia"/>
          <w:color w:val="auto"/>
          <w:lang w:eastAsia="zh-CN"/>
        </w:rPr>
        <w:t>《中华人民共和国矿产资源法》（1986年3月19日第六届全国人民代表大会常务委员会第十五次会议通过，1996年8月29日第八届全国人民代表大会常务委员会第二十一次会议第一次修，2009年8月27日第十一届全国人民代表大会常务委员会第十次会议第二次修正，2024年11月8日第十四届全国人民代表大会常务委员会第十二次会议修订）</w:t>
      </w:r>
    </w:p>
    <w:p w14:paraId="1CB2D76C">
      <w:pPr>
        <w:pStyle w:val="24"/>
        <w:bidi w:val="0"/>
        <w:rPr>
          <w:rFonts w:hint="default"/>
          <w:color w:val="auto"/>
          <w:lang w:val="en-US" w:eastAsia="zh-CN"/>
        </w:rPr>
      </w:pPr>
      <w:r>
        <w:rPr>
          <w:rFonts w:hint="default"/>
          <w:color w:val="auto"/>
          <w:lang w:val="en-US" w:eastAsia="zh-CN"/>
        </w:rPr>
        <w:t>行政法规</w:t>
      </w:r>
    </w:p>
    <w:p w14:paraId="00C286E5">
      <w:pPr>
        <w:pStyle w:val="16"/>
        <w:numPr>
          <w:ilvl w:val="0"/>
          <w:numId w:val="5"/>
        </w:numPr>
        <w:bidi w:val="0"/>
        <w:rPr>
          <w:color w:val="auto"/>
        </w:rPr>
      </w:pPr>
      <w:r>
        <w:rPr>
          <w:color w:val="auto"/>
        </w:rPr>
        <w:t>《地质灾害防治条例》（中华人民共和国国务院令第394号</w:t>
      </w:r>
      <w:r>
        <w:rPr>
          <w:rFonts w:hint="eastAsia"/>
          <w:color w:val="auto"/>
        </w:rPr>
        <w:t>公布</w:t>
      </w:r>
      <w:r>
        <w:rPr>
          <w:color w:val="auto"/>
        </w:rPr>
        <w:t>，2004年3月1日施行）。</w:t>
      </w:r>
    </w:p>
    <w:p w14:paraId="7A76841C">
      <w:pPr>
        <w:pStyle w:val="16"/>
        <w:numPr>
          <w:ilvl w:val="0"/>
          <w:numId w:val="5"/>
        </w:numPr>
        <w:bidi w:val="0"/>
        <w:rPr>
          <w:color w:val="auto"/>
        </w:rPr>
      </w:pPr>
      <w:r>
        <w:rPr>
          <w:color w:val="auto"/>
        </w:rPr>
        <w:t>《生产安全事故报告和调查处理条例》（中华人民共和国国务院</w:t>
      </w:r>
      <w:r>
        <w:rPr>
          <w:rFonts w:hint="eastAsia"/>
          <w:color w:val="auto"/>
        </w:rPr>
        <w:t>令</w:t>
      </w:r>
      <w:r>
        <w:rPr>
          <w:color w:val="auto"/>
        </w:rPr>
        <w:t>第493号</w:t>
      </w:r>
      <w:r>
        <w:rPr>
          <w:rFonts w:hint="eastAsia"/>
          <w:color w:val="auto"/>
        </w:rPr>
        <w:t>公布</w:t>
      </w:r>
      <w:r>
        <w:rPr>
          <w:color w:val="auto"/>
        </w:rPr>
        <w:t>，20</w:t>
      </w:r>
      <w:r>
        <w:rPr>
          <w:rFonts w:hint="eastAsia"/>
          <w:color w:val="auto"/>
        </w:rPr>
        <w:t>07</w:t>
      </w:r>
      <w:r>
        <w:rPr>
          <w:color w:val="auto"/>
        </w:rPr>
        <w:t>年</w:t>
      </w:r>
      <w:r>
        <w:rPr>
          <w:rFonts w:hint="eastAsia"/>
          <w:color w:val="auto"/>
        </w:rPr>
        <w:t>6</w:t>
      </w:r>
      <w:r>
        <w:rPr>
          <w:color w:val="auto"/>
        </w:rPr>
        <w:t>月1日实施）。</w:t>
      </w:r>
    </w:p>
    <w:p w14:paraId="0E60696A">
      <w:pPr>
        <w:pStyle w:val="16"/>
        <w:numPr>
          <w:ilvl w:val="0"/>
          <w:numId w:val="5"/>
        </w:numPr>
        <w:bidi w:val="0"/>
        <w:rPr>
          <w:color w:val="auto"/>
        </w:rPr>
      </w:pPr>
      <w:r>
        <w:rPr>
          <w:color w:val="auto"/>
        </w:rPr>
        <w:t>《国务院关于进一步加强企业安全生产工作的通知》（国发〔2010〕23号，2010年7月19日</w:t>
      </w:r>
      <w:r>
        <w:rPr>
          <w:rFonts w:hint="eastAsia"/>
          <w:color w:val="auto"/>
        </w:rPr>
        <w:t>施行</w:t>
      </w:r>
      <w:r>
        <w:rPr>
          <w:color w:val="auto"/>
        </w:rPr>
        <w:t>）。</w:t>
      </w:r>
    </w:p>
    <w:p w14:paraId="62F89E2D">
      <w:pPr>
        <w:pStyle w:val="16"/>
        <w:numPr>
          <w:ilvl w:val="0"/>
          <w:numId w:val="5"/>
        </w:numPr>
        <w:bidi w:val="0"/>
        <w:rPr>
          <w:color w:val="auto"/>
        </w:rPr>
      </w:pPr>
      <w:r>
        <w:rPr>
          <w:color w:val="auto"/>
        </w:rPr>
        <w:t>《安全生产许可证条例》（中华人民共和国国务院令第397号</w:t>
      </w:r>
      <w:r>
        <w:rPr>
          <w:rFonts w:hint="eastAsia"/>
          <w:color w:val="auto"/>
        </w:rPr>
        <w:t>公布</w:t>
      </w:r>
      <w:r>
        <w:rPr>
          <w:color w:val="auto"/>
        </w:rPr>
        <w:t>，2014年国务院令第653号第二次修订，2014年7月29日施行）。</w:t>
      </w:r>
    </w:p>
    <w:p w14:paraId="3A1F68C6">
      <w:pPr>
        <w:pStyle w:val="16"/>
        <w:numPr>
          <w:ilvl w:val="0"/>
          <w:numId w:val="5"/>
        </w:numPr>
        <w:bidi w:val="0"/>
        <w:rPr>
          <w:rFonts w:hint="eastAsia"/>
          <w:color w:val="auto"/>
        </w:rPr>
      </w:pPr>
      <w:r>
        <w:rPr>
          <w:rFonts w:hint="eastAsia"/>
          <w:color w:val="auto"/>
        </w:rPr>
        <w:t>《民用爆炸物品安全管理条例》（中华人民共和国国务院令第466号公布，2014年国务院令第653号修订，2014年7月29日施行）。</w:t>
      </w:r>
    </w:p>
    <w:p w14:paraId="38720E51">
      <w:pPr>
        <w:pStyle w:val="16"/>
        <w:numPr>
          <w:ilvl w:val="0"/>
          <w:numId w:val="5"/>
        </w:numPr>
        <w:bidi w:val="0"/>
        <w:rPr>
          <w:color w:val="auto"/>
        </w:rPr>
      </w:pPr>
      <w:r>
        <w:rPr>
          <w:color w:val="auto"/>
        </w:rPr>
        <w:t>《生产安全事故应急条例》（中华人民共和国国务院令第708号</w:t>
      </w:r>
      <w:r>
        <w:rPr>
          <w:rFonts w:hint="eastAsia"/>
          <w:color w:val="auto"/>
        </w:rPr>
        <w:t>公布</w:t>
      </w:r>
      <w:r>
        <w:rPr>
          <w:color w:val="auto"/>
        </w:rPr>
        <w:t>，2019年4月1日起施行）。</w:t>
      </w:r>
    </w:p>
    <w:p w14:paraId="7CAE1540">
      <w:pPr>
        <w:pStyle w:val="16"/>
        <w:numPr>
          <w:ilvl w:val="0"/>
          <w:numId w:val="5"/>
        </w:numPr>
        <w:bidi w:val="0"/>
        <w:rPr>
          <w:rFonts w:hint="eastAsia"/>
          <w:color w:val="auto"/>
        </w:rPr>
      </w:pPr>
      <w:r>
        <w:rPr>
          <w:rFonts w:hint="eastAsia"/>
          <w:color w:val="auto"/>
        </w:rPr>
        <w:t>《中共中央办公厅 国务院办公厅关于进一步加强矿山安全生产工作的意见》（厅字〔2023〕21号，2023年8月25日实施）。</w:t>
      </w:r>
    </w:p>
    <w:p w14:paraId="53503157">
      <w:pPr>
        <w:pStyle w:val="16"/>
        <w:numPr>
          <w:ilvl w:val="0"/>
          <w:numId w:val="5"/>
        </w:numPr>
        <w:bidi w:val="0"/>
        <w:rPr>
          <w:rFonts w:hint="eastAsia"/>
          <w:color w:val="auto"/>
          <w:lang w:val="sq-AL"/>
        </w:rPr>
      </w:pPr>
      <w:r>
        <w:rPr>
          <w:rFonts w:hint="eastAsia"/>
          <w:color w:val="auto"/>
        </w:rPr>
        <w:t>《国务院安全生产委员会印发&lt;关于防范遏制矿山领域重特大生产安全事故的硬措施&gt;的通知》（安委〔2024〕1号，2024年1月16日实施）</w:t>
      </w:r>
      <w:r>
        <w:rPr>
          <w:rFonts w:hint="eastAsia"/>
          <w:color w:val="auto"/>
          <w:lang w:val="sq-AL"/>
        </w:rPr>
        <w:t>。</w:t>
      </w:r>
    </w:p>
    <w:p w14:paraId="2AC79B6D">
      <w:pPr>
        <w:pStyle w:val="16"/>
        <w:numPr>
          <w:ilvl w:val="0"/>
          <w:numId w:val="5"/>
        </w:numPr>
        <w:bidi w:val="0"/>
        <w:rPr>
          <w:rFonts w:hint="eastAsia"/>
          <w:color w:val="auto"/>
        </w:rPr>
      </w:pPr>
      <w:r>
        <w:rPr>
          <w:rFonts w:hint="eastAsia"/>
          <w:color w:val="auto"/>
          <w:lang w:val="sq-AL"/>
        </w:rPr>
        <w:t>《电力设施保护条例》（中华人民共和国国务院于1987年9月15日发布，根据2011年1月8日&lt;国务院关于废止和修改部分行政法规的决定&gt;第二次修订，2011年1月8日施行）。</w:t>
      </w:r>
    </w:p>
    <w:p w14:paraId="7C2A5167">
      <w:pPr>
        <w:pStyle w:val="24"/>
        <w:bidi w:val="0"/>
        <w:rPr>
          <w:rFonts w:hint="default"/>
          <w:color w:val="auto"/>
          <w:lang w:val="en-US" w:eastAsia="zh-CN"/>
        </w:rPr>
      </w:pPr>
      <w:r>
        <w:rPr>
          <w:rFonts w:hint="default"/>
          <w:color w:val="auto"/>
          <w:lang w:val="en-US" w:eastAsia="zh-CN"/>
        </w:rPr>
        <w:t>部门规定</w:t>
      </w:r>
    </w:p>
    <w:p w14:paraId="6E537A94">
      <w:pPr>
        <w:pStyle w:val="16"/>
        <w:numPr>
          <w:ilvl w:val="0"/>
          <w:numId w:val="6"/>
        </w:numPr>
        <w:bidi w:val="0"/>
        <w:rPr>
          <w:color w:val="auto"/>
        </w:rPr>
      </w:pPr>
      <w:r>
        <w:rPr>
          <w:rFonts w:hint="eastAsia"/>
          <w:color w:val="auto"/>
        </w:rPr>
        <w:t>《生产经营单位安全培训规定》（原国家安全生产监督管理总局令第3号公布，原国家安全监管总局令第80号第二次修正，2015年5月29日起施行）。</w:t>
      </w:r>
    </w:p>
    <w:p w14:paraId="469CA91F">
      <w:pPr>
        <w:pStyle w:val="16"/>
        <w:numPr>
          <w:ilvl w:val="0"/>
          <w:numId w:val="6"/>
        </w:numPr>
        <w:bidi w:val="0"/>
        <w:rPr>
          <w:color w:val="auto"/>
        </w:rPr>
      </w:pPr>
      <w:r>
        <w:rPr>
          <w:rFonts w:hint="eastAsia"/>
          <w:color w:val="auto"/>
        </w:rPr>
        <w:t>《特种作业人员安全技术培训考核管理规定》（原国家安全生产监督管理总局令第30号公布，原国家安全生产监督管理总局令第80号修订，2015年7月1日施行）。</w:t>
      </w:r>
    </w:p>
    <w:p w14:paraId="758CB0E4">
      <w:pPr>
        <w:pStyle w:val="16"/>
        <w:numPr>
          <w:ilvl w:val="0"/>
          <w:numId w:val="6"/>
        </w:numPr>
        <w:bidi w:val="0"/>
        <w:rPr>
          <w:color w:val="auto"/>
        </w:rPr>
      </w:pPr>
      <w:r>
        <w:rPr>
          <w:rFonts w:hint="eastAsia"/>
          <w:color w:val="auto"/>
        </w:rPr>
        <w:t>《金属非金属矿山建设项目安全设施目录（试行）》（原国家安全生产监督管理总局令第75号公布，2015年7月1日施行）。</w:t>
      </w:r>
    </w:p>
    <w:p w14:paraId="4BC904A5">
      <w:pPr>
        <w:pStyle w:val="16"/>
        <w:numPr>
          <w:ilvl w:val="0"/>
          <w:numId w:val="6"/>
        </w:numPr>
        <w:bidi w:val="0"/>
        <w:rPr>
          <w:rFonts w:hint="eastAsia"/>
          <w:color w:val="auto"/>
        </w:rPr>
      </w:pPr>
      <w:r>
        <w:rPr>
          <w:rFonts w:hint="eastAsia"/>
          <w:color w:val="auto"/>
        </w:rPr>
        <w:t>《非煤矿矿山企业安全生产许可证实施办法》（原国家安全生产监督管理总局令第20号公布，原国家安全生产监督管理总局令第78号修订，2015年7月1日施行）。</w:t>
      </w:r>
    </w:p>
    <w:p w14:paraId="201FD0A3">
      <w:pPr>
        <w:pStyle w:val="16"/>
        <w:numPr>
          <w:ilvl w:val="0"/>
          <w:numId w:val="6"/>
        </w:numPr>
        <w:bidi w:val="0"/>
        <w:rPr>
          <w:rFonts w:hint="eastAsia"/>
          <w:color w:val="auto"/>
        </w:rPr>
      </w:pPr>
      <w:r>
        <w:rPr>
          <w:rFonts w:hint="eastAsia"/>
          <w:color w:val="auto"/>
        </w:rPr>
        <w:t>《安全评价检测检验机构管理办法》（中华人民共和国应急管理部令第1号公布，2019年5月1日施行）。</w:t>
      </w:r>
    </w:p>
    <w:p w14:paraId="61F89B56">
      <w:pPr>
        <w:pStyle w:val="16"/>
        <w:numPr>
          <w:ilvl w:val="0"/>
          <w:numId w:val="6"/>
        </w:numPr>
        <w:bidi w:val="0"/>
        <w:rPr>
          <w:rFonts w:hint="eastAsia"/>
          <w:color w:val="auto"/>
        </w:rPr>
      </w:pPr>
      <w:r>
        <w:rPr>
          <w:rFonts w:hint="eastAsia"/>
          <w:color w:val="auto"/>
        </w:rPr>
        <w:t>《生产安全事故应急预案管理办法》（原国家安全生产监督管理总局令第88号公布，2019年中华人民共和国应急管理部令第2号修改，2019年9月1日施行）。</w:t>
      </w:r>
    </w:p>
    <w:p w14:paraId="651CF9E8">
      <w:pPr>
        <w:pStyle w:val="16"/>
        <w:numPr>
          <w:ilvl w:val="0"/>
          <w:numId w:val="6"/>
        </w:numPr>
        <w:bidi w:val="0"/>
        <w:rPr>
          <w:rFonts w:hint="eastAsia"/>
          <w:color w:val="auto"/>
        </w:rPr>
      </w:pPr>
      <w:r>
        <w:rPr>
          <w:rFonts w:hint="eastAsia"/>
          <w:color w:val="auto"/>
        </w:rPr>
        <w:t>《矿山救援规程》（中华人民共和国应急管理部令第16号，2024年7月1日施行）。</w:t>
      </w:r>
    </w:p>
    <w:p w14:paraId="565C8495">
      <w:pPr>
        <w:pStyle w:val="24"/>
        <w:bidi w:val="0"/>
        <w:rPr>
          <w:rFonts w:hint="default"/>
          <w:color w:val="auto"/>
          <w:lang w:val="en-US" w:eastAsia="zh-CN"/>
        </w:rPr>
      </w:pPr>
      <w:r>
        <w:rPr>
          <w:rFonts w:hint="default"/>
          <w:color w:val="auto"/>
          <w:lang w:val="en-US" w:eastAsia="zh-CN"/>
        </w:rPr>
        <w:t>规范性文件</w:t>
      </w:r>
    </w:p>
    <w:p w14:paraId="30BDD76A">
      <w:pPr>
        <w:pStyle w:val="16"/>
        <w:numPr>
          <w:ilvl w:val="0"/>
          <w:numId w:val="7"/>
        </w:numPr>
        <w:bidi w:val="0"/>
        <w:rPr>
          <w:rFonts w:hint="eastAsia"/>
          <w:color w:val="auto"/>
        </w:rPr>
      </w:pPr>
      <w:r>
        <w:rPr>
          <w:rFonts w:hint="eastAsia"/>
          <w:color w:val="auto"/>
        </w:rPr>
        <w:t>《辽宁省安全生产条例》（辽宁省人民代表大会常务委员会公告第64号，2022年4月21日辽宁省第十三届人民代表大会常务委员会第三十二次会议第二次修正，2025年5月28日辽宁省第十四届人民代表大会常务委员会第十六次会议第三次修正</w:t>
      </w:r>
      <w:r>
        <w:rPr>
          <w:rFonts w:hint="eastAsia"/>
          <w:color w:val="auto"/>
          <w:lang w:eastAsia="zh-CN"/>
        </w:rPr>
        <w:t>，2017年3月1日起施行</w:t>
      </w:r>
      <w:r>
        <w:rPr>
          <w:rFonts w:hint="eastAsia"/>
          <w:color w:val="auto"/>
        </w:rPr>
        <w:t>）。</w:t>
      </w:r>
    </w:p>
    <w:p w14:paraId="5E808148">
      <w:pPr>
        <w:pStyle w:val="16"/>
        <w:numPr>
          <w:ilvl w:val="0"/>
          <w:numId w:val="7"/>
        </w:numPr>
        <w:bidi w:val="0"/>
        <w:rPr>
          <w:rFonts w:hint="eastAsia"/>
          <w:color w:val="auto"/>
        </w:rPr>
      </w:pPr>
      <w:r>
        <w:rPr>
          <w:rFonts w:hint="eastAsia"/>
          <w:color w:val="auto"/>
        </w:rPr>
        <w:t>《辽宁省消防条例》（辽宁省人民代表大会常务委员会公告3届〕第103号，2022年11月9日起施行）。</w:t>
      </w:r>
    </w:p>
    <w:p w14:paraId="71DA5B69">
      <w:pPr>
        <w:pStyle w:val="16"/>
        <w:numPr>
          <w:ilvl w:val="0"/>
          <w:numId w:val="7"/>
        </w:numPr>
        <w:bidi w:val="0"/>
        <w:rPr>
          <w:rFonts w:hint="eastAsia"/>
          <w:color w:val="auto"/>
        </w:rPr>
      </w:pPr>
      <w:r>
        <w:rPr>
          <w:rFonts w:hint="eastAsia"/>
          <w:color w:val="auto"/>
        </w:rPr>
        <w:t>《关于金属非金属矿山禁止使用的设备及工艺目录（第二批）的通知》（安监总管一〔2015〕13号，2015年2月13日施行）。</w:t>
      </w:r>
    </w:p>
    <w:p w14:paraId="3CB56145">
      <w:pPr>
        <w:pStyle w:val="16"/>
        <w:numPr>
          <w:ilvl w:val="0"/>
          <w:numId w:val="7"/>
        </w:numPr>
        <w:bidi w:val="0"/>
        <w:rPr>
          <w:rFonts w:hint="eastAsia"/>
          <w:color w:val="auto"/>
        </w:rPr>
      </w:pPr>
      <w:r>
        <w:rPr>
          <w:rFonts w:hint="eastAsia"/>
          <w:color w:val="auto"/>
        </w:rPr>
        <w:t>《辽宁省安全生产监督管理局关于进一步规范非煤矿矿山安全生产行政许可管理工作的通知》（辽安监非煤〔2018〕29号，2018年7月19日施行）。</w:t>
      </w:r>
    </w:p>
    <w:p w14:paraId="176C2A23">
      <w:pPr>
        <w:pStyle w:val="16"/>
        <w:numPr>
          <w:ilvl w:val="0"/>
          <w:numId w:val="7"/>
        </w:numPr>
        <w:bidi w:val="0"/>
        <w:rPr>
          <w:rFonts w:hint="eastAsia"/>
          <w:color w:val="auto"/>
        </w:rPr>
      </w:pPr>
      <w:r>
        <w:rPr>
          <w:rFonts w:hint="eastAsia"/>
          <w:color w:val="auto"/>
        </w:rPr>
        <w:t>《辽宁省安全生产监督管理局关于印发辽宁省非煤矿矿山建设项目安全设施设计审查/企业安全生产许可安全评价中介服务行业规范标准等5个中介服务行业规范标准的通知》（辽安监规划〔2018〕7号，2018年8月14日施行）。</w:t>
      </w:r>
    </w:p>
    <w:p w14:paraId="636CCDE4">
      <w:pPr>
        <w:pStyle w:val="16"/>
        <w:numPr>
          <w:ilvl w:val="0"/>
          <w:numId w:val="7"/>
        </w:numPr>
        <w:bidi w:val="0"/>
        <w:rPr>
          <w:color w:val="auto"/>
        </w:rPr>
      </w:pPr>
      <w:r>
        <w:rPr>
          <w:rFonts w:hint="eastAsia"/>
          <w:color w:val="auto"/>
        </w:rPr>
        <w:t>《辽宁省应急管理厅关于修改辽宁省非煤矿矿山建设项目安全设施设计审查/企业安全生产许可安全评价中介服务行业规范标准等5个中介服务行业规范标准的通知》（辽应急规划〔2019〕6号，2019年5月28日施行）。</w:t>
      </w:r>
    </w:p>
    <w:p w14:paraId="603AEE19">
      <w:pPr>
        <w:pStyle w:val="16"/>
        <w:numPr>
          <w:ilvl w:val="0"/>
          <w:numId w:val="7"/>
        </w:numPr>
        <w:bidi w:val="0"/>
        <w:rPr>
          <w:rFonts w:hint="eastAsia"/>
          <w:color w:val="auto"/>
        </w:rPr>
      </w:pPr>
      <w:r>
        <w:rPr>
          <w:rFonts w:hint="eastAsia"/>
          <w:color w:val="auto"/>
        </w:rPr>
        <w:t>《辽宁省电力设施保护条例》（辽宁省第十二届人民代表大会常务委员会第二十九次会议于2016年11月11日审议通过，2023年11月14日辽宁省第十四届人民代表大会常务委员会第六次会议修正</w:t>
      </w:r>
      <w:r>
        <w:rPr>
          <w:rFonts w:hint="eastAsia"/>
          <w:color w:val="auto"/>
          <w:lang w:eastAsia="zh-CN"/>
        </w:rPr>
        <w:t>，</w:t>
      </w:r>
      <w:r>
        <w:rPr>
          <w:rFonts w:hint="eastAsia"/>
          <w:color w:val="auto"/>
        </w:rPr>
        <w:t>2017年2月1日起施行）。</w:t>
      </w:r>
    </w:p>
    <w:p w14:paraId="7C9B8461">
      <w:pPr>
        <w:pStyle w:val="16"/>
        <w:numPr>
          <w:ilvl w:val="0"/>
          <w:numId w:val="7"/>
        </w:numPr>
        <w:bidi w:val="0"/>
        <w:rPr>
          <w:rFonts w:hint="eastAsia"/>
          <w:color w:val="auto"/>
        </w:rPr>
      </w:pPr>
      <w:r>
        <w:rPr>
          <w:color w:val="auto"/>
        </w:rPr>
        <w:t>《国家矿山安全监察局关于印发&lt;关于加强非煤矿山安全生产工作的指导意见&gt;的通知》（矿安〔2022〕4号，2022年2月8日施行）。</w:t>
      </w:r>
    </w:p>
    <w:p w14:paraId="479C440C">
      <w:pPr>
        <w:pStyle w:val="16"/>
        <w:numPr>
          <w:ilvl w:val="0"/>
          <w:numId w:val="7"/>
        </w:numPr>
        <w:bidi w:val="0"/>
        <w:rPr>
          <w:rFonts w:hint="eastAsia"/>
          <w:color w:val="auto"/>
        </w:rPr>
      </w:pPr>
      <w:r>
        <w:rPr>
          <w:rFonts w:hint="eastAsia"/>
          <w:color w:val="auto"/>
        </w:rPr>
        <w:t>《国家矿山安全监察局关于印发&lt;金属非金属矿山重大生产安全事故隐患判定标准&gt;的通知》（矿安〔</w:t>
      </w:r>
      <w:r>
        <w:rPr>
          <w:color w:val="auto"/>
        </w:rPr>
        <w:t>20</w:t>
      </w:r>
      <w:r>
        <w:rPr>
          <w:rFonts w:hint="eastAsia"/>
          <w:color w:val="auto"/>
        </w:rPr>
        <w:t>22</w:t>
      </w:r>
      <w:r>
        <w:rPr>
          <w:color w:val="auto"/>
        </w:rPr>
        <w:t>〕</w:t>
      </w:r>
      <w:r>
        <w:rPr>
          <w:rFonts w:hint="eastAsia"/>
          <w:color w:val="auto"/>
        </w:rPr>
        <w:t>8</w:t>
      </w:r>
      <w:r>
        <w:rPr>
          <w:color w:val="auto"/>
        </w:rPr>
        <w:t>8号，2022年</w:t>
      </w:r>
      <w:r>
        <w:rPr>
          <w:rFonts w:hint="eastAsia"/>
          <w:color w:val="auto"/>
        </w:rPr>
        <w:t>9</w:t>
      </w:r>
      <w:r>
        <w:rPr>
          <w:color w:val="auto"/>
        </w:rPr>
        <w:t>月</w:t>
      </w:r>
      <w:r>
        <w:rPr>
          <w:rFonts w:hint="eastAsia"/>
          <w:color w:val="auto"/>
        </w:rPr>
        <w:t>1</w:t>
      </w:r>
      <w:r>
        <w:rPr>
          <w:color w:val="auto"/>
        </w:rPr>
        <w:t>日施行</w:t>
      </w:r>
      <w:r>
        <w:rPr>
          <w:rFonts w:hint="eastAsia"/>
          <w:color w:val="auto"/>
        </w:rPr>
        <w:t>）。</w:t>
      </w:r>
    </w:p>
    <w:p w14:paraId="74C58F1A">
      <w:pPr>
        <w:pStyle w:val="16"/>
        <w:numPr>
          <w:ilvl w:val="0"/>
          <w:numId w:val="7"/>
        </w:numPr>
        <w:bidi w:val="0"/>
        <w:rPr>
          <w:rFonts w:hint="eastAsia"/>
          <w:color w:val="auto"/>
        </w:rPr>
      </w:pPr>
      <w:r>
        <w:rPr>
          <w:rFonts w:hint="eastAsia"/>
          <w:color w:val="auto"/>
        </w:rPr>
        <w:t>《企业安全生产费用提取和使用管理办法》（财资〔2022〕136号，财政部、应急部，2022年12月13日施行）。</w:t>
      </w:r>
    </w:p>
    <w:p w14:paraId="3BC322C8">
      <w:pPr>
        <w:pStyle w:val="16"/>
        <w:numPr>
          <w:ilvl w:val="0"/>
          <w:numId w:val="7"/>
        </w:numPr>
        <w:bidi w:val="0"/>
        <w:rPr>
          <w:rFonts w:hint="eastAsia"/>
          <w:color w:val="auto"/>
        </w:rPr>
      </w:pPr>
      <w:r>
        <w:rPr>
          <w:rFonts w:hint="eastAsia"/>
          <w:color w:val="auto"/>
        </w:rPr>
        <w:t>《国家矿山安全监察局关于印发&lt;矿山生产安全事故报告和调查处理办法&gt;的通知》（矿安〔2023〕7号，国家矿山安全监察局，2023年1月17日施行）。</w:t>
      </w:r>
    </w:p>
    <w:p w14:paraId="5871D3FA">
      <w:pPr>
        <w:pStyle w:val="16"/>
        <w:numPr>
          <w:ilvl w:val="0"/>
          <w:numId w:val="7"/>
        </w:numPr>
        <w:bidi w:val="0"/>
        <w:rPr>
          <w:rFonts w:hint="eastAsia"/>
          <w:color w:val="auto"/>
        </w:rPr>
      </w:pPr>
      <w:r>
        <w:rPr>
          <w:rFonts w:hint="eastAsia"/>
          <w:color w:val="auto"/>
        </w:rPr>
        <w:t>《国务院安委会办公室关于学习宣传贯彻&lt;中共中央办公厅 国务院办公厅关于进一步加强矿山安全生产工作的意见&gt;的通知》（安委办〔2023〕7号，2023年9月9日施行）。</w:t>
      </w:r>
    </w:p>
    <w:p w14:paraId="20E8124A">
      <w:pPr>
        <w:pStyle w:val="16"/>
        <w:numPr>
          <w:ilvl w:val="0"/>
          <w:numId w:val="7"/>
        </w:numPr>
        <w:bidi w:val="0"/>
        <w:rPr>
          <w:rFonts w:hint="eastAsia"/>
          <w:color w:val="auto"/>
        </w:rPr>
      </w:pPr>
      <w:r>
        <w:rPr>
          <w:rFonts w:hint="eastAsia"/>
          <w:color w:val="auto"/>
        </w:rPr>
        <w:t>《国家矿山安全监察局关于印发&lt;防范非煤矿山典型多发事故六十条措施&gt;的通知》（矿安〔2023〕124号，2023年9月12日施行）。</w:t>
      </w:r>
    </w:p>
    <w:p w14:paraId="6E79FFE0">
      <w:pPr>
        <w:pStyle w:val="16"/>
        <w:numPr>
          <w:ilvl w:val="0"/>
          <w:numId w:val="7"/>
        </w:numPr>
        <w:bidi w:val="0"/>
        <w:rPr>
          <w:color w:val="auto"/>
        </w:rPr>
      </w:pPr>
      <w:r>
        <w:rPr>
          <w:rFonts w:hint="eastAsia"/>
          <w:color w:val="auto"/>
        </w:rPr>
        <w:t>《国家矿山安全监察局关于印发2024年矿山安全生产工作要点的通知》（矿安〔2024〕1号，2024年1月19日施行）。</w:t>
      </w:r>
    </w:p>
    <w:p w14:paraId="3ED7E2DC">
      <w:pPr>
        <w:pStyle w:val="16"/>
        <w:numPr>
          <w:ilvl w:val="0"/>
          <w:numId w:val="7"/>
        </w:numPr>
        <w:bidi w:val="0"/>
        <w:rPr>
          <w:rFonts w:hint="eastAsia"/>
          <w:color w:val="auto"/>
        </w:rPr>
      </w:pPr>
      <w:r>
        <w:rPr>
          <w:rFonts w:hint="eastAsia"/>
          <w:color w:val="auto"/>
        </w:rPr>
        <w:t>《国家矿山安全监察局关于开展露天矿山安全生产专项整治的通知》（矿安〔2023〕16号，2023年2月27日实施）。</w:t>
      </w:r>
    </w:p>
    <w:p w14:paraId="2CA20D91">
      <w:pPr>
        <w:pStyle w:val="16"/>
        <w:numPr>
          <w:ilvl w:val="0"/>
          <w:numId w:val="7"/>
        </w:numPr>
        <w:bidi w:val="0"/>
        <w:rPr>
          <w:rFonts w:hint="eastAsia"/>
          <w:color w:val="auto"/>
        </w:rPr>
      </w:pPr>
      <w:r>
        <w:rPr>
          <w:rFonts w:hint="eastAsia"/>
          <w:color w:val="auto"/>
        </w:rPr>
        <w:t>《国家矿山安全监察局关于印发&lt;金属非金属矿山重大事故隐患判定标准补充情形&gt;的通知》（矿安〔2024〕41号，2024年4月23日施行）。</w:t>
      </w:r>
    </w:p>
    <w:p w14:paraId="3E591F7D">
      <w:pPr>
        <w:pStyle w:val="16"/>
        <w:numPr>
          <w:ilvl w:val="0"/>
          <w:numId w:val="7"/>
        </w:numPr>
        <w:bidi w:val="0"/>
        <w:rPr>
          <w:rFonts w:hint="default"/>
          <w:color w:val="auto"/>
          <w:lang w:val="en-US" w:eastAsia="zh-CN"/>
        </w:rPr>
      </w:pPr>
      <w:r>
        <w:rPr>
          <w:rFonts w:hint="eastAsia"/>
          <w:color w:val="auto"/>
        </w:rPr>
        <w:t>《国家矿山监察局关于进一步加强非煤矿山安全生产行政许可工作的通知》（矿安〔2024〕70号，2024年6月28日施行）。</w:t>
      </w:r>
    </w:p>
    <w:p w14:paraId="56522DD9">
      <w:pPr>
        <w:pStyle w:val="16"/>
        <w:numPr>
          <w:ilvl w:val="0"/>
          <w:numId w:val="7"/>
        </w:numPr>
        <w:bidi w:val="0"/>
        <w:rPr>
          <w:rFonts w:hint="default"/>
          <w:color w:val="auto"/>
          <w:lang w:val="en-US" w:eastAsia="zh-CN"/>
        </w:rPr>
      </w:pPr>
      <w:r>
        <w:rPr>
          <w:rFonts w:hint="default"/>
          <w:color w:val="auto"/>
          <w:lang w:val="en-US" w:eastAsia="zh-CN"/>
        </w:rPr>
        <w:t>《国家矿山安全监察局综合司关于明确矿山</w:t>
      </w:r>
      <w:r>
        <w:rPr>
          <w:rFonts w:hint="eastAsia"/>
          <w:color w:val="auto"/>
          <w:lang w:val="en-US" w:eastAsia="zh-CN"/>
        </w:rPr>
        <w:t>“</w:t>
      </w:r>
      <w:r>
        <w:rPr>
          <w:rFonts w:hint="default"/>
          <w:color w:val="auto"/>
          <w:lang w:val="en-US" w:eastAsia="zh-CN"/>
        </w:rPr>
        <w:t>五职</w:t>
      </w:r>
      <w:r>
        <w:rPr>
          <w:rFonts w:hint="eastAsia"/>
          <w:color w:val="auto"/>
          <w:lang w:val="en-US" w:eastAsia="zh-CN"/>
        </w:rPr>
        <w:t>”</w:t>
      </w:r>
      <w:r>
        <w:rPr>
          <w:rFonts w:hint="default"/>
          <w:color w:val="auto"/>
          <w:lang w:val="en-US" w:eastAsia="zh-CN"/>
        </w:rPr>
        <w:t>矿长和</w:t>
      </w:r>
      <w:r>
        <w:rPr>
          <w:rFonts w:hint="eastAsia"/>
          <w:color w:val="auto"/>
          <w:lang w:val="en-US" w:eastAsia="zh-CN"/>
        </w:rPr>
        <w:t>“</w:t>
      </w:r>
      <w:r>
        <w:rPr>
          <w:rFonts w:hint="default"/>
          <w:color w:val="auto"/>
          <w:lang w:val="en-US" w:eastAsia="zh-CN"/>
        </w:rPr>
        <w:t>五科</w:t>
      </w:r>
      <w:r>
        <w:rPr>
          <w:rFonts w:hint="eastAsia"/>
          <w:color w:val="auto"/>
          <w:lang w:val="en-US" w:eastAsia="zh-CN"/>
        </w:rPr>
        <w:t>”</w:t>
      </w:r>
      <w:r>
        <w:rPr>
          <w:rFonts w:hint="default"/>
          <w:color w:val="auto"/>
          <w:lang w:val="en-US" w:eastAsia="zh-CN"/>
        </w:rPr>
        <w:t>相关人员范围及相关要求的通知》（矿安综〔2025〕12号</w:t>
      </w:r>
      <w:r>
        <w:rPr>
          <w:rFonts w:hint="eastAsia"/>
          <w:color w:val="auto"/>
          <w:lang w:val="en-US" w:eastAsia="zh-CN"/>
        </w:rPr>
        <w:t>，</w:t>
      </w:r>
      <w:r>
        <w:rPr>
          <w:rFonts w:hint="eastAsia"/>
          <w:color w:val="auto"/>
        </w:rPr>
        <w:t>202</w:t>
      </w:r>
      <w:r>
        <w:rPr>
          <w:rFonts w:hint="eastAsia"/>
          <w:color w:val="auto"/>
          <w:lang w:val="en-US" w:eastAsia="zh-CN"/>
        </w:rPr>
        <w:t>5</w:t>
      </w:r>
      <w:r>
        <w:rPr>
          <w:rFonts w:hint="eastAsia"/>
          <w:color w:val="auto"/>
        </w:rPr>
        <w:t>年</w:t>
      </w:r>
      <w:r>
        <w:rPr>
          <w:rFonts w:hint="eastAsia"/>
          <w:color w:val="auto"/>
          <w:lang w:val="en-US" w:eastAsia="zh-CN"/>
        </w:rPr>
        <w:t>7</w:t>
      </w:r>
      <w:r>
        <w:rPr>
          <w:rFonts w:hint="eastAsia"/>
          <w:color w:val="auto"/>
        </w:rPr>
        <w:t>月</w:t>
      </w:r>
      <w:r>
        <w:rPr>
          <w:rFonts w:hint="eastAsia"/>
          <w:color w:val="auto"/>
          <w:lang w:val="en-US" w:eastAsia="zh-CN"/>
        </w:rPr>
        <w:t>1</w:t>
      </w:r>
      <w:r>
        <w:rPr>
          <w:rFonts w:hint="eastAsia"/>
          <w:color w:val="auto"/>
        </w:rPr>
        <w:t>日施行</w:t>
      </w:r>
      <w:r>
        <w:rPr>
          <w:rFonts w:hint="default"/>
          <w:color w:val="auto"/>
          <w:lang w:val="en-US" w:eastAsia="zh-CN"/>
        </w:rPr>
        <w:t>）</w:t>
      </w:r>
      <w:r>
        <w:rPr>
          <w:rFonts w:hint="eastAsia"/>
          <w:color w:val="auto"/>
          <w:lang w:val="en-US" w:eastAsia="zh-CN"/>
        </w:rPr>
        <w:t>。</w:t>
      </w:r>
    </w:p>
    <w:p w14:paraId="42AC6CB3">
      <w:pPr>
        <w:pStyle w:val="24"/>
        <w:bidi w:val="0"/>
        <w:rPr>
          <w:rFonts w:hint="default"/>
          <w:color w:val="auto"/>
          <w:lang w:val="en-US" w:eastAsia="zh-CN"/>
        </w:rPr>
      </w:pPr>
      <w:r>
        <w:rPr>
          <w:rFonts w:hint="default"/>
          <w:color w:val="auto"/>
          <w:lang w:val="en-US" w:eastAsia="zh-CN"/>
        </w:rPr>
        <w:t>标准规范</w:t>
      </w:r>
    </w:p>
    <w:p w14:paraId="351E176A">
      <w:pPr>
        <w:pStyle w:val="16"/>
        <w:numPr>
          <w:ilvl w:val="0"/>
          <w:numId w:val="8"/>
        </w:numPr>
        <w:bidi w:val="0"/>
        <w:rPr>
          <w:rFonts w:hint="eastAsia"/>
          <w:color w:val="auto"/>
          <w:lang w:val="sq-AL" w:eastAsia="zh-CN"/>
        </w:rPr>
      </w:pPr>
      <w:r>
        <w:rPr>
          <w:rFonts w:hint="eastAsia"/>
          <w:color w:val="auto"/>
          <w:lang w:val="sq-AL" w:eastAsia="zh-CN"/>
        </w:rPr>
        <w:t>《企业职工伤亡事故分类</w:t>
      </w:r>
      <w:r>
        <w:rPr>
          <w:rFonts w:hint="eastAsia"/>
          <w:color w:val="auto"/>
          <w:lang w:val="en-US" w:eastAsia="zh-CN"/>
        </w:rPr>
        <w:t>标准</w:t>
      </w:r>
      <w:r>
        <w:rPr>
          <w:rFonts w:hint="eastAsia"/>
          <w:color w:val="auto"/>
          <w:lang w:val="sq-AL" w:eastAsia="zh-CN"/>
        </w:rPr>
        <w:t>》（GB6441-</w:t>
      </w:r>
      <w:r>
        <w:rPr>
          <w:rFonts w:hint="eastAsia"/>
          <w:color w:val="auto"/>
          <w:lang w:val="en-US" w:eastAsia="zh-CN"/>
        </w:rPr>
        <w:t>2022</w:t>
      </w:r>
      <w:r>
        <w:rPr>
          <w:rFonts w:hint="eastAsia"/>
          <w:color w:val="auto"/>
          <w:lang w:val="sq-AL" w:eastAsia="zh-CN"/>
        </w:rPr>
        <w:t>）；</w:t>
      </w:r>
    </w:p>
    <w:p w14:paraId="624F761E">
      <w:pPr>
        <w:pStyle w:val="16"/>
        <w:numPr>
          <w:ilvl w:val="0"/>
          <w:numId w:val="8"/>
        </w:numPr>
        <w:bidi w:val="0"/>
        <w:rPr>
          <w:rFonts w:hint="eastAsia"/>
          <w:color w:val="auto"/>
          <w:lang w:val="sq-AL" w:eastAsia="zh-CN"/>
        </w:rPr>
      </w:pPr>
      <w:r>
        <w:rPr>
          <w:rFonts w:hint="eastAsia"/>
          <w:color w:val="auto"/>
          <w:lang w:val="sq-AL" w:eastAsia="zh-CN"/>
        </w:rPr>
        <w:t>《厂矿道路设计规范》（GBJ22-1987）；</w:t>
      </w:r>
    </w:p>
    <w:p w14:paraId="7E0D70AF">
      <w:pPr>
        <w:pStyle w:val="16"/>
        <w:numPr>
          <w:ilvl w:val="0"/>
          <w:numId w:val="8"/>
        </w:numPr>
        <w:bidi w:val="0"/>
        <w:rPr>
          <w:rFonts w:hint="eastAsia"/>
          <w:color w:val="auto"/>
          <w:lang w:val="sq-AL" w:eastAsia="zh-CN"/>
        </w:rPr>
      </w:pPr>
      <w:r>
        <w:rPr>
          <w:rFonts w:hint="eastAsia"/>
          <w:color w:val="auto"/>
          <w:lang w:val="sq-AL" w:eastAsia="zh-CN"/>
        </w:rPr>
        <w:t>《建筑灭火器配置设计规范》（GB50140-2005）；</w:t>
      </w:r>
    </w:p>
    <w:p w14:paraId="79D0E401">
      <w:pPr>
        <w:pStyle w:val="16"/>
        <w:numPr>
          <w:ilvl w:val="0"/>
          <w:numId w:val="8"/>
        </w:numPr>
        <w:bidi w:val="0"/>
        <w:rPr>
          <w:rFonts w:hint="eastAsia"/>
          <w:color w:val="auto"/>
          <w:lang w:val="sq-AL" w:eastAsia="zh-CN"/>
        </w:rPr>
      </w:pPr>
      <w:bookmarkStart w:id="4" w:name="_Hlk71134624"/>
      <w:r>
        <w:rPr>
          <w:rFonts w:hint="eastAsia"/>
          <w:color w:val="auto"/>
          <w:lang w:val="sq-AL" w:eastAsia="zh-CN"/>
        </w:rPr>
        <w:t>《</w:t>
      </w:r>
      <w:r>
        <w:rPr>
          <w:rFonts w:hint="eastAsia"/>
          <w:color w:val="auto"/>
          <w:lang w:val="sq-AL" w:eastAsia="zh-CN"/>
        </w:rPr>
        <w:fldChar w:fldCharType="begin"/>
      </w:r>
      <w:r>
        <w:rPr>
          <w:rFonts w:hint="eastAsia"/>
          <w:color w:val="auto"/>
          <w:lang w:val="sq-AL" w:eastAsia="zh-CN"/>
        </w:rPr>
        <w:instrText xml:space="preserve"> HYPERLINK "http://www.csres.com/detail/179734.html" \t "_blank" </w:instrText>
      </w:r>
      <w:r>
        <w:rPr>
          <w:rFonts w:hint="eastAsia"/>
          <w:color w:val="auto"/>
          <w:lang w:val="sq-AL" w:eastAsia="zh-CN"/>
        </w:rPr>
        <w:fldChar w:fldCharType="separate"/>
      </w:r>
      <w:r>
        <w:rPr>
          <w:rFonts w:hint="eastAsia"/>
          <w:color w:val="auto"/>
          <w:lang w:val="sq-AL" w:eastAsia="zh-CN"/>
        </w:rPr>
        <w:t>金属非金属矿山排土场安全生产规则</w:t>
      </w:r>
      <w:r>
        <w:rPr>
          <w:rFonts w:hint="eastAsia"/>
          <w:color w:val="auto"/>
          <w:lang w:val="sq-AL" w:eastAsia="zh-CN"/>
        </w:rPr>
        <w:fldChar w:fldCharType="end"/>
      </w:r>
      <w:r>
        <w:rPr>
          <w:rFonts w:hint="eastAsia"/>
          <w:color w:val="auto"/>
          <w:lang w:val="sq-AL" w:eastAsia="zh-CN"/>
        </w:rPr>
        <w:t>》（</w:t>
      </w:r>
      <w:r>
        <w:rPr>
          <w:rFonts w:hint="eastAsia"/>
          <w:color w:val="auto"/>
          <w:lang w:val="en-US" w:eastAsia="zh-CN"/>
        </w:rPr>
        <w:t>KA 23-2025</w:t>
      </w:r>
      <w:r>
        <w:rPr>
          <w:rFonts w:hint="eastAsia"/>
          <w:color w:val="auto"/>
          <w:lang w:val="sq-AL" w:eastAsia="zh-CN"/>
        </w:rPr>
        <w:t>）；</w:t>
      </w:r>
    </w:p>
    <w:p w14:paraId="6A6ABFDC">
      <w:pPr>
        <w:pStyle w:val="16"/>
        <w:numPr>
          <w:ilvl w:val="0"/>
          <w:numId w:val="8"/>
        </w:numPr>
        <w:bidi w:val="0"/>
        <w:rPr>
          <w:rFonts w:hint="eastAsia"/>
          <w:color w:val="auto"/>
          <w:lang w:val="sq-AL" w:eastAsia="zh-CN"/>
        </w:rPr>
      </w:pPr>
      <w:r>
        <w:rPr>
          <w:rFonts w:hint="eastAsia"/>
          <w:color w:val="auto"/>
          <w:lang w:val="sq-AL" w:eastAsia="zh-CN"/>
        </w:rPr>
        <w:t>《矿用产品安全标志标识》（AQ1043-2007）；</w:t>
      </w:r>
      <w:bookmarkEnd w:id="4"/>
    </w:p>
    <w:p w14:paraId="6405C17F">
      <w:pPr>
        <w:pStyle w:val="16"/>
        <w:numPr>
          <w:ilvl w:val="0"/>
          <w:numId w:val="8"/>
        </w:numPr>
        <w:bidi w:val="0"/>
        <w:rPr>
          <w:rFonts w:hint="eastAsia"/>
          <w:color w:val="auto"/>
          <w:lang w:val="sq-AL" w:eastAsia="zh-CN"/>
        </w:rPr>
      </w:pPr>
      <w:r>
        <w:rPr>
          <w:rFonts w:hint="eastAsia"/>
          <w:color w:val="auto"/>
          <w:lang w:val="sq-AL" w:eastAsia="zh-CN"/>
        </w:rPr>
        <w:t>《工作场所有害因素职业接触限值</w:t>
      </w:r>
      <w:r>
        <w:rPr>
          <w:rFonts w:hint="eastAsia"/>
          <w:color w:val="auto"/>
          <w:lang w:val="en-US" w:eastAsia="zh-CN"/>
        </w:rPr>
        <w:t>第2部分：</w:t>
      </w:r>
      <w:r>
        <w:rPr>
          <w:rFonts w:hint="eastAsia"/>
          <w:color w:val="auto"/>
          <w:lang w:val="sq-AL" w:eastAsia="zh-CN"/>
        </w:rPr>
        <w:t>物理因素》（GBZ2.2-2007）；</w:t>
      </w:r>
    </w:p>
    <w:p w14:paraId="488FF098">
      <w:pPr>
        <w:pStyle w:val="16"/>
        <w:numPr>
          <w:ilvl w:val="0"/>
          <w:numId w:val="8"/>
        </w:numPr>
        <w:bidi w:val="0"/>
        <w:rPr>
          <w:rFonts w:hint="eastAsia"/>
          <w:color w:val="auto"/>
          <w:lang w:val="sq-AL" w:eastAsia="zh-CN"/>
        </w:rPr>
      </w:pPr>
      <w:r>
        <w:rPr>
          <w:rFonts w:hint="eastAsia"/>
          <w:color w:val="auto"/>
          <w:lang w:val="sq-AL" w:eastAsia="zh-CN"/>
        </w:rPr>
        <w:t>《安全评价通则》（AQ8001-2007）；</w:t>
      </w:r>
    </w:p>
    <w:p w14:paraId="547E4A0D">
      <w:pPr>
        <w:pStyle w:val="16"/>
        <w:numPr>
          <w:ilvl w:val="0"/>
          <w:numId w:val="8"/>
        </w:numPr>
        <w:bidi w:val="0"/>
        <w:rPr>
          <w:rFonts w:hint="eastAsia"/>
          <w:color w:val="auto"/>
          <w:lang w:val="sq-AL" w:eastAsia="zh-CN"/>
        </w:rPr>
      </w:pPr>
      <w:r>
        <w:rPr>
          <w:rFonts w:hint="eastAsia"/>
          <w:color w:val="auto"/>
          <w:lang w:val="sq-AL" w:eastAsia="zh-CN"/>
        </w:rPr>
        <w:t>《</w:t>
      </w:r>
      <w:r>
        <w:rPr>
          <w:rFonts w:hint="eastAsia"/>
          <w:color w:val="auto"/>
          <w:lang w:val="en-US" w:eastAsia="zh-CN"/>
        </w:rPr>
        <w:t>建筑</w:t>
      </w:r>
      <w:r>
        <w:rPr>
          <w:rFonts w:hint="eastAsia"/>
          <w:color w:val="auto"/>
          <w:lang w:val="sq-AL" w:eastAsia="zh-CN"/>
        </w:rPr>
        <w:t>灭火器配置验收及检查规范》（GB50444-2008）；</w:t>
      </w:r>
    </w:p>
    <w:p w14:paraId="17E02923">
      <w:pPr>
        <w:pStyle w:val="16"/>
        <w:numPr>
          <w:ilvl w:val="0"/>
          <w:numId w:val="8"/>
        </w:numPr>
        <w:bidi w:val="0"/>
        <w:rPr>
          <w:rFonts w:hint="eastAsia"/>
          <w:color w:val="auto"/>
          <w:lang w:val="sq-AL" w:eastAsia="zh-CN"/>
        </w:rPr>
      </w:pPr>
      <w:r>
        <w:rPr>
          <w:rFonts w:hint="eastAsia"/>
          <w:color w:val="auto"/>
          <w:lang w:val="sq-AL" w:eastAsia="zh-CN"/>
        </w:rPr>
        <w:t>《安全标志及其使用导则》（GB2894-2008）；</w:t>
      </w:r>
    </w:p>
    <w:p w14:paraId="60DE5E11">
      <w:pPr>
        <w:pStyle w:val="16"/>
        <w:numPr>
          <w:ilvl w:val="0"/>
          <w:numId w:val="8"/>
        </w:numPr>
        <w:bidi w:val="0"/>
        <w:rPr>
          <w:rFonts w:hint="eastAsia"/>
          <w:color w:val="auto"/>
          <w:lang w:val="sq-AL" w:eastAsia="zh-CN"/>
        </w:rPr>
      </w:pPr>
      <w:r>
        <w:rPr>
          <w:rFonts w:hint="eastAsia"/>
          <w:color w:val="auto"/>
          <w:lang w:val="sq-AL" w:eastAsia="zh-CN"/>
        </w:rPr>
        <w:t>《矿山安全标志》（GB</w:t>
      </w:r>
      <w:r>
        <w:rPr>
          <w:rFonts w:hint="eastAsia"/>
          <w:color w:val="auto"/>
          <w:lang w:val="en-US" w:eastAsia="zh-CN"/>
        </w:rPr>
        <w:t>/T</w:t>
      </w:r>
      <w:r>
        <w:rPr>
          <w:rFonts w:hint="eastAsia"/>
          <w:color w:val="auto"/>
          <w:lang w:val="sq-AL" w:eastAsia="zh-CN"/>
        </w:rPr>
        <w:t>14161-2008）；</w:t>
      </w:r>
    </w:p>
    <w:p w14:paraId="12409531">
      <w:pPr>
        <w:pStyle w:val="16"/>
        <w:numPr>
          <w:ilvl w:val="0"/>
          <w:numId w:val="8"/>
        </w:numPr>
        <w:bidi w:val="0"/>
        <w:rPr>
          <w:rFonts w:hint="eastAsia"/>
          <w:color w:val="auto"/>
          <w:lang w:val="sq-AL" w:eastAsia="zh-CN"/>
        </w:rPr>
      </w:pPr>
      <w:r>
        <w:rPr>
          <w:rFonts w:hint="eastAsia"/>
          <w:color w:val="auto"/>
          <w:lang w:val="sq-AL" w:eastAsia="zh-CN"/>
        </w:rPr>
        <w:t>《安全色》（GB2893－2008）；</w:t>
      </w:r>
    </w:p>
    <w:p w14:paraId="5313ECE7">
      <w:pPr>
        <w:pStyle w:val="16"/>
        <w:numPr>
          <w:ilvl w:val="0"/>
          <w:numId w:val="8"/>
        </w:numPr>
        <w:bidi w:val="0"/>
        <w:rPr>
          <w:rFonts w:hint="eastAsia"/>
          <w:color w:val="auto"/>
          <w:lang w:val="sq-AL" w:eastAsia="zh-CN"/>
        </w:rPr>
      </w:pPr>
      <w:r>
        <w:rPr>
          <w:rFonts w:hint="eastAsia"/>
          <w:color w:val="auto"/>
          <w:lang w:val="sq-AL" w:eastAsia="zh-CN"/>
        </w:rPr>
        <w:t>《用电安全导则》（GB/T13869-20</w:t>
      </w:r>
      <w:r>
        <w:rPr>
          <w:rFonts w:hint="eastAsia"/>
          <w:color w:val="auto"/>
          <w:lang w:val="en-US" w:eastAsia="zh-CN"/>
        </w:rPr>
        <w:t>17</w:t>
      </w:r>
      <w:r>
        <w:rPr>
          <w:rFonts w:hint="eastAsia"/>
          <w:color w:val="auto"/>
          <w:lang w:val="sq-AL" w:eastAsia="zh-CN"/>
        </w:rPr>
        <w:t>）；</w:t>
      </w:r>
    </w:p>
    <w:p w14:paraId="3C41CEA1">
      <w:pPr>
        <w:pStyle w:val="16"/>
        <w:numPr>
          <w:ilvl w:val="0"/>
          <w:numId w:val="8"/>
        </w:numPr>
        <w:bidi w:val="0"/>
        <w:rPr>
          <w:rFonts w:hint="eastAsia"/>
          <w:color w:val="auto"/>
          <w:lang w:val="sq-AL" w:eastAsia="zh-CN"/>
        </w:rPr>
      </w:pPr>
      <w:r>
        <w:rPr>
          <w:rFonts w:hint="eastAsia"/>
          <w:color w:val="auto"/>
          <w:lang w:val="sq-AL" w:eastAsia="zh-CN"/>
        </w:rPr>
        <w:t>《工业企业厂界环境噪声排放标准》（GB12348-2008）；</w:t>
      </w:r>
    </w:p>
    <w:p w14:paraId="3393FE0B">
      <w:pPr>
        <w:pStyle w:val="16"/>
        <w:numPr>
          <w:ilvl w:val="0"/>
          <w:numId w:val="8"/>
        </w:numPr>
        <w:bidi w:val="0"/>
        <w:rPr>
          <w:rFonts w:hint="eastAsia"/>
          <w:color w:val="auto"/>
          <w:lang w:val="sq-AL" w:eastAsia="zh-CN"/>
        </w:rPr>
      </w:pPr>
      <w:r>
        <w:rPr>
          <w:rFonts w:hint="eastAsia"/>
          <w:color w:val="auto"/>
          <w:lang w:val="sq-AL" w:eastAsia="zh-CN"/>
        </w:rPr>
        <w:t>《工业企业厂内铁路、道路运输安全规程》（GB4387-2008）；</w:t>
      </w:r>
    </w:p>
    <w:p w14:paraId="4E4FEEEB">
      <w:pPr>
        <w:pStyle w:val="16"/>
        <w:numPr>
          <w:ilvl w:val="0"/>
          <w:numId w:val="8"/>
        </w:numPr>
        <w:bidi w:val="0"/>
        <w:rPr>
          <w:rFonts w:hint="eastAsia"/>
          <w:color w:val="auto"/>
          <w:lang w:val="sq-AL" w:eastAsia="zh-CN"/>
        </w:rPr>
      </w:pPr>
      <w:r>
        <w:rPr>
          <w:rFonts w:hint="eastAsia"/>
          <w:color w:val="auto"/>
          <w:lang w:val="sq-AL" w:eastAsia="zh-CN"/>
        </w:rPr>
        <w:t>《建筑物防雷设计规范》（GB50057-2010）；</w:t>
      </w:r>
    </w:p>
    <w:p w14:paraId="3486982A">
      <w:pPr>
        <w:pStyle w:val="16"/>
        <w:numPr>
          <w:ilvl w:val="0"/>
          <w:numId w:val="8"/>
        </w:numPr>
        <w:bidi w:val="0"/>
        <w:rPr>
          <w:rFonts w:hint="eastAsia"/>
          <w:color w:val="auto"/>
          <w:lang w:val="sq-AL" w:eastAsia="zh-CN"/>
        </w:rPr>
      </w:pPr>
      <w:r>
        <w:rPr>
          <w:rFonts w:hint="eastAsia"/>
          <w:color w:val="auto"/>
          <w:lang w:val="sq-AL" w:eastAsia="zh-CN"/>
        </w:rPr>
        <w:t>《工业企业设计卫生标准》（GBZ1-2010）；</w:t>
      </w:r>
    </w:p>
    <w:p w14:paraId="5F77294A">
      <w:pPr>
        <w:pStyle w:val="16"/>
        <w:numPr>
          <w:ilvl w:val="0"/>
          <w:numId w:val="8"/>
        </w:numPr>
        <w:bidi w:val="0"/>
        <w:rPr>
          <w:rFonts w:hint="eastAsia"/>
          <w:color w:val="auto"/>
          <w:lang w:val="sq-AL" w:eastAsia="zh-CN"/>
        </w:rPr>
      </w:pPr>
      <w:r>
        <w:rPr>
          <w:rFonts w:hint="eastAsia"/>
          <w:color w:val="auto"/>
          <w:lang w:val="sq-AL" w:eastAsia="zh-CN"/>
        </w:rPr>
        <w:t>《20kV及以下变电所设计规范》（GB50053-</w:t>
      </w:r>
      <w:r>
        <w:rPr>
          <w:rFonts w:hint="eastAsia"/>
          <w:color w:val="auto"/>
          <w:lang w:val="en-GB" w:eastAsia="zh-CN"/>
        </w:rPr>
        <w:t>2013</w:t>
      </w:r>
      <w:r>
        <w:rPr>
          <w:rFonts w:hint="eastAsia"/>
          <w:color w:val="auto"/>
          <w:lang w:val="sq-AL" w:eastAsia="zh-CN"/>
        </w:rPr>
        <w:t>）；</w:t>
      </w:r>
    </w:p>
    <w:p w14:paraId="6AD498B9">
      <w:pPr>
        <w:pStyle w:val="16"/>
        <w:numPr>
          <w:ilvl w:val="0"/>
          <w:numId w:val="8"/>
        </w:numPr>
        <w:bidi w:val="0"/>
        <w:rPr>
          <w:rFonts w:hint="eastAsia"/>
          <w:color w:val="auto"/>
          <w:lang w:val="sq-AL" w:eastAsia="zh-CN"/>
        </w:rPr>
      </w:pPr>
      <w:r>
        <w:rPr>
          <w:rFonts w:hint="eastAsia"/>
          <w:color w:val="auto"/>
          <w:lang w:val="sq-AL" w:eastAsia="zh-CN"/>
        </w:rPr>
        <w:t>《建筑设计防火规范[2018</w:t>
      </w:r>
      <w:r>
        <w:rPr>
          <w:rFonts w:hint="eastAsia"/>
          <w:color w:val="auto"/>
          <w:lang w:val="en-US" w:eastAsia="zh-CN"/>
        </w:rPr>
        <w:t>版</w:t>
      </w:r>
      <w:r>
        <w:rPr>
          <w:rFonts w:hint="eastAsia"/>
          <w:color w:val="auto"/>
          <w:lang w:val="sq-AL" w:eastAsia="zh-CN"/>
        </w:rPr>
        <w:t>]》（GB50016-2014）；</w:t>
      </w:r>
    </w:p>
    <w:p w14:paraId="6C633D17">
      <w:pPr>
        <w:pStyle w:val="16"/>
        <w:numPr>
          <w:ilvl w:val="0"/>
          <w:numId w:val="8"/>
        </w:numPr>
        <w:bidi w:val="0"/>
        <w:rPr>
          <w:rFonts w:hint="eastAsia"/>
          <w:color w:val="auto"/>
          <w:lang w:val="sq-AL" w:eastAsia="zh-CN"/>
        </w:rPr>
      </w:pPr>
      <w:r>
        <w:rPr>
          <w:rFonts w:hint="eastAsia"/>
          <w:color w:val="auto"/>
          <w:lang w:val="sq-AL" w:eastAsia="zh-CN"/>
        </w:rPr>
        <w:t>《防洪标准》（GB50201-2014）；</w:t>
      </w:r>
    </w:p>
    <w:p w14:paraId="691C6137">
      <w:pPr>
        <w:pStyle w:val="16"/>
        <w:numPr>
          <w:ilvl w:val="0"/>
          <w:numId w:val="8"/>
        </w:numPr>
        <w:bidi w:val="0"/>
        <w:rPr>
          <w:rFonts w:hint="eastAsia"/>
          <w:color w:val="auto"/>
          <w:lang w:val="sq-AL" w:eastAsia="zh-CN"/>
        </w:rPr>
      </w:pPr>
      <w:r>
        <w:rPr>
          <w:rFonts w:hint="eastAsia"/>
          <w:color w:val="auto"/>
          <w:lang w:val="sq-AL" w:eastAsia="zh-CN"/>
        </w:rPr>
        <w:t>《中国地震动参数区划图》（GB18306</w:t>
      </w:r>
      <w:r>
        <w:rPr>
          <w:rFonts w:hint="eastAsia"/>
          <w:color w:val="auto"/>
          <w:lang w:val="en-US" w:eastAsia="zh-CN"/>
        </w:rPr>
        <w:t>-</w:t>
      </w:r>
      <w:r>
        <w:rPr>
          <w:rFonts w:hint="eastAsia"/>
          <w:color w:val="auto"/>
          <w:lang w:val="sq-AL" w:eastAsia="zh-CN"/>
        </w:rPr>
        <w:t>2015）；</w:t>
      </w:r>
    </w:p>
    <w:p w14:paraId="090E857E">
      <w:pPr>
        <w:pStyle w:val="16"/>
        <w:numPr>
          <w:ilvl w:val="0"/>
          <w:numId w:val="8"/>
        </w:numPr>
        <w:bidi w:val="0"/>
        <w:rPr>
          <w:rFonts w:hint="eastAsia"/>
          <w:color w:val="auto"/>
          <w:lang w:val="sq-AL" w:eastAsia="zh-CN"/>
        </w:rPr>
      </w:pPr>
      <w:bookmarkStart w:id="5" w:name="_Hlk71134657"/>
      <w:r>
        <w:rPr>
          <w:rFonts w:hint="eastAsia"/>
          <w:color w:val="auto"/>
          <w:lang w:val="sq-AL" w:eastAsia="zh-CN"/>
        </w:rPr>
        <w:t>《爆破安全规程》（</w:t>
      </w:r>
      <w:r>
        <w:rPr>
          <w:rFonts w:hint="eastAsia"/>
          <w:color w:val="auto"/>
          <w:lang w:val="en-US" w:eastAsia="zh-CN"/>
        </w:rPr>
        <w:t>国家标准第一号修改单</w:t>
      </w:r>
      <w:r>
        <w:rPr>
          <w:rFonts w:hint="eastAsia"/>
          <w:color w:val="auto"/>
          <w:lang w:val="sq-AL" w:eastAsia="zh-CN"/>
        </w:rPr>
        <w:t>）（GB6722-2014/XG1-2016）；</w:t>
      </w:r>
    </w:p>
    <w:bookmarkEnd w:id="5"/>
    <w:p w14:paraId="1477F57D">
      <w:pPr>
        <w:pStyle w:val="16"/>
        <w:numPr>
          <w:ilvl w:val="0"/>
          <w:numId w:val="8"/>
        </w:numPr>
        <w:bidi w:val="0"/>
        <w:rPr>
          <w:rFonts w:hint="eastAsia"/>
          <w:color w:val="auto"/>
          <w:lang w:val="sq-AL" w:eastAsia="zh-CN"/>
        </w:rPr>
      </w:pPr>
      <w:r>
        <w:rPr>
          <w:rFonts w:hint="eastAsia"/>
          <w:color w:val="auto"/>
          <w:lang w:val="sq-AL" w:eastAsia="zh-CN"/>
        </w:rPr>
        <w:t>《剩余电流动作保护装置安装和运行》（GB/T 13955-2017）；</w:t>
      </w:r>
    </w:p>
    <w:p w14:paraId="0E06C48C">
      <w:pPr>
        <w:pStyle w:val="16"/>
        <w:numPr>
          <w:ilvl w:val="0"/>
          <w:numId w:val="8"/>
        </w:numPr>
        <w:bidi w:val="0"/>
        <w:rPr>
          <w:rFonts w:hint="eastAsia"/>
          <w:color w:val="auto"/>
          <w:lang w:val="sq-AL" w:eastAsia="zh-CN"/>
        </w:rPr>
      </w:pPr>
      <w:r>
        <w:rPr>
          <w:rFonts w:hint="eastAsia"/>
          <w:color w:val="auto"/>
          <w:lang w:val="sq-AL" w:eastAsia="zh-CN"/>
        </w:rPr>
        <w:t>《用电安全导则》（GB/T 13869-2017）；</w:t>
      </w:r>
    </w:p>
    <w:p w14:paraId="524FCBC6">
      <w:pPr>
        <w:pStyle w:val="16"/>
        <w:numPr>
          <w:ilvl w:val="0"/>
          <w:numId w:val="8"/>
        </w:numPr>
        <w:bidi w:val="0"/>
        <w:rPr>
          <w:rFonts w:hint="eastAsia"/>
          <w:color w:val="auto"/>
          <w:lang w:val="sq-AL" w:eastAsia="zh-CN"/>
        </w:rPr>
      </w:pPr>
      <w:r>
        <w:rPr>
          <w:rFonts w:hint="eastAsia"/>
          <w:color w:val="auto"/>
          <w:lang w:val="sq-AL" w:eastAsia="zh-CN"/>
        </w:rPr>
        <w:t>《危险化学品重大危险源辨识》（GB18218-2018）；</w:t>
      </w:r>
    </w:p>
    <w:p w14:paraId="360ABB3B">
      <w:pPr>
        <w:pStyle w:val="16"/>
        <w:numPr>
          <w:ilvl w:val="0"/>
          <w:numId w:val="8"/>
        </w:numPr>
        <w:bidi w:val="0"/>
        <w:rPr>
          <w:rFonts w:hint="eastAsia"/>
          <w:color w:val="auto"/>
          <w:lang w:val="sq-AL" w:eastAsia="zh-CN"/>
        </w:rPr>
      </w:pPr>
      <w:r>
        <w:rPr>
          <w:rFonts w:hint="eastAsia"/>
          <w:color w:val="auto"/>
          <w:lang w:val="sq-AL" w:eastAsia="zh-CN"/>
        </w:rPr>
        <w:t>《机械安全防护装置、固定式和活动式防护装置设计与制造一般要求》（GB/T8196-2018）；</w:t>
      </w:r>
    </w:p>
    <w:p w14:paraId="445DCDFC">
      <w:pPr>
        <w:pStyle w:val="16"/>
        <w:numPr>
          <w:ilvl w:val="0"/>
          <w:numId w:val="8"/>
        </w:numPr>
        <w:bidi w:val="0"/>
        <w:rPr>
          <w:rFonts w:hint="eastAsia"/>
          <w:color w:val="auto"/>
          <w:lang w:val="sq-AL" w:eastAsia="zh-CN"/>
        </w:rPr>
      </w:pPr>
      <w:r>
        <w:rPr>
          <w:rFonts w:hint="eastAsia"/>
          <w:color w:val="auto"/>
          <w:lang w:val="sq-AL" w:eastAsia="zh-CN"/>
        </w:rPr>
        <w:t>《工作场所有害因素职业接触限值</w:t>
      </w:r>
      <w:r>
        <w:rPr>
          <w:rFonts w:hint="eastAsia"/>
          <w:color w:val="auto"/>
          <w:lang w:val="en-US" w:eastAsia="zh-CN"/>
        </w:rPr>
        <w:t>第一部分：</w:t>
      </w:r>
      <w:r>
        <w:rPr>
          <w:rFonts w:hint="eastAsia"/>
          <w:color w:val="auto"/>
          <w:lang w:val="sq-AL" w:eastAsia="zh-CN"/>
        </w:rPr>
        <w:t>化学有害因素》（</w:t>
      </w:r>
      <w:r>
        <w:rPr>
          <w:rFonts w:hint="eastAsia"/>
          <w:color w:val="auto"/>
          <w:lang w:val="en-US" w:eastAsia="zh-CN"/>
        </w:rPr>
        <w:t>行业标准第1号修改单</w:t>
      </w:r>
      <w:r>
        <w:rPr>
          <w:rFonts w:hint="eastAsia"/>
          <w:color w:val="auto"/>
          <w:lang w:val="sq-AL" w:eastAsia="zh-CN"/>
        </w:rPr>
        <w:t>）（GBZ2.1-2019</w:t>
      </w:r>
      <w:r>
        <w:rPr>
          <w:rFonts w:hint="eastAsia"/>
          <w:color w:val="auto"/>
          <w:lang w:val="en-US" w:eastAsia="zh-CN"/>
        </w:rPr>
        <w:t>/XG1-2022</w:t>
      </w:r>
      <w:r>
        <w:rPr>
          <w:rFonts w:hint="eastAsia"/>
          <w:color w:val="auto"/>
          <w:lang w:val="sq-AL" w:eastAsia="zh-CN"/>
        </w:rPr>
        <w:t>）；</w:t>
      </w:r>
    </w:p>
    <w:p w14:paraId="31AE7F74">
      <w:pPr>
        <w:pStyle w:val="16"/>
        <w:numPr>
          <w:ilvl w:val="0"/>
          <w:numId w:val="8"/>
        </w:numPr>
        <w:bidi w:val="0"/>
        <w:rPr>
          <w:rFonts w:hint="eastAsia"/>
          <w:color w:val="auto"/>
          <w:lang w:val="sq-AL" w:eastAsia="zh-CN"/>
        </w:rPr>
      </w:pPr>
      <w:r>
        <w:rPr>
          <w:rFonts w:hint="eastAsia"/>
          <w:color w:val="auto"/>
          <w:lang w:val="en-GB" w:eastAsia="zh-CN"/>
        </w:rPr>
        <w:t>《生产安全事故应急演练基本规范》（</w:t>
      </w:r>
      <w:r>
        <w:rPr>
          <w:rFonts w:hint="eastAsia"/>
          <w:color w:val="auto"/>
          <w:lang w:val="en-US" w:eastAsia="zh-CN"/>
        </w:rPr>
        <w:t>YJ/</w:t>
      </w:r>
      <w:r>
        <w:rPr>
          <w:rFonts w:hint="eastAsia"/>
          <w:color w:val="auto"/>
          <w:lang w:val="en-GB" w:eastAsia="zh-CN"/>
        </w:rPr>
        <w:t>T</w:t>
      </w:r>
      <w:r>
        <w:rPr>
          <w:rFonts w:hint="eastAsia"/>
          <w:color w:val="auto"/>
          <w:lang w:val="en-US" w:eastAsia="zh-CN"/>
        </w:rPr>
        <w:t xml:space="preserve"> </w:t>
      </w:r>
      <w:r>
        <w:rPr>
          <w:rFonts w:hint="eastAsia"/>
          <w:color w:val="auto"/>
          <w:lang w:val="en-GB" w:eastAsia="zh-CN"/>
        </w:rPr>
        <w:t>9007-2019）；</w:t>
      </w:r>
    </w:p>
    <w:p w14:paraId="7F994D7E">
      <w:pPr>
        <w:pStyle w:val="16"/>
        <w:numPr>
          <w:ilvl w:val="0"/>
          <w:numId w:val="8"/>
        </w:numPr>
        <w:bidi w:val="0"/>
        <w:rPr>
          <w:rFonts w:hint="eastAsia"/>
          <w:color w:val="auto"/>
          <w:lang w:val="sq-AL" w:eastAsia="zh-CN"/>
        </w:rPr>
      </w:pPr>
      <w:r>
        <w:rPr>
          <w:rFonts w:hint="eastAsia"/>
          <w:color w:val="auto"/>
          <w:lang w:val="sq-AL" w:eastAsia="zh-CN"/>
        </w:rPr>
        <w:t>《生产经营单位生产安全事故应急预案编制导则》（GB/T29639-2020）；</w:t>
      </w:r>
    </w:p>
    <w:p w14:paraId="21B3FADE">
      <w:pPr>
        <w:pStyle w:val="16"/>
        <w:numPr>
          <w:ilvl w:val="0"/>
          <w:numId w:val="8"/>
        </w:numPr>
        <w:bidi w:val="0"/>
        <w:rPr>
          <w:rFonts w:hint="eastAsia"/>
          <w:color w:val="auto"/>
          <w:lang w:val="sq-AL" w:eastAsia="zh-CN"/>
        </w:rPr>
      </w:pPr>
      <w:r>
        <w:rPr>
          <w:rFonts w:hint="eastAsia"/>
          <w:color w:val="auto"/>
          <w:lang w:val="sq-AL" w:eastAsia="zh-CN"/>
        </w:rPr>
        <w:t>《固定式压力容器安全技术监察规程》（TSG21-2016/XG1-2020）；</w:t>
      </w:r>
    </w:p>
    <w:p w14:paraId="7719DD4A">
      <w:pPr>
        <w:pStyle w:val="16"/>
        <w:numPr>
          <w:ilvl w:val="0"/>
          <w:numId w:val="8"/>
        </w:numPr>
        <w:bidi w:val="0"/>
        <w:rPr>
          <w:rFonts w:hint="eastAsia"/>
          <w:color w:val="auto"/>
          <w:lang w:val="sq-AL" w:eastAsia="zh-CN"/>
        </w:rPr>
      </w:pPr>
      <w:r>
        <w:rPr>
          <w:rFonts w:hint="eastAsia"/>
          <w:color w:val="auto"/>
          <w:lang w:val="sq-AL" w:eastAsia="zh-CN"/>
        </w:rPr>
        <w:t>《金属非金属矿山安全规程》（GB16423-2020）；</w:t>
      </w:r>
    </w:p>
    <w:p w14:paraId="24103BF5">
      <w:pPr>
        <w:pStyle w:val="16"/>
        <w:numPr>
          <w:ilvl w:val="0"/>
          <w:numId w:val="8"/>
        </w:numPr>
        <w:bidi w:val="0"/>
        <w:rPr>
          <w:rFonts w:hint="eastAsia"/>
          <w:color w:val="auto"/>
          <w:lang w:val="sq-AL" w:eastAsia="zh-CN"/>
        </w:rPr>
      </w:pPr>
      <w:r>
        <w:rPr>
          <w:rFonts w:hint="eastAsia"/>
          <w:color w:val="auto"/>
          <w:lang w:val="sq-AL" w:eastAsia="zh-CN"/>
        </w:rPr>
        <w:t>《个体防护装备配备规范 第4部分：非煤矿山》（GB39800.4-2020）；</w:t>
      </w:r>
    </w:p>
    <w:p w14:paraId="2E0CE9B6">
      <w:pPr>
        <w:pStyle w:val="16"/>
        <w:numPr>
          <w:ilvl w:val="0"/>
          <w:numId w:val="8"/>
        </w:numPr>
        <w:bidi w:val="0"/>
        <w:rPr>
          <w:rFonts w:hint="eastAsia"/>
          <w:color w:val="auto"/>
          <w:lang w:val="sq-AL" w:eastAsia="zh-CN"/>
        </w:rPr>
      </w:pPr>
      <w:r>
        <w:rPr>
          <w:rFonts w:hint="eastAsia"/>
          <w:color w:val="auto"/>
          <w:lang w:val="sq-AL" w:eastAsia="zh-CN"/>
        </w:rPr>
        <w:t>《矿山电力设计标准》（GB50070-2020）；</w:t>
      </w:r>
    </w:p>
    <w:p w14:paraId="1EFC8166">
      <w:pPr>
        <w:pStyle w:val="16"/>
        <w:numPr>
          <w:ilvl w:val="0"/>
          <w:numId w:val="8"/>
        </w:numPr>
        <w:bidi w:val="0"/>
        <w:rPr>
          <w:rFonts w:hint="eastAsia"/>
          <w:color w:val="auto"/>
          <w:lang w:val="sq-AL" w:eastAsia="zh-CN"/>
        </w:rPr>
      </w:pPr>
      <w:bookmarkStart w:id="6" w:name="_Hlk71134581"/>
      <w:r>
        <w:rPr>
          <w:rFonts w:hint="eastAsia"/>
          <w:color w:val="auto"/>
          <w:lang w:val="sq-AL" w:eastAsia="zh-CN"/>
        </w:rPr>
        <w:t>《机械安全防止人体部位挤压的最小间距》（GB/T 12265-2021）；</w:t>
      </w:r>
    </w:p>
    <w:p w14:paraId="133E4E06">
      <w:pPr>
        <w:pStyle w:val="16"/>
        <w:numPr>
          <w:ilvl w:val="0"/>
          <w:numId w:val="8"/>
        </w:numPr>
        <w:bidi w:val="0"/>
        <w:rPr>
          <w:rFonts w:hint="eastAsia"/>
          <w:color w:val="auto"/>
          <w:lang w:val="sq-AL" w:eastAsia="zh-CN"/>
        </w:rPr>
      </w:pPr>
      <w:r>
        <w:rPr>
          <w:rFonts w:hint="eastAsia"/>
          <w:color w:val="auto"/>
          <w:lang w:val="sq-AL" w:eastAsia="zh-CN"/>
        </w:rPr>
        <w:t>《生产过程危险和有害因素分类与代码》（GB/T 13861-2022）；</w:t>
      </w:r>
    </w:p>
    <w:bookmarkEnd w:id="6"/>
    <w:p w14:paraId="393BB585">
      <w:pPr>
        <w:pStyle w:val="16"/>
        <w:numPr>
          <w:ilvl w:val="0"/>
          <w:numId w:val="8"/>
        </w:numPr>
        <w:bidi w:val="0"/>
        <w:rPr>
          <w:rFonts w:hint="default"/>
          <w:color w:val="auto"/>
          <w:lang w:val="sq-AL" w:eastAsia="zh-CN"/>
        </w:rPr>
      </w:pPr>
      <w:r>
        <w:rPr>
          <w:rFonts w:hint="eastAsia"/>
          <w:color w:val="auto"/>
          <w:lang w:val="sq-AL" w:eastAsia="zh-CN"/>
        </w:rPr>
        <w:t>《工业企业总平面设计规范》（GB50187-2012）；</w:t>
      </w:r>
    </w:p>
    <w:p w14:paraId="19799C90">
      <w:pPr>
        <w:pStyle w:val="16"/>
        <w:numPr>
          <w:ilvl w:val="0"/>
          <w:numId w:val="8"/>
        </w:numPr>
        <w:bidi w:val="0"/>
        <w:rPr>
          <w:rFonts w:hint="eastAsia"/>
          <w:color w:val="auto"/>
          <w:lang w:val="sq-AL" w:eastAsia="zh-CN"/>
        </w:rPr>
      </w:pPr>
      <w:r>
        <w:rPr>
          <w:rFonts w:hint="eastAsia"/>
          <w:color w:val="auto"/>
          <w:lang w:val="sq-AL" w:eastAsia="zh-CN"/>
        </w:rPr>
        <w:t>《非煤露天矿边坡工程技术规范》（GB51016-2014）；</w:t>
      </w:r>
    </w:p>
    <w:p w14:paraId="43264BCD">
      <w:pPr>
        <w:pStyle w:val="16"/>
        <w:numPr>
          <w:ilvl w:val="0"/>
          <w:numId w:val="8"/>
        </w:numPr>
        <w:bidi w:val="0"/>
        <w:rPr>
          <w:rFonts w:hint="eastAsia"/>
          <w:color w:val="auto"/>
          <w:lang w:val="sq-AL" w:eastAsia="zh-CN"/>
        </w:rPr>
      </w:pPr>
      <w:r>
        <w:rPr>
          <w:rFonts w:hint="eastAsia"/>
          <w:color w:val="auto"/>
          <w:lang w:val="sq-AL" w:eastAsia="zh-CN"/>
        </w:rPr>
        <w:t>《工业企业噪声控制设计规范》（GB/T50087-2013）；</w:t>
      </w:r>
    </w:p>
    <w:p w14:paraId="379108EF">
      <w:pPr>
        <w:pStyle w:val="16"/>
        <w:numPr>
          <w:ilvl w:val="0"/>
          <w:numId w:val="8"/>
        </w:numPr>
        <w:bidi w:val="0"/>
        <w:rPr>
          <w:rFonts w:hint="eastAsia"/>
          <w:color w:val="auto"/>
          <w:lang w:val="sq-AL" w:eastAsia="zh-CN"/>
        </w:rPr>
      </w:pPr>
      <w:r>
        <w:rPr>
          <w:rFonts w:hint="eastAsia"/>
          <w:color w:val="auto"/>
          <w:lang w:val="sq-AL" w:eastAsia="zh-CN"/>
        </w:rPr>
        <w:t>《矿山隐蔽致灾因素普查规范 第1部分：总则》（KA</w:t>
      </w:r>
      <w:r>
        <w:rPr>
          <w:rFonts w:hint="eastAsia"/>
          <w:color w:val="auto"/>
          <w:lang w:val="en-US" w:eastAsia="zh-CN"/>
        </w:rPr>
        <w:t>/</w:t>
      </w:r>
      <w:r>
        <w:rPr>
          <w:rFonts w:hint="eastAsia"/>
          <w:color w:val="auto"/>
          <w:lang w:val="sq-AL" w:eastAsia="zh-CN"/>
        </w:rPr>
        <w:t>T 22.1-2024）；</w:t>
      </w:r>
    </w:p>
    <w:p w14:paraId="0AE85B09">
      <w:pPr>
        <w:pStyle w:val="16"/>
        <w:numPr>
          <w:ilvl w:val="0"/>
          <w:numId w:val="8"/>
        </w:numPr>
        <w:bidi w:val="0"/>
        <w:rPr>
          <w:rFonts w:hint="eastAsia"/>
          <w:color w:val="auto"/>
          <w:lang w:val="sq-AL" w:eastAsia="zh-CN"/>
        </w:rPr>
      </w:pPr>
      <w:r>
        <w:rPr>
          <w:rFonts w:hint="eastAsia"/>
          <w:color w:val="auto"/>
          <w:lang w:val="sq-AL" w:eastAsia="zh-CN"/>
        </w:rPr>
        <w:t>《矿山隐蔽致灾因素普查规范 第3部分：金属非金属矿山及尾矿库》（KA</w:t>
      </w:r>
      <w:r>
        <w:rPr>
          <w:rFonts w:hint="eastAsia"/>
          <w:color w:val="auto"/>
          <w:lang w:val="en-US" w:eastAsia="zh-CN"/>
        </w:rPr>
        <w:t>/</w:t>
      </w:r>
      <w:r>
        <w:rPr>
          <w:rFonts w:hint="eastAsia"/>
          <w:color w:val="auto"/>
          <w:lang w:val="sq-AL" w:eastAsia="zh-CN"/>
        </w:rPr>
        <w:t>T 22.3-2024）。</w:t>
      </w:r>
    </w:p>
    <w:p w14:paraId="72AB078D">
      <w:pPr>
        <w:pStyle w:val="24"/>
        <w:bidi w:val="0"/>
        <w:rPr>
          <w:rFonts w:hint="default"/>
          <w:color w:val="auto"/>
          <w:lang w:val="en-US" w:eastAsia="zh-CN"/>
        </w:rPr>
      </w:pPr>
      <w:r>
        <w:rPr>
          <w:rFonts w:hint="default"/>
          <w:color w:val="auto"/>
          <w:lang w:val="en-US" w:eastAsia="zh-CN"/>
        </w:rPr>
        <w:t>企业合法证明文件</w:t>
      </w:r>
    </w:p>
    <w:p w14:paraId="502913FB">
      <w:pPr>
        <w:pStyle w:val="16"/>
        <w:numPr>
          <w:ilvl w:val="0"/>
          <w:numId w:val="9"/>
        </w:numPr>
        <w:bidi w:val="0"/>
        <w:rPr>
          <w:rFonts w:hint="eastAsia"/>
          <w:color w:val="auto"/>
          <w:lang w:val="sq-AL" w:eastAsia="zh-CN"/>
        </w:rPr>
      </w:pPr>
      <w:r>
        <w:rPr>
          <w:rFonts w:hint="eastAsia"/>
          <w:color w:val="auto"/>
          <w:lang w:val="sq-AL" w:eastAsia="zh-CN"/>
        </w:rPr>
        <w:t>《营业执照》（</w:t>
      </w:r>
      <w:r>
        <w:rPr>
          <w:rFonts w:hint="eastAsia"/>
          <w:color w:val="auto"/>
          <w:lang w:val="en-US" w:eastAsia="zh-CN"/>
        </w:rPr>
        <w:t>XXXXXXXXXXXXX</w:t>
      </w:r>
      <w:r>
        <w:rPr>
          <w:rFonts w:hint="eastAsia"/>
          <w:color w:val="auto"/>
          <w:lang w:val="sq-AL" w:eastAsia="zh-CN"/>
        </w:rPr>
        <w:t>，</w:t>
      </w:r>
      <w:r>
        <w:rPr>
          <w:rFonts w:hint="eastAsia"/>
          <w:color w:val="auto"/>
          <w:lang w:val="en-US" w:eastAsia="zh-CN"/>
        </w:rPr>
        <w:t>岫岩满族自治县市场监督管理局</w:t>
      </w:r>
      <w:r>
        <w:rPr>
          <w:rFonts w:hint="eastAsia"/>
          <w:color w:val="auto"/>
          <w:lang w:val="sq-AL" w:eastAsia="zh-CN"/>
        </w:rPr>
        <w:t>，登记日期：20</w:t>
      </w:r>
      <w:r>
        <w:rPr>
          <w:rFonts w:hint="eastAsia"/>
          <w:color w:val="auto"/>
          <w:lang w:val="en-US" w:eastAsia="zh-CN"/>
        </w:rPr>
        <w:t>22</w:t>
      </w:r>
      <w:r>
        <w:rPr>
          <w:rFonts w:hint="eastAsia"/>
          <w:color w:val="auto"/>
          <w:lang w:val="sq-AL" w:eastAsia="zh-CN"/>
        </w:rPr>
        <w:t>年11月15日）。</w:t>
      </w:r>
    </w:p>
    <w:p w14:paraId="0A32796A">
      <w:pPr>
        <w:pStyle w:val="16"/>
        <w:numPr>
          <w:ilvl w:val="0"/>
          <w:numId w:val="9"/>
        </w:numPr>
        <w:bidi w:val="0"/>
        <w:rPr>
          <w:rFonts w:hint="eastAsia"/>
          <w:color w:val="auto"/>
          <w:lang w:val="sq-AL" w:eastAsia="zh-CN"/>
        </w:rPr>
      </w:pPr>
      <w:r>
        <w:rPr>
          <w:rFonts w:hint="eastAsia"/>
          <w:color w:val="auto"/>
          <w:lang w:val="sq-AL" w:eastAsia="zh-CN"/>
        </w:rPr>
        <w:t>《采矿许可证》（</w:t>
      </w:r>
      <w:r>
        <w:rPr>
          <w:rFonts w:hint="eastAsia"/>
          <w:color w:val="auto"/>
          <w:lang w:eastAsia="zh-CN"/>
        </w:rPr>
        <w:t>XXXXXXXXXXXXX</w:t>
      </w:r>
      <w:r>
        <w:rPr>
          <w:rFonts w:hint="eastAsia"/>
          <w:color w:val="auto"/>
          <w:lang w:val="sq-AL" w:eastAsia="zh-CN"/>
        </w:rPr>
        <w:t>，</w:t>
      </w:r>
      <w:r>
        <w:rPr>
          <w:rFonts w:hint="eastAsia"/>
          <w:color w:val="auto"/>
          <w:lang w:val="en-US" w:eastAsia="zh-CN"/>
        </w:rPr>
        <w:t>鞍山市行政审批局</w:t>
      </w:r>
      <w:r>
        <w:rPr>
          <w:rFonts w:hint="eastAsia"/>
          <w:color w:val="auto"/>
          <w:lang w:val="sq-AL" w:eastAsia="zh-CN"/>
        </w:rPr>
        <w:t>，有效期：</w:t>
      </w:r>
      <w:r>
        <w:rPr>
          <w:rFonts w:hint="eastAsia"/>
          <w:color w:val="auto"/>
          <w:lang w:val="en-US" w:eastAsia="zh-CN"/>
        </w:rPr>
        <w:t>2020</w:t>
      </w:r>
      <w:r>
        <w:rPr>
          <w:rFonts w:hint="eastAsia"/>
          <w:color w:val="auto"/>
        </w:rPr>
        <w:t>年</w:t>
      </w:r>
      <w:r>
        <w:rPr>
          <w:rFonts w:hint="eastAsia"/>
          <w:color w:val="auto"/>
          <w:lang w:val="en-US" w:eastAsia="zh-CN"/>
        </w:rPr>
        <w:t>4</w:t>
      </w:r>
      <w:r>
        <w:rPr>
          <w:rFonts w:hint="eastAsia"/>
          <w:color w:val="auto"/>
        </w:rPr>
        <w:t>月</w:t>
      </w:r>
      <w:r>
        <w:rPr>
          <w:rFonts w:hint="eastAsia"/>
          <w:color w:val="auto"/>
          <w:lang w:val="en-US" w:eastAsia="zh-CN"/>
        </w:rPr>
        <w:t>24</w:t>
      </w:r>
      <w:r>
        <w:rPr>
          <w:rFonts w:hint="eastAsia"/>
          <w:color w:val="auto"/>
        </w:rPr>
        <w:t>日至</w:t>
      </w:r>
      <w:r>
        <w:rPr>
          <w:rFonts w:hint="eastAsia"/>
          <w:color w:val="auto"/>
          <w:lang w:val="en-US" w:eastAsia="zh-CN"/>
        </w:rPr>
        <w:t>2032</w:t>
      </w:r>
      <w:r>
        <w:rPr>
          <w:rFonts w:hint="eastAsia"/>
          <w:color w:val="auto"/>
        </w:rPr>
        <w:t>年</w:t>
      </w:r>
      <w:r>
        <w:rPr>
          <w:rFonts w:hint="eastAsia"/>
          <w:color w:val="auto"/>
          <w:lang w:val="en-US" w:eastAsia="zh-CN"/>
        </w:rPr>
        <w:t>5</w:t>
      </w:r>
      <w:r>
        <w:rPr>
          <w:rFonts w:hint="eastAsia"/>
          <w:color w:val="auto"/>
        </w:rPr>
        <w:t>月</w:t>
      </w:r>
      <w:r>
        <w:rPr>
          <w:rFonts w:hint="eastAsia"/>
          <w:color w:val="auto"/>
          <w:lang w:val="en-US" w:eastAsia="zh-CN"/>
        </w:rPr>
        <w:t>24</w:t>
      </w:r>
      <w:r>
        <w:rPr>
          <w:rFonts w:hint="eastAsia"/>
          <w:color w:val="auto"/>
        </w:rPr>
        <w:t>日</w:t>
      </w:r>
      <w:r>
        <w:rPr>
          <w:rFonts w:hint="eastAsia"/>
          <w:color w:val="auto"/>
          <w:lang w:val="sq-AL" w:eastAsia="zh-CN"/>
        </w:rPr>
        <w:t>）。</w:t>
      </w:r>
    </w:p>
    <w:p w14:paraId="19313E9B">
      <w:pPr>
        <w:pStyle w:val="16"/>
        <w:numPr>
          <w:ilvl w:val="0"/>
          <w:numId w:val="9"/>
        </w:numPr>
        <w:bidi w:val="0"/>
        <w:rPr>
          <w:rFonts w:hint="eastAsia"/>
          <w:color w:val="auto"/>
          <w:lang w:val="sq-AL" w:eastAsia="zh-CN"/>
        </w:rPr>
      </w:pPr>
      <w:r>
        <w:rPr>
          <w:rFonts w:hint="eastAsia"/>
          <w:color w:val="auto"/>
          <w:lang w:val="sq-AL" w:eastAsia="zh-CN"/>
        </w:rPr>
        <w:t>《安全生产许可证》（</w:t>
      </w:r>
      <w:r>
        <w:rPr>
          <w:rFonts w:hint="eastAsia"/>
          <w:color w:val="auto"/>
        </w:rPr>
        <w:t>（辽）FM安许证字〔</w:t>
      </w:r>
      <w:r>
        <w:rPr>
          <w:rFonts w:hint="eastAsia"/>
          <w:color w:val="auto"/>
          <w:lang w:val="en-US" w:eastAsia="zh-CN"/>
        </w:rPr>
        <w:t>2022</w:t>
      </w:r>
      <w:r>
        <w:rPr>
          <w:rFonts w:hint="eastAsia"/>
          <w:color w:val="auto"/>
        </w:rPr>
        <w:t>〕</w:t>
      </w:r>
      <w:r>
        <w:rPr>
          <w:rFonts w:hint="eastAsia"/>
          <w:color w:val="auto"/>
          <w:lang w:val="en-US" w:eastAsia="zh-CN"/>
        </w:rPr>
        <w:t>YC031090L</w:t>
      </w:r>
      <w:r>
        <w:rPr>
          <w:rFonts w:hint="eastAsia"/>
          <w:color w:val="auto"/>
          <w:lang w:val="sq-AL" w:eastAsia="zh-CN"/>
        </w:rPr>
        <w:t>，辽宁省应急管理厅，有效期：</w:t>
      </w:r>
      <w:r>
        <w:rPr>
          <w:rFonts w:hint="eastAsia"/>
          <w:color w:val="auto"/>
        </w:rPr>
        <w:t>202</w:t>
      </w:r>
      <w:r>
        <w:rPr>
          <w:rFonts w:hint="eastAsia"/>
          <w:color w:val="auto"/>
          <w:lang w:val="en-US" w:eastAsia="zh-CN"/>
        </w:rPr>
        <w:t>2</w:t>
      </w:r>
      <w:r>
        <w:rPr>
          <w:rFonts w:hint="eastAsia"/>
          <w:color w:val="auto"/>
        </w:rPr>
        <w:t>年</w:t>
      </w:r>
      <w:r>
        <w:rPr>
          <w:rFonts w:hint="eastAsia"/>
          <w:color w:val="auto"/>
          <w:lang w:val="en-US" w:eastAsia="zh-CN"/>
        </w:rPr>
        <w:t>10</w:t>
      </w:r>
      <w:r>
        <w:rPr>
          <w:rFonts w:hint="eastAsia"/>
          <w:color w:val="auto"/>
        </w:rPr>
        <w:t>月1</w:t>
      </w:r>
      <w:r>
        <w:rPr>
          <w:rFonts w:hint="eastAsia"/>
          <w:color w:val="auto"/>
          <w:lang w:val="en-US" w:eastAsia="zh-CN"/>
        </w:rPr>
        <w:t>9</w:t>
      </w:r>
      <w:r>
        <w:rPr>
          <w:rFonts w:hint="eastAsia"/>
          <w:color w:val="auto"/>
        </w:rPr>
        <w:t>日至202</w:t>
      </w:r>
      <w:r>
        <w:rPr>
          <w:rFonts w:hint="eastAsia"/>
          <w:color w:val="auto"/>
          <w:lang w:val="en-US" w:eastAsia="zh-CN"/>
        </w:rPr>
        <w:t>5</w:t>
      </w:r>
      <w:r>
        <w:rPr>
          <w:rFonts w:hint="eastAsia"/>
          <w:color w:val="auto"/>
        </w:rPr>
        <w:t>年</w:t>
      </w:r>
      <w:r>
        <w:rPr>
          <w:rFonts w:hint="eastAsia"/>
          <w:color w:val="auto"/>
          <w:lang w:val="en-US" w:eastAsia="zh-CN"/>
        </w:rPr>
        <w:t>10</w:t>
      </w:r>
      <w:r>
        <w:rPr>
          <w:rFonts w:hint="eastAsia"/>
          <w:color w:val="auto"/>
        </w:rPr>
        <w:t>月</w:t>
      </w:r>
      <w:r>
        <w:rPr>
          <w:rFonts w:hint="eastAsia"/>
          <w:color w:val="auto"/>
          <w:lang w:val="en-US" w:eastAsia="zh-CN"/>
        </w:rPr>
        <w:t>18</w:t>
      </w:r>
      <w:r>
        <w:rPr>
          <w:rFonts w:hint="eastAsia"/>
          <w:color w:val="auto"/>
        </w:rPr>
        <w:t>日</w:t>
      </w:r>
      <w:r>
        <w:rPr>
          <w:rFonts w:hint="eastAsia"/>
          <w:color w:val="auto"/>
          <w:lang w:val="sq-AL" w:eastAsia="zh-CN"/>
        </w:rPr>
        <w:t>）。</w:t>
      </w:r>
    </w:p>
    <w:p w14:paraId="0FEFF4C7">
      <w:pPr>
        <w:pStyle w:val="24"/>
        <w:bidi w:val="0"/>
        <w:rPr>
          <w:rFonts w:hint="default"/>
          <w:color w:val="auto"/>
          <w:lang w:val="en-US" w:eastAsia="zh-CN"/>
        </w:rPr>
      </w:pPr>
      <w:r>
        <w:rPr>
          <w:rFonts w:hint="default"/>
          <w:color w:val="auto"/>
          <w:lang w:val="en-US" w:eastAsia="zh-CN"/>
        </w:rPr>
        <w:t>其他依据</w:t>
      </w:r>
    </w:p>
    <w:p w14:paraId="0B47AA1E">
      <w:pPr>
        <w:pStyle w:val="16"/>
        <w:numPr>
          <w:ilvl w:val="0"/>
          <w:numId w:val="10"/>
        </w:numPr>
        <w:bidi w:val="0"/>
        <w:rPr>
          <w:rFonts w:hint="default"/>
          <w:color w:val="auto"/>
          <w:lang w:val="en-US" w:eastAsia="zh-CN"/>
        </w:rPr>
      </w:pPr>
      <w:r>
        <w:rPr>
          <w:rFonts w:hint="eastAsia"/>
          <w:color w:val="auto"/>
          <w:lang w:val="en-US" w:eastAsia="zh-CN"/>
        </w:rPr>
        <w:t>2015年10月，沈阳一方正和工程技术咨询有限公司编制的《鞍山东盛源矿业有限公司（大理岩矿）露天开采建设项目补充设计》。</w:t>
      </w:r>
    </w:p>
    <w:p w14:paraId="311F5EEC">
      <w:pPr>
        <w:pStyle w:val="23"/>
        <w:bidi w:val="0"/>
        <w:rPr>
          <w:rFonts w:hint="default"/>
          <w:color w:val="auto"/>
          <w:lang w:val="en-US" w:eastAsia="zh-CN"/>
        </w:rPr>
      </w:pPr>
      <w:bookmarkStart w:id="7" w:name="_Toc8381"/>
      <w:r>
        <w:rPr>
          <w:rFonts w:hint="default"/>
          <w:color w:val="auto"/>
          <w:lang w:val="en-US" w:eastAsia="zh-CN"/>
        </w:rPr>
        <w:t>安全现状评价范围</w:t>
      </w:r>
      <w:bookmarkEnd w:id="7"/>
    </w:p>
    <w:p w14:paraId="58860B66">
      <w:pPr>
        <w:pStyle w:val="16"/>
        <w:bidi w:val="0"/>
        <w:rPr>
          <w:rFonts w:hint="default"/>
          <w:color w:val="auto"/>
          <w:lang w:val="en-US" w:eastAsia="zh-CN"/>
        </w:rPr>
      </w:pPr>
      <w:r>
        <w:rPr>
          <w:rFonts w:hint="default"/>
          <w:color w:val="auto"/>
          <w:lang w:val="en-US" w:eastAsia="zh-CN"/>
        </w:rPr>
        <w:t>安全现状评价范围是根据矿区范围和设计范围和实际开采现状确定：</w:t>
      </w:r>
    </w:p>
    <w:p w14:paraId="5F2DACEB">
      <w:pPr>
        <w:pStyle w:val="16"/>
        <w:numPr>
          <w:ilvl w:val="0"/>
          <w:numId w:val="11"/>
        </w:numPr>
        <w:bidi w:val="0"/>
        <w:rPr>
          <w:color w:val="auto"/>
        </w:rPr>
      </w:pPr>
      <w:r>
        <w:rPr>
          <w:rFonts w:hint="eastAsia"/>
          <w:color w:val="auto"/>
        </w:rPr>
        <w:t>矿区范围</w:t>
      </w:r>
    </w:p>
    <w:p w14:paraId="58141D84">
      <w:pPr>
        <w:pStyle w:val="16"/>
        <w:bidi w:val="0"/>
        <w:rPr>
          <w:rFonts w:hint="eastAsia"/>
          <w:color w:val="auto"/>
        </w:rPr>
      </w:pPr>
      <w:r>
        <w:rPr>
          <w:rFonts w:hint="eastAsia"/>
          <w:color w:val="auto"/>
        </w:rPr>
        <w:t>根据《采矿许可证》（证号：</w:t>
      </w:r>
      <w:r>
        <w:rPr>
          <w:rFonts w:hint="eastAsia"/>
          <w:color w:val="auto"/>
          <w:lang w:eastAsia="zh-CN"/>
        </w:rPr>
        <w:t>XXXXXXXXXXXXX</w:t>
      </w:r>
      <w:r>
        <w:rPr>
          <w:rFonts w:hint="eastAsia"/>
          <w:color w:val="auto"/>
        </w:rPr>
        <w:t>；发证机关：</w:t>
      </w:r>
      <w:r>
        <w:rPr>
          <w:rFonts w:hint="eastAsia"/>
          <w:color w:val="auto"/>
          <w:lang w:val="en-US" w:eastAsia="zh-CN"/>
        </w:rPr>
        <w:t>鞍山市行政审批局</w:t>
      </w:r>
      <w:r>
        <w:rPr>
          <w:rFonts w:hint="eastAsia"/>
          <w:color w:val="auto"/>
        </w:rPr>
        <w:t>；有效期：</w:t>
      </w:r>
      <w:r>
        <w:rPr>
          <w:rFonts w:hint="eastAsia"/>
          <w:color w:val="auto"/>
          <w:lang w:val="en-US" w:eastAsia="zh-CN"/>
        </w:rPr>
        <w:t>2020</w:t>
      </w:r>
      <w:r>
        <w:rPr>
          <w:rFonts w:hint="eastAsia"/>
          <w:color w:val="auto"/>
        </w:rPr>
        <w:t>年</w:t>
      </w:r>
      <w:r>
        <w:rPr>
          <w:rFonts w:hint="eastAsia"/>
          <w:color w:val="auto"/>
          <w:lang w:val="en-US" w:eastAsia="zh-CN"/>
        </w:rPr>
        <w:t>4</w:t>
      </w:r>
      <w:r>
        <w:rPr>
          <w:rFonts w:hint="eastAsia"/>
          <w:color w:val="auto"/>
        </w:rPr>
        <w:t>月</w:t>
      </w:r>
      <w:r>
        <w:rPr>
          <w:rFonts w:hint="eastAsia"/>
          <w:color w:val="auto"/>
          <w:lang w:val="en-US" w:eastAsia="zh-CN"/>
        </w:rPr>
        <w:t>24</w:t>
      </w:r>
      <w:r>
        <w:rPr>
          <w:rFonts w:hint="eastAsia"/>
          <w:color w:val="auto"/>
        </w:rPr>
        <w:t>日至</w:t>
      </w:r>
      <w:r>
        <w:rPr>
          <w:rFonts w:hint="eastAsia"/>
          <w:color w:val="auto"/>
          <w:lang w:val="en-US" w:eastAsia="zh-CN"/>
        </w:rPr>
        <w:t>2032</w:t>
      </w:r>
      <w:r>
        <w:rPr>
          <w:rFonts w:hint="eastAsia"/>
          <w:color w:val="auto"/>
        </w:rPr>
        <w:t>年</w:t>
      </w:r>
      <w:r>
        <w:rPr>
          <w:rFonts w:hint="eastAsia"/>
          <w:color w:val="auto"/>
          <w:lang w:val="en-US" w:eastAsia="zh-CN"/>
        </w:rPr>
        <w:t>5</w:t>
      </w:r>
      <w:r>
        <w:rPr>
          <w:rFonts w:hint="eastAsia"/>
          <w:color w:val="auto"/>
        </w:rPr>
        <w:t>月</w:t>
      </w:r>
      <w:r>
        <w:rPr>
          <w:rFonts w:hint="eastAsia"/>
          <w:color w:val="auto"/>
          <w:lang w:val="en-US" w:eastAsia="zh-CN"/>
        </w:rPr>
        <w:t>24</w:t>
      </w:r>
      <w:r>
        <w:rPr>
          <w:rFonts w:hint="eastAsia"/>
          <w:color w:val="auto"/>
        </w:rPr>
        <w:t>日）</w:t>
      </w:r>
      <w:r>
        <w:rPr>
          <w:rFonts w:hint="eastAsia"/>
          <w:color w:val="auto"/>
          <w:lang w:eastAsia="zh-CN"/>
        </w:rPr>
        <w:t>，</w:t>
      </w:r>
      <w:r>
        <w:rPr>
          <w:rFonts w:hint="eastAsia"/>
          <w:color w:val="auto"/>
        </w:rPr>
        <w:t>鞍山东盛源矿业有限公司具体矿区范围拐点坐标及</w:t>
      </w:r>
      <w:r>
        <w:rPr>
          <w:rFonts w:hint="eastAsia"/>
          <w:color w:val="auto"/>
          <w:lang w:val="en-US" w:eastAsia="zh-CN"/>
        </w:rPr>
        <w:t>开采</w:t>
      </w:r>
      <w:r>
        <w:rPr>
          <w:rFonts w:hint="eastAsia"/>
          <w:color w:val="auto"/>
        </w:rPr>
        <w:t>标高详见表1.3-1。</w:t>
      </w:r>
    </w:p>
    <w:p w14:paraId="472344C0">
      <w:pPr>
        <w:pStyle w:val="25"/>
        <w:bidi w:val="0"/>
        <w:rPr>
          <w:rFonts w:hint="eastAsia"/>
          <w:color w:val="auto"/>
          <w:lang w:val="en-US" w:eastAsia="zh-CN"/>
        </w:rPr>
      </w:pPr>
      <w:r>
        <w:rPr>
          <w:rFonts w:hint="eastAsia"/>
          <w:color w:val="auto"/>
          <w:lang w:val="en-US" w:eastAsia="zh-CN"/>
        </w:rPr>
        <w:t>表1.3-1  《采矿许可证》矿区范围拐点坐标表</w:t>
      </w:r>
    </w:p>
    <w:p w14:paraId="3C9BC697">
      <w:pPr>
        <w:pStyle w:val="25"/>
        <w:bidi w:val="0"/>
        <w:rPr>
          <w:rFonts w:hint="default"/>
          <w:color w:val="auto"/>
          <w:lang w:val="en-US" w:eastAsia="zh-CN"/>
        </w:rPr>
      </w:pPr>
    </w:p>
    <w:p w14:paraId="58F3AF2E">
      <w:pPr>
        <w:pStyle w:val="16"/>
        <w:numPr>
          <w:ilvl w:val="0"/>
          <w:numId w:val="11"/>
        </w:numPr>
        <w:bidi w:val="0"/>
        <w:rPr>
          <w:rFonts w:hint="eastAsia"/>
          <w:color w:val="auto"/>
        </w:rPr>
      </w:pPr>
      <w:r>
        <w:rPr>
          <w:rFonts w:hint="eastAsia"/>
          <w:color w:val="auto"/>
        </w:rPr>
        <w:t>设计范围</w:t>
      </w:r>
    </w:p>
    <w:p w14:paraId="2A687F1F">
      <w:pPr>
        <w:pStyle w:val="16"/>
        <w:bidi w:val="0"/>
        <w:rPr>
          <w:rFonts w:hint="eastAsia"/>
          <w:color w:val="auto"/>
        </w:rPr>
      </w:pPr>
      <w:r>
        <w:rPr>
          <w:rFonts w:hint="eastAsia"/>
          <w:color w:val="auto"/>
          <w:lang w:val="en-US" w:eastAsia="zh-CN"/>
        </w:rPr>
        <w:t>依据</w:t>
      </w:r>
      <w:r>
        <w:rPr>
          <w:rFonts w:hint="eastAsia"/>
          <w:color w:val="auto"/>
        </w:rPr>
        <w:t>《露天开采建设项目补充设计》，鞍山东盛源矿业有限公司设计范围</w:t>
      </w:r>
      <w:r>
        <w:rPr>
          <w:rFonts w:hint="eastAsia"/>
          <w:color w:val="auto"/>
          <w:lang w:val="en-US" w:eastAsia="zh-CN"/>
        </w:rPr>
        <w:t>即为矿区范围，设计开采范围</w:t>
      </w:r>
      <w:r>
        <w:rPr>
          <w:rFonts w:hint="eastAsia"/>
          <w:color w:val="auto"/>
        </w:rPr>
        <w:t>拐点坐标及</w:t>
      </w:r>
      <w:r>
        <w:rPr>
          <w:rFonts w:hint="eastAsia"/>
          <w:color w:val="auto"/>
          <w:lang w:val="en-US" w:eastAsia="zh-CN"/>
        </w:rPr>
        <w:t>开采</w:t>
      </w:r>
      <w:r>
        <w:rPr>
          <w:rFonts w:hint="eastAsia"/>
          <w:color w:val="auto"/>
        </w:rPr>
        <w:t>标高详见表1.3-2。</w:t>
      </w:r>
    </w:p>
    <w:p w14:paraId="6375239D">
      <w:pPr>
        <w:pStyle w:val="25"/>
        <w:bidi w:val="0"/>
        <w:rPr>
          <w:rFonts w:hint="eastAsia"/>
          <w:color w:val="auto"/>
          <w:lang w:val="en-US" w:eastAsia="zh-CN"/>
        </w:rPr>
      </w:pPr>
      <w:r>
        <w:rPr>
          <w:rFonts w:hint="eastAsia"/>
          <w:color w:val="auto"/>
          <w:lang w:val="en-US" w:eastAsia="zh-CN"/>
        </w:rPr>
        <w:t>表1.3-2  设计开采范围拐点坐标表</w:t>
      </w:r>
    </w:p>
    <w:p w14:paraId="698A4BDE">
      <w:pPr>
        <w:pStyle w:val="25"/>
        <w:bidi w:val="0"/>
        <w:rPr>
          <w:rFonts w:hint="default"/>
          <w:color w:val="auto"/>
          <w:lang w:val="en-US" w:eastAsia="zh-CN"/>
        </w:rPr>
      </w:pPr>
    </w:p>
    <w:p w14:paraId="2FDA517C">
      <w:pPr>
        <w:pStyle w:val="16"/>
        <w:bidi w:val="0"/>
        <w:rPr>
          <w:rFonts w:hint="default"/>
          <w:color w:val="auto"/>
          <w:lang w:val="en-US" w:eastAsia="zh-CN"/>
        </w:rPr>
      </w:pPr>
      <w:r>
        <w:rPr>
          <w:rFonts w:hint="default"/>
          <w:color w:val="auto"/>
          <w:lang w:val="en-US" w:eastAsia="zh-CN"/>
        </w:rPr>
        <w:t>（3）评价范围</w:t>
      </w:r>
    </w:p>
    <w:p w14:paraId="4C0B4FCF">
      <w:pPr>
        <w:pStyle w:val="16"/>
        <w:bidi w:val="0"/>
        <w:rPr>
          <w:rFonts w:hint="default"/>
          <w:color w:val="auto"/>
          <w:lang w:val="en-US" w:eastAsia="zh-CN"/>
        </w:rPr>
      </w:pPr>
      <w:r>
        <w:rPr>
          <w:rFonts w:hint="default"/>
          <w:color w:val="auto"/>
          <w:lang w:val="en-US" w:eastAsia="zh-CN"/>
        </w:rPr>
        <w:t>评价范围分为具体的安全设施范围和空间范围（现状实际的底标高）：</w:t>
      </w:r>
    </w:p>
    <w:p w14:paraId="2157AE86">
      <w:pPr>
        <w:pStyle w:val="16"/>
        <w:bidi w:val="0"/>
        <w:rPr>
          <w:color w:val="auto"/>
        </w:rPr>
      </w:pPr>
      <w:r>
        <w:rPr>
          <w:rFonts w:hint="eastAsia"/>
          <w:color w:val="auto"/>
        </w:rPr>
        <w:t>1）本次安全评价具体范围内：露天采场、穿孔爆破、采场防排水系统、矿岩运输系统、供配电、总平面布置、通信系统、个人安全防护、安全标志、安全管理等安全设施。</w:t>
      </w:r>
    </w:p>
    <w:p w14:paraId="6E62CE86">
      <w:pPr>
        <w:pStyle w:val="16"/>
        <w:bidi w:val="0"/>
        <w:rPr>
          <w:color w:val="auto"/>
        </w:rPr>
      </w:pPr>
      <w:r>
        <w:rPr>
          <w:rFonts w:hint="eastAsia"/>
          <w:color w:val="auto"/>
        </w:rPr>
        <w:t>2）本次安全评价不包括爆破器材的购买、运输、贮存、清退，不包括破碎系统以及油类存储，只评价露天爆破作业安全可靠性。</w:t>
      </w:r>
    </w:p>
    <w:p w14:paraId="33F48CA6">
      <w:pPr>
        <w:pStyle w:val="16"/>
        <w:bidi w:val="0"/>
        <w:rPr>
          <w:rFonts w:hint="eastAsia"/>
          <w:color w:val="auto"/>
        </w:rPr>
      </w:pPr>
      <w:r>
        <w:rPr>
          <w:rFonts w:hint="eastAsia"/>
          <w:color w:val="auto"/>
        </w:rPr>
        <w:t>3）《安全设施设计》明确不设排土场,故不对排土场进行评价。</w:t>
      </w:r>
    </w:p>
    <w:p w14:paraId="1A5B970C">
      <w:pPr>
        <w:pStyle w:val="16"/>
        <w:bidi w:val="0"/>
        <w:rPr>
          <w:rFonts w:hint="eastAsia"/>
          <w:color w:val="auto"/>
        </w:rPr>
      </w:pPr>
      <w:r>
        <w:rPr>
          <w:rFonts w:hint="eastAsia"/>
          <w:color w:val="auto"/>
        </w:rPr>
        <w:t>4）根据采矿许可证副本提供的矿界范围及《安全设施设计》划定的设计开采范围共同圈定，本次评价的具体空间范围拐点坐标及标高如下表1.3-3。</w:t>
      </w:r>
    </w:p>
    <w:p w14:paraId="3EE0A8D8">
      <w:pPr>
        <w:pStyle w:val="25"/>
        <w:bidi w:val="0"/>
        <w:rPr>
          <w:rFonts w:hint="eastAsia"/>
          <w:color w:val="auto"/>
        </w:rPr>
      </w:pPr>
      <w:r>
        <w:rPr>
          <w:rFonts w:hint="eastAsia"/>
          <w:color w:val="auto"/>
          <w:lang w:val="en-US" w:eastAsia="zh-CN"/>
        </w:rPr>
        <w:t>表1.3-</w:t>
      </w:r>
      <w:r>
        <w:rPr>
          <w:rStyle w:val="29"/>
          <w:rFonts w:hint="eastAsia"/>
          <w:b/>
          <w:bCs/>
          <w:color w:val="auto"/>
          <w:lang w:val="en-US" w:eastAsia="zh-CN"/>
        </w:rPr>
        <w:t>3</w:t>
      </w:r>
      <w:r>
        <w:rPr>
          <w:rFonts w:hint="eastAsia"/>
          <w:color w:val="auto"/>
          <w:lang w:val="en-US" w:eastAsia="zh-CN"/>
        </w:rPr>
        <w:t xml:space="preserve">  评价范围拐点坐标表</w:t>
      </w:r>
    </w:p>
    <w:p w14:paraId="0AAA5322">
      <w:pPr>
        <w:pStyle w:val="25"/>
        <w:bidi w:val="0"/>
        <w:rPr>
          <w:rFonts w:hint="default"/>
          <w:color w:val="auto"/>
          <w:lang w:val="en-US" w:eastAsia="zh-CN"/>
        </w:rPr>
      </w:pPr>
    </w:p>
    <w:p w14:paraId="3DFED1E1">
      <w:pPr>
        <w:pStyle w:val="23"/>
        <w:bidi w:val="0"/>
        <w:rPr>
          <w:rFonts w:hint="default"/>
          <w:color w:val="auto"/>
          <w:lang w:val="en-US" w:eastAsia="zh-CN"/>
        </w:rPr>
      </w:pPr>
      <w:bookmarkStart w:id="8" w:name="_Toc18838"/>
      <w:r>
        <w:rPr>
          <w:rFonts w:hint="default"/>
          <w:color w:val="auto"/>
          <w:lang w:val="en-US" w:eastAsia="zh-CN"/>
        </w:rPr>
        <w:t>安全现状评价程序</w:t>
      </w:r>
      <w:bookmarkEnd w:id="8"/>
    </w:p>
    <w:p w14:paraId="3A56C132">
      <w:pPr>
        <w:pStyle w:val="16"/>
        <w:bidi w:val="0"/>
        <w:rPr>
          <w:rFonts w:hint="eastAsia"/>
          <w:color w:val="auto"/>
          <w:lang w:val="en-US" w:eastAsia="zh-CN"/>
        </w:rPr>
      </w:pPr>
      <w:r>
        <w:rPr>
          <w:rFonts w:hint="default"/>
          <w:color w:val="auto"/>
          <w:lang w:val="en-US" w:eastAsia="zh-CN"/>
        </w:rPr>
        <w:t>本次安全现状评价的程序主要</w:t>
      </w:r>
      <w:r>
        <w:rPr>
          <w:rFonts w:hint="eastAsia"/>
          <w:color w:val="auto"/>
          <w:lang w:val="en-US" w:eastAsia="zh-CN"/>
        </w:rPr>
        <w:t>包括：</w:t>
      </w:r>
      <w:r>
        <w:rPr>
          <w:rFonts w:hint="default"/>
          <w:color w:val="auto"/>
          <w:lang w:val="en-US" w:eastAsia="zh-CN"/>
        </w:rPr>
        <w:t>前期准备</w:t>
      </w:r>
      <w:r>
        <w:rPr>
          <w:rFonts w:hint="eastAsia"/>
          <w:color w:val="auto"/>
          <w:lang w:val="en-US" w:eastAsia="zh-CN"/>
        </w:rPr>
        <w:t>；</w:t>
      </w:r>
      <w:r>
        <w:rPr>
          <w:rFonts w:hint="default"/>
          <w:color w:val="auto"/>
          <w:lang w:val="en-US" w:eastAsia="zh-CN"/>
        </w:rPr>
        <w:t>危险、有害因素辨识与分析</w:t>
      </w:r>
      <w:r>
        <w:rPr>
          <w:rFonts w:hint="eastAsia"/>
          <w:color w:val="auto"/>
          <w:lang w:val="en-US" w:eastAsia="zh-CN"/>
        </w:rPr>
        <w:t>；</w:t>
      </w:r>
      <w:r>
        <w:rPr>
          <w:rFonts w:hint="default"/>
          <w:color w:val="auto"/>
          <w:lang w:val="en-US" w:eastAsia="zh-CN"/>
        </w:rPr>
        <w:t>划分评价单元，选择评价方法</w:t>
      </w:r>
      <w:r>
        <w:rPr>
          <w:rFonts w:hint="eastAsia"/>
          <w:color w:val="auto"/>
          <w:lang w:val="en-US" w:eastAsia="zh-CN"/>
        </w:rPr>
        <w:t>；</w:t>
      </w:r>
      <w:r>
        <w:rPr>
          <w:rFonts w:hint="default"/>
          <w:color w:val="auto"/>
          <w:lang w:val="en-US" w:eastAsia="zh-CN"/>
        </w:rPr>
        <w:t>进行定性、定量评价</w:t>
      </w:r>
      <w:r>
        <w:rPr>
          <w:rFonts w:hint="eastAsia"/>
          <w:color w:val="auto"/>
          <w:lang w:val="en-US" w:eastAsia="zh-CN"/>
        </w:rPr>
        <w:t>；</w:t>
      </w:r>
      <w:r>
        <w:rPr>
          <w:rFonts w:hint="default"/>
          <w:color w:val="auto"/>
          <w:lang w:val="en-US" w:eastAsia="zh-CN"/>
        </w:rPr>
        <w:t>提出相应安全对策措施</w:t>
      </w:r>
      <w:r>
        <w:rPr>
          <w:rFonts w:hint="eastAsia"/>
          <w:color w:val="auto"/>
          <w:lang w:val="en-US" w:eastAsia="zh-CN"/>
        </w:rPr>
        <w:t>；</w:t>
      </w:r>
      <w:r>
        <w:rPr>
          <w:rFonts w:hint="default"/>
          <w:color w:val="auto"/>
          <w:lang w:val="en-US" w:eastAsia="zh-CN"/>
        </w:rPr>
        <w:t>确定评价结论并提出建议</w:t>
      </w:r>
      <w:r>
        <w:rPr>
          <w:rFonts w:hint="eastAsia"/>
          <w:color w:val="auto"/>
          <w:lang w:val="en-US" w:eastAsia="zh-CN"/>
        </w:rPr>
        <w:t>；</w:t>
      </w:r>
      <w:r>
        <w:rPr>
          <w:rFonts w:hint="default"/>
          <w:color w:val="auto"/>
          <w:lang w:val="en-US" w:eastAsia="zh-CN"/>
        </w:rPr>
        <w:t>编制安全现状评价报告。安全现状评价工作程序如图1.4-1所示</w:t>
      </w:r>
      <w:r>
        <w:rPr>
          <w:rFonts w:hint="eastAsia"/>
          <w:color w:val="auto"/>
          <w:lang w:val="en-US" w:eastAsia="zh-CN"/>
        </w:rPr>
        <w:t>：</w:t>
      </w:r>
    </w:p>
    <w:p w14:paraId="0DC12650">
      <w:pPr>
        <w:pStyle w:val="16"/>
        <w:bidi w:val="0"/>
        <w:rPr>
          <w:rFonts w:hint="default"/>
          <w:color w:val="auto"/>
          <w:lang w:val="en-US" w:eastAsia="zh-CN"/>
        </w:rPr>
      </w:pPr>
    </w:p>
    <w:p w14:paraId="062228AB">
      <w:pPr>
        <w:pStyle w:val="25"/>
        <w:bidi w:val="0"/>
        <w:rPr>
          <w:color w:val="auto"/>
        </w:rPr>
      </w:pPr>
      <w:r>
        <w:rPr>
          <w:color w:val="auto"/>
        </w:rPr>
        <mc:AlternateContent>
          <mc:Choice Requires="wpg">
            <w:drawing>
              <wp:inline distT="0" distB="0" distL="114300" distR="114300">
                <wp:extent cx="1790700" cy="3760470"/>
                <wp:effectExtent l="4445" t="5080" r="14605" b="6350"/>
                <wp:docPr id="14" name="组合 14"/>
                <wp:cNvGraphicFramePr/>
                <a:graphic xmlns:a="http://schemas.openxmlformats.org/drawingml/2006/main">
                  <a:graphicData uri="http://schemas.microsoft.com/office/word/2010/wordprocessingGroup">
                    <wpg:wgp>
                      <wpg:cNvGrpSpPr/>
                      <wpg:grpSpPr>
                        <a:xfrm>
                          <a:off x="2996565" y="3378835"/>
                          <a:ext cx="1790700" cy="3760470"/>
                          <a:chOff x="4041" y="2637"/>
                          <a:chExt cx="3075" cy="6066"/>
                        </a:xfrm>
                        <a:effectLst/>
                      </wpg:grpSpPr>
                      <wps:wsp>
                        <wps:cNvPr id="1" name="矩形 1"/>
                        <wps:cNvSpPr/>
                        <wps:spPr>
                          <a:xfrm>
                            <a:off x="4041" y="3573"/>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023D9F5">
                              <w:pPr>
                                <w:pStyle w:val="30"/>
                                <w:widowControl w:val="0"/>
                                <w:pBdr>
                                  <w:bottom w:val="none" w:color="auto" w:sz="0" w:space="0"/>
                                </w:pBdr>
                                <w:spacing w:line="276" w:lineRule="auto"/>
                              </w:pPr>
                              <w:r>
                                <w:rPr>
                                  <w:rFonts w:hint="eastAsia"/>
                                </w:rPr>
                                <w:t>辨识与分析危险、有害因素</w:t>
                              </w:r>
                            </w:p>
                            <w:p w14:paraId="1F5B11DA"/>
                          </w:txbxContent>
                        </wps:txbx>
                        <wps:bodyPr upright="1"/>
                      </wps:wsp>
                      <wps:wsp>
                        <wps:cNvPr id="2" name="矩形 2"/>
                        <wps:cNvSpPr/>
                        <wps:spPr>
                          <a:xfrm>
                            <a:off x="4041" y="6381"/>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3287BC2">
                              <w:pPr>
                                <w:pStyle w:val="30"/>
                                <w:widowControl w:val="0"/>
                                <w:pBdr>
                                  <w:bottom w:val="none" w:color="auto" w:sz="0" w:space="0"/>
                                </w:pBdr>
                                <w:spacing w:line="276" w:lineRule="auto"/>
                              </w:pPr>
                              <w:r>
                                <w:rPr>
                                  <w:rFonts w:hint="eastAsia"/>
                                </w:rPr>
                                <w:t>提出安全对策</w:t>
                              </w:r>
                              <w:r>
                                <w:rPr>
                                  <w:rFonts w:hint="eastAsia" w:ascii="Times New Roman" w:hAnsi="Times New Roman"/>
                                  <w:spacing w:val="4"/>
                                  <w:kern w:val="2"/>
                                </w:rPr>
                                <w:t>措施</w:t>
                              </w:r>
                              <w:r>
                                <w:rPr>
                                  <w:rFonts w:hint="eastAsia"/>
                                </w:rPr>
                                <w:t>建议</w:t>
                              </w:r>
                            </w:p>
                          </w:txbxContent>
                        </wps:txbx>
                        <wps:bodyPr upright="1"/>
                      </wps:wsp>
                      <wps:wsp>
                        <wps:cNvPr id="5" name="矩形 3"/>
                        <wps:cNvSpPr/>
                        <wps:spPr>
                          <a:xfrm>
                            <a:off x="4041" y="7317"/>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E42D753">
                              <w:pPr>
                                <w:pStyle w:val="30"/>
                                <w:widowControl w:val="0"/>
                                <w:pBdr>
                                  <w:bottom w:val="none" w:color="auto" w:sz="0" w:space="0"/>
                                </w:pBdr>
                                <w:spacing w:line="276" w:lineRule="auto"/>
                                <w:rPr>
                                  <w:spacing w:val="4"/>
                                </w:rPr>
                              </w:pPr>
                              <w:r>
                                <w:rPr>
                                  <w:rFonts w:hint="eastAsia"/>
                                  <w:spacing w:val="4"/>
                                </w:rPr>
                                <w:t>做出评价结论</w:t>
                              </w:r>
                            </w:p>
                          </w:txbxContent>
                        </wps:txbx>
                        <wps:bodyPr upright="1"/>
                      </wps:wsp>
                      <wps:wsp>
                        <wps:cNvPr id="6" name="矩形 4"/>
                        <wps:cNvSpPr/>
                        <wps:spPr>
                          <a:xfrm>
                            <a:off x="4041" y="8253"/>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DB7C2FF">
                              <w:pPr>
                                <w:pStyle w:val="30"/>
                                <w:widowControl w:val="0"/>
                                <w:pBdr>
                                  <w:bottom w:val="none" w:color="auto" w:sz="0" w:space="0"/>
                                </w:pBdr>
                                <w:spacing w:line="276" w:lineRule="auto"/>
                                <w:rPr>
                                  <w:spacing w:val="4"/>
                                </w:rPr>
                              </w:pPr>
                              <w:r>
                                <w:rPr>
                                  <w:rFonts w:hint="eastAsia"/>
                                  <w:spacing w:val="4"/>
                                </w:rPr>
                                <w:t>编制安全现状评价报告</w:t>
                              </w:r>
                            </w:p>
                          </w:txbxContent>
                        </wps:txbx>
                        <wps:bodyPr upright="1"/>
                      </wps:wsp>
                      <wps:wsp>
                        <wps:cNvPr id="7" name="矩形 5"/>
                        <wps:cNvSpPr/>
                        <wps:spPr>
                          <a:xfrm>
                            <a:off x="4041" y="2637"/>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72469D6">
                              <w:pPr>
                                <w:pStyle w:val="30"/>
                                <w:widowControl w:val="0"/>
                                <w:pBdr>
                                  <w:bottom w:val="none" w:color="auto" w:sz="0" w:space="0"/>
                                </w:pBdr>
                                <w:spacing w:line="276" w:lineRule="auto"/>
                                <w:rPr>
                                  <w:spacing w:val="4"/>
                                  <w:kern w:val="2"/>
                                </w:rPr>
                              </w:pPr>
                              <w:r>
                                <w:rPr>
                                  <w:rFonts w:hint="eastAsia"/>
                                  <w:spacing w:val="4"/>
                                  <w:kern w:val="2"/>
                                </w:rPr>
                                <w:t>前期准备</w:t>
                              </w:r>
                            </w:p>
                          </w:txbxContent>
                        </wps:txbx>
                        <wps:bodyPr upright="1"/>
                      </wps:wsp>
                      <wps:wsp>
                        <wps:cNvPr id="8" name="矩形 6"/>
                        <wps:cNvSpPr/>
                        <wps:spPr>
                          <a:xfrm>
                            <a:off x="4041" y="4509"/>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F8B935C">
                              <w:pPr>
                                <w:pStyle w:val="30"/>
                                <w:widowControl w:val="0"/>
                                <w:pBdr>
                                  <w:bottom w:val="none" w:color="auto" w:sz="0" w:space="0"/>
                                </w:pBdr>
                                <w:spacing w:line="276" w:lineRule="auto"/>
                                <w:rPr>
                                  <w:spacing w:val="4"/>
                                </w:rPr>
                              </w:pPr>
                              <w:r>
                                <w:rPr>
                                  <w:rFonts w:hint="eastAsia"/>
                                  <w:spacing w:val="4"/>
                                </w:rPr>
                                <w:t>划分评价</w:t>
                              </w:r>
                              <w:r>
                                <w:rPr>
                                  <w:rFonts w:hint="eastAsia" w:ascii="Times New Roman" w:hAnsi="Times New Roman"/>
                                  <w:spacing w:val="4"/>
                                  <w:kern w:val="2"/>
                                </w:rPr>
                                <w:t>单元</w:t>
                              </w:r>
                            </w:p>
                          </w:txbxContent>
                        </wps:txbx>
                        <wps:bodyPr upright="1"/>
                      </wps:wsp>
                      <wps:wsp>
                        <wps:cNvPr id="9" name="矩形 7"/>
                        <wps:cNvSpPr/>
                        <wps:spPr>
                          <a:xfrm>
                            <a:off x="4041" y="5445"/>
                            <a:ext cx="3075" cy="45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3C931CA9">
                              <w:pPr>
                                <w:pStyle w:val="30"/>
                                <w:widowControl w:val="0"/>
                                <w:pBdr>
                                  <w:bottom w:val="none" w:color="auto" w:sz="0" w:space="0"/>
                                </w:pBdr>
                                <w:spacing w:line="276" w:lineRule="auto"/>
                                <w:rPr>
                                  <w:spacing w:val="4"/>
                                </w:rPr>
                              </w:pPr>
                              <w:r>
                                <w:rPr>
                                  <w:rFonts w:hint="eastAsia"/>
                                  <w:spacing w:val="4"/>
                                </w:rPr>
                                <w:t>定性、定量评价</w:t>
                              </w:r>
                            </w:p>
                          </w:txbxContent>
                        </wps:txbx>
                        <wps:bodyPr upright="1"/>
                      </wps:wsp>
                      <wps:wsp>
                        <wps:cNvPr id="10" name="直接连接符 8"/>
                        <wps:cNvCnPr/>
                        <wps:spPr>
                          <a:xfrm>
                            <a:off x="5661" y="3105"/>
                            <a:ext cx="0" cy="468"/>
                          </a:xfrm>
                          <a:prstGeom prst="line">
                            <a:avLst/>
                          </a:prstGeom>
                          <a:ln w="9525" cap="flat" cmpd="sng">
                            <a:solidFill>
                              <a:srgbClr val="000000"/>
                            </a:solidFill>
                            <a:prstDash val="solid"/>
                            <a:headEnd type="none" w="med" len="med"/>
                            <a:tailEnd type="triangle" w="med" len="med"/>
                          </a:ln>
                          <a:effectLst/>
                        </wps:spPr>
                        <wps:bodyPr upright="1"/>
                      </wps:wsp>
                      <wps:wsp>
                        <wps:cNvPr id="11" name="直接连接符 9"/>
                        <wps:cNvCnPr/>
                        <wps:spPr>
                          <a:xfrm>
                            <a:off x="5661" y="4041"/>
                            <a:ext cx="0" cy="468"/>
                          </a:xfrm>
                          <a:prstGeom prst="line">
                            <a:avLst/>
                          </a:prstGeom>
                          <a:ln w="9525" cap="flat" cmpd="sng">
                            <a:solidFill>
                              <a:srgbClr val="000000"/>
                            </a:solidFill>
                            <a:prstDash val="solid"/>
                            <a:headEnd type="none" w="med" len="med"/>
                            <a:tailEnd type="triangle" w="med" len="med"/>
                          </a:ln>
                          <a:effectLst/>
                        </wps:spPr>
                        <wps:bodyPr upright="1"/>
                      </wps:wsp>
                      <wps:wsp>
                        <wps:cNvPr id="12" name="直接连接符 10"/>
                        <wps:cNvCnPr/>
                        <wps:spPr>
                          <a:xfrm>
                            <a:off x="5661" y="5913"/>
                            <a:ext cx="0" cy="468"/>
                          </a:xfrm>
                          <a:prstGeom prst="line">
                            <a:avLst/>
                          </a:prstGeom>
                          <a:ln w="9525" cap="flat" cmpd="sng">
                            <a:solidFill>
                              <a:srgbClr val="000000"/>
                            </a:solidFill>
                            <a:prstDash val="solid"/>
                            <a:headEnd type="none" w="med" len="med"/>
                            <a:tailEnd type="triangle" w="med" len="med"/>
                          </a:ln>
                          <a:effectLst/>
                        </wps:spPr>
                        <wps:bodyPr upright="1"/>
                      </wps:wsp>
                      <wps:wsp>
                        <wps:cNvPr id="13" name="直接连接符 11"/>
                        <wps:cNvCnPr/>
                        <wps:spPr>
                          <a:xfrm>
                            <a:off x="5661" y="6849"/>
                            <a:ext cx="0" cy="468"/>
                          </a:xfrm>
                          <a:prstGeom prst="line">
                            <a:avLst/>
                          </a:prstGeom>
                          <a:ln w="9525" cap="flat" cmpd="sng">
                            <a:solidFill>
                              <a:srgbClr val="000000"/>
                            </a:solidFill>
                            <a:prstDash val="solid"/>
                            <a:headEnd type="none" w="med" len="med"/>
                            <a:tailEnd type="triangle" w="med" len="med"/>
                          </a:ln>
                          <a:effectLst/>
                        </wps:spPr>
                        <wps:bodyPr upright="1"/>
                      </wps:wsp>
                      <wps:wsp>
                        <wps:cNvPr id="15" name="直接连接符 12"/>
                        <wps:cNvCnPr/>
                        <wps:spPr>
                          <a:xfrm>
                            <a:off x="5661" y="7785"/>
                            <a:ext cx="0" cy="468"/>
                          </a:xfrm>
                          <a:prstGeom prst="line">
                            <a:avLst/>
                          </a:prstGeom>
                          <a:ln w="9525" cap="flat" cmpd="sng">
                            <a:solidFill>
                              <a:srgbClr val="000000"/>
                            </a:solidFill>
                            <a:prstDash val="solid"/>
                            <a:headEnd type="none" w="med" len="med"/>
                            <a:tailEnd type="triangle" w="med" len="med"/>
                          </a:ln>
                          <a:effectLst/>
                        </wps:spPr>
                        <wps:bodyPr upright="1"/>
                      </wps:wsp>
                      <wps:wsp>
                        <wps:cNvPr id="16" name="直接连接符 13"/>
                        <wps:cNvCnPr/>
                        <wps:spPr>
                          <a:xfrm>
                            <a:off x="5661" y="4977"/>
                            <a:ext cx="0" cy="468"/>
                          </a:xfrm>
                          <a:prstGeom prst="line">
                            <a:avLst/>
                          </a:prstGeom>
                          <a:ln w="9525" cap="flat" cmpd="sng">
                            <a:solidFill>
                              <a:srgbClr val="000000"/>
                            </a:solidFill>
                            <a:prstDash val="solid"/>
                            <a:headEnd type="none" w="med" len="med"/>
                            <a:tailEnd type="triangle" w="med" len="med"/>
                          </a:ln>
                          <a:effectLst/>
                        </wps:spPr>
                        <wps:bodyPr upright="1"/>
                      </wps:wsp>
                    </wpg:wgp>
                  </a:graphicData>
                </a:graphic>
              </wp:inline>
            </w:drawing>
          </mc:Choice>
          <mc:Fallback>
            <w:pict>
              <v:group id="_x0000_s1026" o:spid="_x0000_s1026" o:spt="203" style="height:296.1pt;width:141pt;" coordorigin="4041,2637" coordsize="3075,6066" o:gfxdata="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">
                <o:lock v:ext="edit" aspectratio="f"/>
                <v:rect id="_x0000_s1026" o:spid="_x0000_s1026" o:spt="1" style="position:absolute;left:4041;top:3573;height:450;width:3075;" fillcolor="#FFFFFF" filled="t" stroked="t" coordsize="21600,21600" o:gfxdata="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hgnEm5AAAA2g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14:paraId="7023D9F5">
                        <w:pPr>
                          <w:pStyle w:val="30"/>
                          <w:widowControl w:val="0"/>
                          <w:pBdr>
                            <w:bottom w:val="none" w:color="auto" w:sz="0" w:space="0"/>
                          </w:pBdr>
                          <w:spacing w:line="276" w:lineRule="auto"/>
                        </w:pPr>
                        <w:r>
                          <w:rPr>
                            <w:rFonts w:hint="eastAsia"/>
                          </w:rPr>
                          <w:t>辨识与分析危险、有害因素</w:t>
                        </w:r>
                      </w:p>
                      <w:p w14:paraId="1F5B11DA"/>
                    </w:txbxContent>
                  </v:textbox>
                </v:rect>
                <v:rect id="_x0000_s1026" o:spid="_x0000_s1026" o:spt="1" style="position:absolute;left:4041;top:6381;height:450;width:3075;" fillcolor="#FFFFFF" filled="t" stroked="t" coordsize="21600,21600" o:gfxdata="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sgI+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43287BC2">
                        <w:pPr>
                          <w:pStyle w:val="30"/>
                          <w:widowControl w:val="0"/>
                          <w:pBdr>
                            <w:bottom w:val="none" w:color="auto" w:sz="0" w:space="0"/>
                          </w:pBdr>
                          <w:spacing w:line="276" w:lineRule="auto"/>
                        </w:pPr>
                        <w:r>
                          <w:rPr>
                            <w:rFonts w:hint="eastAsia"/>
                          </w:rPr>
                          <w:t>提出安全对策</w:t>
                        </w:r>
                        <w:r>
                          <w:rPr>
                            <w:rFonts w:hint="eastAsia" w:ascii="Times New Roman" w:hAnsi="Times New Roman"/>
                            <w:spacing w:val="4"/>
                            <w:kern w:val="2"/>
                          </w:rPr>
                          <w:t>措施</w:t>
                        </w:r>
                        <w:r>
                          <w:rPr>
                            <w:rFonts w:hint="eastAsia"/>
                          </w:rPr>
                          <w:t>建议</w:t>
                        </w:r>
                      </w:p>
                    </w:txbxContent>
                  </v:textbox>
                </v:rect>
                <v:rect id="矩形 3" o:spid="_x0000_s1026" o:spt="1" style="position:absolute;left:4041;top:7317;height:450;width:3075;" fillcolor="#FFFFFF" filled="t" stroked="t" coordsize="21600,21600" o:gfxdata="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5pK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5E42D753">
                        <w:pPr>
                          <w:pStyle w:val="30"/>
                          <w:widowControl w:val="0"/>
                          <w:pBdr>
                            <w:bottom w:val="none" w:color="auto" w:sz="0" w:space="0"/>
                          </w:pBdr>
                          <w:spacing w:line="276" w:lineRule="auto"/>
                          <w:rPr>
                            <w:spacing w:val="4"/>
                          </w:rPr>
                        </w:pPr>
                        <w:r>
                          <w:rPr>
                            <w:rFonts w:hint="eastAsia"/>
                            <w:spacing w:val="4"/>
                          </w:rPr>
                          <w:t>做出评价结论</w:t>
                        </w:r>
                      </w:p>
                    </w:txbxContent>
                  </v:textbox>
                </v:rect>
                <v:rect id="矩形 4" o:spid="_x0000_s1026" o:spt="1" style="position:absolute;left:4041;top:8253;height:450;width:3075;" fillcolor="#FFFFFF" filled="t" stroked="t" coordsize="21600,21600" o:gfxdata="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4kE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4DB7C2FF">
                        <w:pPr>
                          <w:pStyle w:val="30"/>
                          <w:widowControl w:val="0"/>
                          <w:pBdr>
                            <w:bottom w:val="none" w:color="auto" w:sz="0" w:space="0"/>
                          </w:pBdr>
                          <w:spacing w:line="276" w:lineRule="auto"/>
                          <w:rPr>
                            <w:spacing w:val="4"/>
                          </w:rPr>
                        </w:pPr>
                        <w:r>
                          <w:rPr>
                            <w:rFonts w:hint="eastAsia"/>
                            <w:spacing w:val="4"/>
                          </w:rPr>
                          <w:t>编制安全现状评价报告</w:t>
                        </w:r>
                      </w:p>
                    </w:txbxContent>
                  </v:textbox>
                </v:rect>
                <v:rect id="矩形 5" o:spid="_x0000_s1026" o:spt="1" style="position:absolute;left:4041;top:2637;height:450;width:3075;" fillcolor="#FFFFFF" filled="t" stroked="t" coordsize="21600,21600" o:gfxdata="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aGm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14:paraId="672469D6">
                        <w:pPr>
                          <w:pStyle w:val="30"/>
                          <w:widowControl w:val="0"/>
                          <w:pBdr>
                            <w:bottom w:val="none" w:color="auto" w:sz="0" w:space="0"/>
                          </w:pBdr>
                          <w:spacing w:line="276" w:lineRule="auto"/>
                          <w:rPr>
                            <w:spacing w:val="4"/>
                            <w:kern w:val="2"/>
                          </w:rPr>
                        </w:pPr>
                        <w:r>
                          <w:rPr>
                            <w:rFonts w:hint="eastAsia"/>
                            <w:spacing w:val="4"/>
                            <w:kern w:val="2"/>
                          </w:rPr>
                          <w:t>前期准备</w:t>
                        </w:r>
                      </w:p>
                    </w:txbxContent>
                  </v:textbox>
                </v:rect>
                <v:rect id="矩形 6" o:spid="_x0000_s1026" o:spt="1" style="position:absolute;left:4041;top:4509;height:450;width:3075;" fillcolor="#FFFFFF" filled="t" stroked="t" coordsize="21600,21600" o:gfxdata="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laNdS5AAAA2g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14:paraId="3F8B935C">
                        <w:pPr>
                          <w:pStyle w:val="30"/>
                          <w:widowControl w:val="0"/>
                          <w:pBdr>
                            <w:bottom w:val="none" w:color="auto" w:sz="0" w:space="0"/>
                          </w:pBdr>
                          <w:spacing w:line="276" w:lineRule="auto"/>
                          <w:rPr>
                            <w:spacing w:val="4"/>
                          </w:rPr>
                        </w:pPr>
                        <w:r>
                          <w:rPr>
                            <w:rFonts w:hint="eastAsia"/>
                            <w:spacing w:val="4"/>
                          </w:rPr>
                          <w:t>划分评价</w:t>
                        </w:r>
                        <w:r>
                          <w:rPr>
                            <w:rFonts w:hint="eastAsia" w:ascii="Times New Roman" w:hAnsi="Times New Roman"/>
                            <w:spacing w:val="4"/>
                            <w:kern w:val="2"/>
                          </w:rPr>
                          <w:t>单元</w:t>
                        </w:r>
                      </w:p>
                    </w:txbxContent>
                  </v:textbox>
                </v:rect>
                <v:rect id="矩形 7" o:spid="_x0000_s1026" o:spt="1" style="position:absolute;left:4041;top:5445;height:450;width:3075;" fillcolor="#FFFFFF" filled="t" stroked="t" coordsize="21600,21600" o:gfxdata="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Wk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14:paraId="3C931CA9">
                        <w:pPr>
                          <w:pStyle w:val="30"/>
                          <w:widowControl w:val="0"/>
                          <w:pBdr>
                            <w:bottom w:val="none" w:color="auto" w:sz="0" w:space="0"/>
                          </w:pBdr>
                          <w:spacing w:line="276" w:lineRule="auto"/>
                          <w:rPr>
                            <w:spacing w:val="4"/>
                          </w:rPr>
                        </w:pPr>
                        <w:r>
                          <w:rPr>
                            <w:rFonts w:hint="eastAsia"/>
                            <w:spacing w:val="4"/>
                          </w:rPr>
                          <w:t>定性、定量评价</w:t>
                        </w:r>
                      </w:p>
                    </w:txbxContent>
                  </v:textbox>
                </v:rect>
                <v:line id="直接连接符 8" o:spid="_x0000_s1026" o:spt="20" style="position:absolute;left:5661;top:3105;height:468;width:0;" filled="f" stroked="t" coordsize="21600,21600" o:gfxdata="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mp/Ku/&#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直接连接符 9" o:spid="_x0000_s1026" o:spt="20" style="position:absolute;left:5661;top:4041;height:468;width:0;" filled="f" stroked="t" coordsize="21600,21600" o:gfxdata="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5VkwvQAA&#10;ANs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直接连接符 10" o:spid="_x0000_s1026" o:spt="20" style="position:absolute;left:5661;top:5913;height:468;width:0;" filled="f" stroked="t" coordsize="21600,21600" o:gfxdata="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jfHR7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line id="直接连接符 11" o:spid="_x0000_s1026" o:spt="20" style="position:absolute;left:5661;top:6849;height:468;width:0;" filled="f" stroked="t" coordsize="21600,21600" o:gfxdata="UEsDBAoAAAAAAIdO4kAAAAAAAAAAAAAAAAAEAAAAZHJzL1BLAwQUAAAACACHTuJAmXti3LwAAADb&#10;AAAADwAAAGRycy9kb3ducmV2LnhtbEVPS2vCQBC+F/oflil4q5soSE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7Yty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接连接符 12" o:spid="_x0000_s1026" o:spt="20" style="position:absolute;left:5661;top:7785;height:468;width:0;" filled="f" stroked="t" coordsize="21600,21600" o:gfxdata="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neXzO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直接连接符 13" o:spid="_x0000_s1026" o:spt="20" style="position:absolute;left:5661;top:4977;height:468;width:0;" filled="f" stroked="t" coordsize="21600,21600" o:gfxdata="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QzBR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w10:wrap type="none"/>
                <w10:anchorlock/>
              </v:group>
            </w:pict>
          </mc:Fallback>
        </mc:AlternateContent>
      </w:r>
    </w:p>
    <w:p w14:paraId="09665D77">
      <w:pPr>
        <w:pStyle w:val="25"/>
        <w:bidi w:val="0"/>
        <w:rPr>
          <w:rFonts w:hint="eastAsia"/>
          <w:color w:val="auto"/>
        </w:rPr>
      </w:pPr>
      <w:r>
        <w:rPr>
          <w:rFonts w:hint="eastAsia"/>
          <w:color w:val="auto"/>
        </w:rPr>
        <w:t>图1.4-1  安全现状评价程序框图</w:t>
      </w:r>
    </w:p>
    <w:p w14:paraId="71721436">
      <w:pPr>
        <w:pStyle w:val="16"/>
        <w:rPr>
          <w:color w:val="auto"/>
        </w:rPr>
      </w:pPr>
    </w:p>
    <w:p w14:paraId="7DAF836E">
      <w:pPr>
        <w:pStyle w:val="16"/>
        <w:rPr>
          <w:rFonts w:hint="eastAsia" w:eastAsia="宋体"/>
          <w:color w:val="auto"/>
          <w:lang w:val="en-US" w:eastAsia="zh-CN"/>
        </w:rPr>
        <w:sectPr>
          <w:headerReference r:id="rId3" w:type="default"/>
          <w:footerReference r:id="rId4" w:type="default"/>
          <w:pgSz w:w="11906" w:h="16838"/>
          <w:pgMar w:top="1417" w:right="1134" w:bottom="1134" w:left="1587" w:header="851" w:footer="992" w:gutter="0"/>
          <w:pgNumType w:fmt="decimal" w:start="1"/>
          <w:cols w:space="0" w:num="1"/>
          <w:rtlGutter w:val="0"/>
          <w:docGrid w:type="lines" w:linePitch="312" w:charSpace="0"/>
        </w:sectPr>
      </w:pPr>
    </w:p>
    <w:p w14:paraId="255708B8">
      <w:pPr>
        <w:pStyle w:val="22"/>
        <w:bidi w:val="0"/>
        <w:rPr>
          <w:color w:val="auto"/>
        </w:rPr>
      </w:pPr>
      <w:bookmarkStart w:id="9" w:name="_Toc4237"/>
      <w:r>
        <w:rPr>
          <w:rFonts w:hint="eastAsia"/>
          <w:color w:val="auto"/>
        </w:rPr>
        <w:t>矿山基本情况</w:t>
      </w:r>
      <w:bookmarkEnd w:id="9"/>
    </w:p>
    <w:p w14:paraId="22BE80B0">
      <w:pPr>
        <w:pStyle w:val="23"/>
        <w:bidi w:val="0"/>
        <w:rPr>
          <w:rFonts w:hint="default"/>
          <w:color w:val="auto"/>
          <w:lang w:val="en-US" w:eastAsia="zh-CN"/>
        </w:rPr>
      </w:pPr>
      <w:bookmarkStart w:id="10" w:name="_Toc23185"/>
      <w:r>
        <w:rPr>
          <w:rFonts w:hint="default"/>
          <w:color w:val="auto"/>
          <w:lang w:val="en-US" w:eastAsia="zh-CN"/>
        </w:rPr>
        <w:t>项目概况</w:t>
      </w:r>
      <w:bookmarkEnd w:id="10"/>
    </w:p>
    <w:p w14:paraId="0E5F63CA">
      <w:pPr>
        <w:pStyle w:val="24"/>
        <w:rPr>
          <w:rFonts w:hint="default"/>
          <w:color w:val="auto"/>
          <w:lang w:val="en-US" w:eastAsia="zh-CN"/>
        </w:rPr>
      </w:pPr>
      <w:r>
        <w:rPr>
          <w:rFonts w:hint="default"/>
          <w:color w:val="auto"/>
          <w:lang w:val="en-US" w:eastAsia="zh-CN"/>
        </w:rPr>
        <w:t>企业概况</w:t>
      </w:r>
    </w:p>
    <w:p w14:paraId="68F5596E">
      <w:pPr>
        <w:pStyle w:val="16"/>
        <w:bidi w:val="0"/>
        <w:rPr>
          <w:rFonts w:hint="eastAsia"/>
          <w:color w:val="auto"/>
        </w:rPr>
      </w:pPr>
      <w:r>
        <w:rPr>
          <w:rFonts w:hint="eastAsia"/>
          <w:color w:val="auto"/>
        </w:rPr>
        <w:t>名  称：鞍山东盛源矿业有限公司</w:t>
      </w:r>
    </w:p>
    <w:p w14:paraId="773E1EB4">
      <w:pPr>
        <w:pStyle w:val="16"/>
        <w:bidi w:val="0"/>
        <w:rPr>
          <w:color w:val="auto"/>
        </w:rPr>
      </w:pPr>
      <w:r>
        <w:rPr>
          <w:rFonts w:hint="eastAsia"/>
          <w:color w:val="auto"/>
        </w:rPr>
        <w:t>地  址：辽宁省</w:t>
      </w:r>
      <w:r>
        <w:rPr>
          <w:rFonts w:hint="eastAsia"/>
          <w:color w:val="auto"/>
          <w:lang w:val="en-US" w:eastAsia="zh-CN"/>
        </w:rPr>
        <w:t>鞍山市岫岩满族自治县偏岭镇包家堡村</w:t>
      </w:r>
    </w:p>
    <w:p w14:paraId="2A358A9E">
      <w:pPr>
        <w:pStyle w:val="16"/>
        <w:bidi w:val="0"/>
        <w:rPr>
          <w:rFonts w:hint="eastAsia"/>
          <w:color w:val="auto"/>
        </w:rPr>
      </w:pPr>
      <w:r>
        <w:rPr>
          <w:rFonts w:hint="eastAsia"/>
          <w:color w:val="auto"/>
        </w:rPr>
        <w:t>类  型：有限责任公司</w:t>
      </w:r>
    </w:p>
    <w:p w14:paraId="0728C92D">
      <w:pPr>
        <w:pStyle w:val="16"/>
        <w:bidi w:val="0"/>
        <w:rPr>
          <w:rFonts w:hint="eastAsia"/>
          <w:color w:val="auto"/>
        </w:rPr>
      </w:pPr>
      <w:r>
        <w:rPr>
          <w:rFonts w:hint="eastAsia"/>
          <w:color w:val="auto"/>
        </w:rPr>
        <w:t>法定代表人：</w:t>
      </w:r>
      <w:r>
        <w:rPr>
          <w:rFonts w:hint="eastAsia"/>
          <w:color w:val="auto"/>
          <w:lang w:val="en-US" w:eastAsia="zh-CN"/>
        </w:rPr>
        <w:t>夏玉东</w:t>
      </w:r>
    </w:p>
    <w:p w14:paraId="370CA71D">
      <w:pPr>
        <w:pStyle w:val="16"/>
        <w:bidi w:val="0"/>
        <w:rPr>
          <w:color w:val="auto"/>
        </w:rPr>
      </w:pPr>
      <w:r>
        <w:rPr>
          <w:rFonts w:hint="eastAsia"/>
          <w:color w:val="auto"/>
        </w:rPr>
        <w:t>营业执照统一社会信用代码：</w:t>
      </w:r>
      <w:r>
        <w:rPr>
          <w:rFonts w:hint="eastAsia"/>
          <w:color w:val="auto"/>
          <w:lang w:val="en-US" w:eastAsia="zh-CN"/>
        </w:rPr>
        <w:t>XXXXXXXXXXXXX</w:t>
      </w:r>
    </w:p>
    <w:p w14:paraId="6C33F161">
      <w:pPr>
        <w:pStyle w:val="16"/>
        <w:bidi w:val="0"/>
        <w:rPr>
          <w:rFonts w:hint="eastAsia" w:eastAsia="宋体"/>
          <w:color w:val="auto"/>
          <w:lang w:eastAsia="zh-CN"/>
        </w:rPr>
      </w:pPr>
      <w:r>
        <w:rPr>
          <w:rFonts w:hint="eastAsia"/>
          <w:color w:val="auto"/>
        </w:rPr>
        <w:t>采矿许可证号：</w:t>
      </w:r>
      <w:r>
        <w:rPr>
          <w:rFonts w:hint="eastAsia"/>
          <w:color w:val="auto"/>
          <w:lang w:eastAsia="zh-CN"/>
        </w:rPr>
        <w:t>XXXXXXXXXXXXX</w:t>
      </w:r>
    </w:p>
    <w:p w14:paraId="604A892B">
      <w:pPr>
        <w:pStyle w:val="16"/>
        <w:bidi w:val="0"/>
        <w:rPr>
          <w:rFonts w:hint="eastAsia"/>
          <w:color w:val="auto"/>
        </w:rPr>
      </w:pPr>
      <w:r>
        <w:rPr>
          <w:rFonts w:hint="eastAsia"/>
          <w:color w:val="auto"/>
        </w:rPr>
        <w:t>采矿证有效期：</w:t>
      </w:r>
      <w:r>
        <w:rPr>
          <w:rFonts w:hint="eastAsia"/>
          <w:color w:val="auto"/>
          <w:lang w:val="en-US" w:eastAsia="zh-CN"/>
        </w:rPr>
        <w:t>2020</w:t>
      </w:r>
      <w:r>
        <w:rPr>
          <w:rFonts w:hint="eastAsia"/>
          <w:color w:val="auto"/>
        </w:rPr>
        <w:t>年</w:t>
      </w:r>
      <w:r>
        <w:rPr>
          <w:rFonts w:hint="eastAsia"/>
          <w:color w:val="auto"/>
          <w:lang w:val="en-US" w:eastAsia="zh-CN"/>
        </w:rPr>
        <w:t>4</w:t>
      </w:r>
      <w:r>
        <w:rPr>
          <w:rFonts w:hint="eastAsia"/>
          <w:color w:val="auto"/>
        </w:rPr>
        <w:t>月</w:t>
      </w:r>
      <w:r>
        <w:rPr>
          <w:rFonts w:hint="eastAsia"/>
          <w:color w:val="auto"/>
          <w:lang w:val="en-US" w:eastAsia="zh-CN"/>
        </w:rPr>
        <w:t>24</w:t>
      </w:r>
      <w:r>
        <w:rPr>
          <w:rFonts w:hint="eastAsia"/>
          <w:color w:val="auto"/>
        </w:rPr>
        <w:t>日至</w:t>
      </w:r>
      <w:r>
        <w:rPr>
          <w:rFonts w:hint="eastAsia"/>
          <w:color w:val="auto"/>
          <w:lang w:val="en-US" w:eastAsia="zh-CN"/>
        </w:rPr>
        <w:t>2032</w:t>
      </w:r>
      <w:r>
        <w:rPr>
          <w:rFonts w:hint="eastAsia"/>
          <w:color w:val="auto"/>
        </w:rPr>
        <w:t>年</w:t>
      </w:r>
      <w:r>
        <w:rPr>
          <w:rFonts w:hint="eastAsia"/>
          <w:color w:val="auto"/>
          <w:lang w:val="en-US" w:eastAsia="zh-CN"/>
        </w:rPr>
        <w:t>5</w:t>
      </w:r>
      <w:r>
        <w:rPr>
          <w:rFonts w:hint="eastAsia"/>
          <w:color w:val="auto"/>
        </w:rPr>
        <w:t>月</w:t>
      </w:r>
      <w:r>
        <w:rPr>
          <w:rFonts w:hint="eastAsia"/>
          <w:color w:val="auto"/>
          <w:lang w:val="en-US" w:eastAsia="zh-CN"/>
        </w:rPr>
        <w:t>24</w:t>
      </w:r>
      <w:r>
        <w:rPr>
          <w:rFonts w:hint="eastAsia"/>
          <w:color w:val="auto"/>
        </w:rPr>
        <w:t>日</w:t>
      </w:r>
    </w:p>
    <w:p w14:paraId="08CDDDBE">
      <w:pPr>
        <w:pStyle w:val="16"/>
        <w:bidi w:val="0"/>
        <w:rPr>
          <w:color w:val="auto"/>
        </w:rPr>
      </w:pPr>
      <w:r>
        <w:rPr>
          <w:rFonts w:hint="eastAsia"/>
          <w:color w:val="auto"/>
        </w:rPr>
        <w:t>安全生产许可证编号：（辽）FM安许证字〔</w:t>
      </w:r>
      <w:r>
        <w:rPr>
          <w:rFonts w:hint="eastAsia"/>
          <w:color w:val="auto"/>
          <w:lang w:val="en-US" w:eastAsia="zh-CN"/>
        </w:rPr>
        <w:t>2022</w:t>
      </w:r>
      <w:r>
        <w:rPr>
          <w:rFonts w:hint="eastAsia"/>
          <w:color w:val="auto"/>
        </w:rPr>
        <w:t>〕</w:t>
      </w:r>
      <w:r>
        <w:rPr>
          <w:rFonts w:hint="eastAsia"/>
          <w:color w:val="auto"/>
          <w:lang w:val="en-US" w:eastAsia="zh-CN"/>
        </w:rPr>
        <w:t>YC031090L</w:t>
      </w:r>
    </w:p>
    <w:p w14:paraId="4C892A92">
      <w:pPr>
        <w:pStyle w:val="16"/>
        <w:bidi w:val="0"/>
        <w:rPr>
          <w:rFonts w:hint="eastAsia" w:eastAsia="宋体"/>
          <w:color w:val="auto"/>
          <w:lang w:eastAsia="zh-CN"/>
        </w:rPr>
      </w:pPr>
      <w:r>
        <w:rPr>
          <w:rFonts w:hint="eastAsia"/>
          <w:color w:val="auto"/>
        </w:rPr>
        <w:t>矿区开采矿种：</w:t>
      </w:r>
      <w:r>
        <w:rPr>
          <w:rFonts w:hint="eastAsia"/>
          <w:color w:val="auto"/>
          <w:lang w:val="en-US" w:eastAsia="zh-CN"/>
        </w:rPr>
        <w:t>大理岩</w:t>
      </w:r>
    </w:p>
    <w:p w14:paraId="69608A1B">
      <w:pPr>
        <w:pStyle w:val="16"/>
        <w:bidi w:val="0"/>
        <w:rPr>
          <w:color w:val="auto"/>
        </w:rPr>
      </w:pPr>
      <w:r>
        <w:rPr>
          <w:rFonts w:hint="eastAsia"/>
          <w:color w:val="auto"/>
        </w:rPr>
        <w:t>开采方式：露天开采</w:t>
      </w:r>
    </w:p>
    <w:p w14:paraId="3DEC3ECB">
      <w:pPr>
        <w:pStyle w:val="16"/>
        <w:bidi w:val="0"/>
        <w:rPr>
          <w:rFonts w:hint="eastAsia"/>
          <w:color w:val="auto"/>
        </w:rPr>
      </w:pPr>
      <w:r>
        <w:rPr>
          <w:rFonts w:hint="eastAsia"/>
          <w:color w:val="auto"/>
        </w:rPr>
        <w:t>矿区生产规模：</w:t>
      </w:r>
      <w:r>
        <w:rPr>
          <w:rFonts w:hint="eastAsia"/>
          <w:color w:val="auto"/>
          <w:lang w:val="en-US" w:eastAsia="zh-CN"/>
        </w:rPr>
        <w:t>5</w:t>
      </w:r>
      <w:r>
        <w:rPr>
          <w:rFonts w:hint="eastAsia"/>
          <w:color w:val="auto"/>
        </w:rPr>
        <w:t>万</w:t>
      </w:r>
      <w:r>
        <w:rPr>
          <w:rFonts w:hint="eastAsia"/>
          <w:color w:val="auto"/>
          <w:lang w:val="en-US" w:eastAsia="zh-CN"/>
        </w:rPr>
        <w:t>m</w:t>
      </w:r>
      <w:r>
        <w:rPr>
          <w:rFonts w:hint="default" w:ascii="Times New Roman" w:hAnsi="Times New Roman" w:cs="Times New Roman"/>
          <w:color w:val="auto"/>
          <w:lang w:val="en-US" w:eastAsia="zh-CN"/>
        </w:rPr>
        <w:t>³</w:t>
      </w:r>
      <w:r>
        <w:rPr>
          <w:rFonts w:hint="eastAsia"/>
          <w:color w:val="auto"/>
        </w:rPr>
        <w:t>/</w:t>
      </w:r>
      <w:r>
        <w:rPr>
          <w:rFonts w:hint="eastAsia"/>
          <w:color w:val="auto"/>
          <w:lang w:val="en-US" w:eastAsia="zh-CN"/>
        </w:rPr>
        <w:t>a</w:t>
      </w:r>
      <w:r>
        <w:rPr>
          <w:rFonts w:hint="eastAsia"/>
          <w:color w:val="auto"/>
        </w:rPr>
        <w:t>。</w:t>
      </w:r>
    </w:p>
    <w:p w14:paraId="0C1A3156">
      <w:pPr>
        <w:pStyle w:val="16"/>
        <w:bidi w:val="0"/>
        <w:rPr>
          <w:rFonts w:hint="eastAsia"/>
          <w:color w:val="auto"/>
          <w:lang w:val="en-US" w:eastAsia="zh-CN"/>
        </w:rPr>
      </w:pPr>
      <w:r>
        <w:rPr>
          <w:rFonts w:hint="eastAsia"/>
          <w:color w:val="auto"/>
          <w:lang w:val="en-US" w:eastAsia="zh-CN"/>
        </w:rPr>
        <w:t>2009年，</w:t>
      </w:r>
      <w:r>
        <w:rPr>
          <w:rFonts w:hint="eastAsia"/>
          <w:color w:val="auto"/>
        </w:rPr>
        <w:t>东盛源矿业</w:t>
      </w:r>
      <w:r>
        <w:rPr>
          <w:rFonts w:hint="eastAsia"/>
          <w:color w:val="auto"/>
          <w:lang w:val="en-US" w:eastAsia="zh-CN"/>
        </w:rPr>
        <w:t>委托鞍山冶金设计研究院有限责任公司编制</w:t>
      </w:r>
      <w:r>
        <w:rPr>
          <w:rFonts w:hint="eastAsia"/>
          <w:color w:val="auto"/>
        </w:rPr>
        <w:t>《岫岩满族自治县偏岭镇郭家堡村石米厂白云石大理岩开采设计》</w:t>
      </w:r>
      <w:r>
        <w:rPr>
          <w:rFonts w:hint="eastAsia"/>
          <w:color w:val="auto"/>
          <w:lang w:val="en-US" w:eastAsia="zh-CN"/>
        </w:rPr>
        <w:t>；2012</w:t>
      </w:r>
      <w:r>
        <w:rPr>
          <w:rFonts w:hint="eastAsia"/>
          <w:color w:val="auto"/>
        </w:rPr>
        <w:t>年</w:t>
      </w:r>
      <w:r>
        <w:rPr>
          <w:rFonts w:hint="eastAsia"/>
          <w:color w:val="auto"/>
          <w:lang w:val="en-US" w:eastAsia="zh-CN"/>
        </w:rPr>
        <w:t>8</w:t>
      </w:r>
      <w:r>
        <w:rPr>
          <w:rFonts w:hint="eastAsia"/>
          <w:color w:val="auto"/>
        </w:rPr>
        <w:t>月，东盛源矿业</w:t>
      </w:r>
      <w:r>
        <w:rPr>
          <w:rFonts w:hint="eastAsia"/>
          <w:color w:val="auto"/>
          <w:lang w:val="en-US" w:eastAsia="zh-CN"/>
        </w:rPr>
        <w:t>委托</w:t>
      </w:r>
      <w:r>
        <w:rPr>
          <w:rFonts w:hint="eastAsia"/>
          <w:color w:val="auto"/>
        </w:rPr>
        <w:t>岫岩满族自治县华玉源地质勘查有限公司</w:t>
      </w:r>
      <w:r>
        <w:rPr>
          <w:rFonts w:hint="eastAsia"/>
          <w:color w:val="auto"/>
          <w:lang w:val="en-US" w:eastAsia="zh-CN"/>
        </w:rPr>
        <w:t>编制提交</w:t>
      </w:r>
      <w:r>
        <w:rPr>
          <w:rFonts w:hint="eastAsia"/>
          <w:color w:val="auto"/>
        </w:rPr>
        <w:t>《辽宁省岫岩满族自治县偏岭镇郭家堡村矿区建筑石料用大理岩资源储量核实报告》</w:t>
      </w:r>
      <w:r>
        <w:rPr>
          <w:rFonts w:hint="eastAsia"/>
          <w:color w:val="auto"/>
          <w:lang w:eastAsia="zh-CN"/>
        </w:rPr>
        <w:t>，</w:t>
      </w:r>
      <w:r>
        <w:rPr>
          <w:rFonts w:hint="eastAsia"/>
          <w:color w:val="auto"/>
          <w:lang w:val="en-US" w:eastAsia="zh-CN"/>
        </w:rPr>
        <w:t>于2012年11月18日取得《评审意见书》</w:t>
      </w:r>
      <w:r>
        <w:rPr>
          <w:rFonts w:hint="eastAsia"/>
          <w:color w:val="auto"/>
        </w:rPr>
        <w:t>（辽储评（储）字〔</w:t>
      </w:r>
      <w:r>
        <w:rPr>
          <w:rFonts w:hint="eastAsia"/>
          <w:color w:val="auto"/>
          <w:lang w:val="en-US" w:eastAsia="zh-CN"/>
        </w:rPr>
        <w:t>2012</w:t>
      </w:r>
      <w:r>
        <w:rPr>
          <w:rFonts w:hint="eastAsia"/>
          <w:color w:val="auto"/>
        </w:rPr>
        <w:t>〕242号），</w:t>
      </w:r>
      <w:r>
        <w:rPr>
          <w:rFonts w:hint="eastAsia"/>
          <w:color w:val="auto"/>
          <w:lang w:val="en-US" w:eastAsia="zh-CN"/>
        </w:rPr>
        <w:t>并于2012年11月26日取得《评审备案证明》（辽国土资储备字</w:t>
      </w:r>
      <w:r>
        <w:rPr>
          <w:rFonts w:hint="eastAsia"/>
          <w:color w:val="auto"/>
        </w:rPr>
        <w:t>〔</w:t>
      </w:r>
      <w:r>
        <w:rPr>
          <w:rFonts w:hint="eastAsia"/>
          <w:color w:val="auto"/>
          <w:lang w:val="en-US" w:eastAsia="zh-CN"/>
        </w:rPr>
        <w:t>2012</w:t>
      </w:r>
      <w:r>
        <w:rPr>
          <w:rFonts w:hint="eastAsia"/>
          <w:color w:val="auto"/>
        </w:rPr>
        <w:t>〕</w:t>
      </w:r>
      <w:r>
        <w:rPr>
          <w:rFonts w:hint="eastAsia"/>
          <w:color w:val="auto"/>
          <w:lang w:val="en-US" w:eastAsia="zh-CN"/>
        </w:rPr>
        <w:t>292号）；2012年12月，委托鞍钢矿山附企设计研究所编制《岫岩满族自治县偏岭镇郭家卜村石米厂（大理岩矿）矿产资源开发利用方案》；2014年5月，岫岩满族自治县华玉源地质勘查有限公司编制</w:t>
      </w:r>
      <w:r>
        <w:rPr>
          <w:rFonts w:hint="eastAsia"/>
          <w:color w:val="auto"/>
        </w:rPr>
        <w:t>《鞍山东盛源矿业有限公司（大理岩矿）矿山地质环境保护与恢复治理方案》；</w:t>
      </w:r>
      <w:r>
        <w:rPr>
          <w:rFonts w:hint="eastAsia"/>
          <w:color w:val="auto"/>
          <w:lang w:val="en-US" w:eastAsia="zh-CN"/>
        </w:rPr>
        <w:t>2015年10月，委托沈阳一方正和工程技术咨询有限公司编制《鞍山东盛源矿业有限公司（大理岩矿）露天开采建设项目补充设计》。</w:t>
      </w:r>
    </w:p>
    <w:p w14:paraId="071002B8">
      <w:pPr>
        <w:pStyle w:val="24"/>
        <w:bidi w:val="0"/>
        <w:rPr>
          <w:rFonts w:hint="eastAsia"/>
          <w:color w:val="auto"/>
          <w:lang w:val="en-US" w:eastAsia="zh-CN"/>
        </w:rPr>
      </w:pPr>
      <w:r>
        <w:rPr>
          <w:rFonts w:hint="eastAsia"/>
          <w:color w:val="auto"/>
          <w:lang w:val="en-US" w:eastAsia="zh-CN"/>
        </w:rPr>
        <w:t>矿区位置及交通</w:t>
      </w:r>
    </w:p>
    <w:p w14:paraId="4EAF818F">
      <w:pPr>
        <w:pStyle w:val="16"/>
        <w:rPr>
          <w:rFonts w:hint="eastAsia"/>
          <w:color w:val="auto"/>
          <w:lang w:val="en-US" w:eastAsia="zh-CN"/>
        </w:rPr>
      </w:pPr>
      <w:r>
        <w:rPr>
          <w:rFonts w:hint="eastAsia"/>
          <w:color w:val="auto"/>
          <w:lang w:val="en-US" w:eastAsia="zh-CN"/>
        </w:rPr>
        <w:t>鞍山东盛源矿业有限公司位于岫岩县西北部，西至偏岭镇12km，南至岫岩县城35km，行政区划隶属于偏岭镇郭家堡村管辖。矿区至偏岭镇有乡村土路相通，偏岭镇与岫岩、海城有市级公路相连，交通较为便利，详见交通位置图。</w:t>
      </w:r>
    </w:p>
    <w:p w14:paraId="2B0537F2">
      <w:pPr>
        <w:pStyle w:val="16"/>
        <w:bidi w:val="0"/>
        <w:rPr>
          <w:rFonts w:hint="eastAsia"/>
          <w:color w:val="auto"/>
          <w:lang w:val="en-US" w:eastAsia="zh-CN"/>
        </w:rPr>
      </w:pPr>
      <w:r>
        <w:rPr>
          <w:rFonts w:hint="eastAsia"/>
          <w:color w:val="auto"/>
          <w:lang w:val="en-US" w:eastAsia="zh-CN"/>
        </w:rPr>
        <w:t>矿区地理坐标：东经</w:t>
      </w:r>
      <w:r>
        <w:rPr>
          <w:rFonts w:hint="default" w:ascii="Times New Roman" w:hAnsi="Times New Roman" w:cs="Times New Roman"/>
          <w:color w:val="auto"/>
          <w:lang w:val="en-US" w:eastAsia="zh-CN"/>
        </w:rPr>
        <w:t>：</w:t>
      </w:r>
      <w:r>
        <w:rPr>
          <w:rFonts w:hint="eastAsia" w:cs="Times New Roman"/>
          <w:color w:val="auto"/>
          <w:lang w:val="en-US" w:eastAsia="zh-CN"/>
        </w:rPr>
        <w:t>XXXXXXXXXX</w:t>
      </w:r>
      <w:r>
        <w:rPr>
          <w:rFonts w:hint="default" w:ascii="Times New Roman" w:hAnsi="Times New Roman" w:cs="Times New Roman"/>
          <w:color w:val="auto"/>
          <w:lang w:val="en-US" w:eastAsia="zh-CN"/>
        </w:rPr>
        <w:t>；</w:t>
      </w:r>
    </w:p>
    <w:p w14:paraId="44F78FBA">
      <w:pPr>
        <w:pStyle w:val="16"/>
        <w:bidi w:val="0"/>
        <w:rPr>
          <w:rFonts w:hint="eastAsia" w:ascii="Times New Roman" w:hAnsi="Times New Roman" w:cs="Times New Roman"/>
          <w:color w:val="auto"/>
          <w:lang w:val="en-US" w:eastAsia="zh-CN"/>
        </w:rPr>
      </w:pPr>
      <w:r>
        <w:rPr>
          <w:rFonts w:hint="eastAsia"/>
          <w:color w:val="auto"/>
          <w:lang w:val="en-US" w:eastAsia="zh-CN"/>
        </w:rPr>
        <w:tab/>
      </w:r>
      <w:r>
        <w:rPr>
          <w:rFonts w:hint="eastAsia"/>
          <w:color w:val="auto"/>
          <w:lang w:val="en-US" w:eastAsia="zh-CN"/>
        </w:rPr>
        <w:tab/>
      </w:r>
      <w:r>
        <w:rPr>
          <w:rFonts w:hint="eastAsia"/>
          <w:color w:val="auto"/>
          <w:lang w:val="en-US" w:eastAsia="zh-CN"/>
        </w:rPr>
        <w:tab/>
      </w:r>
      <w:r>
        <w:rPr>
          <w:rFonts w:hint="eastAsia"/>
          <w:color w:val="auto"/>
          <w:lang w:val="en-US" w:eastAsia="zh-CN"/>
        </w:rPr>
        <w:tab/>
      </w:r>
      <w:r>
        <w:rPr>
          <w:rFonts w:hint="eastAsia"/>
          <w:color w:val="auto"/>
          <w:lang w:val="en-US" w:eastAsia="zh-CN"/>
        </w:rPr>
        <w:tab/>
      </w:r>
      <w:r>
        <w:rPr>
          <w:rFonts w:hint="eastAsia"/>
          <w:color w:val="auto"/>
          <w:lang w:val="en-US" w:eastAsia="zh-CN"/>
        </w:rPr>
        <w:t>北纬：</w:t>
      </w:r>
      <w:r>
        <w:rPr>
          <w:rFonts w:hint="eastAsia" w:cs="Times New Roman"/>
          <w:color w:val="auto"/>
          <w:lang w:val="en-US" w:eastAsia="zh-CN"/>
        </w:rPr>
        <w:t>XXXXXXXXXXX</w:t>
      </w:r>
      <w:r>
        <w:rPr>
          <w:rFonts w:hint="eastAsia" w:ascii="Times New Roman" w:hAnsi="Times New Roman" w:cs="Times New Roman"/>
          <w:color w:val="auto"/>
          <w:lang w:val="en-US" w:eastAsia="zh-CN"/>
        </w:rPr>
        <w:t>；</w:t>
      </w:r>
    </w:p>
    <w:p w14:paraId="1EBB1431">
      <w:pPr>
        <w:pStyle w:val="25"/>
        <w:bidi w:val="0"/>
        <w:rPr>
          <w:color w:val="auto"/>
        </w:rPr>
      </w:pPr>
      <w:r>
        <w:rPr>
          <w:color w:val="auto"/>
        </w:rPr>
        <w:drawing>
          <wp:inline distT="0" distB="0" distL="114300" distR="114300">
            <wp:extent cx="5824855" cy="2812415"/>
            <wp:effectExtent l="0" t="0" r="4445" b="6985"/>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6"/>
                    <a:stretch>
                      <a:fillRect/>
                    </a:stretch>
                  </pic:blipFill>
                  <pic:spPr>
                    <a:xfrm>
                      <a:off x="0" y="0"/>
                      <a:ext cx="5824855" cy="2812415"/>
                    </a:xfrm>
                    <a:prstGeom prst="rect">
                      <a:avLst/>
                    </a:prstGeom>
                    <a:noFill/>
                    <a:ln>
                      <a:noFill/>
                    </a:ln>
                  </pic:spPr>
                </pic:pic>
              </a:graphicData>
            </a:graphic>
          </wp:inline>
        </w:drawing>
      </w:r>
    </w:p>
    <w:p w14:paraId="6642BD3F">
      <w:pPr>
        <w:pStyle w:val="25"/>
        <w:bidi w:val="0"/>
        <w:rPr>
          <w:rFonts w:hint="eastAsia"/>
          <w:color w:val="auto"/>
          <w:lang w:val="en-US" w:eastAsia="zh-CN"/>
        </w:rPr>
      </w:pPr>
      <w:r>
        <w:rPr>
          <w:rFonts w:hint="eastAsia"/>
          <w:color w:val="auto"/>
          <w:lang w:val="en-US" w:eastAsia="zh-CN"/>
        </w:rPr>
        <w:t>图2.1-1  交通位置图</w:t>
      </w:r>
    </w:p>
    <w:p w14:paraId="72541EDC">
      <w:pPr>
        <w:pStyle w:val="24"/>
        <w:bidi w:val="0"/>
        <w:rPr>
          <w:rFonts w:hint="eastAsia"/>
          <w:color w:val="auto"/>
          <w:lang w:val="en-US" w:eastAsia="zh-CN"/>
        </w:rPr>
      </w:pPr>
      <w:r>
        <w:rPr>
          <w:rFonts w:hint="eastAsia"/>
          <w:color w:val="auto"/>
          <w:lang w:val="en-US" w:eastAsia="zh-CN"/>
        </w:rPr>
        <w:t>自然环境概况</w:t>
      </w:r>
    </w:p>
    <w:p w14:paraId="11BC9F8E">
      <w:pPr>
        <w:pStyle w:val="16"/>
        <w:bidi w:val="0"/>
        <w:rPr>
          <w:rFonts w:hint="eastAsia"/>
          <w:color w:val="auto"/>
          <w:lang w:val="en-US" w:eastAsia="zh-CN"/>
        </w:rPr>
      </w:pPr>
      <w:r>
        <w:rPr>
          <w:rFonts w:hint="eastAsia"/>
          <w:color w:val="auto"/>
          <w:lang w:val="en-US" w:eastAsia="zh-CN"/>
        </w:rPr>
        <w:t>矿区位于长白山脉千山支脉东南段，区内属丘陵地貌。矿区内最高海拔标高440m，最低海拔标高为285m，相对高差155m，地形切割较为强烈，坡度角一般20°~30°，最大达45°。矿区地形总体西高东低，北、西、南三面为陡岭，东部开口，中部为U型谷。</w:t>
      </w:r>
    </w:p>
    <w:p w14:paraId="45541077">
      <w:pPr>
        <w:pStyle w:val="16"/>
        <w:bidi w:val="0"/>
        <w:rPr>
          <w:rFonts w:hint="eastAsia"/>
          <w:color w:val="auto"/>
          <w:lang w:val="en-US" w:eastAsia="zh-CN"/>
        </w:rPr>
      </w:pPr>
      <w:r>
        <w:rPr>
          <w:rFonts w:hint="eastAsia"/>
          <w:color w:val="auto"/>
          <w:lang w:val="en-US" w:eastAsia="zh-CN"/>
        </w:rPr>
        <w:t>矿区处于北温带亚湿润大陆性季风气候，四季分明，雨量充沛，温差变化大，寒冷期长。年平均气温</w:t>
      </w:r>
      <w:r>
        <w:rPr>
          <w:rFonts w:hint="default" w:ascii="Times New Roman" w:hAnsi="Times New Roman" w:cs="Times New Roman"/>
          <w:color w:val="auto"/>
          <w:lang w:val="en-US" w:eastAsia="zh-CN"/>
        </w:rPr>
        <w:t>6.3℃~6.8℃</w:t>
      </w:r>
      <w:r>
        <w:rPr>
          <w:rFonts w:hint="eastAsia"/>
          <w:color w:val="auto"/>
          <w:lang w:val="en-US" w:eastAsia="zh-CN"/>
        </w:rPr>
        <w:t>，最高气温是7月份，平均气温24.8</w:t>
      </w:r>
      <w:r>
        <w:rPr>
          <w:rFonts w:hint="default" w:ascii="Times New Roman" w:hAnsi="Times New Roman" w:cs="Times New Roman"/>
          <w:color w:val="auto"/>
          <w:lang w:val="en-US" w:eastAsia="zh-CN"/>
        </w:rPr>
        <w:t>℃</w:t>
      </w:r>
      <w:r>
        <w:rPr>
          <w:rFonts w:hint="eastAsia"/>
          <w:color w:val="auto"/>
          <w:lang w:val="en-US" w:eastAsia="zh-CN"/>
        </w:rPr>
        <w:t>，最高气温36</w:t>
      </w:r>
      <w:r>
        <w:rPr>
          <w:rFonts w:hint="default" w:ascii="Times New Roman" w:hAnsi="Times New Roman" w:cs="Times New Roman"/>
          <w:color w:val="auto"/>
          <w:lang w:val="en-US" w:eastAsia="zh-CN"/>
        </w:rPr>
        <w:t>℃</w:t>
      </w:r>
      <w:r>
        <w:rPr>
          <w:rFonts w:hint="eastAsia"/>
          <w:color w:val="auto"/>
          <w:lang w:val="en-US" w:eastAsia="zh-CN"/>
        </w:rPr>
        <w:t>；最低气温在1月，平均为-10.4</w:t>
      </w:r>
      <w:r>
        <w:rPr>
          <w:rFonts w:hint="default" w:ascii="Times New Roman" w:hAnsi="Times New Roman" w:cs="Times New Roman"/>
          <w:color w:val="auto"/>
          <w:lang w:val="en-US" w:eastAsia="zh-CN"/>
        </w:rPr>
        <w:t>℃</w:t>
      </w:r>
      <w:r>
        <w:rPr>
          <w:rFonts w:hint="eastAsia" w:cs="Times New Roman"/>
          <w:color w:val="auto"/>
          <w:lang w:val="en-US" w:eastAsia="zh-CN"/>
        </w:rPr>
        <w:t>，</w:t>
      </w:r>
      <w:r>
        <w:rPr>
          <w:rFonts w:hint="eastAsia"/>
          <w:color w:val="auto"/>
          <w:lang w:val="en-US" w:eastAsia="zh-CN"/>
        </w:rPr>
        <w:t>最低气温可达－36.6</w:t>
      </w:r>
      <w:r>
        <w:rPr>
          <w:rFonts w:hint="default" w:ascii="Times New Roman" w:hAnsi="Times New Roman" w:cs="Times New Roman"/>
          <w:color w:val="auto"/>
          <w:lang w:val="en-US" w:eastAsia="zh-CN"/>
        </w:rPr>
        <w:t>℃</w:t>
      </w:r>
      <w:r>
        <w:rPr>
          <w:rFonts w:hint="eastAsia"/>
          <w:color w:val="auto"/>
          <w:lang w:val="en-US" w:eastAsia="zh-CN"/>
        </w:rPr>
        <w:t>。降水集中于6~8月份，年均降水量821.5mm。降雪期为每年10月至次年3月，平均降雪量10~15厘米，最厚达34厘米，积雪期达90天。结冰期为每年10月至次年4月上旬，冻土深度为120~140cm。年蒸发最为1300mm。霜期为每年9月至次年5月，无霜期仅为140天。矿区内无大的地表水，仅于雨季在山间沟谷中形成溪流。</w:t>
      </w:r>
    </w:p>
    <w:p w14:paraId="5EBE854A">
      <w:pPr>
        <w:pStyle w:val="24"/>
        <w:bidi w:val="0"/>
        <w:rPr>
          <w:rFonts w:hint="eastAsia"/>
          <w:color w:val="auto"/>
          <w:lang w:val="en-US" w:eastAsia="zh-CN"/>
        </w:rPr>
      </w:pPr>
      <w:r>
        <w:rPr>
          <w:rFonts w:hint="eastAsia"/>
          <w:color w:val="auto"/>
          <w:lang w:val="en-US" w:eastAsia="zh-CN"/>
        </w:rPr>
        <w:t>矿区周边环境</w:t>
      </w:r>
    </w:p>
    <w:p w14:paraId="716DF7D7">
      <w:pPr>
        <w:pStyle w:val="16"/>
        <w:rPr>
          <w:rFonts w:hint="eastAsia"/>
          <w:color w:val="auto"/>
          <w:lang w:val="en-US" w:eastAsia="zh-CN"/>
        </w:rPr>
      </w:pPr>
      <w:r>
        <w:rPr>
          <w:rFonts w:hint="eastAsia"/>
          <w:color w:val="auto"/>
          <w:lang w:val="en-US" w:eastAsia="zh-CN"/>
        </w:rPr>
        <w:t>矿区周边300m范围内无其他相邻矿山、居民区、重要交通要道或建筑设施，无自然保护区、旅游景点或重要水源地；500m范围内无高压线路，1km范围内铁路设施，矿区东侧临近矿山运输道路设置机修房、矿山办公室，详见周边环境图。</w:t>
      </w:r>
    </w:p>
    <w:p w14:paraId="5D0A5BAD">
      <w:pPr>
        <w:pStyle w:val="25"/>
        <w:bidi w:val="0"/>
        <w:rPr>
          <w:rFonts w:hint="default"/>
          <w:color w:val="auto"/>
          <w:lang w:val="en-US" w:eastAsia="zh-CN"/>
        </w:rPr>
      </w:pPr>
      <w:r>
        <w:rPr>
          <w:color w:val="auto"/>
        </w:rPr>
        <mc:AlternateContent>
          <mc:Choice Requires="wps">
            <w:drawing>
              <wp:anchor distT="0" distB="0" distL="114300" distR="114300" simplePos="0" relativeHeight="251661312" behindDoc="0" locked="0" layoutInCell="1" allowOverlap="1">
                <wp:simplePos x="0" y="0"/>
                <wp:positionH relativeFrom="column">
                  <wp:posOffset>3827780</wp:posOffset>
                </wp:positionH>
                <wp:positionV relativeFrom="paragraph">
                  <wp:posOffset>971550</wp:posOffset>
                </wp:positionV>
                <wp:extent cx="875665" cy="262255"/>
                <wp:effectExtent l="4445" t="5080" r="15240" b="513715"/>
                <wp:wrapNone/>
                <wp:docPr id="20" name="矩形标注 20"/>
                <wp:cNvGraphicFramePr/>
                <a:graphic xmlns:a="http://schemas.openxmlformats.org/drawingml/2006/main">
                  <a:graphicData uri="http://schemas.microsoft.com/office/word/2010/wordprocessingShape">
                    <wps:wsp>
                      <wps:cNvSpPr/>
                      <wps:spPr>
                        <a:xfrm>
                          <a:off x="0" y="0"/>
                          <a:ext cx="875665" cy="262255"/>
                        </a:xfrm>
                        <a:prstGeom prst="wedgeRectCallout">
                          <a:avLst>
                            <a:gd name="adj1" fmla="val -20340"/>
                            <a:gd name="adj2" fmla="val 237167"/>
                          </a:avLst>
                        </a:prstGeom>
                        <a:solidFill>
                          <a:srgbClr val="FFFFFF"/>
                        </a:solidFill>
                        <a:ln w="9525" cap="flat" cmpd="sng">
                          <a:solidFill>
                            <a:srgbClr val="000000"/>
                          </a:solidFill>
                          <a:prstDash val="solid"/>
                          <a:miter/>
                          <a:headEnd type="none" w="med" len="med"/>
                          <a:tailEnd type="none" w="med" len="med"/>
                        </a:ln>
                      </wps:spPr>
                      <wps:txbx>
                        <w:txbxContent>
                          <w:p w14:paraId="0C61010A">
                            <w:pPr>
                              <w:ind w:left="0" w:leftChars="0" w:right="0" w:rightChars="0" w:firstLine="0" w:firstLineChars="0"/>
                              <w:jc w:val="center"/>
                              <w:rPr>
                                <w:rFonts w:hint="default" w:eastAsiaTheme="minorEastAsia"/>
                                <w:lang w:val="en-US" w:eastAsia="zh-CN"/>
                              </w:rPr>
                            </w:pPr>
                            <w:r>
                              <w:rPr>
                                <w:rFonts w:hint="eastAsia"/>
                                <w:lang w:val="en-US" w:eastAsia="zh-CN"/>
                              </w:rPr>
                              <w:t>办公室</w:t>
                            </w:r>
                          </w:p>
                        </w:txbxContent>
                      </wps:txbx>
                      <wps:bodyPr upright="1"/>
                    </wps:wsp>
                  </a:graphicData>
                </a:graphic>
              </wp:anchor>
            </w:drawing>
          </mc:Choice>
          <mc:Fallback>
            <w:pict>
              <v:shape id="_x0000_s1026" o:spid="_x0000_s1026" o:spt="61" type="#_x0000_t61" style="position:absolute;left:0pt;margin-left:301.4pt;margin-top:76.5pt;height:20.65pt;width:68.95pt;z-index:251661312;mso-width-relative:page;mso-height-relative:page;" fillcolor="#FFFFFF" filled="t" stroked="t" coordsize="21600,21600" o:gfxdata="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zRkhT1wAAAAsBAAAPAAAAAAAAAAEAIAAAACIAAABkcnMvZG93&#10;bnJldi54bWxQSwECFAAUAAAACACHTuJAOaJlqDoCAACPBAAADgAAAAAAAAABACAAAAAmAQAAZHJz&#10;L2Uyb0RvYy54bWxQSwUGAAAAAAYABgBZAQAA0gUAAAAA&#10;" adj="6407,62028">
                <v:fill on="t" focussize="0,0"/>
                <v:stroke color="#000000" joinstyle="miter"/>
                <v:imagedata o:title=""/>
                <o:lock v:ext="edit" aspectratio="f"/>
                <v:textbox>
                  <w:txbxContent>
                    <w:p w14:paraId="0C61010A">
                      <w:pPr>
                        <w:ind w:left="0" w:leftChars="0" w:right="0" w:rightChars="0" w:firstLine="0" w:firstLineChars="0"/>
                        <w:jc w:val="center"/>
                        <w:rPr>
                          <w:rFonts w:hint="default" w:eastAsiaTheme="minorEastAsia"/>
                          <w:lang w:val="en-US" w:eastAsia="zh-CN"/>
                        </w:rPr>
                      </w:pPr>
                      <w:r>
                        <w:rPr>
                          <w:rFonts w:hint="eastAsia"/>
                          <w:lang w:val="en-US" w:eastAsia="zh-CN"/>
                        </w:rPr>
                        <w:t>办公室</w:t>
                      </w:r>
                    </w:p>
                  </w:txbxContent>
                </v:textbox>
              </v:shape>
            </w:pict>
          </mc:Fallback>
        </mc:AlternateContent>
      </w:r>
      <w:r>
        <w:rPr>
          <w:color w:val="auto"/>
        </w:rPr>
        <mc:AlternateContent>
          <mc:Choice Requires="wps">
            <w:drawing>
              <wp:anchor distT="0" distB="0" distL="114300" distR="114300" simplePos="0" relativeHeight="251660288" behindDoc="0" locked="0" layoutInCell="1" allowOverlap="1">
                <wp:simplePos x="0" y="0"/>
                <wp:positionH relativeFrom="column">
                  <wp:posOffset>1293495</wp:posOffset>
                </wp:positionH>
                <wp:positionV relativeFrom="paragraph">
                  <wp:posOffset>893445</wp:posOffset>
                </wp:positionV>
                <wp:extent cx="875665" cy="262255"/>
                <wp:effectExtent l="4445" t="5080" r="224790" b="189865"/>
                <wp:wrapNone/>
                <wp:docPr id="19" name="矩形标注 19"/>
                <wp:cNvGraphicFramePr/>
                <a:graphic xmlns:a="http://schemas.openxmlformats.org/drawingml/2006/main">
                  <a:graphicData uri="http://schemas.microsoft.com/office/word/2010/wordprocessingShape">
                    <wps:wsp>
                      <wps:cNvSpPr/>
                      <wps:spPr>
                        <a:xfrm>
                          <a:off x="0" y="0"/>
                          <a:ext cx="875665" cy="262255"/>
                        </a:xfrm>
                        <a:prstGeom prst="wedgeRectCallout">
                          <a:avLst>
                            <a:gd name="adj1" fmla="val 71546"/>
                            <a:gd name="adj2" fmla="val 116102"/>
                          </a:avLst>
                        </a:prstGeom>
                        <a:solidFill>
                          <a:srgbClr val="FFFFFF"/>
                        </a:solidFill>
                        <a:ln w="9525" cap="flat" cmpd="sng">
                          <a:solidFill>
                            <a:srgbClr val="000000"/>
                          </a:solidFill>
                          <a:prstDash val="solid"/>
                          <a:miter/>
                          <a:headEnd type="none" w="med" len="med"/>
                          <a:tailEnd type="none" w="med" len="med"/>
                        </a:ln>
                      </wps:spPr>
                      <wps:txbx>
                        <w:txbxContent>
                          <w:p w14:paraId="0A319FE5">
                            <w:pPr>
                              <w:ind w:left="0" w:leftChars="0" w:right="0" w:rightChars="0" w:firstLine="0" w:firstLineChars="0"/>
                              <w:jc w:val="center"/>
                              <w:rPr>
                                <w:rFonts w:hint="default" w:eastAsiaTheme="minorEastAsia"/>
                                <w:lang w:val="en-US" w:eastAsia="zh-CN"/>
                              </w:rPr>
                            </w:pPr>
                            <w:r>
                              <w:rPr>
                                <w:rFonts w:hint="eastAsia"/>
                                <w:lang w:val="en-US" w:eastAsia="zh-CN"/>
                              </w:rPr>
                              <w:t>矿区范围</w:t>
                            </w:r>
                          </w:p>
                        </w:txbxContent>
                      </wps:txbx>
                      <wps:bodyPr upright="1"/>
                    </wps:wsp>
                  </a:graphicData>
                </a:graphic>
              </wp:anchor>
            </w:drawing>
          </mc:Choice>
          <mc:Fallback>
            <w:pict>
              <v:shape id="_x0000_s1026" o:spid="_x0000_s1026" o:spt="61" type="#_x0000_t61" style="position:absolute;left:0pt;margin-left:101.85pt;margin-top:70.35pt;height:20.65pt;width:68.95pt;z-index:251660288;mso-width-relative:page;mso-height-relative:page;" fillcolor="#FFFFFF" filled="t" stroked="t" coordsize="21600,21600" o:gfxdata="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tx9Cq2gAAAAsBAAAPAAAAAAAAAAEAIAAAACIAAABkcnMvZG93&#10;bnJldi54bWxQSwECFAAUAAAACACHTuJAc4JWyjcCAACOBAAADgAAAAAAAAABACAAAAApAQAAZHJz&#10;L2Uyb0RvYy54bWxQSwUGAAAAAAYABgBZAQAA0gUAAAAA&#10;" adj="26254,35878">
                <v:fill on="t" focussize="0,0"/>
                <v:stroke color="#000000" joinstyle="miter"/>
                <v:imagedata o:title=""/>
                <o:lock v:ext="edit" aspectratio="f"/>
                <v:textbox>
                  <w:txbxContent>
                    <w:p w14:paraId="0A319FE5">
                      <w:pPr>
                        <w:ind w:left="0" w:leftChars="0" w:right="0" w:rightChars="0" w:firstLine="0" w:firstLineChars="0"/>
                        <w:jc w:val="center"/>
                        <w:rPr>
                          <w:rFonts w:hint="default" w:eastAsiaTheme="minorEastAsia"/>
                          <w:lang w:val="en-US" w:eastAsia="zh-CN"/>
                        </w:rPr>
                      </w:pPr>
                      <w:r>
                        <w:rPr>
                          <w:rFonts w:hint="eastAsia"/>
                          <w:lang w:val="en-US" w:eastAsia="zh-CN"/>
                        </w:rPr>
                        <w:t>矿区范围</w:t>
                      </w:r>
                    </w:p>
                  </w:txbxContent>
                </v:textbox>
              </v:shape>
            </w:pict>
          </mc:Fallback>
        </mc:AlternateContent>
      </w:r>
      <w:r>
        <w:rPr>
          <w:color w:val="auto"/>
        </w:rPr>
        <w:drawing>
          <wp:inline distT="0" distB="0" distL="114300" distR="114300">
            <wp:extent cx="5827395" cy="3699510"/>
            <wp:effectExtent l="0" t="0" r="1905" b="15240"/>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7"/>
                    <a:stretch>
                      <a:fillRect/>
                    </a:stretch>
                  </pic:blipFill>
                  <pic:spPr>
                    <a:xfrm>
                      <a:off x="0" y="0"/>
                      <a:ext cx="5827395" cy="3699510"/>
                    </a:xfrm>
                    <a:prstGeom prst="rect">
                      <a:avLst/>
                    </a:prstGeom>
                    <a:noFill/>
                    <a:ln>
                      <a:noFill/>
                    </a:ln>
                  </pic:spPr>
                </pic:pic>
              </a:graphicData>
            </a:graphic>
          </wp:inline>
        </w:drawing>
      </w:r>
    </w:p>
    <w:p w14:paraId="57E34D73">
      <w:pPr>
        <w:pStyle w:val="25"/>
        <w:bidi w:val="0"/>
        <w:rPr>
          <w:rFonts w:hint="eastAsia"/>
          <w:color w:val="auto"/>
          <w:lang w:val="en-US" w:eastAsia="zh-CN"/>
        </w:rPr>
      </w:pPr>
      <w:r>
        <w:rPr>
          <w:rFonts w:hint="eastAsia"/>
          <w:color w:val="auto"/>
          <w:lang w:val="en-US" w:eastAsia="zh-CN"/>
        </w:rPr>
        <w:t>图2.1-2  周边环境图</w:t>
      </w:r>
    </w:p>
    <w:p w14:paraId="20870E06">
      <w:pPr>
        <w:pStyle w:val="23"/>
        <w:bidi w:val="0"/>
        <w:rPr>
          <w:rFonts w:hint="eastAsia"/>
          <w:color w:val="auto"/>
          <w:lang w:val="en-US" w:eastAsia="zh-CN"/>
        </w:rPr>
      </w:pPr>
      <w:bookmarkStart w:id="11" w:name="_Toc13690"/>
      <w:r>
        <w:rPr>
          <w:rFonts w:hint="eastAsia"/>
          <w:color w:val="auto"/>
          <w:lang w:val="en-US" w:eastAsia="zh-CN"/>
        </w:rPr>
        <w:t>地质概况</w:t>
      </w:r>
      <w:bookmarkEnd w:id="11"/>
    </w:p>
    <w:p w14:paraId="29FC70CD">
      <w:pPr>
        <w:pStyle w:val="24"/>
        <w:rPr>
          <w:rFonts w:hint="eastAsia"/>
          <w:color w:val="auto"/>
          <w:lang w:val="en-US" w:eastAsia="zh-CN"/>
        </w:rPr>
      </w:pPr>
      <w:r>
        <w:rPr>
          <w:rFonts w:hint="eastAsia"/>
          <w:color w:val="auto"/>
          <w:lang w:val="en-US" w:eastAsia="zh-CN"/>
        </w:rPr>
        <w:t>矿区地质概况</w:t>
      </w:r>
    </w:p>
    <w:p w14:paraId="6EEB186F">
      <w:pPr>
        <w:pStyle w:val="16"/>
        <w:rPr>
          <w:rFonts w:hint="eastAsia"/>
          <w:color w:val="auto"/>
          <w:lang w:val="en-US" w:eastAsia="zh-CN"/>
        </w:rPr>
      </w:pPr>
      <w:r>
        <w:rPr>
          <w:rFonts w:hint="eastAsia"/>
          <w:color w:val="auto"/>
          <w:lang w:val="en-US" w:eastAsia="zh-CN"/>
        </w:rPr>
        <w:t>（1）地层</w:t>
      </w:r>
    </w:p>
    <w:p w14:paraId="606C06A9">
      <w:pPr>
        <w:pStyle w:val="16"/>
        <w:keepNext w:val="0"/>
        <w:keepLines w:val="0"/>
        <w:pageBreakBefore w:val="0"/>
        <w:widowControl w:val="0"/>
        <w:kinsoku/>
        <w:wordWrap/>
        <w:overflowPunct/>
        <w:topLinePunct w:val="0"/>
        <w:autoSpaceDE/>
        <w:autoSpaceDN/>
        <w:bidi w:val="0"/>
        <w:adjustRightInd w:val="0"/>
        <w:snapToGrid w:val="0"/>
        <w:textAlignment w:val="auto"/>
        <w:rPr>
          <w:rFonts w:hint="default"/>
          <w:color w:val="auto"/>
          <w:lang w:val="en-US" w:eastAsia="zh-CN"/>
        </w:rPr>
      </w:pPr>
      <w:r>
        <w:rPr>
          <w:rFonts w:hint="default"/>
          <w:color w:val="auto"/>
          <w:lang w:val="en-US" w:eastAsia="zh-CN"/>
        </w:rPr>
        <w:t>矿区出露地层主要为下元古界辽河群大石桥组三段白云石大理岩及新生界第四系。</w:t>
      </w:r>
    </w:p>
    <w:p w14:paraId="391CB0AA">
      <w:pPr>
        <w:pStyle w:val="16"/>
        <w:bidi w:val="0"/>
        <w:rPr>
          <w:rFonts w:hint="eastAsia"/>
          <w:color w:val="auto"/>
          <w:lang w:eastAsia="zh-CN"/>
        </w:rPr>
      </w:pPr>
      <w:r>
        <w:rPr>
          <w:rFonts w:hint="eastAsia"/>
          <w:color w:val="auto"/>
          <w:lang w:val="en-US" w:eastAsia="zh-CN"/>
        </w:rPr>
        <w:t>1、</w:t>
      </w:r>
      <w:r>
        <w:rPr>
          <w:rFonts w:hint="eastAsia"/>
          <w:color w:val="auto"/>
        </w:rPr>
        <w:t>辽河群大石桥组三段[Pt</w:t>
      </w:r>
      <w:r>
        <w:rPr>
          <w:rFonts w:hint="eastAsia"/>
          <w:color w:val="auto"/>
          <w:vertAlign w:val="subscript"/>
        </w:rPr>
        <w:t>1</w:t>
      </w:r>
      <w:r>
        <w:rPr>
          <w:rFonts w:hint="eastAsia"/>
          <w:color w:val="auto"/>
        </w:rPr>
        <w:t>lhd</w:t>
      </w:r>
      <w:r>
        <w:rPr>
          <w:rFonts w:hint="eastAsia"/>
          <w:color w:val="auto"/>
          <w:vertAlign w:val="subscript"/>
        </w:rPr>
        <w:t>3</w:t>
      </w:r>
      <w:r>
        <w:rPr>
          <w:rFonts w:hint="eastAsia"/>
          <w:color w:val="auto"/>
          <w:lang w:eastAsia="zh-CN"/>
        </w:rPr>
        <w:t>（</w:t>
      </w:r>
      <w:r>
        <w:rPr>
          <w:rFonts w:hint="default"/>
          <w:color w:val="auto"/>
        </w:rPr>
        <w:t>DM</w:t>
      </w:r>
      <w:r>
        <w:rPr>
          <w:rFonts w:hint="eastAsia"/>
          <w:color w:val="auto"/>
          <w:lang w:eastAsia="zh-CN"/>
        </w:rPr>
        <w:t>）</w:t>
      </w:r>
      <w:r>
        <w:rPr>
          <w:rFonts w:hint="default"/>
          <w:color w:val="auto"/>
        </w:rPr>
        <w:t>]</w:t>
      </w:r>
      <w:r>
        <w:rPr>
          <w:rFonts w:hint="eastAsia"/>
          <w:color w:val="auto"/>
          <w:lang w:eastAsia="zh-CN"/>
        </w:rPr>
        <w:t>：</w:t>
      </w:r>
    </w:p>
    <w:p w14:paraId="2D3CB715">
      <w:pPr>
        <w:pStyle w:val="16"/>
        <w:bidi w:val="0"/>
        <w:rPr>
          <w:rFonts w:hint="eastAsia"/>
          <w:color w:val="auto"/>
          <w:lang w:val="en-US" w:eastAsia="zh-CN"/>
        </w:rPr>
      </w:pPr>
      <w:r>
        <w:rPr>
          <w:rFonts w:hint="eastAsia"/>
          <w:color w:val="auto"/>
        </w:rPr>
        <w:t>岩段纵贯全区，岩层厚大，层位稳定。岩层走向300°</w:t>
      </w:r>
      <w:r>
        <w:rPr>
          <w:rFonts w:hint="eastAsia"/>
          <w:color w:val="auto"/>
          <w:lang w:val="en-US" w:eastAsia="zh-CN"/>
        </w:rPr>
        <w:t>~</w:t>
      </w:r>
      <w:r>
        <w:rPr>
          <w:rFonts w:hint="eastAsia"/>
          <w:color w:val="auto"/>
        </w:rPr>
        <w:t>310°</w:t>
      </w:r>
      <w:r>
        <w:rPr>
          <w:rFonts w:hint="eastAsia"/>
          <w:color w:val="auto"/>
          <w:lang w:eastAsia="zh-CN"/>
        </w:rPr>
        <w:t>，</w:t>
      </w:r>
      <w:r>
        <w:rPr>
          <w:rFonts w:hint="eastAsia"/>
          <w:color w:val="auto"/>
        </w:rPr>
        <w:t>倾向北东，倾角35°左右。为矿区内主要岩层，岩石组成主要为白云石大理</w:t>
      </w:r>
      <w:r>
        <w:rPr>
          <w:rFonts w:hint="eastAsia"/>
          <w:color w:val="auto"/>
          <w:lang w:val="en-US" w:eastAsia="zh-CN"/>
        </w:rPr>
        <w:t>岩。</w:t>
      </w:r>
    </w:p>
    <w:p w14:paraId="7CBB9B22">
      <w:pPr>
        <w:pStyle w:val="16"/>
        <w:bidi w:val="0"/>
        <w:rPr>
          <w:rFonts w:hint="eastAsia"/>
          <w:color w:val="auto"/>
        </w:rPr>
      </w:pPr>
      <w:r>
        <w:rPr>
          <w:rFonts w:hint="eastAsia"/>
          <w:color w:val="auto"/>
          <w:lang w:val="en-US" w:eastAsia="zh-CN"/>
        </w:rPr>
        <w:t>白</w:t>
      </w:r>
      <w:r>
        <w:rPr>
          <w:rFonts w:hint="eastAsia"/>
          <w:color w:val="auto"/>
        </w:rPr>
        <w:t>云石大理岩：白色、灰白色，中细粒变晶结构，局部为中粗变晶结构，块状、条带状构造。主要矿物成分：白云石，少量方解石、石英及碳质矿物。</w:t>
      </w:r>
    </w:p>
    <w:p w14:paraId="19CB1287">
      <w:pPr>
        <w:pStyle w:val="16"/>
        <w:bidi w:val="0"/>
        <w:rPr>
          <w:rFonts w:hint="eastAsia"/>
          <w:color w:val="auto"/>
          <w:lang w:eastAsia="zh-CN"/>
        </w:rPr>
      </w:pPr>
      <w:r>
        <w:rPr>
          <w:rFonts w:hint="eastAsia"/>
          <w:color w:val="auto"/>
          <w:lang w:val="en-US" w:eastAsia="zh-CN"/>
        </w:rPr>
        <w:t>2、</w:t>
      </w:r>
      <w:r>
        <w:rPr>
          <w:rFonts w:hint="eastAsia"/>
          <w:color w:val="auto"/>
        </w:rPr>
        <w:t>第四系</w:t>
      </w:r>
      <w:r>
        <w:rPr>
          <w:rFonts w:hint="eastAsia"/>
          <w:color w:val="auto"/>
          <w:lang w:eastAsia="zh-CN"/>
        </w:rPr>
        <w:t>（</w:t>
      </w:r>
      <w:r>
        <w:rPr>
          <w:rFonts w:hint="eastAsia"/>
          <w:color w:val="auto"/>
        </w:rPr>
        <w:t>Q</w:t>
      </w:r>
      <w:r>
        <w:rPr>
          <w:rFonts w:hint="eastAsia"/>
          <w:color w:val="auto"/>
          <w:lang w:eastAsia="zh-CN"/>
        </w:rPr>
        <w:t>）：</w:t>
      </w:r>
    </w:p>
    <w:p w14:paraId="009E10FB">
      <w:pPr>
        <w:pStyle w:val="16"/>
        <w:bidi w:val="0"/>
        <w:rPr>
          <w:rFonts w:hint="eastAsia"/>
          <w:color w:val="auto"/>
        </w:rPr>
      </w:pPr>
      <w:r>
        <w:rPr>
          <w:rFonts w:hint="eastAsia"/>
          <w:color w:val="auto"/>
        </w:rPr>
        <w:t>较发育，冲洪积层分布在沟谷内，构成一级阶地的微地貌形态。组成丘间窄谷，松散堆积物主要由灰褐色砂砾石组成，厚3-5m</w:t>
      </w:r>
      <w:r>
        <w:rPr>
          <w:rFonts w:hint="eastAsia"/>
          <w:color w:val="auto"/>
          <w:lang w:eastAsia="zh-CN"/>
        </w:rPr>
        <w:t>，</w:t>
      </w:r>
      <w:r>
        <w:rPr>
          <w:rFonts w:hint="eastAsia"/>
          <w:color w:val="auto"/>
        </w:rPr>
        <w:t>矿区地表土较薄，厚0.5m</w:t>
      </w:r>
      <w:r>
        <w:rPr>
          <w:rFonts w:hint="eastAsia"/>
          <w:color w:val="auto"/>
          <w:lang w:val="en-US" w:eastAsia="zh-CN"/>
        </w:rPr>
        <w:t>~</w:t>
      </w:r>
      <w:r>
        <w:rPr>
          <w:rFonts w:hint="eastAsia"/>
          <w:color w:val="auto"/>
        </w:rPr>
        <w:t>lm。主要由沙质粘土及腐殖土构成。</w:t>
      </w:r>
    </w:p>
    <w:p w14:paraId="75C0CFAF">
      <w:pPr>
        <w:pStyle w:val="16"/>
        <w:bidi w:val="0"/>
        <w:rPr>
          <w:rFonts w:hint="eastAsia"/>
          <w:color w:val="auto"/>
          <w:lang w:val="en-US" w:eastAsia="zh-CN"/>
        </w:rPr>
      </w:pPr>
      <w:r>
        <w:rPr>
          <w:rFonts w:hint="eastAsia"/>
          <w:color w:val="auto"/>
          <w:lang w:eastAsia="zh-CN"/>
        </w:rPr>
        <w:t>（</w:t>
      </w:r>
      <w:r>
        <w:rPr>
          <w:rFonts w:hint="eastAsia"/>
          <w:color w:val="auto"/>
          <w:lang w:val="en-US" w:eastAsia="zh-CN"/>
        </w:rPr>
        <w:t>2</w:t>
      </w:r>
      <w:r>
        <w:rPr>
          <w:rFonts w:hint="eastAsia"/>
          <w:color w:val="auto"/>
          <w:lang w:eastAsia="zh-CN"/>
        </w:rPr>
        <w:t>）</w:t>
      </w:r>
      <w:r>
        <w:rPr>
          <w:rFonts w:hint="eastAsia"/>
          <w:color w:val="auto"/>
          <w:lang w:val="en-US" w:eastAsia="zh-CN"/>
        </w:rPr>
        <w:t>构造</w:t>
      </w:r>
    </w:p>
    <w:p w14:paraId="22F9972C">
      <w:pPr>
        <w:pStyle w:val="16"/>
        <w:bidi w:val="0"/>
        <w:rPr>
          <w:rFonts w:hint="eastAsia"/>
          <w:color w:val="auto"/>
        </w:rPr>
      </w:pPr>
      <w:r>
        <w:rPr>
          <w:rFonts w:hint="eastAsia"/>
          <w:color w:val="auto"/>
        </w:rPr>
        <w:t>矿区构造简单，为一走向300°</w:t>
      </w:r>
      <w:r>
        <w:rPr>
          <w:rFonts w:hint="eastAsia"/>
          <w:color w:val="auto"/>
          <w:lang w:val="en-US" w:eastAsia="zh-CN"/>
        </w:rPr>
        <w:t>~</w:t>
      </w:r>
      <w:r>
        <w:rPr>
          <w:rFonts w:hint="eastAsia"/>
          <w:color w:val="auto"/>
        </w:rPr>
        <w:t>310°、倾向北东的单斜构造，地层倾角35°左右。</w:t>
      </w:r>
    </w:p>
    <w:p w14:paraId="5CD668F5">
      <w:pPr>
        <w:pStyle w:val="16"/>
        <w:bidi w:val="0"/>
        <w:rPr>
          <w:rFonts w:hint="eastAsia"/>
          <w:color w:val="auto"/>
        </w:rPr>
      </w:pPr>
      <w:r>
        <w:rPr>
          <w:rFonts w:hint="eastAsia"/>
          <w:color w:val="auto"/>
          <w:lang w:val="en-US" w:eastAsia="zh-CN"/>
        </w:rPr>
        <w:t>矿区</w:t>
      </w:r>
      <w:r>
        <w:rPr>
          <w:rFonts w:hint="eastAsia"/>
          <w:color w:val="auto"/>
        </w:rPr>
        <w:t>内断裂构造弱发育，见两组断裂，分述如下：</w:t>
      </w:r>
    </w:p>
    <w:p w14:paraId="04CF51FA">
      <w:pPr>
        <w:pStyle w:val="16"/>
        <w:bidi w:val="0"/>
        <w:rPr>
          <w:rFonts w:hint="default"/>
          <w:color w:val="auto"/>
          <w:lang w:val="en-US" w:eastAsia="zh-CN"/>
        </w:rPr>
      </w:pPr>
      <w:r>
        <w:rPr>
          <w:rFonts w:hint="default"/>
          <w:color w:val="auto"/>
          <w:lang w:val="en-US" w:eastAsia="zh-CN"/>
        </w:rPr>
        <w:t>北北东向断裂：仅见两条，走向延长在矿区内分别为200m、150m</w:t>
      </w:r>
      <w:r>
        <w:rPr>
          <w:rFonts w:hint="eastAsia"/>
          <w:color w:val="auto"/>
          <w:lang w:val="en-US" w:eastAsia="zh-CN"/>
        </w:rPr>
        <w:t>，</w:t>
      </w:r>
      <w:r>
        <w:rPr>
          <w:rFonts w:hint="default"/>
          <w:color w:val="auto"/>
          <w:lang w:val="en-US" w:eastAsia="zh-CN"/>
        </w:rPr>
        <w:t>走向5</w:t>
      </w:r>
      <w:r>
        <w:rPr>
          <w:rFonts w:hint="eastAsia"/>
          <w:color w:val="auto"/>
          <w:lang w:val="en-US" w:eastAsia="zh-CN"/>
        </w:rPr>
        <w:t>°~</w:t>
      </w:r>
      <w:r>
        <w:rPr>
          <w:rFonts w:hint="default"/>
          <w:color w:val="auto"/>
          <w:lang w:val="en-US" w:eastAsia="zh-CN"/>
        </w:rPr>
        <w:t>10</w:t>
      </w:r>
      <w:r>
        <w:rPr>
          <w:rFonts w:hint="eastAsia"/>
          <w:color w:val="auto"/>
          <w:lang w:val="en-US" w:eastAsia="zh-CN"/>
        </w:rPr>
        <w:t>°，</w:t>
      </w:r>
      <w:r>
        <w:rPr>
          <w:rFonts w:hint="default"/>
          <w:color w:val="auto"/>
          <w:lang w:val="en-US" w:eastAsia="zh-CN"/>
        </w:rPr>
        <w:t>倾向南西，倾角75</w:t>
      </w:r>
      <w:r>
        <w:rPr>
          <w:rFonts w:hint="eastAsia"/>
          <w:color w:val="auto"/>
          <w:lang w:val="en-US" w:eastAsia="zh-CN"/>
        </w:rPr>
        <w:t>°~</w:t>
      </w:r>
      <w:r>
        <w:rPr>
          <w:rFonts w:hint="default"/>
          <w:color w:val="auto"/>
          <w:lang w:val="en-US" w:eastAsia="zh-CN"/>
        </w:rPr>
        <w:t>80</w:t>
      </w:r>
      <w:r>
        <w:rPr>
          <w:rFonts w:hint="eastAsia"/>
          <w:color w:val="auto"/>
          <w:lang w:val="en-US" w:eastAsia="zh-CN"/>
        </w:rPr>
        <w:t>°</w:t>
      </w:r>
      <w:r>
        <w:rPr>
          <w:rFonts w:hint="default"/>
          <w:color w:val="auto"/>
          <w:lang w:val="en-US" w:eastAsia="zh-CN"/>
        </w:rPr>
        <w:t>。为一组晚期断裂，均被煌斑岩脉所充填，岩脉宽分别为0.5m~1.5m</w:t>
      </w:r>
      <w:r>
        <w:rPr>
          <w:rFonts w:hint="eastAsia"/>
          <w:color w:val="auto"/>
          <w:lang w:val="en-US" w:eastAsia="zh-CN"/>
        </w:rPr>
        <w:t>，</w:t>
      </w:r>
      <w:r>
        <w:rPr>
          <w:rFonts w:hint="default"/>
          <w:color w:val="auto"/>
          <w:lang w:val="en-US" w:eastAsia="zh-CN"/>
        </w:rPr>
        <w:t>0.2~0.5m</w:t>
      </w:r>
      <w:r>
        <w:rPr>
          <w:rFonts w:hint="eastAsia"/>
          <w:color w:val="auto"/>
          <w:lang w:val="en-US" w:eastAsia="zh-CN"/>
        </w:rPr>
        <w:t>，</w:t>
      </w:r>
      <w:r>
        <w:rPr>
          <w:rFonts w:hint="default"/>
          <w:color w:val="auto"/>
          <w:lang w:val="en-US" w:eastAsia="zh-CN"/>
        </w:rPr>
        <w:t>对矿体和岩层无明显错动。</w:t>
      </w:r>
    </w:p>
    <w:p w14:paraId="264EAE8E">
      <w:pPr>
        <w:pStyle w:val="16"/>
        <w:bidi w:val="0"/>
        <w:rPr>
          <w:rFonts w:hint="default"/>
          <w:color w:val="auto"/>
          <w:lang w:val="en-US" w:eastAsia="zh-CN"/>
        </w:rPr>
      </w:pPr>
      <w:r>
        <w:rPr>
          <w:rFonts w:hint="default"/>
          <w:color w:val="auto"/>
          <w:lang w:val="en-US" w:eastAsia="zh-CN"/>
        </w:rPr>
        <w:t>北西向断裂：仅见两条，走向延长在矿区内分别为150m、90m</w:t>
      </w:r>
      <w:r>
        <w:rPr>
          <w:rFonts w:hint="eastAsia"/>
          <w:color w:val="auto"/>
          <w:lang w:val="en-US" w:eastAsia="zh-CN"/>
        </w:rPr>
        <w:t>；</w:t>
      </w:r>
      <w:r>
        <w:rPr>
          <w:rFonts w:hint="default"/>
          <w:color w:val="auto"/>
          <w:lang w:val="en-US" w:eastAsia="zh-CN"/>
        </w:rPr>
        <w:t>走向320</w:t>
      </w:r>
      <w:r>
        <w:rPr>
          <w:rFonts w:hint="eastAsia"/>
          <w:color w:val="auto"/>
          <w:lang w:val="en-US" w:eastAsia="zh-CN"/>
        </w:rPr>
        <w:t>°</w:t>
      </w:r>
      <w:r>
        <w:rPr>
          <w:rFonts w:hint="default"/>
          <w:color w:val="auto"/>
          <w:lang w:val="en-US" w:eastAsia="zh-CN"/>
        </w:rPr>
        <w:t>，倾向北东，倾角50</w:t>
      </w:r>
      <w:r>
        <w:rPr>
          <w:rFonts w:hint="eastAsia"/>
          <w:color w:val="auto"/>
          <w:lang w:val="en-US" w:eastAsia="zh-CN"/>
        </w:rPr>
        <w:t>°~</w:t>
      </w:r>
      <w:r>
        <w:rPr>
          <w:rFonts w:hint="default"/>
          <w:color w:val="auto"/>
          <w:lang w:val="en-US" w:eastAsia="zh-CN"/>
        </w:rPr>
        <w:t>70</w:t>
      </w:r>
      <w:r>
        <w:rPr>
          <w:rFonts w:hint="eastAsia"/>
          <w:color w:val="auto"/>
          <w:lang w:val="en-US" w:eastAsia="zh-CN"/>
        </w:rPr>
        <w:t>°</w:t>
      </w:r>
      <w:r>
        <w:rPr>
          <w:rFonts w:hint="default"/>
          <w:color w:val="auto"/>
          <w:lang w:val="en-US" w:eastAsia="zh-CN"/>
        </w:rPr>
        <w:t>。该组断裂局部为煌斑岩细脉所充填，岩脉宽</w:t>
      </w:r>
      <w:r>
        <w:rPr>
          <w:rFonts w:hint="eastAsia"/>
          <w:color w:val="auto"/>
          <w:lang w:val="en-US" w:eastAsia="zh-CN"/>
        </w:rPr>
        <w:t>0.1</w:t>
      </w:r>
      <w:r>
        <w:rPr>
          <w:rFonts w:hint="default"/>
          <w:color w:val="auto"/>
          <w:lang w:val="en-US" w:eastAsia="zh-CN"/>
        </w:rPr>
        <w:t>m</w:t>
      </w:r>
      <w:r>
        <w:rPr>
          <w:rFonts w:hint="eastAsia"/>
          <w:color w:val="auto"/>
          <w:lang w:val="en-US" w:eastAsia="zh-CN"/>
        </w:rPr>
        <w:t>~0</w:t>
      </w:r>
      <w:r>
        <w:rPr>
          <w:rFonts w:hint="default"/>
          <w:color w:val="auto"/>
          <w:lang w:val="en-US" w:eastAsia="zh-CN"/>
        </w:rPr>
        <w:t>.3m。该组断裂亦为晚期构造，规模小，对矿体和岩层无明显错动现象。</w:t>
      </w:r>
    </w:p>
    <w:p w14:paraId="77663E39">
      <w:pPr>
        <w:pStyle w:val="16"/>
        <w:bidi w:val="0"/>
        <w:rPr>
          <w:rFonts w:hint="eastAsia"/>
          <w:color w:val="auto"/>
          <w:lang w:val="en-US" w:eastAsia="zh-CN"/>
        </w:rPr>
      </w:pPr>
      <w:r>
        <w:rPr>
          <w:rFonts w:hint="eastAsia"/>
          <w:color w:val="auto"/>
          <w:lang w:val="en-US" w:eastAsia="zh-CN"/>
        </w:rPr>
        <w:t>（3）岩浆岩</w:t>
      </w:r>
    </w:p>
    <w:p w14:paraId="3780BEDA">
      <w:pPr>
        <w:pStyle w:val="16"/>
        <w:bidi w:val="0"/>
        <w:rPr>
          <w:rFonts w:hint="eastAsia"/>
          <w:color w:val="auto"/>
        </w:rPr>
      </w:pPr>
      <w:r>
        <w:rPr>
          <w:rFonts w:hint="eastAsia"/>
          <w:color w:val="auto"/>
        </w:rPr>
        <w:t>区内侵入岩仅见两条煌斑岩脉，充填</w:t>
      </w:r>
      <w:r>
        <w:rPr>
          <w:rFonts w:hint="eastAsia"/>
          <w:color w:val="auto"/>
          <w:lang w:val="en-US" w:eastAsia="zh-CN"/>
        </w:rPr>
        <w:t>于</w:t>
      </w:r>
      <w:r>
        <w:rPr>
          <w:rFonts w:hint="eastAsia"/>
          <w:color w:val="auto"/>
        </w:rPr>
        <w:t>北北东向断裂中。在北西向断裂、裂隙中，亦见有细小煌斑岩脉充填其中。煌斑岩呈深灰色至灰黑色，斑状结构，致密块状构造，矿物成分主要有长石、辉石、黑云母，少量角闪石。</w:t>
      </w:r>
    </w:p>
    <w:p w14:paraId="6A3BB7B0">
      <w:pPr>
        <w:pStyle w:val="16"/>
        <w:bidi w:val="0"/>
        <w:rPr>
          <w:rFonts w:hint="eastAsia"/>
          <w:color w:val="auto"/>
        </w:rPr>
      </w:pPr>
    </w:p>
    <w:p w14:paraId="29B3F38E">
      <w:pPr>
        <w:pStyle w:val="24"/>
        <w:bidi w:val="0"/>
        <w:rPr>
          <w:rFonts w:hint="eastAsia"/>
          <w:color w:val="auto"/>
          <w:lang w:eastAsia="zh-CN"/>
        </w:rPr>
      </w:pPr>
      <w:r>
        <w:rPr>
          <w:rFonts w:hint="eastAsia"/>
          <w:color w:val="auto"/>
          <w:lang w:eastAsia="zh-CN"/>
        </w:rPr>
        <w:t>矿床地质概况</w:t>
      </w:r>
    </w:p>
    <w:p w14:paraId="2D30EB38">
      <w:pPr>
        <w:pStyle w:val="16"/>
        <w:bidi w:val="0"/>
        <w:rPr>
          <w:rFonts w:hint="default" w:eastAsia="宋体"/>
          <w:color w:val="auto"/>
          <w:lang w:val="en-US" w:eastAsia="zh-CN"/>
        </w:rPr>
      </w:pPr>
      <w:r>
        <w:rPr>
          <w:rFonts w:hint="eastAsia"/>
          <w:color w:val="auto"/>
          <w:lang w:eastAsia="zh-CN"/>
        </w:rPr>
        <w:t>（</w:t>
      </w:r>
      <w:r>
        <w:rPr>
          <w:rFonts w:hint="eastAsia"/>
          <w:color w:val="auto"/>
          <w:lang w:val="en-US" w:eastAsia="zh-CN"/>
        </w:rPr>
        <w:t>1</w:t>
      </w:r>
      <w:r>
        <w:rPr>
          <w:rFonts w:hint="eastAsia"/>
          <w:color w:val="auto"/>
          <w:lang w:eastAsia="zh-CN"/>
        </w:rPr>
        <w:t>）</w:t>
      </w:r>
      <w:r>
        <w:rPr>
          <w:rFonts w:hint="eastAsia"/>
          <w:color w:val="auto"/>
          <w:lang w:val="en-US" w:eastAsia="zh-CN"/>
        </w:rPr>
        <w:t>矿体特征</w:t>
      </w:r>
    </w:p>
    <w:p w14:paraId="3252BBDC">
      <w:pPr>
        <w:pStyle w:val="16"/>
        <w:bidi w:val="0"/>
        <w:rPr>
          <w:rFonts w:hint="eastAsia"/>
          <w:color w:val="auto"/>
        </w:rPr>
      </w:pPr>
      <w:r>
        <w:rPr>
          <w:rFonts w:hint="eastAsia"/>
          <w:color w:val="auto"/>
        </w:rPr>
        <w:t>赋矿层位</w:t>
      </w:r>
      <w:r>
        <w:rPr>
          <w:rFonts w:hint="eastAsia"/>
          <w:color w:val="auto"/>
          <w:lang w:val="en-US" w:eastAsia="zh-CN"/>
        </w:rPr>
        <w:t>于</w:t>
      </w:r>
      <w:r>
        <w:rPr>
          <w:rFonts w:hint="eastAsia"/>
          <w:color w:val="auto"/>
        </w:rPr>
        <w:t>矿区内大面积出露的白云石大理岩，区域上呈东西向展布，层状产出。矿区内以330m作为最低开采标高进行矿体圈定，矿区内均为可利用矿体。矿体东西最大长度500米，南北最大宽度360米，赋矿标高＋430m~+330m</w:t>
      </w:r>
      <w:r>
        <w:rPr>
          <w:rFonts w:hint="eastAsia"/>
          <w:color w:val="auto"/>
          <w:lang w:eastAsia="zh-CN"/>
        </w:rPr>
        <w:t>，</w:t>
      </w:r>
      <w:r>
        <w:rPr>
          <w:rFonts w:hint="eastAsia"/>
          <w:color w:val="auto"/>
        </w:rPr>
        <w:t>矿体出露地表，矿体最大埋深100m</w:t>
      </w:r>
      <w:r>
        <w:rPr>
          <w:rFonts w:hint="eastAsia"/>
          <w:color w:val="auto"/>
          <w:lang w:eastAsia="zh-CN"/>
        </w:rPr>
        <w:t>。</w:t>
      </w:r>
      <w:r>
        <w:rPr>
          <w:rFonts w:hint="eastAsia"/>
          <w:color w:val="auto"/>
        </w:rPr>
        <w:t>产状</w:t>
      </w:r>
      <w:r>
        <w:rPr>
          <w:rFonts w:hint="eastAsia"/>
          <w:color w:val="auto"/>
          <w:lang w:eastAsia="zh-CN"/>
        </w:rPr>
        <w:t>，</w:t>
      </w:r>
      <w:r>
        <w:rPr>
          <w:rFonts w:hint="eastAsia"/>
          <w:color w:val="auto"/>
        </w:rPr>
        <w:t>走向</w:t>
      </w:r>
      <w:r>
        <w:rPr>
          <w:rFonts w:hint="default"/>
          <w:color w:val="auto"/>
        </w:rPr>
        <w:t>300</w:t>
      </w:r>
      <w:r>
        <w:rPr>
          <w:rFonts w:hint="eastAsia"/>
          <w:color w:val="auto"/>
          <w:lang w:val="en-US" w:eastAsia="zh-CN"/>
        </w:rPr>
        <w:t>°</w:t>
      </w:r>
      <w:r>
        <w:rPr>
          <w:rFonts w:hint="eastAsia"/>
          <w:color w:val="auto"/>
        </w:rPr>
        <w:t>~310</w:t>
      </w:r>
      <w:r>
        <w:rPr>
          <w:rFonts w:hint="eastAsia"/>
          <w:color w:val="auto"/>
          <w:lang w:val="en-US" w:eastAsia="zh-CN"/>
        </w:rPr>
        <w:t>°</w:t>
      </w:r>
      <w:r>
        <w:rPr>
          <w:rFonts w:hint="eastAsia"/>
          <w:color w:val="auto"/>
        </w:rPr>
        <w:t>、倾向北东，倾角35</w:t>
      </w:r>
      <w:r>
        <w:rPr>
          <w:rFonts w:hint="eastAsia"/>
          <w:color w:val="auto"/>
          <w:lang w:val="en-US" w:eastAsia="zh-CN"/>
        </w:rPr>
        <w:t>°</w:t>
      </w:r>
      <w:r>
        <w:rPr>
          <w:rFonts w:hint="eastAsia"/>
          <w:color w:val="auto"/>
        </w:rPr>
        <w:t>~40</w:t>
      </w:r>
      <w:r>
        <w:rPr>
          <w:rFonts w:hint="eastAsia"/>
          <w:color w:val="auto"/>
          <w:lang w:val="en-US" w:eastAsia="zh-CN"/>
        </w:rPr>
        <w:t>°</w:t>
      </w:r>
      <w:r>
        <w:rPr>
          <w:rFonts w:hint="eastAsia"/>
          <w:color w:val="auto"/>
        </w:rPr>
        <w:t>。</w:t>
      </w:r>
    </w:p>
    <w:p w14:paraId="187A3B59">
      <w:pPr>
        <w:pStyle w:val="16"/>
        <w:bidi w:val="0"/>
        <w:rPr>
          <w:rFonts w:hint="eastAsia"/>
          <w:color w:val="auto"/>
          <w:lang w:val="en-US" w:eastAsia="zh-CN"/>
        </w:rPr>
      </w:pPr>
      <w:r>
        <w:rPr>
          <w:rFonts w:hint="eastAsia"/>
          <w:color w:val="auto"/>
          <w:lang w:eastAsia="zh-CN"/>
        </w:rPr>
        <w:t>（</w:t>
      </w:r>
      <w:r>
        <w:rPr>
          <w:rFonts w:hint="eastAsia"/>
          <w:color w:val="auto"/>
          <w:lang w:val="en-US" w:eastAsia="zh-CN"/>
        </w:rPr>
        <w:t>2</w:t>
      </w:r>
      <w:r>
        <w:rPr>
          <w:rFonts w:hint="eastAsia"/>
          <w:color w:val="auto"/>
          <w:lang w:eastAsia="zh-CN"/>
        </w:rPr>
        <w:t>）</w:t>
      </w:r>
      <w:r>
        <w:rPr>
          <w:rFonts w:hint="eastAsia"/>
          <w:color w:val="auto"/>
          <w:lang w:val="en-US" w:eastAsia="zh-CN"/>
        </w:rPr>
        <w:t>矿石类型</w:t>
      </w:r>
    </w:p>
    <w:p w14:paraId="70D5AC11">
      <w:pPr>
        <w:pStyle w:val="16"/>
        <w:bidi w:val="0"/>
        <w:rPr>
          <w:rFonts w:hint="default"/>
          <w:color w:val="auto"/>
          <w:lang w:val="en-US" w:eastAsia="zh-CN"/>
        </w:rPr>
      </w:pPr>
      <w:r>
        <w:rPr>
          <w:rFonts w:hint="default"/>
          <w:color w:val="auto"/>
          <w:lang w:val="en-US" w:eastAsia="zh-CN"/>
        </w:rPr>
        <w:t>矿石自然类型分类为原生矿石和风化矿石两种，原生矿石以细～中粒致密块状为主，少量粗粒致密块状矿石。风化矿石呈浅黄褐色，节理裂隙发育，矿体风化厚度5~10米。</w:t>
      </w:r>
    </w:p>
    <w:p w14:paraId="05D51A97">
      <w:pPr>
        <w:pStyle w:val="16"/>
        <w:bidi w:val="0"/>
        <w:rPr>
          <w:rFonts w:hint="eastAsia"/>
          <w:color w:val="auto"/>
          <w:lang w:val="en-US" w:eastAsia="zh-CN"/>
        </w:rPr>
      </w:pPr>
      <w:r>
        <w:rPr>
          <w:rFonts w:hint="eastAsia"/>
          <w:color w:val="auto"/>
          <w:lang w:val="en-US" w:eastAsia="zh-CN"/>
        </w:rPr>
        <w:t>（3）矿石成分、结构构造</w:t>
      </w:r>
    </w:p>
    <w:p w14:paraId="207B5D65">
      <w:pPr>
        <w:pStyle w:val="16"/>
        <w:bidi w:val="0"/>
        <w:rPr>
          <w:rFonts w:hint="eastAsia"/>
          <w:color w:val="auto"/>
        </w:rPr>
      </w:pPr>
      <w:r>
        <w:rPr>
          <w:rFonts w:hint="eastAsia"/>
          <w:color w:val="auto"/>
        </w:rPr>
        <w:t>矿石矿物成分：主要为白云石，含量占90~99%，少量方解石、石英和碳质物。</w:t>
      </w:r>
    </w:p>
    <w:p w14:paraId="666DDB16">
      <w:pPr>
        <w:pStyle w:val="16"/>
        <w:bidi w:val="0"/>
        <w:rPr>
          <w:rFonts w:hint="eastAsia"/>
          <w:color w:val="auto"/>
        </w:rPr>
      </w:pPr>
      <w:r>
        <w:rPr>
          <w:rFonts w:hint="eastAsia"/>
          <w:color w:val="auto"/>
        </w:rPr>
        <w:t>矿石结构主要为细～中粒变晶结构，少量粗粒变晶结构，致密块状构造。</w:t>
      </w:r>
    </w:p>
    <w:p w14:paraId="285FA204">
      <w:pPr>
        <w:pStyle w:val="16"/>
        <w:bidi w:val="0"/>
        <w:rPr>
          <w:rFonts w:hint="eastAsia"/>
          <w:color w:val="auto"/>
          <w:lang w:val="en-US" w:eastAsia="zh-CN"/>
        </w:rPr>
      </w:pPr>
      <w:r>
        <w:rPr>
          <w:rFonts w:hint="eastAsia"/>
          <w:color w:val="auto"/>
          <w:lang w:val="en-US" w:eastAsia="zh-CN"/>
        </w:rPr>
        <w:t>（4）矿石化学成分</w:t>
      </w:r>
    </w:p>
    <w:p w14:paraId="67A3D512">
      <w:pPr>
        <w:pStyle w:val="16"/>
        <w:bidi w:val="0"/>
        <w:rPr>
          <w:rFonts w:hint="default" w:ascii="Times New Roman" w:hAnsi="Times New Roman" w:cs="Times New Roman"/>
          <w:color w:val="auto"/>
        </w:rPr>
      </w:pPr>
      <w:r>
        <w:rPr>
          <w:rFonts w:hint="default" w:ascii="Times New Roman" w:hAnsi="Times New Roman" w:cs="Times New Roman"/>
          <w:color w:val="auto"/>
        </w:rPr>
        <w:t>矿石化学成分：CaO含量30.0~30.82%</w:t>
      </w:r>
      <w:r>
        <w:rPr>
          <w:rFonts w:hint="default" w:ascii="Times New Roman" w:hAnsi="Times New Roman" w:cs="Times New Roman"/>
          <w:color w:val="auto"/>
          <w:lang w:eastAsia="zh-CN"/>
        </w:rPr>
        <w:t>，</w:t>
      </w:r>
      <w:r>
        <w:rPr>
          <w:rFonts w:hint="default" w:ascii="Times New Roman" w:hAnsi="Times New Roman" w:cs="Times New Roman"/>
          <w:color w:val="auto"/>
        </w:rPr>
        <w:t>MgO含量20.3~23.4%</w:t>
      </w:r>
      <w:r>
        <w:rPr>
          <w:rFonts w:hint="default" w:ascii="Times New Roman" w:hAnsi="Times New Roman" w:cs="Times New Roman"/>
          <w:color w:val="auto"/>
          <w:lang w:eastAsia="zh-CN"/>
        </w:rPr>
        <w:t>，</w:t>
      </w:r>
      <w:r>
        <w:rPr>
          <w:rFonts w:hint="default" w:ascii="Times New Roman" w:hAnsi="Times New Roman" w:cs="Times New Roman"/>
          <w:color w:val="auto"/>
        </w:rPr>
        <w:t>Si0₂含量0.34~0.58%</w:t>
      </w:r>
      <w:r>
        <w:rPr>
          <w:rFonts w:hint="default" w:ascii="Times New Roman" w:hAnsi="Times New Roman" w:cs="Times New Roman"/>
          <w:color w:val="auto"/>
          <w:lang w:eastAsia="zh-CN"/>
        </w:rPr>
        <w:t>，</w:t>
      </w:r>
      <w:r>
        <w:rPr>
          <w:rFonts w:hint="default" w:ascii="Times New Roman" w:hAnsi="Times New Roman" w:cs="Times New Roman"/>
          <w:color w:val="auto"/>
        </w:rPr>
        <w:t>Fe</w:t>
      </w:r>
      <w:r>
        <w:rPr>
          <w:rFonts w:hint="default" w:ascii="Times New Roman" w:hAnsi="Times New Roman" w:cs="Times New Roman"/>
          <w:color w:val="auto"/>
          <w:lang w:val="en-US" w:eastAsia="zh-CN"/>
        </w:rPr>
        <w:t>₂O₃</w:t>
      </w:r>
      <w:r>
        <w:rPr>
          <w:rFonts w:hint="default" w:ascii="Times New Roman" w:hAnsi="Times New Roman" w:cs="Times New Roman"/>
          <w:color w:val="auto"/>
        </w:rPr>
        <w:t>含量0.2％左右。</w:t>
      </w:r>
    </w:p>
    <w:p w14:paraId="48E15643">
      <w:pPr>
        <w:pStyle w:val="16"/>
        <w:bidi w:val="0"/>
        <w:rPr>
          <w:rFonts w:hint="eastAsia" w:ascii="Times New Roman" w:hAnsi="Times New Roman" w:cs="Times New Roman"/>
          <w:color w:val="auto"/>
          <w:lang w:eastAsia="zh-CN"/>
        </w:rPr>
      </w:pP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5</w:t>
      </w:r>
      <w:r>
        <w:rPr>
          <w:rFonts w:hint="eastAsia" w:ascii="Times New Roman" w:hAnsi="Times New Roman" w:cs="Times New Roman"/>
          <w:color w:val="auto"/>
          <w:lang w:eastAsia="zh-CN"/>
        </w:rPr>
        <w:t>）矿体围岩和夹石</w:t>
      </w:r>
    </w:p>
    <w:p w14:paraId="7A98A7C8">
      <w:pPr>
        <w:pStyle w:val="16"/>
        <w:bidi w:val="0"/>
        <w:rPr>
          <w:rFonts w:hint="eastAsia"/>
          <w:color w:val="auto"/>
          <w:lang w:val="en-US" w:eastAsia="zh-CN"/>
        </w:rPr>
      </w:pPr>
      <w:r>
        <w:rPr>
          <w:rFonts w:hint="eastAsia"/>
          <w:color w:val="auto"/>
          <w:lang w:val="en-US" w:eastAsia="zh-CN"/>
        </w:rPr>
        <w:t>矿体围岩均为白云石大理岩，并有煌斑岩脉穿插于矿层中，脉宽一般在1~2m，长150m～200m左右。矿石中无夹石。</w:t>
      </w:r>
    </w:p>
    <w:p w14:paraId="64597E2D">
      <w:pPr>
        <w:pStyle w:val="23"/>
        <w:bidi w:val="0"/>
        <w:rPr>
          <w:rFonts w:hint="default"/>
          <w:color w:val="auto"/>
          <w:lang w:val="en-US" w:eastAsia="zh-CN"/>
        </w:rPr>
      </w:pPr>
      <w:bookmarkStart w:id="12" w:name="_Toc30934"/>
      <w:r>
        <w:rPr>
          <w:rFonts w:hint="eastAsia"/>
          <w:color w:val="auto"/>
          <w:lang w:val="en-US" w:eastAsia="zh-CN"/>
        </w:rPr>
        <w:t>开采技术条件</w:t>
      </w:r>
      <w:bookmarkEnd w:id="12"/>
    </w:p>
    <w:p w14:paraId="0DCEE8DD">
      <w:pPr>
        <w:pStyle w:val="24"/>
        <w:rPr>
          <w:rFonts w:hint="default"/>
          <w:color w:val="auto"/>
          <w:lang w:val="en-US" w:eastAsia="zh-CN"/>
        </w:rPr>
      </w:pPr>
      <w:r>
        <w:rPr>
          <w:rFonts w:hint="default"/>
          <w:color w:val="auto"/>
          <w:lang w:val="en-US" w:eastAsia="zh-CN"/>
        </w:rPr>
        <w:t>工程地质概况</w:t>
      </w:r>
    </w:p>
    <w:p w14:paraId="2361B732">
      <w:pPr>
        <w:pStyle w:val="16"/>
        <w:bidi w:val="0"/>
        <w:rPr>
          <w:rFonts w:hint="default"/>
          <w:color w:val="auto"/>
          <w:lang w:val="en-US" w:eastAsia="zh-CN"/>
        </w:rPr>
      </w:pPr>
      <w:r>
        <w:rPr>
          <w:rFonts w:hint="eastAsia"/>
          <w:color w:val="auto"/>
          <w:lang w:val="en-US" w:eastAsia="zh-CN"/>
        </w:rPr>
        <w:t>矿区</w:t>
      </w:r>
      <w:r>
        <w:rPr>
          <w:rFonts w:hint="default"/>
          <w:color w:val="auto"/>
          <w:lang w:val="en-US" w:eastAsia="zh-CN"/>
        </w:rPr>
        <w:t>顶底板白云石大理岩均为中厚～厚层状，致密坚硬，稳固性较好。近地表有很少量岩、矿层受风化，稳固性较差。</w:t>
      </w:r>
    </w:p>
    <w:p w14:paraId="6AFA6436">
      <w:pPr>
        <w:pStyle w:val="16"/>
        <w:bidi w:val="0"/>
        <w:rPr>
          <w:rFonts w:hint="default"/>
          <w:color w:val="auto"/>
          <w:lang w:val="en-US" w:eastAsia="zh-CN"/>
        </w:rPr>
      </w:pPr>
      <w:r>
        <w:rPr>
          <w:rFonts w:hint="default"/>
          <w:color w:val="auto"/>
          <w:lang w:val="en-US" w:eastAsia="zh-CN"/>
        </w:rPr>
        <w:t>断裂构造不发育，规模小且多被脉岩充填，对岩、矿石稳定性影响很小。岩、矿层中发育有三组节理裂隙：一组平行于北北东向断裂，走向5</w:t>
      </w:r>
      <w:r>
        <w:rPr>
          <w:rFonts w:hint="eastAsia"/>
          <w:color w:val="auto"/>
          <w:lang w:val="en-US" w:eastAsia="zh-CN"/>
        </w:rPr>
        <w:t>°</w:t>
      </w:r>
      <w:r>
        <w:rPr>
          <w:rFonts w:hint="default"/>
          <w:color w:val="auto"/>
          <w:lang w:val="en-US" w:eastAsia="zh-CN"/>
        </w:rPr>
        <w:t>~10</w:t>
      </w:r>
      <w:r>
        <w:rPr>
          <w:rFonts w:hint="eastAsia"/>
          <w:color w:val="auto"/>
          <w:lang w:val="en-US" w:eastAsia="zh-CN"/>
        </w:rPr>
        <w:t>°</w:t>
      </w:r>
      <w:r>
        <w:rPr>
          <w:rFonts w:hint="default"/>
          <w:color w:val="auto"/>
          <w:lang w:val="en-US" w:eastAsia="zh-CN"/>
        </w:rPr>
        <w:t>，倾向南西，倾角75</w:t>
      </w:r>
      <w:r>
        <w:rPr>
          <w:rFonts w:hint="eastAsia"/>
          <w:color w:val="auto"/>
          <w:lang w:val="en-US" w:eastAsia="zh-CN"/>
        </w:rPr>
        <w:t>°</w:t>
      </w:r>
      <w:r>
        <w:rPr>
          <w:rFonts w:hint="default"/>
          <w:color w:val="auto"/>
          <w:lang w:val="en-US" w:eastAsia="zh-CN"/>
        </w:rPr>
        <w:t>~80</w:t>
      </w:r>
      <w:r>
        <w:rPr>
          <w:rFonts w:hint="eastAsia"/>
          <w:color w:val="auto"/>
          <w:lang w:val="en-US" w:eastAsia="zh-CN"/>
        </w:rPr>
        <w:t>°，</w:t>
      </w:r>
      <w:r>
        <w:rPr>
          <w:rFonts w:hint="default"/>
          <w:color w:val="auto"/>
          <w:lang w:val="en-US" w:eastAsia="zh-CN"/>
        </w:rPr>
        <w:t>单条延长数米至数十米，密度4~10</w:t>
      </w:r>
      <w:r>
        <w:rPr>
          <w:rFonts w:hint="eastAsia"/>
          <w:color w:val="auto"/>
          <w:lang w:val="en-US" w:eastAsia="zh-CN"/>
        </w:rPr>
        <w:t>m</w:t>
      </w:r>
      <w:r>
        <w:rPr>
          <w:rFonts w:hint="default"/>
          <w:color w:val="auto"/>
          <w:lang w:val="en-US" w:eastAsia="zh-CN"/>
        </w:rPr>
        <w:t>。另一组走向280</w:t>
      </w:r>
      <w:r>
        <w:rPr>
          <w:rFonts w:hint="eastAsia"/>
          <w:color w:val="auto"/>
          <w:lang w:val="en-US" w:eastAsia="zh-CN"/>
        </w:rPr>
        <w:t>°，</w:t>
      </w:r>
      <w:r>
        <w:rPr>
          <w:rFonts w:hint="default"/>
          <w:color w:val="auto"/>
          <w:lang w:val="en-US" w:eastAsia="zh-CN"/>
        </w:rPr>
        <w:t>倾向北东，倾角80</w:t>
      </w:r>
      <w:r>
        <w:rPr>
          <w:rFonts w:hint="eastAsia"/>
          <w:color w:val="auto"/>
          <w:lang w:val="en-US" w:eastAsia="zh-CN"/>
        </w:rPr>
        <w:t>°</w:t>
      </w:r>
      <w:r>
        <w:rPr>
          <w:rFonts w:hint="default"/>
          <w:color w:val="auto"/>
          <w:lang w:val="en-US" w:eastAsia="zh-CN"/>
        </w:rPr>
        <w:t>左右，单条延长数米至数十米，密度1~3</w:t>
      </w:r>
      <w:r>
        <w:rPr>
          <w:rFonts w:hint="eastAsia"/>
          <w:color w:val="auto"/>
          <w:lang w:val="en-US" w:eastAsia="zh-CN"/>
        </w:rPr>
        <w:t>m</w:t>
      </w:r>
      <w:r>
        <w:rPr>
          <w:rFonts w:hint="default"/>
          <w:color w:val="auto"/>
          <w:lang w:val="en-US" w:eastAsia="zh-CN"/>
        </w:rPr>
        <w:t>。第三组走向30</w:t>
      </w:r>
      <w:r>
        <w:rPr>
          <w:rFonts w:hint="eastAsia"/>
          <w:color w:val="auto"/>
          <w:lang w:val="en-US" w:eastAsia="zh-CN"/>
        </w:rPr>
        <w:t>°</w:t>
      </w:r>
      <w:r>
        <w:rPr>
          <w:rFonts w:hint="default"/>
          <w:color w:val="auto"/>
          <w:lang w:val="en-US" w:eastAsia="zh-CN"/>
        </w:rPr>
        <w:t>~40</w:t>
      </w:r>
      <w:r>
        <w:rPr>
          <w:rFonts w:hint="eastAsia"/>
          <w:color w:val="auto"/>
          <w:lang w:val="en-US" w:eastAsia="zh-CN"/>
        </w:rPr>
        <w:t>°，</w:t>
      </w:r>
      <w:r>
        <w:rPr>
          <w:rFonts w:hint="default"/>
          <w:color w:val="auto"/>
          <w:lang w:val="en-US" w:eastAsia="zh-CN"/>
        </w:rPr>
        <w:t>倾向北西，倾角20</w:t>
      </w:r>
      <w:r>
        <w:rPr>
          <w:rFonts w:hint="eastAsia"/>
          <w:color w:val="auto"/>
          <w:lang w:val="en-US" w:eastAsia="zh-CN"/>
        </w:rPr>
        <w:t>°</w:t>
      </w:r>
      <w:r>
        <w:rPr>
          <w:rFonts w:hint="default"/>
          <w:color w:val="auto"/>
          <w:lang w:val="en-US" w:eastAsia="zh-CN"/>
        </w:rPr>
        <w:t>左右，单条延长数米至数十米，密度3~10</w:t>
      </w:r>
      <w:r>
        <w:rPr>
          <w:rFonts w:hint="eastAsia"/>
          <w:color w:val="auto"/>
          <w:lang w:val="en-US" w:eastAsia="zh-CN"/>
        </w:rPr>
        <w:t>m</w:t>
      </w:r>
      <w:r>
        <w:rPr>
          <w:rFonts w:hint="default"/>
          <w:color w:val="auto"/>
          <w:lang w:val="en-US" w:eastAsia="zh-CN"/>
        </w:rPr>
        <w:t>。受该三组节理裂隙的切割，使矿体及围岩的稳固性受到一定影响。</w:t>
      </w:r>
    </w:p>
    <w:p w14:paraId="0AEBAE6A">
      <w:pPr>
        <w:pStyle w:val="16"/>
        <w:bidi w:val="0"/>
        <w:rPr>
          <w:rFonts w:hint="default"/>
          <w:color w:val="auto"/>
          <w:lang w:val="en-US" w:eastAsia="zh-CN"/>
        </w:rPr>
      </w:pPr>
      <w:r>
        <w:rPr>
          <w:rFonts w:hint="default"/>
          <w:color w:val="auto"/>
          <w:lang w:val="en-US" w:eastAsia="zh-CN"/>
        </w:rPr>
        <w:t>综合来看，矿区工程地质条件良好。</w:t>
      </w:r>
    </w:p>
    <w:p w14:paraId="2CF841DC">
      <w:pPr>
        <w:pStyle w:val="24"/>
        <w:bidi w:val="0"/>
        <w:rPr>
          <w:rFonts w:hint="default"/>
          <w:color w:val="auto"/>
          <w:lang w:val="en-US" w:eastAsia="zh-CN"/>
        </w:rPr>
      </w:pPr>
      <w:r>
        <w:rPr>
          <w:rFonts w:hint="default"/>
          <w:color w:val="auto"/>
          <w:lang w:val="en-US" w:eastAsia="zh-CN"/>
        </w:rPr>
        <w:t>水文地质</w:t>
      </w:r>
      <w:r>
        <w:rPr>
          <w:rFonts w:hint="eastAsia"/>
          <w:color w:val="auto"/>
          <w:lang w:val="en-US" w:eastAsia="zh-CN"/>
        </w:rPr>
        <w:t>概况</w:t>
      </w:r>
    </w:p>
    <w:p w14:paraId="431B980F">
      <w:pPr>
        <w:pStyle w:val="16"/>
        <w:rPr>
          <w:rFonts w:hint="default"/>
          <w:color w:val="auto"/>
          <w:lang w:val="en-US" w:eastAsia="zh-CN"/>
        </w:rPr>
      </w:pPr>
      <w:r>
        <w:rPr>
          <w:rFonts w:hint="eastAsia"/>
          <w:color w:val="auto"/>
          <w:lang w:val="en-US" w:eastAsia="zh-CN"/>
        </w:rPr>
        <w:t>（1）含水层</w:t>
      </w:r>
    </w:p>
    <w:p w14:paraId="22F0820F">
      <w:pPr>
        <w:pStyle w:val="16"/>
        <w:rPr>
          <w:rFonts w:hint="default"/>
          <w:color w:val="auto"/>
          <w:lang w:val="en-US" w:eastAsia="zh-CN"/>
        </w:rPr>
      </w:pPr>
      <w:r>
        <w:rPr>
          <w:rFonts w:hint="default"/>
          <w:color w:val="auto"/>
          <w:lang w:val="en-US" w:eastAsia="zh-CN"/>
        </w:rPr>
        <w:t>矿区所处地貌为低山区。最高海拔标高为440m</w:t>
      </w:r>
      <w:r>
        <w:rPr>
          <w:rFonts w:hint="eastAsia"/>
          <w:color w:val="auto"/>
          <w:lang w:val="en-US" w:eastAsia="zh-CN"/>
        </w:rPr>
        <w:t>，</w:t>
      </w:r>
      <w:r>
        <w:rPr>
          <w:rFonts w:hint="default"/>
          <w:color w:val="auto"/>
          <w:lang w:val="en-US" w:eastAsia="zh-CN"/>
        </w:rPr>
        <w:t>最低海拔标高约为285m</w:t>
      </w:r>
      <w:r>
        <w:rPr>
          <w:rFonts w:hint="eastAsia"/>
          <w:color w:val="auto"/>
          <w:lang w:val="en-US" w:eastAsia="zh-CN"/>
        </w:rPr>
        <w:t>，</w:t>
      </w:r>
      <w:r>
        <w:rPr>
          <w:rFonts w:hint="default"/>
          <w:color w:val="auto"/>
          <w:lang w:val="en-US" w:eastAsia="zh-CN"/>
        </w:rPr>
        <w:t>相对高差近155m</w:t>
      </w:r>
      <w:r>
        <w:rPr>
          <w:rFonts w:hint="eastAsia"/>
          <w:color w:val="auto"/>
          <w:lang w:val="en-US" w:eastAsia="zh-CN"/>
        </w:rPr>
        <w:t>，</w:t>
      </w:r>
      <w:r>
        <w:rPr>
          <w:rFonts w:hint="default"/>
          <w:color w:val="auto"/>
          <w:lang w:val="en-US" w:eastAsia="zh-CN"/>
        </w:rPr>
        <w:t>当地侵蚀基准面标高200米，依据地下水的赋存条件、富水性和埋深特征，将地下水划分为第四系孔隙水、基岩裂隙水及构造裂隙水。</w:t>
      </w:r>
    </w:p>
    <w:p w14:paraId="55E0221E">
      <w:pPr>
        <w:pStyle w:val="16"/>
        <w:bidi w:val="0"/>
        <w:rPr>
          <w:rFonts w:hint="eastAsia"/>
          <w:color w:val="auto"/>
        </w:rPr>
      </w:pPr>
      <w:r>
        <w:rPr>
          <w:rFonts w:hint="eastAsia"/>
          <w:color w:val="auto"/>
          <w:lang w:val="en-US" w:eastAsia="zh-CN"/>
        </w:rPr>
        <w:t>1、</w:t>
      </w:r>
      <w:r>
        <w:rPr>
          <w:rFonts w:hint="eastAsia"/>
          <w:color w:val="auto"/>
        </w:rPr>
        <w:t>第四系孔隙水</w:t>
      </w:r>
    </w:p>
    <w:p w14:paraId="390B4100">
      <w:pPr>
        <w:pStyle w:val="16"/>
        <w:bidi w:val="0"/>
        <w:rPr>
          <w:rFonts w:hint="eastAsia"/>
          <w:color w:val="auto"/>
        </w:rPr>
      </w:pPr>
      <w:r>
        <w:rPr>
          <w:rFonts w:hint="eastAsia"/>
          <w:color w:val="auto"/>
        </w:rPr>
        <w:t>位于矿区沟谷及两侧的残坡积层中，一般厚1-2m</w:t>
      </w:r>
      <w:r>
        <w:rPr>
          <w:rFonts w:hint="eastAsia"/>
          <w:color w:val="auto"/>
          <w:lang w:eastAsia="zh-CN"/>
        </w:rPr>
        <w:t>，</w:t>
      </w:r>
      <w:r>
        <w:rPr>
          <w:rFonts w:hint="eastAsia"/>
          <w:color w:val="auto"/>
        </w:rPr>
        <w:t>最厚达3m。受地形控制，其富水性不均匀，平时干枯或低洼处见少量积水，不流动。地下水埋深0.5-1.</w:t>
      </w:r>
      <w:r>
        <w:rPr>
          <w:rFonts w:hint="eastAsia"/>
          <w:color w:val="auto"/>
          <w:lang w:val="en-US" w:eastAsia="zh-CN"/>
        </w:rPr>
        <w:t>5</w:t>
      </w:r>
      <w:r>
        <w:rPr>
          <w:rFonts w:hint="eastAsia"/>
          <w:color w:val="auto"/>
        </w:rPr>
        <w:t>m</w:t>
      </w:r>
      <w:r>
        <w:rPr>
          <w:rFonts w:hint="eastAsia"/>
          <w:color w:val="auto"/>
          <w:lang w:eastAsia="zh-CN"/>
        </w:rPr>
        <w:t>，</w:t>
      </w:r>
      <w:r>
        <w:rPr>
          <w:rFonts w:hint="eastAsia"/>
          <w:color w:val="auto"/>
        </w:rPr>
        <w:t>丰水期水量约0.37-6.3L/s</w:t>
      </w:r>
      <w:r>
        <w:rPr>
          <w:rFonts w:hint="eastAsia"/>
          <w:color w:val="auto"/>
          <w:lang w:eastAsia="zh-CN"/>
        </w:rPr>
        <w:t>，</w:t>
      </w:r>
      <w:r>
        <w:rPr>
          <w:rFonts w:hint="eastAsia"/>
          <w:color w:val="auto"/>
        </w:rPr>
        <w:t>其来源为大气降水补给，随季节性变化明显。</w:t>
      </w:r>
    </w:p>
    <w:p w14:paraId="28EA8D1D">
      <w:pPr>
        <w:pStyle w:val="16"/>
        <w:bidi w:val="0"/>
        <w:rPr>
          <w:rFonts w:hint="eastAsia"/>
          <w:color w:val="auto"/>
        </w:rPr>
      </w:pPr>
      <w:r>
        <w:rPr>
          <w:rFonts w:hint="eastAsia"/>
          <w:color w:val="auto"/>
          <w:lang w:val="en-US" w:eastAsia="zh-CN"/>
        </w:rPr>
        <w:t>2、</w:t>
      </w:r>
      <w:r>
        <w:rPr>
          <w:rFonts w:hint="eastAsia"/>
          <w:color w:val="auto"/>
        </w:rPr>
        <w:t>基岩风化裂隙水</w:t>
      </w:r>
    </w:p>
    <w:p w14:paraId="26775CE9">
      <w:pPr>
        <w:pStyle w:val="16"/>
        <w:bidi w:val="0"/>
        <w:rPr>
          <w:rFonts w:hint="eastAsia"/>
          <w:color w:val="auto"/>
        </w:rPr>
      </w:pPr>
      <w:r>
        <w:rPr>
          <w:rFonts w:hint="eastAsia"/>
          <w:color w:val="auto"/>
        </w:rPr>
        <w:t>矿区内矿体及围岩结构质密、岩性坚硬，节理裂隙发育程度较差。风化深度约10</w:t>
      </w:r>
      <w:r>
        <w:rPr>
          <w:rFonts w:hint="eastAsia"/>
          <w:color w:val="auto"/>
          <w:lang w:val="en-US" w:eastAsia="zh-CN"/>
        </w:rPr>
        <w:t>~</w:t>
      </w:r>
      <w:r>
        <w:rPr>
          <w:rFonts w:hint="eastAsia"/>
          <w:color w:val="auto"/>
        </w:rPr>
        <w:t>20m，其抗风化能力较差，但溶蚀不发育，故其含水性和透水性一般，由上至下逐渐减弱。</w:t>
      </w:r>
    </w:p>
    <w:p w14:paraId="0D6AD3D3">
      <w:pPr>
        <w:pStyle w:val="16"/>
        <w:bidi w:val="0"/>
        <w:rPr>
          <w:rFonts w:hint="eastAsia"/>
          <w:color w:val="auto"/>
          <w:lang w:val="en-US" w:eastAsia="zh-CN"/>
        </w:rPr>
      </w:pPr>
      <w:r>
        <w:rPr>
          <w:rFonts w:hint="eastAsia"/>
          <w:color w:val="auto"/>
          <w:lang w:val="en-US" w:eastAsia="zh-CN"/>
        </w:rPr>
        <w:t>3、构造裂隙水</w:t>
      </w:r>
    </w:p>
    <w:p w14:paraId="157B2E28">
      <w:pPr>
        <w:pStyle w:val="16"/>
        <w:bidi w:val="0"/>
        <w:rPr>
          <w:rFonts w:hint="default"/>
          <w:color w:val="auto"/>
          <w:lang w:val="en-US" w:eastAsia="zh-CN"/>
        </w:rPr>
      </w:pPr>
      <w:r>
        <w:rPr>
          <w:rFonts w:hint="default"/>
          <w:color w:val="auto"/>
          <w:lang w:val="en-US" w:eastAsia="zh-CN"/>
        </w:rPr>
        <w:t>矿区内构造发育，矿体受近东西向断裂控制，后期有北北东、北西向和近南北向的断裂构造。断层破碎带宽0.3-2m</w:t>
      </w:r>
      <w:r>
        <w:rPr>
          <w:rFonts w:hint="eastAsia"/>
          <w:color w:val="auto"/>
          <w:lang w:val="en-US" w:eastAsia="zh-CN"/>
        </w:rPr>
        <w:t>；</w:t>
      </w:r>
      <w:r>
        <w:rPr>
          <w:rFonts w:hint="default"/>
          <w:color w:val="auto"/>
          <w:lang w:val="en-US" w:eastAsia="zh-CN"/>
        </w:rPr>
        <w:t>比较发育的节理裂隙有三组：北西向、北东向和近东西向，节理密度为3-5条／m²，是大气降水补给地下水的主要通道。稳定流量为0.2-0.3L/s</w:t>
      </w:r>
      <w:r>
        <w:rPr>
          <w:rFonts w:hint="eastAsia"/>
          <w:color w:val="auto"/>
          <w:lang w:val="en-US" w:eastAsia="zh-CN"/>
        </w:rPr>
        <w:t>，</w:t>
      </w:r>
      <w:r>
        <w:rPr>
          <w:rFonts w:hint="default"/>
          <w:color w:val="auto"/>
          <w:lang w:val="en-US" w:eastAsia="zh-CN"/>
        </w:rPr>
        <w:t>是采坑积水的主要补给来源。</w:t>
      </w:r>
    </w:p>
    <w:p w14:paraId="08832ED3">
      <w:pPr>
        <w:pStyle w:val="16"/>
        <w:bidi w:val="0"/>
        <w:rPr>
          <w:rFonts w:hint="eastAsia"/>
          <w:color w:val="auto"/>
        </w:rPr>
      </w:pPr>
      <w:r>
        <w:rPr>
          <w:rFonts w:hint="eastAsia"/>
          <w:color w:val="auto"/>
          <w:lang w:val="en-US" w:eastAsia="zh-CN"/>
        </w:rPr>
        <w:t>4、</w:t>
      </w:r>
      <w:r>
        <w:rPr>
          <w:rFonts w:hint="eastAsia"/>
          <w:color w:val="auto"/>
        </w:rPr>
        <w:t>地下水补给、径流和排泄条件</w:t>
      </w:r>
    </w:p>
    <w:p w14:paraId="62D60084">
      <w:pPr>
        <w:pStyle w:val="16"/>
        <w:bidi w:val="0"/>
        <w:rPr>
          <w:rFonts w:hint="default"/>
          <w:color w:val="auto"/>
          <w:lang w:val="en-US" w:eastAsia="zh-CN"/>
        </w:rPr>
      </w:pPr>
      <w:r>
        <w:rPr>
          <w:rFonts w:hint="default"/>
          <w:color w:val="auto"/>
          <w:lang w:val="en-US" w:eastAsia="zh-CN"/>
        </w:rPr>
        <w:t>矿区地下水补给来源主要是大气降水，其补给程度受季节性变化控制，丰水季节水量较大，枯水季节水量小或干涸。第四系孔隙水一般沿山坡及地表沟谷流向地表低洼处外泄。基岩风化裂隙含水层，位于地下水补给区和径流区，接受大气降水补给，顺地形向低处径流排泄，补给地表水。综上所述，矿区构造不发育，矿山开采部位处于高山之上，地表上无水体。但随着开采深度加大，将会逐渐接近地下潜水层。</w:t>
      </w:r>
    </w:p>
    <w:p w14:paraId="520A0E14">
      <w:pPr>
        <w:pStyle w:val="16"/>
        <w:bidi w:val="0"/>
        <w:rPr>
          <w:rFonts w:hint="default"/>
          <w:color w:val="auto"/>
          <w:lang w:val="en-US" w:eastAsia="zh-CN"/>
        </w:rPr>
      </w:pPr>
      <w:r>
        <w:rPr>
          <w:rFonts w:hint="default"/>
          <w:color w:val="auto"/>
          <w:lang w:val="en-US" w:eastAsia="zh-CN"/>
        </w:rPr>
        <w:t>矿区水文地质条件属中等类型。</w:t>
      </w:r>
    </w:p>
    <w:p w14:paraId="37F2B64D">
      <w:pPr>
        <w:pStyle w:val="24"/>
        <w:bidi w:val="0"/>
        <w:rPr>
          <w:rFonts w:hint="default"/>
          <w:color w:val="auto"/>
          <w:lang w:val="en-US" w:eastAsia="zh-CN"/>
        </w:rPr>
      </w:pPr>
      <w:r>
        <w:rPr>
          <w:rFonts w:hint="eastAsia"/>
          <w:color w:val="auto"/>
          <w:lang w:val="en-US" w:eastAsia="zh-CN"/>
        </w:rPr>
        <w:t>环境地质概况</w:t>
      </w:r>
    </w:p>
    <w:p w14:paraId="0F69C0F9">
      <w:pPr>
        <w:pStyle w:val="16"/>
        <w:bidi w:val="0"/>
        <w:rPr>
          <w:rFonts w:hint="eastAsia"/>
          <w:color w:val="auto"/>
        </w:rPr>
      </w:pPr>
      <w:r>
        <w:rPr>
          <w:rFonts w:hint="eastAsia"/>
          <w:color w:val="auto"/>
        </w:rPr>
        <w:t>矿区现为露天开采，矿区属丘陵地貌，坡度一般在</w:t>
      </w:r>
      <w:r>
        <w:rPr>
          <w:rFonts w:hint="default"/>
          <w:color w:val="auto"/>
        </w:rPr>
        <w:t>20</w:t>
      </w:r>
      <w:r>
        <w:rPr>
          <w:rFonts w:hint="eastAsia"/>
          <w:color w:val="auto"/>
          <w:lang w:val="en-US" w:eastAsia="zh-CN"/>
        </w:rPr>
        <w:t>°</w:t>
      </w:r>
      <w:r>
        <w:rPr>
          <w:rFonts w:hint="eastAsia"/>
          <w:color w:val="auto"/>
        </w:rPr>
        <w:t>~25</w:t>
      </w:r>
      <w:r>
        <w:rPr>
          <w:rFonts w:hint="eastAsia"/>
          <w:color w:val="auto"/>
          <w:lang w:val="en-US" w:eastAsia="zh-CN"/>
        </w:rPr>
        <w:t>°</w:t>
      </w:r>
      <w:r>
        <w:rPr>
          <w:rFonts w:hint="eastAsia"/>
          <w:color w:val="auto"/>
        </w:rPr>
        <w:t>左右，矿山开采存在大量的废石矿渣排放，存在引发泥石流、山体滑坡的危险。矿区内无村民居住，采矿活动对自然生态环境破坏性影响较大。</w:t>
      </w:r>
    </w:p>
    <w:p w14:paraId="3D0B2004">
      <w:pPr>
        <w:pStyle w:val="16"/>
        <w:bidi w:val="0"/>
        <w:rPr>
          <w:rFonts w:hint="eastAsia"/>
          <w:color w:val="auto"/>
          <w:lang w:val="en-US" w:eastAsia="zh-CN"/>
        </w:rPr>
      </w:pPr>
      <w:r>
        <w:rPr>
          <w:rFonts w:hint="eastAsia"/>
          <w:color w:val="auto"/>
        </w:rPr>
        <w:t>由</w:t>
      </w:r>
      <w:r>
        <w:rPr>
          <w:rFonts w:hint="eastAsia"/>
          <w:color w:val="auto"/>
          <w:lang w:val="en-US" w:eastAsia="zh-CN"/>
        </w:rPr>
        <w:t>于</w:t>
      </w:r>
      <w:r>
        <w:rPr>
          <w:rFonts w:hint="eastAsia"/>
          <w:color w:val="auto"/>
        </w:rPr>
        <w:t>矿山生产规模将逐年扩大。对矿区内原始植被的破坏面积也随之逐年增加。另外，矿山开采过程中产生的废渣、废水、废油及其他废弃物，对矿山及周边的环境也有一定影响。</w:t>
      </w:r>
      <w:r>
        <w:rPr>
          <w:rFonts w:hint="eastAsia"/>
          <w:color w:val="auto"/>
          <w:lang w:val="en-US" w:eastAsia="zh-CN"/>
        </w:rPr>
        <w:t>因此，矿山应在开采建设过程中加强矿山环境的保护，并及时进行治理恢复。</w:t>
      </w:r>
    </w:p>
    <w:p w14:paraId="2C8F01BE">
      <w:pPr>
        <w:pStyle w:val="23"/>
        <w:bidi w:val="0"/>
        <w:rPr>
          <w:rFonts w:hint="default"/>
          <w:color w:val="auto"/>
          <w:lang w:val="en-US" w:eastAsia="zh-CN"/>
        </w:rPr>
      </w:pPr>
      <w:bookmarkStart w:id="13" w:name="_Toc30125"/>
      <w:r>
        <w:rPr>
          <w:rFonts w:hint="eastAsia"/>
          <w:color w:val="auto"/>
          <w:lang w:val="en-US" w:eastAsia="zh-CN"/>
        </w:rPr>
        <w:t>设计概况</w:t>
      </w:r>
      <w:bookmarkEnd w:id="13"/>
    </w:p>
    <w:p w14:paraId="2B3733FA">
      <w:pPr>
        <w:pStyle w:val="16"/>
        <w:bidi w:val="0"/>
        <w:rPr>
          <w:rFonts w:hint="eastAsia"/>
          <w:color w:val="auto"/>
          <w:lang w:val="en-US" w:eastAsia="zh-CN"/>
        </w:rPr>
      </w:pPr>
      <w:r>
        <w:rPr>
          <w:rFonts w:hint="default"/>
          <w:color w:val="auto"/>
          <w:lang w:val="en-US" w:eastAsia="zh-CN"/>
        </w:rPr>
        <w:t>鞍山东盛源矿业有限公司</w:t>
      </w:r>
      <w:r>
        <w:rPr>
          <w:rFonts w:hint="eastAsia"/>
          <w:color w:val="auto"/>
          <w:lang w:val="en-US" w:eastAsia="zh-CN"/>
        </w:rPr>
        <w:t>于2015年10月委托沈阳一方正和工程技术咨询有限公司编制《鞍山东盛源矿业有限公司（大理岩矿）露天开采建设项目补充设计》（以下简称“《补充设计》”）</w:t>
      </w:r>
      <w:r>
        <w:rPr>
          <w:rFonts w:hint="default"/>
          <w:color w:val="auto"/>
          <w:lang w:val="en-US" w:eastAsia="zh-CN"/>
        </w:rPr>
        <w:t>。具体设计内容如下</w:t>
      </w:r>
      <w:r>
        <w:rPr>
          <w:rFonts w:hint="eastAsia"/>
          <w:color w:val="auto"/>
          <w:lang w:val="en-US" w:eastAsia="zh-CN"/>
        </w:rPr>
        <w:t>：</w:t>
      </w:r>
    </w:p>
    <w:p w14:paraId="1A78B14D">
      <w:pPr>
        <w:pStyle w:val="24"/>
        <w:bidi w:val="0"/>
        <w:rPr>
          <w:rFonts w:hint="default"/>
          <w:color w:val="auto"/>
          <w:lang w:val="en-US" w:eastAsia="zh-CN"/>
        </w:rPr>
      </w:pPr>
      <w:r>
        <w:rPr>
          <w:rFonts w:hint="default"/>
          <w:color w:val="auto"/>
          <w:lang w:val="en-US" w:eastAsia="zh-CN"/>
        </w:rPr>
        <w:t>生产规模</w:t>
      </w:r>
      <w:r>
        <w:rPr>
          <w:rFonts w:hint="eastAsia"/>
          <w:color w:val="auto"/>
          <w:lang w:val="en-US" w:eastAsia="zh-CN"/>
        </w:rPr>
        <w:t>、</w:t>
      </w:r>
      <w:r>
        <w:rPr>
          <w:rFonts w:hint="default"/>
          <w:color w:val="auto"/>
          <w:lang w:val="en-US" w:eastAsia="zh-CN"/>
        </w:rPr>
        <w:t>服务年限及工作制度</w:t>
      </w:r>
    </w:p>
    <w:p w14:paraId="68421C89">
      <w:pPr>
        <w:pStyle w:val="16"/>
        <w:bidi w:val="0"/>
        <w:rPr>
          <w:rFonts w:hint="eastAsia"/>
          <w:color w:val="auto"/>
          <w:lang w:val="en-US" w:eastAsia="zh-CN"/>
        </w:rPr>
      </w:pPr>
      <w:r>
        <w:rPr>
          <w:rFonts w:hint="default"/>
          <w:color w:val="auto"/>
          <w:lang w:val="en-US" w:eastAsia="zh-CN"/>
        </w:rPr>
        <w:t>矿山设计规模为年产原矿5万m³</w:t>
      </w:r>
      <w:r>
        <w:rPr>
          <w:rFonts w:hint="eastAsia"/>
          <w:color w:val="auto"/>
          <w:lang w:val="en-US" w:eastAsia="zh-CN"/>
        </w:rPr>
        <w:t>。</w:t>
      </w:r>
    </w:p>
    <w:p w14:paraId="458BC2A9">
      <w:pPr>
        <w:pStyle w:val="16"/>
        <w:bidi w:val="0"/>
        <w:rPr>
          <w:rFonts w:hint="eastAsia"/>
          <w:color w:val="auto"/>
        </w:rPr>
      </w:pPr>
      <w:r>
        <w:rPr>
          <w:rFonts w:hint="eastAsia"/>
          <w:color w:val="auto"/>
        </w:rPr>
        <w:t>矿山</w:t>
      </w:r>
      <w:r>
        <w:rPr>
          <w:rFonts w:hint="eastAsia"/>
          <w:color w:val="auto"/>
          <w:lang w:val="en-US" w:eastAsia="zh-CN"/>
        </w:rPr>
        <w:t>设计</w:t>
      </w:r>
      <w:r>
        <w:rPr>
          <w:rFonts w:hint="eastAsia"/>
          <w:color w:val="auto"/>
        </w:rPr>
        <w:t>采用间断工作制度，年工作300天，每天1班，每班工作8小时。</w:t>
      </w:r>
    </w:p>
    <w:p w14:paraId="39633059">
      <w:pPr>
        <w:pStyle w:val="16"/>
        <w:bidi w:val="0"/>
        <w:rPr>
          <w:rFonts w:hint="eastAsia"/>
          <w:color w:val="auto"/>
          <w:lang w:val="en-US" w:eastAsia="zh-CN"/>
        </w:rPr>
      </w:pPr>
      <w:r>
        <w:rPr>
          <w:rFonts w:hint="eastAsia"/>
          <w:color w:val="auto"/>
          <w:lang w:val="en-US" w:eastAsia="zh-CN"/>
        </w:rPr>
        <w:t>设计依据</w:t>
      </w:r>
      <w:r>
        <w:rPr>
          <w:rFonts w:hint="default"/>
          <w:color w:val="auto"/>
          <w:lang w:val="en-US" w:eastAsia="zh-CN"/>
        </w:rPr>
        <w:t>露天境界内圈定的开采矿石量为163.84万</w:t>
      </w:r>
      <w:r>
        <w:rPr>
          <w:rFonts w:hint="eastAsia"/>
          <w:color w:val="auto"/>
          <w:lang w:val="en-US" w:eastAsia="zh-CN"/>
        </w:rPr>
        <w:t>m</w:t>
      </w:r>
      <w:r>
        <w:rPr>
          <w:rFonts w:hint="default"/>
          <w:color w:val="auto"/>
          <w:lang w:val="en-US" w:eastAsia="zh-CN"/>
        </w:rPr>
        <w:t>³</w:t>
      </w:r>
      <w:r>
        <w:rPr>
          <w:rFonts w:hint="eastAsia"/>
          <w:color w:val="auto"/>
          <w:lang w:val="en-US" w:eastAsia="zh-CN"/>
        </w:rPr>
        <w:t>，</w:t>
      </w:r>
      <w:r>
        <w:rPr>
          <w:rFonts w:hint="default"/>
          <w:color w:val="auto"/>
          <w:lang w:val="en-US" w:eastAsia="zh-CN"/>
        </w:rPr>
        <w:t>按正常生产能力5万</w:t>
      </w:r>
      <w:r>
        <w:rPr>
          <w:rFonts w:hint="eastAsia"/>
          <w:color w:val="auto"/>
          <w:lang w:val="en-US" w:eastAsia="zh-CN"/>
        </w:rPr>
        <w:t>m</w:t>
      </w:r>
      <w:r>
        <w:rPr>
          <w:rFonts w:hint="default"/>
          <w:color w:val="auto"/>
          <w:lang w:val="en-US" w:eastAsia="zh-CN"/>
        </w:rPr>
        <w:t>³</w:t>
      </w:r>
      <w:r>
        <w:rPr>
          <w:rFonts w:hint="eastAsia"/>
          <w:color w:val="auto"/>
          <w:lang w:val="en-US" w:eastAsia="zh-CN"/>
        </w:rPr>
        <w:t>/</w:t>
      </w:r>
      <w:r>
        <w:rPr>
          <w:rFonts w:hint="default"/>
          <w:color w:val="auto"/>
          <w:lang w:val="en-US" w:eastAsia="zh-CN"/>
        </w:rPr>
        <w:t>a计算，可满足矿山正常生产32</w:t>
      </w:r>
      <w:r>
        <w:rPr>
          <w:rFonts w:hint="eastAsia"/>
          <w:color w:val="auto"/>
          <w:lang w:val="en-US" w:eastAsia="zh-CN"/>
        </w:rPr>
        <w:t>.</w:t>
      </w:r>
      <w:r>
        <w:rPr>
          <w:rFonts w:hint="default"/>
          <w:color w:val="auto"/>
          <w:lang w:val="en-US" w:eastAsia="zh-CN"/>
        </w:rPr>
        <w:t>77年</w:t>
      </w:r>
      <w:r>
        <w:rPr>
          <w:rFonts w:hint="eastAsia"/>
          <w:color w:val="auto"/>
          <w:lang w:val="en-US" w:eastAsia="zh-CN"/>
        </w:rPr>
        <w:t>。</w:t>
      </w:r>
    </w:p>
    <w:p w14:paraId="576D70EE">
      <w:pPr>
        <w:pStyle w:val="24"/>
        <w:bidi w:val="0"/>
        <w:rPr>
          <w:rFonts w:hint="default"/>
          <w:color w:val="auto"/>
          <w:lang w:val="en-US" w:eastAsia="zh-CN"/>
        </w:rPr>
      </w:pPr>
      <w:r>
        <w:rPr>
          <w:rFonts w:hint="default"/>
          <w:color w:val="auto"/>
          <w:lang w:val="en-US" w:eastAsia="zh-CN"/>
        </w:rPr>
        <w:t>露天开采境界参数</w:t>
      </w:r>
    </w:p>
    <w:p w14:paraId="2BD0BE45">
      <w:pPr>
        <w:pStyle w:val="16"/>
        <w:rPr>
          <w:rFonts w:hint="eastAsia"/>
          <w:color w:val="auto"/>
          <w:lang w:val="en-US" w:eastAsia="zh-CN"/>
        </w:rPr>
      </w:pPr>
      <w:r>
        <w:rPr>
          <w:rFonts w:hint="default"/>
          <w:color w:val="auto"/>
          <w:lang w:val="en-US" w:eastAsia="zh-CN"/>
        </w:rPr>
        <w:t>设计确定</w:t>
      </w:r>
      <w:r>
        <w:rPr>
          <w:rFonts w:hint="eastAsia"/>
          <w:color w:val="auto"/>
          <w:lang w:val="en-US" w:eastAsia="zh-CN"/>
        </w:rPr>
        <w:t>矿山采用</w:t>
      </w:r>
      <w:r>
        <w:rPr>
          <w:rFonts w:hint="default"/>
          <w:color w:val="auto"/>
          <w:lang w:val="en-US" w:eastAsia="zh-CN"/>
        </w:rPr>
        <w:t>露天</w:t>
      </w:r>
      <w:r>
        <w:rPr>
          <w:rFonts w:hint="eastAsia"/>
          <w:color w:val="auto"/>
          <w:lang w:val="en-US" w:eastAsia="zh-CN"/>
        </w:rPr>
        <w:t>开采方式，采矿方法为水平分层采矿法，露天采场参数表如下：</w:t>
      </w:r>
    </w:p>
    <w:p w14:paraId="28B164BE">
      <w:pPr>
        <w:pStyle w:val="25"/>
        <w:bidi w:val="0"/>
        <w:rPr>
          <w:rFonts w:hint="default"/>
          <w:color w:val="auto"/>
          <w:lang w:val="en-US" w:eastAsia="zh-CN"/>
        </w:rPr>
      </w:pPr>
      <w:r>
        <w:rPr>
          <w:rFonts w:hint="eastAsia"/>
          <w:color w:val="auto"/>
          <w:lang w:val="en-US" w:eastAsia="zh-CN"/>
        </w:rPr>
        <w:t>表2.4-1  露天采场参数表</w:t>
      </w:r>
    </w:p>
    <w:tbl>
      <w:tblPr>
        <w:tblStyle w:val="19"/>
        <w:tblW w:w="9195"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40"/>
        <w:gridCol w:w="3038"/>
        <w:gridCol w:w="940"/>
        <w:gridCol w:w="1779"/>
        <w:gridCol w:w="2398"/>
      </w:tblGrid>
      <w:tr w14:paraId="3495E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FB1F7">
            <w:pPr>
              <w:pStyle w:val="26"/>
              <w:bidi w:val="0"/>
              <w:ind w:left="0" w:leftChars="0" w:right="0" w:rightChars="0" w:firstLine="0" w:firstLineChars="0"/>
              <w:jc w:val="center"/>
              <w:rPr>
                <w:rFonts w:hint="eastAsia"/>
                <w:color w:val="auto"/>
              </w:rPr>
            </w:pPr>
            <w:r>
              <w:rPr>
                <w:color w:val="auto"/>
                <w:lang w:val="en-US" w:eastAsia="zh-CN"/>
              </w:rPr>
              <w:t>序号</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0EAE4">
            <w:pPr>
              <w:pStyle w:val="26"/>
              <w:bidi w:val="0"/>
              <w:ind w:left="0" w:leftChars="0" w:right="0" w:rightChars="0" w:firstLine="0" w:firstLineChars="0"/>
              <w:jc w:val="center"/>
              <w:rPr>
                <w:rFonts w:hint="eastAsia"/>
                <w:color w:val="auto"/>
              </w:rPr>
            </w:pPr>
            <w:r>
              <w:rPr>
                <w:color w:val="auto"/>
                <w:lang w:val="en-US" w:eastAsia="zh-CN"/>
              </w:rPr>
              <w:t>项目名称</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80DD">
            <w:pPr>
              <w:pStyle w:val="26"/>
              <w:bidi w:val="0"/>
              <w:ind w:left="0" w:leftChars="0" w:right="0" w:rightChars="0" w:firstLine="0" w:firstLineChars="0"/>
              <w:jc w:val="center"/>
              <w:rPr>
                <w:rFonts w:hint="eastAsia"/>
                <w:color w:val="auto"/>
              </w:rPr>
            </w:pPr>
            <w:r>
              <w:rPr>
                <w:color w:val="auto"/>
                <w:lang w:val="en-US" w:eastAsia="zh-CN"/>
              </w:rPr>
              <w:t>单位</w:t>
            </w:r>
          </w:p>
        </w:tc>
        <w:tc>
          <w:tcPr>
            <w:tcW w:w="1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FFCB7">
            <w:pPr>
              <w:pStyle w:val="26"/>
              <w:bidi w:val="0"/>
              <w:ind w:left="0" w:leftChars="0" w:right="0" w:rightChars="0" w:firstLine="0" w:firstLineChars="0"/>
              <w:jc w:val="center"/>
              <w:rPr>
                <w:rFonts w:hint="eastAsia"/>
                <w:color w:val="auto"/>
              </w:rPr>
            </w:pPr>
            <w:r>
              <w:rPr>
                <w:color w:val="auto"/>
                <w:lang w:val="en-US" w:eastAsia="zh-CN"/>
              </w:rPr>
              <w:t>数值</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5E1EA">
            <w:pPr>
              <w:pStyle w:val="26"/>
              <w:bidi w:val="0"/>
              <w:ind w:left="0" w:leftChars="0" w:right="0" w:rightChars="0" w:firstLine="0" w:firstLineChars="0"/>
              <w:jc w:val="center"/>
              <w:rPr>
                <w:rFonts w:hint="eastAsia"/>
                <w:color w:val="auto"/>
              </w:rPr>
            </w:pPr>
            <w:r>
              <w:rPr>
                <w:color w:val="auto"/>
                <w:lang w:val="en-US" w:eastAsia="zh-CN"/>
              </w:rPr>
              <w:t>备注</w:t>
            </w:r>
          </w:p>
        </w:tc>
      </w:tr>
      <w:tr w14:paraId="7B2B1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B22CE">
            <w:pPr>
              <w:pStyle w:val="26"/>
              <w:bidi w:val="0"/>
              <w:ind w:left="0" w:leftChars="0" w:right="0" w:rightChars="0" w:firstLine="0" w:firstLineChars="0"/>
              <w:jc w:val="center"/>
              <w:rPr>
                <w:color w:val="auto"/>
              </w:rPr>
            </w:pPr>
            <w:r>
              <w:rPr>
                <w:rFonts w:hint="default"/>
                <w:color w:val="auto"/>
                <w:lang w:val="en-US" w:eastAsia="zh-CN"/>
              </w:rPr>
              <w:t>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ABBD0">
            <w:pPr>
              <w:pStyle w:val="26"/>
              <w:bidi w:val="0"/>
              <w:ind w:left="0" w:leftChars="0" w:right="0" w:rightChars="0" w:firstLine="0" w:firstLineChars="0"/>
              <w:jc w:val="center"/>
              <w:rPr>
                <w:rFonts w:hint="eastAsia"/>
                <w:color w:val="auto"/>
              </w:rPr>
            </w:pPr>
            <w:r>
              <w:rPr>
                <w:color w:val="auto"/>
                <w:lang w:val="en-US" w:eastAsia="zh-CN"/>
              </w:rPr>
              <w:t>采场：长</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95FFC">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B3EF7">
            <w:pPr>
              <w:pStyle w:val="26"/>
              <w:bidi w:val="0"/>
              <w:ind w:left="0" w:leftChars="0" w:right="0" w:rightChars="0" w:firstLine="0" w:firstLineChars="0"/>
              <w:jc w:val="center"/>
              <w:rPr>
                <w:rFonts w:hint="default"/>
                <w:color w:val="auto"/>
              </w:rPr>
            </w:pPr>
            <w:r>
              <w:rPr>
                <w:rFonts w:hint="default"/>
                <w:color w:val="auto"/>
                <w:lang w:val="en-US" w:eastAsia="zh-CN"/>
              </w:rPr>
              <w:t>470</w:t>
            </w:r>
          </w:p>
        </w:tc>
        <w:tc>
          <w:tcPr>
            <w:tcW w:w="2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3FD3BD">
            <w:pPr>
              <w:pStyle w:val="26"/>
              <w:bidi w:val="0"/>
              <w:ind w:left="0" w:leftChars="0" w:right="0" w:rightChars="0" w:firstLine="0" w:firstLineChars="0"/>
              <w:jc w:val="center"/>
              <w:rPr>
                <w:rFonts w:hint="default"/>
                <w:color w:val="auto"/>
              </w:rPr>
            </w:pPr>
            <w:r>
              <w:rPr>
                <w:color w:val="auto"/>
                <w:lang w:val="en-US" w:eastAsia="zh-CN"/>
              </w:rPr>
              <w:t>采场 1</w:t>
            </w:r>
          </w:p>
        </w:tc>
      </w:tr>
      <w:tr w14:paraId="317D5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05456">
            <w:pPr>
              <w:pStyle w:val="26"/>
              <w:bidi w:val="0"/>
              <w:ind w:left="0" w:leftChars="0" w:right="0" w:rightChars="0" w:firstLine="0" w:firstLineChars="0"/>
              <w:jc w:val="center"/>
              <w:rPr>
                <w:rFonts w:hint="default"/>
                <w:color w:val="auto"/>
              </w:rPr>
            </w:pP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C1832">
            <w:pPr>
              <w:pStyle w:val="26"/>
              <w:bidi w:val="0"/>
              <w:ind w:left="0" w:leftChars="0" w:right="0" w:rightChars="0" w:firstLine="0" w:firstLineChars="0"/>
              <w:jc w:val="center"/>
              <w:rPr>
                <w:rFonts w:hint="eastAsia"/>
                <w:color w:val="auto"/>
              </w:rPr>
            </w:pPr>
            <w:r>
              <w:rPr>
                <w:color w:val="auto"/>
                <w:lang w:val="en-US" w:eastAsia="zh-CN"/>
              </w:rPr>
              <w:t>宽</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39331">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E7460">
            <w:pPr>
              <w:pStyle w:val="26"/>
              <w:bidi w:val="0"/>
              <w:ind w:left="0" w:leftChars="0" w:right="0" w:rightChars="0" w:firstLine="0" w:firstLineChars="0"/>
              <w:jc w:val="center"/>
              <w:rPr>
                <w:rFonts w:hint="default"/>
                <w:color w:val="auto"/>
              </w:rPr>
            </w:pPr>
            <w:r>
              <w:rPr>
                <w:rFonts w:hint="default"/>
                <w:color w:val="auto"/>
                <w:lang w:val="en-US" w:eastAsia="zh-CN"/>
              </w:rPr>
              <w:t>110</w:t>
            </w:r>
          </w:p>
        </w:tc>
        <w:tc>
          <w:tcPr>
            <w:tcW w:w="2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026465">
            <w:pPr>
              <w:pStyle w:val="26"/>
              <w:bidi w:val="0"/>
              <w:ind w:left="0" w:leftChars="0" w:right="0" w:rightChars="0" w:firstLine="0" w:firstLineChars="0"/>
              <w:jc w:val="center"/>
              <w:rPr>
                <w:rFonts w:hint="default"/>
                <w:color w:val="auto"/>
              </w:rPr>
            </w:pPr>
          </w:p>
        </w:tc>
      </w:tr>
      <w:tr w14:paraId="1C07A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0A935">
            <w:pPr>
              <w:pStyle w:val="26"/>
              <w:bidi w:val="0"/>
              <w:ind w:left="0" w:leftChars="0" w:right="0" w:rightChars="0" w:firstLine="0" w:firstLineChars="0"/>
              <w:jc w:val="center"/>
              <w:rPr>
                <w:rFonts w:hint="default"/>
                <w:color w:val="auto"/>
              </w:rPr>
            </w:pPr>
            <w:r>
              <w:rPr>
                <w:rFonts w:hint="default"/>
                <w:color w:val="auto"/>
                <w:lang w:val="en-US" w:eastAsia="zh-CN"/>
              </w:rPr>
              <w:t>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AB165">
            <w:pPr>
              <w:pStyle w:val="26"/>
              <w:bidi w:val="0"/>
              <w:ind w:left="0" w:leftChars="0" w:right="0" w:rightChars="0" w:firstLine="0" w:firstLineChars="0"/>
              <w:jc w:val="center"/>
              <w:rPr>
                <w:rFonts w:hint="eastAsia"/>
                <w:color w:val="auto"/>
              </w:rPr>
            </w:pPr>
            <w:r>
              <w:rPr>
                <w:color w:val="auto"/>
                <w:lang w:val="en-US" w:eastAsia="zh-CN"/>
              </w:rPr>
              <w:t>采场：长</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48188">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BB32A">
            <w:pPr>
              <w:pStyle w:val="26"/>
              <w:bidi w:val="0"/>
              <w:ind w:left="0" w:leftChars="0" w:right="0" w:rightChars="0" w:firstLine="0" w:firstLineChars="0"/>
              <w:jc w:val="center"/>
              <w:rPr>
                <w:rFonts w:hint="default"/>
                <w:color w:val="auto"/>
              </w:rPr>
            </w:pPr>
            <w:r>
              <w:rPr>
                <w:rFonts w:hint="default"/>
                <w:color w:val="auto"/>
                <w:lang w:val="en-US" w:eastAsia="zh-CN"/>
              </w:rPr>
              <w:t>170</w:t>
            </w:r>
          </w:p>
        </w:tc>
        <w:tc>
          <w:tcPr>
            <w:tcW w:w="2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DE3D7A">
            <w:pPr>
              <w:pStyle w:val="26"/>
              <w:bidi w:val="0"/>
              <w:ind w:left="0" w:leftChars="0" w:right="0" w:rightChars="0" w:firstLine="0" w:firstLineChars="0"/>
              <w:jc w:val="center"/>
              <w:rPr>
                <w:rFonts w:hint="default"/>
                <w:color w:val="auto"/>
              </w:rPr>
            </w:pPr>
            <w:r>
              <w:rPr>
                <w:color w:val="auto"/>
                <w:lang w:val="en-US" w:eastAsia="zh-CN"/>
              </w:rPr>
              <w:t>采场 2</w:t>
            </w:r>
          </w:p>
        </w:tc>
      </w:tr>
      <w:tr w14:paraId="7E958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92763">
            <w:pPr>
              <w:pStyle w:val="26"/>
              <w:bidi w:val="0"/>
              <w:ind w:left="0" w:leftChars="0" w:right="0" w:rightChars="0" w:firstLine="0" w:firstLineChars="0"/>
              <w:jc w:val="center"/>
              <w:rPr>
                <w:rFonts w:hint="default"/>
                <w:color w:val="auto"/>
              </w:rPr>
            </w:pP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DB310">
            <w:pPr>
              <w:pStyle w:val="26"/>
              <w:bidi w:val="0"/>
              <w:ind w:left="0" w:leftChars="0" w:right="0" w:rightChars="0" w:firstLine="0" w:firstLineChars="0"/>
              <w:jc w:val="center"/>
              <w:rPr>
                <w:rFonts w:hint="eastAsia"/>
                <w:color w:val="auto"/>
              </w:rPr>
            </w:pPr>
            <w:r>
              <w:rPr>
                <w:color w:val="auto"/>
                <w:lang w:val="en-US" w:eastAsia="zh-CN"/>
              </w:rPr>
              <w:t>宽</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3C527">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8C042">
            <w:pPr>
              <w:pStyle w:val="26"/>
              <w:bidi w:val="0"/>
              <w:ind w:left="0" w:leftChars="0" w:right="0" w:rightChars="0" w:firstLine="0" w:firstLineChars="0"/>
              <w:jc w:val="center"/>
              <w:rPr>
                <w:rFonts w:hint="default"/>
                <w:color w:val="auto"/>
              </w:rPr>
            </w:pPr>
            <w:r>
              <w:rPr>
                <w:rFonts w:hint="default"/>
                <w:color w:val="auto"/>
                <w:lang w:val="en-US" w:eastAsia="zh-CN"/>
              </w:rPr>
              <w:t>90</w:t>
            </w:r>
          </w:p>
        </w:tc>
        <w:tc>
          <w:tcPr>
            <w:tcW w:w="2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83561C">
            <w:pPr>
              <w:pStyle w:val="26"/>
              <w:bidi w:val="0"/>
              <w:ind w:left="0" w:leftChars="0" w:right="0" w:rightChars="0" w:firstLine="0" w:firstLineChars="0"/>
              <w:jc w:val="center"/>
              <w:rPr>
                <w:rFonts w:hint="default"/>
                <w:color w:val="auto"/>
              </w:rPr>
            </w:pPr>
          </w:p>
        </w:tc>
      </w:tr>
      <w:tr w14:paraId="647D4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FD563">
            <w:pPr>
              <w:pStyle w:val="26"/>
              <w:bidi w:val="0"/>
              <w:ind w:left="0" w:leftChars="0" w:right="0" w:rightChars="0" w:firstLine="0" w:firstLineChars="0"/>
              <w:jc w:val="center"/>
              <w:rPr>
                <w:rFonts w:hint="default"/>
                <w:color w:val="auto"/>
              </w:rPr>
            </w:pPr>
            <w:r>
              <w:rPr>
                <w:rFonts w:hint="default"/>
                <w:color w:val="auto"/>
                <w:lang w:val="en-US" w:eastAsia="zh-CN"/>
              </w:rPr>
              <w:t>3</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83A5C">
            <w:pPr>
              <w:pStyle w:val="26"/>
              <w:bidi w:val="0"/>
              <w:ind w:left="0" w:leftChars="0" w:right="0" w:rightChars="0" w:firstLine="0" w:firstLineChars="0"/>
              <w:jc w:val="center"/>
              <w:rPr>
                <w:rFonts w:hint="eastAsia"/>
                <w:color w:val="auto"/>
              </w:rPr>
            </w:pPr>
            <w:r>
              <w:rPr>
                <w:color w:val="auto"/>
                <w:lang w:val="en-US" w:eastAsia="zh-CN"/>
              </w:rPr>
              <w:t>采场：长</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49517">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69F08">
            <w:pPr>
              <w:pStyle w:val="26"/>
              <w:bidi w:val="0"/>
              <w:ind w:left="0" w:leftChars="0" w:right="0" w:rightChars="0" w:firstLine="0" w:firstLineChars="0"/>
              <w:jc w:val="center"/>
              <w:rPr>
                <w:rFonts w:hint="default"/>
                <w:color w:val="auto"/>
              </w:rPr>
            </w:pPr>
            <w:r>
              <w:rPr>
                <w:rFonts w:hint="default"/>
                <w:color w:val="auto"/>
                <w:lang w:val="en-US" w:eastAsia="zh-CN"/>
              </w:rPr>
              <w:t>340</w:t>
            </w:r>
          </w:p>
        </w:tc>
        <w:tc>
          <w:tcPr>
            <w:tcW w:w="2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3A4FC4">
            <w:pPr>
              <w:pStyle w:val="26"/>
              <w:bidi w:val="0"/>
              <w:ind w:left="0" w:leftChars="0" w:right="0" w:rightChars="0" w:firstLine="0" w:firstLineChars="0"/>
              <w:jc w:val="center"/>
              <w:rPr>
                <w:rFonts w:hint="default"/>
                <w:color w:val="auto"/>
              </w:rPr>
            </w:pPr>
            <w:r>
              <w:rPr>
                <w:color w:val="auto"/>
                <w:lang w:val="en-US" w:eastAsia="zh-CN"/>
              </w:rPr>
              <w:t>采场 3</w:t>
            </w:r>
          </w:p>
        </w:tc>
      </w:tr>
      <w:tr w14:paraId="331EB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B0B3E">
            <w:pPr>
              <w:pStyle w:val="26"/>
              <w:bidi w:val="0"/>
              <w:ind w:left="0" w:leftChars="0" w:right="0" w:rightChars="0" w:firstLine="0" w:firstLineChars="0"/>
              <w:jc w:val="center"/>
              <w:rPr>
                <w:rFonts w:hint="default"/>
                <w:color w:val="auto"/>
              </w:rPr>
            </w:pP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7C6F5">
            <w:pPr>
              <w:pStyle w:val="26"/>
              <w:bidi w:val="0"/>
              <w:ind w:left="0" w:leftChars="0" w:right="0" w:rightChars="0" w:firstLine="0" w:firstLineChars="0"/>
              <w:jc w:val="center"/>
              <w:rPr>
                <w:rFonts w:hint="eastAsia"/>
                <w:color w:val="auto"/>
              </w:rPr>
            </w:pPr>
            <w:r>
              <w:rPr>
                <w:color w:val="auto"/>
                <w:lang w:val="en-US" w:eastAsia="zh-CN"/>
              </w:rPr>
              <w:t>宽</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8521">
            <w:pPr>
              <w:pStyle w:val="26"/>
              <w:bidi w:val="0"/>
              <w:ind w:left="0" w:leftChars="0" w:right="0" w:rightChars="0" w:firstLine="0" w:firstLineChars="0"/>
              <w:jc w:val="center"/>
              <w:rPr>
                <w:rFonts w:hint="default"/>
                <w:color w:val="auto"/>
              </w:rPr>
            </w:pPr>
            <w:r>
              <w:rPr>
                <w:rFonts w:hint="eastAsia"/>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36420">
            <w:pPr>
              <w:pStyle w:val="26"/>
              <w:bidi w:val="0"/>
              <w:ind w:left="0" w:leftChars="0" w:right="0" w:rightChars="0" w:firstLine="0" w:firstLineChars="0"/>
              <w:jc w:val="center"/>
              <w:rPr>
                <w:rFonts w:hint="default"/>
                <w:color w:val="auto"/>
              </w:rPr>
            </w:pPr>
            <w:r>
              <w:rPr>
                <w:rFonts w:hint="default"/>
                <w:color w:val="auto"/>
                <w:lang w:val="en-US" w:eastAsia="zh-CN"/>
              </w:rPr>
              <w:t>90</w:t>
            </w:r>
          </w:p>
        </w:tc>
        <w:tc>
          <w:tcPr>
            <w:tcW w:w="2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68208E">
            <w:pPr>
              <w:pStyle w:val="26"/>
              <w:bidi w:val="0"/>
              <w:ind w:left="0" w:leftChars="0" w:right="0" w:rightChars="0" w:firstLine="0" w:firstLineChars="0"/>
              <w:jc w:val="center"/>
              <w:rPr>
                <w:rFonts w:hint="default"/>
                <w:color w:val="auto"/>
              </w:rPr>
            </w:pPr>
          </w:p>
        </w:tc>
      </w:tr>
      <w:tr w14:paraId="0C33D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E37F4">
            <w:pPr>
              <w:pStyle w:val="26"/>
              <w:bidi w:val="0"/>
              <w:ind w:left="0" w:leftChars="0" w:right="0" w:rightChars="0" w:firstLine="0" w:firstLineChars="0"/>
              <w:jc w:val="center"/>
              <w:rPr>
                <w:rFonts w:hint="default"/>
                <w:color w:val="auto"/>
              </w:rPr>
            </w:pPr>
            <w:r>
              <w:rPr>
                <w:rFonts w:hint="default"/>
                <w:color w:val="auto"/>
                <w:lang w:val="en-US" w:eastAsia="zh-CN"/>
              </w:rPr>
              <w:t>4</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18037">
            <w:pPr>
              <w:pStyle w:val="26"/>
              <w:bidi w:val="0"/>
              <w:ind w:left="0" w:leftChars="0" w:right="0" w:rightChars="0" w:firstLine="0" w:firstLineChars="0"/>
              <w:jc w:val="center"/>
              <w:rPr>
                <w:rFonts w:hint="eastAsia"/>
                <w:color w:val="auto"/>
              </w:rPr>
            </w:pPr>
            <w:r>
              <w:rPr>
                <w:color w:val="auto"/>
                <w:lang w:val="en-US" w:eastAsia="zh-CN"/>
              </w:rPr>
              <w:t>采场内地形最高标高</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719A2">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4FA8E">
            <w:pPr>
              <w:pStyle w:val="26"/>
              <w:bidi w:val="0"/>
              <w:ind w:left="0" w:leftChars="0" w:right="0" w:rightChars="0" w:firstLine="0" w:firstLineChars="0"/>
              <w:jc w:val="center"/>
              <w:rPr>
                <w:rFonts w:hint="default"/>
                <w:color w:val="auto"/>
              </w:rPr>
            </w:pPr>
            <w:r>
              <w:rPr>
                <w:rFonts w:hint="default"/>
                <w:color w:val="auto"/>
                <w:lang w:val="en-US" w:eastAsia="zh-CN"/>
              </w:rPr>
              <w:t>430</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F8783">
            <w:pPr>
              <w:pStyle w:val="26"/>
              <w:bidi w:val="0"/>
              <w:ind w:left="0" w:leftChars="0" w:right="0" w:rightChars="0" w:firstLine="0" w:firstLineChars="0"/>
              <w:jc w:val="center"/>
              <w:rPr>
                <w:rFonts w:hint="default"/>
                <w:color w:val="auto"/>
              </w:rPr>
            </w:pPr>
          </w:p>
        </w:tc>
      </w:tr>
      <w:tr w14:paraId="0356F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B4D08">
            <w:pPr>
              <w:pStyle w:val="26"/>
              <w:bidi w:val="0"/>
              <w:ind w:left="0" w:leftChars="0" w:right="0" w:rightChars="0" w:firstLine="0" w:firstLineChars="0"/>
              <w:jc w:val="center"/>
              <w:rPr>
                <w:rFonts w:hint="default"/>
                <w:color w:val="auto"/>
              </w:rPr>
            </w:pPr>
            <w:r>
              <w:rPr>
                <w:rFonts w:hint="default"/>
                <w:color w:val="auto"/>
                <w:lang w:val="en-US" w:eastAsia="zh-CN"/>
              </w:rPr>
              <w:t>5</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C2184">
            <w:pPr>
              <w:pStyle w:val="26"/>
              <w:bidi w:val="0"/>
              <w:ind w:left="0" w:leftChars="0" w:right="0" w:rightChars="0" w:firstLine="0" w:firstLineChars="0"/>
              <w:jc w:val="center"/>
              <w:rPr>
                <w:rFonts w:hint="eastAsia"/>
                <w:color w:val="auto"/>
              </w:rPr>
            </w:pPr>
            <w:r>
              <w:rPr>
                <w:color w:val="auto"/>
                <w:lang w:val="en-US" w:eastAsia="zh-CN"/>
              </w:rPr>
              <w:t>采场底部标高</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78571">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D9E85">
            <w:pPr>
              <w:pStyle w:val="26"/>
              <w:bidi w:val="0"/>
              <w:ind w:left="0" w:leftChars="0" w:right="0" w:rightChars="0" w:firstLine="0" w:firstLineChars="0"/>
              <w:jc w:val="center"/>
              <w:rPr>
                <w:rFonts w:hint="default"/>
                <w:color w:val="auto"/>
              </w:rPr>
            </w:pPr>
            <w:r>
              <w:rPr>
                <w:rFonts w:hint="default"/>
                <w:color w:val="auto"/>
                <w:lang w:val="en-US" w:eastAsia="zh-CN"/>
              </w:rPr>
              <w:t>330</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55C4E">
            <w:pPr>
              <w:pStyle w:val="26"/>
              <w:bidi w:val="0"/>
              <w:ind w:left="0" w:leftChars="0" w:right="0" w:rightChars="0" w:firstLine="0" w:firstLineChars="0"/>
              <w:jc w:val="center"/>
              <w:rPr>
                <w:rFonts w:hint="default"/>
                <w:color w:val="auto"/>
              </w:rPr>
            </w:pPr>
          </w:p>
        </w:tc>
      </w:tr>
      <w:tr w14:paraId="3C518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DE99E">
            <w:pPr>
              <w:pStyle w:val="26"/>
              <w:bidi w:val="0"/>
              <w:ind w:left="0" w:leftChars="0" w:right="0" w:rightChars="0" w:firstLine="0" w:firstLineChars="0"/>
              <w:jc w:val="center"/>
              <w:rPr>
                <w:rFonts w:hint="default"/>
                <w:color w:val="auto"/>
              </w:rPr>
            </w:pPr>
            <w:r>
              <w:rPr>
                <w:rFonts w:hint="default"/>
                <w:color w:val="auto"/>
                <w:lang w:val="en-US" w:eastAsia="zh-CN"/>
              </w:rPr>
              <w:t>6</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AD369">
            <w:pPr>
              <w:pStyle w:val="26"/>
              <w:bidi w:val="0"/>
              <w:ind w:left="0" w:leftChars="0" w:right="0" w:rightChars="0" w:firstLine="0" w:firstLineChars="0"/>
              <w:jc w:val="center"/>
              <w:rPr>
                <w:rFonts w:hint="eastAsia"/>
                <w:color w:val="auto"/>
              </w:rPr>
            </w:pPr>
            <w:r>
              <w:rPr>
                <w:color w:val="auto"/>
                <w:lang w:val="en-US" w:eastAsia="zh-CN"/>
              </w:rPr>
              <w:t>采场最大深度</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C1EAA">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F9D36">
            <w:pPr>
              <w:pStyle w:val="26"/>
              <w:bidi w:val="0"/>
              <w:ind w:left="0" w:leftChars="0" w:right="0" w:rightChars="0" w:firstLine="0" w:firstLineChars="0"/>
              <w:jc w:val="center"/>
              <w:rPr>
                <w:rFonts w:hint="default"/>
                <w:color w:val="auto"/>
              </w:rPr>
            </w:pPr>
            <w:r>
              <w:rPr>
                <w:rFonts w:hint="default"/>
                <w:color w:val="auto"/>
                <w:lang w:val="en-US" w:eastAsia="zh-CN"/>
              </w:rPr>
              <w:t>100</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561E4">
            <w:pPr>
              <w:pStyle w:val="26"/>
              <w:bidi w:val="0"/>
              <w:ind w:left="0" w:leftChars="0" w:right="0" w:rightChars="0" w:firstLine="0" w:firstLineChars="0"/>
              <w:jc w:val="center"/>
              <w:rPr>
                <w:rFonts w:hint="default"/>
                <w:color w:val="auto"/>
              </w:rPr>
            </w:pPr>
          </w:p>
        </w:tc>
      </w:tr>
      <w:tr w14:paraId="584E3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C76A1">
            <w:pPr>
              <w:pStyle w:val="26"/>
              <w:bidi w:val="0"/>
              <w:ind w:left="0" w:leftChars="0" w:right="0" w:rightChars="0" w:firstLine="0" w:firstLineChars="0"/>
              <w:jc w:val="center"/>
              <w:rPr>
                <w:rFonts w:hint="default"/>
                <w:color w:val="auto"/>
              </w:rPr>
            </w:pPr>
            <w:r>
              <w:rPr>
                <w:rFonts w:hint="default"/>
                <w:color w:val="auto"/>
                <w:lang w:val="en-US" w:eastAsia="zh-CN"/>
              </w:rPr>
              <w:t>7</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3214">
            <w:pPr>
              <w:pStyle w:val="26"/>
              <w:bidi w:val="0"/>
              <w:ind w:left="0" w:leftChars="0" w:right="0" w:rightChars="0" w:firstLine="0" w:firstLineChars="0"/>
              <w:jc w:val="center"/>
              <w:rPr>
                <w:rFonts w:hint="eastAsia"/>
                <w:color w:val="auto"/>
              </w:rPr>
            </w:pPr>
            <w:r>
              <w:rPr>
                <w:color w:val="auto"/>
                <w:lang w:val="en-US" w:eastAsia="zh-CN"/>
              </w:rPr>
              <w:t>段高</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D4FFD">
            <w:pPr>
              <w:pStyle w:val="26"/>
              <w:bidi w:val="0"/>
              <w:ind w:left="0" w:leftChars="0" w:right="0" w:rightChars="0" w:firstLine="0" w:firstLineChars="0"/>
              <w:jc w:val="center"/>
              <w:rPr>
                <w:rFonts w:hint="default"/>
                <w:color w:val="auto"/>
              </w:rPr>
            </w:pPr>
            <w:r>
              <w:rPr>
                <w:color w:val="auto"/>
                <w:lang w:val="en-US" w:eastAsia="zh-CN"/>
              </w:rPr>
              <w:t>rn</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0B4E8">
            <w:pPr>
              <w:pStyle w:val="26"/>
              <w:bidi w:val="0"/>
              <w:ind w:left="0" w:leftChars="0" w:right="0" w:rightChars="0" w:firstLine="0" w:firstLineChars="0"/>
              <w:jc w:val="center"/>
              <w:rPr>
                <w:rFonts w:hint="default"/>
                <w:color w:val="auto"/>
              </w:rPr>
            </w:pPr>
            <w:r>
              <w:rPr>
                <w:rFonts w:hint="default"/>
                <w:color w:val="auto"/>
                <w:lang w:val="en-US" w:eastAsia="zh-CN"/>
              </w:rPr>
              <w:t>10</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C1AD7">
            <w:pPr>
              <w:pStyle w:val="26"/>
              <w:bidi w:val="0"/>
              <w:ind w:left="0" w:leftChars="0" w:right="0" w:rightChars="0" w:firstLine="0" w:firstLineChars="0"/>
              <w:jc w:val="center"/>
              <w:rPr>
                <w:rFonts w:hint="default"/>
                <w:color w:val="auto"/>
              </w:rPr>
            </w:pPr>
          </w:p>
        </w:tc>
      </w:tr>
      <w:tr w14:paraId="007EF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54CB1">
            <w:pPr>
              <w:pStyle w:val="26"/>
              <w:bidi w:val="0"/>
              <w:ind w:left="0" w:leftChars="0" w:right="0" w:rightChars="0" w:firstLine="0" w:firstLineChars="0"/>
              <w:jc w:val="center"/>
              <w:rPr>
                <w:rFonts w:hint="default"/>
                <w:color w:val="auto"/>
              </w:rPr>
            </w:pPr>
            <w:r>
              <w:rPr>
                <w:rFonts w:hint="default"/>
                <w:color w:val="auto"/>
                <w:lang w:val="en-US" w:eastAsia="zh-CN"/>
              </w:rPr>
              <w:t>8</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2C20">
            <w:pPr>
              <w:pStyle w:val="26"/>
              <w:bidi w:val="0"/>
              <w:ind w:left="0" w:leftChars="0" w:right="0" w:rightChars="0" w:firstLine="0" w:firstLineChars="0"/>
              <w:jc w:val="center"/>
              <w:rPr>
                <w:rFonts w:hint="eastAsia"/>
                <w:color w:val="auto"/>
              </w:rPr>
            </w:pPr>
            <w:r>
              <w:rPr>
                <w:color w:val="auto"/>
                <w:lang w:val="en-US" w:eastAsia="zh-CN"/>
              </w:rPr>
              <w:t>安全平台宽度：</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38B85">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30FCD">
            <w:pPr>
              <w:pStyle w:val="26"/>
              <w:bidi w:val="0"/>
              <w:ind w:left="0" w:leftChars="0" w:right="0" w:rightChars="0" w:firstLine="0" w:firstLineChars="0"/>
              <w:jc w:val="center"/>
              <w:rPr>
                <w:rFonts w:hint="default"/>
                <w:color w:val="auto"/>
              </w:rPr>
            </w:pPr>
            <w:r>
              <w:rPr>
                <w:rFonts w:hint="default"/>
                <w:color w:val="auto"/>
                <w:lang w:val="en-US" w:eastAsia="zh-CN"/>
              </w:rPr>
              <w:t>5</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022D3">
            <w:pPr>
              <w:pStyle w:val="26"/>
              <w:bidi w:val="0"/>
              <w:ind w:left="0" w:leftChars="0" w:right="0" w:rightChars="0" w:firstLine="0" w:firstLineChars="0"/>
              <w:jc w:val="center"/>
              <w:rPr>
                <w:rFonts w:hint="default"/>
                <w:color w:val="auto"/>
              </w:rPr>
            </w:pPr>
          </w:p>
        </w:tc>
      </w:tr>
      <w:tr w14:paraId="62CBF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1A737">
            <w:pPr>
              <w:pStyle w:val="26"/>
              <w:bidi w:val="0"/>
              <w:ind w:left="0" w:leftChars="0" w:right="0" w:rightChars="0" w:firstLine="0" w:firstLineChars="0"/>
              <w:jc w:val="center"/>
              <w:rPr>
                <w:rFonts w:hint="default"/>
                <w:color w:val="auto"/>
              </w:rPr>
            </w:pPr>
            <w:r>
              <w:rPr>
                <w:rFonts w:hint="default"/>
                <w:color w:val="auto"/>
                <w:lang w:val="en-US" w:eastAsia="zh-CN"/>
              </w:rPr>
              <w:t>9</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6DE4">
            <w:pPr>
              <w:pStyle w:val="26"/>
              <w:bidi w:val="0"/>
              <w:ind w:left="0" w:leftChars="0" w:right="0" w:rightChars="0" w:firstLine="0" w:firstLineChars="0"/>
              <w:jc w:val="center"/>
              <w:rPr>
                <w:rFonts w:hint="eastAsia"/>
                <w:color w:val="auto"/>
              </w:rPr>
            </w:pPr>
            <w:r>
              <w:rPr>
                <w:color w:val="auto"/>
                <w:lang w:val="en-US" w:eastAsia="zh-CN"/>
              </w:rPr>
              <w:t>清扫平台宽度：</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73AAC">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FF54B">
            <w:pPr>
              <w:pStyle w:val="26"/>
              <w:bidi w:val="0"/>
              <w:ind w:left="0" w:leftChars="0" w:right="0" w:rightChars="0" w:firstLine="0" w:firstLineChars="0"/>
              <w:jc w:val="center"/>
              <w:rPr>
                <w:rFonts w:hint="default"/>
                <w:color w:val="auto"/>
              </w:rPr>
            </w:pPr>
            <w:r>
              <w:rPr>
                <w:rFonts w:hint="default"/>
                <w:color w:val="auto"/>
                <w:lang w:val="en-US" w:eastAsia="zh-CN"/>
              </w:rPr>
              <w:t>7</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803A5">
            <w:pPr>
              <w:pStyle w:val="26"/>
              <w:bidi w:val="0"/>
              <w:ind w:left="0" w:leftChars="0" w:right="0" w:rightChars="0" w:firstLine="0" w:firstLineChars="0"/>
              <w:jc w:val="center"/>
              <w:rPr>
                <w:rFonts w:hint="default"/>
                <w:color w:val="auto"/>
              </w:rPr>
            </w:pPr>
          </w:p>
        </w:tc>
      </w:tr>
      <w:tr w14:paraId="1DF00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1A885">
            <w:pPr>
              <w:pStyle w:val="26"/>
              <w:bidi w:val="0"/>
              <w:ind w:left="0" w:leftChars="0" w:right="0" w:rightChars="0" w:firstLine="0" w:firstLineChars="0"/>
              <w:jc w:val="center"/>
              <w:rPr>
                <w:rFonts w:hint="default"/>
                <w:color w:val="auto"/>
              </w:rPr>
            </w:pPr>
            <w:r>
              <w:rPr>
                <w:rFonts w:hint="default"/>
                <w:color w:val="auto"/>
                <w:lang w:val="en-US" w:eastAsia="zh-CN"/>
              </w:rPr>
              <w:t>10</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27D5">
            <w:pPr>
              <w:pStyle w:val="26"/>
              <w:bidi w:val="0"/>
              <w:ind w:left="0" w:leftChars="0" w:right="0" w:rightChars="0" w:firstLine="0" w:firstLineChars="0"/>
              <w:jc w:val="center"/>
              <w:rPr>
                <w:rFonts w:hint="eastAsia"/>
                <w:color w:val="auto"/>
              </w:rPr>
            </w:pPr>
            <w:r>
              <w:rPr>
                <w:color w:val="auto"/>
                <w:lang w:val="en-US" w:eastAsia="zh-CN"/>
              </w:rPr>
              <w:t>最小工作平台宽度</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560B">
            <w:pPr>
              <w:pStyle w:val="26"/>
              <w:bidi w:val="0"/>
              <w:ind w:left="0" w:leftChars="0" w:right="0" w:rightChars="0" w:firstLine="0" w:firstLineChars="0"/>
              <w:jc w:val="center"/>
              <w:rPr>
                <w:rFonts w:hint="default"/>
                <w:color w:val="auto"/>
              </w:rPr>
            </w:pPr>
            <w:r>
              <w:rPr>
                <w:color w:val="auto"/>
                <w:lang w:val="en-US" w:eastAsia="zh-CN"/>
              </w:rPr>
              <w:t>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8D1A9">
            <w:pPr>
              <w:pStyle w:val="26"/>
              <w:bidi w:val="0"/>
              <w:ind w:left="0" w:leftChars="0" w:right="0" w:rightChars="0" w:firstLine="0" w:firstLineChars="0"/>
              <w:jc w:val="center"/>
              <w:rPr>
                <w:rFonts w:hint="default"/>
                <w:color w:val="auto"/>
              </w:rPr>
            </w:pPr>
            <w:r>
              <w:rPr>
                <w:rFonts w:hint="default"/>
                <w:color w:val="auto"/>
                <w:lang w:val="en-US" w:eastAsia="zh-CN"/>
              </w:rPr>
              <w:t>15</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A243">
            <w:pPr>
              <w:pStyle w:val="26"/>
              <w:bidi w:val="0"/>
              <w:ind w:left="0" w:leftChars="0" w:right="0" w:rightChars="0" w:firstLine="0" w:firstLineChars="0"/>
              <w:jc w:val="center"/>
              <w:rPr>
                <w:rFonts w:hint="default"/>
                <w:color w:val="auto"/>
              </w:rPr>
            </w:pPr>
          </w:p>
        </w:tc>
      </w:tr>
      <w:tr w14:paraId="4202C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120A3">
            <w:pPr>
              <w:pStyle w:val="26"/>
              <w:bidi w:val="0"/>
              <w:ind w:left="0" w:leftChars="0" w:right="0" w:rightChars="0" w:firstLine="0" w:firstLineChars="0"/>
              <w:jc w:val="center"/>
              <w:rPr>
                <w:rFonts w:hint="default"/>
                <w:color w:val="auto"/>
              </w:rPr>
            </w:pPr>
            <w:r>
              <w:rPr>
                <w:rFonts w:hint="default"/>
                <w:color w:val="auto"/>
                <w:lang w:val="en-US" w:eastAsia="zh-CN"/>
              </w:rPr>
              <w:t>11</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57D0D">
            <w:pPr>
              <w:pStyle w:val="26"/>
              <w:bidi w:val="0"/>
              <w:ind w:left="0" w:leftChars="0" w:right="0" w:rightChars="0" w:firstLine="0" w:firstLineChars="0"/>
              <w:jc w:val="center"/>
              <w:rPr>
                <w:rFonts w:hint="eastAsia"/>
                <w:color w:val="auto"/>
              </w:rPr>
            </w:pPr>
            <w:r>
              <w:rPr>
                <w:color w:val="auto"/>
                <w:lang w:val="en-US" w:eastAsia="zh-CN"/>
              </w:rPr>
              <w:t>终了时阶段坡面角：</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3B90F">
            <w:pPr>
              <w:pStyle w:val="26"/>
              <w:bidi w:val="0"/>
              <w:ind w:left="0" w:leftChars="0" w:right="0" w:rightChars="0" w:firstLine="0" w:firstLineChars="0"/>
              <w:jc w:val="center"/>
              <w:rPr>
                <w:rFonts w:hint="eastAsia"/>
                <w:color w:val="auto"/>
              </w:rPr>
            </w:pPr>
            <w:r>
              <w:rPr>
                <w:color w:val="auto"/>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648D5">
            <w:pPr>
              <w:pStyle w:val="26"/>
              <w:bidi w:val="0"/>
              <w:ind w:left="0" w:leftChars="0" w:right="0" w:rightChars="0" w:firstLine="0" w:firstLineChars="0"/>
              <w:jc w:val="center"/>
              <w:rPr>
                <w:rFonts w:hint="default"/>
                <w:color w:val="auto"/>
              </w:rPr>
            </w:pPr>
            <w:r>
              <w:rPr>
                <w:rFonts w:hint="default"/>
                <w:color w:val="auto"/>
                <w:lang w:val="en-US" w:eastAsia="zh-CN"/>
              </w:rPr>
              <w:t>65</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75C6B">
            <w:pPr>
              <w:pStyle w:val="26"/>
              <w:bidi w:val="0"/>
              <w:ind w:left="0" w:leftChars="0" w:right="0" w:rightChars="0" w:firstLine="0" w:firstLineChars="0"/>
              <w:jc w:val="center"/>
              <w:rPr>
                <w:rFonts w:hint="default"/>
                <w:color w:val="auto"/>
              </w:rPr>
            </w:pPr>
          </w:p>
        </w:tc>
      </w:tr>
      <w:tr w14:paraId="040FA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27746">
            <w:pPr>
              <w:pStyle w:val="26"/>
              <w:bidi w:val="0"/>
              <w:ind w:left="0" w:leftChars="0" w:right="0" w:rightChars="0" w:firstLine="0" w:firstLineChars="0"/>
              <w:jc w:val="center"/>
              <w:rPr>
                <w:rFonts w:hint="default"/>
                <w:color w:val="auto"/>
              </w:rPr>
            </w:pPr>
            <w:r>
              <w:rPr>
                <w:rFonts w:hint="default"/>
                <w:color w:val="auto"/>
                <w:lang w:val="en-US" w:eastAsia="zh-CN"/>
              </w:rPr>
              <w:t>12</w:t>
            </w:r>
          </w:p>
        </w:tc>
        <w:tc>
          <w:tcPr>
            <w:tcW w:w="30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30846">
            <w:pPr>
              <w:pStyle w:val="26"/>
              <w:bidi w:val="0"/>
              <w:ind w:left="0" w:leftChars="0" w:right="0" w:rightChars="0" w:firstLine="0" w:firstLineChars="0"/>
              <w:jc w:val="center"/>
              <w:rPr>
                <w:rFonts w:hint="eastAsia"/>
                <w:color w:val="auto"/>
              </w:rPr>
            </w:pPr>
            <w:r>
              <w:rPr>
                <w:color w:val="auto"/>
                <w:lang w:val="en-US" w:eastAsia="zh-CN"/>
              </w:rPr>
              <w:t>工作台阶坡面角</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AE00">
            <w:pPr>
              <w:pStyle w:val="26"/>
              <w:bidi w:val="0"/>
              <w:ind w:left="0" w:leftChars="0" w:right="0" w:rightChars="0" w:firstLine="0" w:firstLineChars="0"/>
              <w:jc w:val="center"/>
              <w:rPr>
                <w:rFonts w:hint="eastAsia"/>
                <w:color w:val="auto"/>
              </w:rPr>
            </w:pPr>
            <w:r>
              <w:rPr>
                <w:color w:val="auto"/>
                <w:lang w:val="en-US" w:eastAsia="zh-CN"/>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C9CBA">
            <w:pPr>
              <w:pStyle w:val="26"/>
              <w:bidi w:val="0"/>
              <w:ind w:left="0" w:leftChars="0" w:right="0" w:rightChars="0" w:firstLine="0" w:firstLineChars="0"/>
              <w:jc w:val="center"/>
              <w:rPr>
                <w:rFonts w:hint="default"/>
                <w:color w:val="auto"/>
              </w:rPr>
            </w:pPr>
            <w:r>
              <w:rPr>
                <w:rFonts w:hint="default"/>
                <w:color w:val="auto"/>
                <w:lang w:val="en-US" w:eastAsia="zh-CN"/>
              </w:rPr>
              <w:t>70</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04828">
            <w:pPr>
              <w:pStyle w:val="26"/>
              <w:bidi w:val="0"/>
              <w:ind w:left="0" w:leftChars="0" w:right="0" w:rightChars="0" w:firstLine="0" w:firstLineChars="0"/>
              <w:jc w:val="center"/>
              <w:rPr>
                <w:rFonts w:hint="default"/>
                <w:color w:val="auto"/>
              </w:rPr>
            </w:pPr>
          </w:p>
        </w:tc>
      </w:tr>
      <w:tr w14:paraId="1EDBF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68583">
            <w:pPr>
              <w:pStyle w:val="26"/>
              <w:bidi w:val="0"/>
              <w:ind w:left="0" w:leftChars="0" w:right="0" w:rightChars="0" w:firstLine="0" w:firstLineChars="0"/>
              <w:jc w:val="center"/>
              <w:rPr>
                <w:rFonts w:hint="default"/>
                <w:color w:val="auto"/>
              </w:rPr>
            </w:pPr>
            <w:r>
              <w:rPr>
                <w:rFonts w:hint="default"/>
                <w:color w:val="auto"/>
                <w:lang w:val="en-US" w:eastAsia="zh-CN"/>
              </w:rPr>
              <w:t>13</w:t>
            </w:r>
          </w:p>
        </w:tc>
        <w:tc>
          <w:tcPr>
            <w:tcW w:w="30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B58CDD">
            <w:pPr>
              <w:pStyle w:val="26"/>
              <w:bidi w:val="0"/>
              <w:ind w:left="0" w:leftChars="0" w:right="0" w:rightChars="0" w:firstLine="0" w:firstLineChars="0"/>
              <w:jc w:val="center"/>
              <w:rPr>
                <w:rFonts w:hint="eastAsia"/>
                <w:color w:val="auto"/>
              </w:rPr>
            </w:pPr>
            <w:r>
              <w:rPr>
                <w:color w:val="auto"/>
                <w:lang w:val="en-US" w:eastAsia="zh-CN"/>
              </w:rPr>
              <w:t>最终边坡角</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873B0">
            <w:pPr>
              <w:pStyle w:val="26"/>
              <w:bidi w:val="0"/>
              <w:ind w:left="0" w:leftChars="0" w:right="0" w:rightChars="0" w:firstLine="0" w:firstLineChars="0"/>
              <w:jc w:val="center"/>
              <w:rPr>
                <w:rFonts w:hint="eastAsia"/>
                <w:color w:val="auto"/>
              </w:rPr>
            </w:pPr>
            <w:r>
              <w:rPr>
                <w:color w:val="auto"/>
                <w:lang w:val="en-US" w:eastAsia="zh-CN"/>
              </w:rPr>
              <w:t>。</w:t>
            </w:r>
          </w:p>
        </w:tc>
        <w:tc>
          <w:tcPr>
            <w:tcW w:w="1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EA263">
            <w:pPr>
              <w:pStyle w:val="26"/>
              <w:bidi w:val="0"/>
              <w:ind w:left="0" w:leftChars="0" w:right="0" w:rightChars="0" w:firstLine="0" w:firstLineChars="0"/>
              <w:jc w:val="center"/>
              <w:rPr>
                <w:rFonts w:hint="default"/>
                <w:color w:val="auto"/>
              </w:rPr>
            </w:pPr>
            <w:r>
              <w:rPr>
                <w:color w:val="auto"/>
                <w:lang w:val="en-US" w:eastAsia="zh-CN"/>
              </w:rPr>
              <w:t>44</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59258">
            <w:pPr>
              <w:pStyle w:val="26"/>
              <w:bidi w:val="0"/>
              <w:ind w:left="0" w:leftChars="0" w:right="0" w:rightChars="0" w:firstLine="0" w:firstLineChars="0"/>
              <w:jc w:val="center"/>
              <w:rPr>
                <w:rFonts w:hint="default"/>
                <w:color w:val="auto"/>
              </w:rPr>
            </w:pPr>
            <w:r>
              <w:rPr>
                <w:color w:val="auto"/>
                <w:lang w:val="en-US" w:eastAsia="zh-CN"/>
              </w:rPr>
              <w:t>采场 1</w:t>
            </w:r>
          </w:p>
        </w:tc>
      </w:tr>
      <w:tr w14:paraId="1C965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B65BC">
            <w:pPr>
              <w:pStyle w:val="26"/>
              <w:bidi w:val="0"/>
              <w:ind w:left="0" w:leftChars="0" w:right="0" w:rightChars="0" w:firstLine="0" w:firstLineChars="0"/>
              <w:jc w:val="center"/>
              <w:rPr>
                <w:rFonts w:hint="default"/>
                <w:color w:val="auto"/>
              </w:rPr>
            </w:pPr>
          </w:p>
        </w:tc>
        <w:tc>
          <w:tcPr>
            <w:tcW w:w="30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DB274">
            <w:pPr>
              <w:pStyle w:val="26"/>
              <w:bidi w:val="0"/>
              <w:ind w:left="0" w:leftChars="0" w:right="0" w:rightChars="0" w:firstLine="0" w:firstLineChars="0"/>
              <w:jc w:val="center"/>
              <w:rPr>
                <w:rFonts w:hint="eastAsia"/>
                <w:color w:val="auto"/>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D8F6A">
            <w:pPr>
              <w:pStyle w:val="26"/>
              <w:bidi w:val="0"/>
              <w:ind w:left="0" w:leftChars="0" w:right="0" w:rightChars="0" w:firstLine="0" w:firstLineChars="0"/>
              <w:jc w:val="center"/>
              <w:rPr>
                <w:rFonts w:hint="eastAsia"/>
                <w:color w:val="auto"/>
              </w:rPr>
            </w:pPr>
            <w:r>
              <w:rPr>
                <w:color w:val="auto"/>
                <w:lang w:val="en-US" w:eastAsia="zh-CN"/>
              </w:rPr>
              <w:t>。</w:t>
            </w:r>
          </w:p>
        </w:tc>
        <w:tc>
          <w:tcPr>
            <w:tcW w:w="1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F1613">
            <w:pPr>
              <w:pStyle w:val="26"/>
              <w:bidi w:val="0"/>
              <w:ind w:left="0" w:leftChars="0" w:right="0" w:rightChars="0" w:firstLine="0" w:firstLineChars="0"/>
              <w:jc w:val="center"/>
              <w:rPr>
                <w:rFonts w:hint="default"/>
                <w:color w:val="auto"/>
              </w:rPr>
            </w:pPr>
            <w:r>
              <w:rPr>
                <w:color w:val="auto"/>
                <w:lang w:val="en-US" w:eastAsia="zh-CN"/>
              </w:rPr>
              <w:t>30</w:t>
            </w:r>
            <w:r>
              <w:rPr>
                <w:rFonts w:hint="eastAsia"/>
                <w:color w:val="auto"/>
                <w:lang w:val="en-US" w:eastAsia="zh-CN"/>
              </w:rPr>
              <w:t>~</w:t>
            </w:r>
            <w:r>
              <w:rPr>
                <w:color w:val="auto"/>
                <w:lang w:val="en-US" w:eastAsia="zh-CN"/>
              </w:rPr>
              <w:t>44°</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B2EA4">
            <w:pPr>
              <w:pStyle w:val="26"/>
              <w:bidi w:val="0"/>
              <w:ind w:left="0" w:leftChars="0" w:right="0" w:rightChars="0" w:firstLine="0" w:firstLineChars="0"/>
              <w:jc w:val="center"/>
              <w:rPr>
                <w:rFonts w:hint="default"/>
                <w:color w:val="auto"/>
              </w:rPr>
            </w:pPr>
            <w:r>
              <w:rPr>
                <w:color w:val="auto"/>
                <w:lang w:val="en-US" w:eastAsia="zh-CN"/>
              </w:rPr>
              <w:t>采场 2</w:t>
            </w:r>
          </w:p>
        </w:tc>
      </w:tr>
      <w:tr w14:paraId="0473D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B0DEA">
            <w:pPr>
              <w:pStyle w:val="26"/>
              <w:bidi w:val="0"/>
              <w:ind w:left="0" w:leftChars="0" w:right="0" w:rightChars="0" w:firstLine="0" w:firstLineChars="0"/>
              <w:jc w:val="center"/>
              <w:rPr>
                <w:rFonts w:hint="default"/>
                <w:color w:val="auto"/>
              </w:rPr>
            </w:pPr>
          </w:p>
        </w:tc>
        <w:tc>
          <w:tcPr>
            <w:tcW w:w="30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DCF10">
            <w:pPr>
              <w:pStyle w:val="26"/>
              <w:bidi w:val="0"/>
              <w:ind w:left="0" w:leftChars="0" w:right="0" w:rightChars="0" w:firstLine="0" w:firstLineChars="0"/>
              <w:jc w:val="center"/>
              <w:rPr>
                <w:rFonts w:hint="eastAsia"/>
                <w:color w:val="auto"/>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948F3">
            <w:pPr>
              <w:pStyle w:val="26"/>
              <w:bidi w:val="0"/>
              <w:ind w:left="0" w:leftChars="0" w:right="0" w:rightChars="0" w:firstLine="0" w:firstLineChars="0"/>
              <w:jc w:val="center"/>
              <w:rPr>
                <w:rFonts w:hint="eastAsia"/>
                <w:color w:val="auto"/>
              </w:rPr>
            </w:pPr>
            <w:r>
              <w:rPr>
                <w:color w:val="auto"/>
                <w:lang w:val="en-US" w:eastAsia="zh-CN"/>
              </w:rPr>
              <w:t>。</w:t>
            </w:r>
          </w:p>
        </w:tc>
        <w:tc>
          <w:tcPr>
            <w:tcW w:w="17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170AC">
            <w:pPr>
              <w:pStyle w:val="26"/>
              <w:bidi w:val="0"/>
              <w:ind w:left="0" w:leftChars="0" w:right="0" w:rightChars="0" w:firstLine="0" w:firstLineChars="0"/>
              <w:jc w:val="center"/>
              <w:rPr>
                <w:rFonts w:hint="default"/>
                <w:color w:val="auto"/>
              </w:rPr>
            </w:pPr>
            <w:r>
              <w:rPr>
                <w:color w:val="auto"/>
                <w:lang w:val="en-US" w:eastAsia="zh-CN"/>
              </w:rPr>
              <w:t>44~46</w:t>
            </w:r>
          </w:p>
        </w:tc>
        <w:tc>
          <w:tcPr>
            <w:tcW w:w="2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E0DF">
            <w:pPr>
              <w:pStyle w:val="26"/>
              <w:bidi w:val="0"/>
              <w:ind w:left="0" w:leftChars="0" w:right="0" w:rightChars="0" w:firstLine="0" w:firstLineChars="0"/>
              <w:jc w:val="center"/>
              <w:rPr>
                <w:rFonts w:hint="default"/>
                <w:color w:val="auto"/>
              </w:rPr>
            </w:pPr>
            <w:r>
              <w:rPr>
                <w:color w:val="auto"/>
                <w:lang w:val="en-US" w:eastAsia="zh-CN"/>
              </w:rPr>
              <w:t>采场 3</w:t>
            </w:r>
          </w:p>
        </w:tc>
      </w:tr>
    </w:tbl>
    <w:p w14:paraId="1C619D98">
      <w:pPr>
        <w:pStyle w:val="25"/>
        <w:bidi w:val="0"/>
        <w:rPr>
          <w:rFonts w:hint="default"/>
          <w:color w:val="auto"/>
          <w:lang w:val="en-US" w:eastAsia="zh-CN"/>
        </w:rPr>
      </w:pPr>
    </w:p>
    <w:p w14:paraId="0A26FADF">
      <w:pPr>
        <w:pStyle w:val="24"/>
        <w:bidi w:val="0"/>
        <w:rPr>
          <w:rFonts w:hint="default"/>
          <w:color w:val="auto"/>
          <w:lang w:val="en-US" w:eastAsia="zh-CN"/>
        </w:rPr>
      </w:pPr>
      <w:r>
        <w:rPr>
          <w:rFonts w:hint="default"/>
          <w:color w:val="auto"/>
          <w:lang w:val="en-US" w:eastAsia="zh-CN"/>
        </w:rPr>
        <w:t>开拓运输系统</w:t>
      </w:r>
    </w:p>
    <w:p w14:paraId="5D3E96E5">
      <w:pPr>
        <w:pStyle w:val="16"/>
        <w:rPr>
          <w:rFonts w:hint="eastAsia"/>
          <w:color w:val="auto"/>
          <w:lang w:val="en-US" w:eastAsia="zh-CN"/>
        </w:rPr>
      </w:pPr>
      <w:r>
        <w:rPr>
          <w:rFonts w:hint="eastAsia"/>
          <w:color w:val="auto"/>
          <w:lang w:val="en-US" w:eastAsia="zh-CN"/>
        </w:rPr>
        <w:t>依据《补充设计》，采用公路开拓汽车运输方式。</w:t>
      </w:r>
    </w:p>
    <w:p w14:paraId="19382A5D">
      <w:pPr>
        <w:pStyle w:val="16"/>
        <w:rPr>
          <w:rFonts w:hint="eastAsia"/>
          <w:color w:val="auto"/>
          <w:lang w:val="en-US" w:eastAsia="zh-CN"/>
        </w:rPr>
      </w:pPr>
      <w:r>
        <w:rPr>
          <w:rFonts w:hint="eastAsia"/>
          <w:color w:val="auto"/>
          <w:lang w:val="en-US" w:eastAsia="zh-CN"/>
        </w:rPr>
        <w:t>矿山为山坡露天矿，根据委托方所提供的矿区地形地质图，在采场东侧设公路总出入沟口。自工业场地开始，按照公路布线技术要求，在采场外延地形自下而上到达采场最高水平，并在各路段水平以平坡或2~3％坡度出岔线进入采场各阶段水平，运矿公路在采场内采用移动线进入采场各阶段。</w:t>
      </w:r>
    </w:p>
    <w:p w14:paraId="19E6CFC2">
      <w:pPr>
        <w:pStyle w:val="16"/>
        <w:bidi w:val="0"/>
        <w:rPr>
          <w:rFonts w:hint="default"/>
          <w:color w:val="auto"/>
          <w:lang w:val="en-US" w:eastAsia="zh-CN"/>
        </w:rPr>
      </w:pPr>
      <w:r>
        <w:rPr>
          <w:rFonts w:hint="eastAsia"/>
          <w:color w:val="auto"/>
          <w:lang w:val="en-US" w:eastAsia="zh-CN"/>
        </w:rPr>
        <w:t>设计</w:t>
      </w:r>
      <w:r>
        <w:rPr>
          <w:rFonts w:hint="default"/>
          <w:color w:val="auto"/>
          <w:lang w:val="en-US" w:eastAsia="zh-CN"/>
        </w:rPr>
        <w:t>运矿公路等级为III级，单车道，路面宽5m</w:t>
      </w:r>
      <w:r>
        <w:rPr>
          <w:rFonts w:hint="eastAsia"/>
          <w:color w:val="auto"/>
          <w:lang w:val="en-US" w:eastAsia="zh-CN"/>
        </w:rPr>
        <w:t>，</w:t>
      </w:r>
      <w:r>
        <w:rPr>
          <w:rFonts w:hint="default"/>
          <w:color w:val="auto"/>
          <w:lang w:val="en-US" w:eastAsia="zh-CN"/>
        </w:rPr>
        <w:t>限制坡度8%</w:t>
      </w:r>
      <w:r>
        <w:rPr>
          <w:rFonts w:hint="eastAsia"/>
          <w:color w:val="auto"/>
          <w:lang w:val="en-US" w:eastAsia="zh-CN"/>
        </w:rPr>
        <w:t>，</w:t>
      </w:r>
      <w:r>
        <w:rPr>
          <w:rFonts w:hint="default"/>
          <w:color w:val="auto"/>
          <w:lang w:val="en-US" w:eastAsia="zh-CN"/>
        </w:rPr>
        <w:t>最小转弯半径15m</w:t>
      </w:r>
      <w:r>
        <w:rPr>
          <w:rFonts w:hint="eastAsia"/>
          <w:color w:val="auto"/>
          <w:lang w:val="en-US" w:eastAsia="zh-CN"/>
        </w:rPr>
        <w:t>，</w:t>
      </w:r>
      <w:r>
        <w:rPr>
          <w:rFonts w:hint="default"/>
          <w:color w:val="auto"/>
          <w:lang w:val="en-US" w:eastAsia="zh-CN"/>
        </w:rPr>
        <w:t>最大纵坡限制坡长300m</w:t>
      </w:r>
      <w:r>
        <w:rPr>
          <w:rFonts w:hint="eastAsia"/>
          <w:color w:val="auto"/>
          <w:lang w:val="en-US" w:eastAsia="zh-CN"/>
        </w:rPr>
        <w:t>，</w:t>
      </w:r>
      <w:r>
        <w:rPr>
          <w:rFonts w:hint="default"/>
          <w:color w:val="auto"/>
          <w:lang w:val="en-US" w:eastAsia="zh-CN"/>
        </w:rPr>
        <w:t>运输道路间隔300m设能够满足错车要求的缓坡段，缓坡段长40m</w:t>
      </w:r>
      <w:r>
        <w:rPr>
          <w:rFonts w:hint="eastAsia"/>
          <w:color w:val="auto"/>
          <w:lang w:val="en-US" w:eastAsia="zh-CN"/>
        </w:rPr>
        <w:t>，</w:t>
      </w:r>
      <w:r>
        <w:rPr>
          <w:rFonts w:hint="default"/>
          <w:color w:val="auto"/>
          <w:lang w:val="en-US" w:eastAsia="zh-CN"/>
        </w:rPr>
        <w:t>宽8m</w:t>
      </w:r>
      <w:r>
        <w:rPr>
          <w:rFonts w:hint="eastAsia"/>
          <w:color w:val="auto"/>
          <w:lang w:val="en-US" w:eastAsia="zh-CN"/>
        </w:rPr>
        <w:t>，</w:t>
      </w:r>
      <w:r>
        <w:rPr>
          <w:rFonts w:hint="default"/>
          <w:color w:val="auto"/>
          <w:lang w:val="en-US" w:eastAsia="zh-CN"/>
        </w:rPr>
        <w:t>坡度不大</w:t>
      </w:r>
      <w:r>
        <w:rPr>
          <w:rFonts w:hint="eastAsia"/>
          <w:color w:val="auto"/>
          <w:lang w:val="en-US" w:eastAsia="zh-CN"/>
        </w:rPr>
        <w:t>于</w:t>
      </w:r>
      <w:r>
        <w:rPr>
          <w:rFonts w:hint="default"/>
          <w:color w:val="auto"/>
          <w:lang w:val="en-US" w:eastAsia="zh-CN"/>
        </w:rPr>
        <w:t>3%。</w:t>
      </w:r>
    </w:p>
    <w:p w14:paraId="07533AA2">
      <w:pPr>
        <w:pStyle w:val="16"/>
        <w:bidi w:val="0"/>
        <w:rPr>
          <w:rFonts w:hint="default"/>
          <w:color w:val="auto"/>
          <w:lang w:val="en-US" w:eastAsia="zh-CN"/>
        </w:rPr>
      </w:pPr>
      <w:r>
        <w:rPr>
          <w:rFonts w:hint="default"/>
          <w:color w:val="auto"/>
          <w:lang w:val="en-US" w:eastAsia="zh-CN"/>
        </w:rPr>
        <w:t>设计确定矿山主要运输线路按单车道设计，矿山应在适当的间隔设置错车道，其间距一般不超过300m</w:t>
      </w:r>
      <w:r>
        <w:rPr>
          <w:rFonts w:hint="eastAsia"/>
          <w:color w:val="auto"/>
          <w:lang w:val="en-US" w:eastAsia="zh-CN"/>
        </w:rPr>
        <w:t>，</w:t>
      </w:r>
      <w:r>
        <w:rPr>
          <w:rFonts w:hint="default"/>
          <w:color w:val="auto"/>
          <w:lang w:val="en-US" w:eastAsia="zh-CN"/>
        </w:rPr>
        <w:t>错车道应设在纵坡不</w:t>
      </w:r>
      <w:r>
        <w:rPr>
          <w:rFonts w:hint="eastAsia"/>
          <w:color w:val="auto"/>
          <w:lang w:val="en-US" w:eastAsia="zh-CN"/>
        </w:rPr>
        <w:t>大于</w:t>
      </w:r>
      <w:r>
        <w:rPr>
          <w:rFonts w:hint="default"/>
          <w:color w:val="auto"/>
          <w:lang w:val="en-US" w:eastAsia="zh-CN"/>
        </w:rPr>
        <w:t>4％的路段上，任意相邻两错车道应能互相通视。</w:t>
      </w:r>
    </w:p>
    <w:p w14:paraId="360E0170">
      <w:pPr>
        <w:pStyle w:val="24"/>
        <w:bidi w:val="0"/>
        <w:rPr>
          <w:rFonts w:hint="default"/>
          <w:color w:val="auto"/>
          <w:lang w:val="en-US" w:eastAsia="zh-CN"/>
        </w:rPr>
      </w:pPr>
      <w:r>
        <w:rPr>
          <w:rFonts w:hint="eastAsia"/>
          <w:color w:val="auto"/>
          <w:lang w:val="en-US" w:eastAsia="zh-CN"/>
        </w:rPr>
        <w:t>生产工艺</w:t>
      </w:r>
    </w:p>
    <w:p w14:paraId="517D42E3">
      <w:pPr>
        <w:pStyle w:val="16"/>
        <w:rPr>
          <w:rFonts w:hint="eastAsia"/>
          <w:color w:val="auto"/>
          <w:lang w:val="en-US" w:eastAsia="zh-CN"/>
        </w:rPr>
      </w:pPr>
      <w:r>
        <w:rPr>
          <w:rFonts w:hint="eastAsia"/>
          <w:color w:val="auto"/>
          <w:lang w:val="en-US" w:eastAsia="zh-CN"/>
        </w:rPr>
        <w:t>设计露天采矿工艺分为穿孔、爆破、装载、运输四个环节。采用潜孔钻穿孔，炸药爆破，1.8</w:t>
      </w:r>
      <w:r>
        <w:rPr>
          <w:rFonts w:hint="default"/>
          <w:color w:val="auto"/>
          <w:lang w:val="en-US" w:eastAsia="zh-CN"/>
        </w:rPr>
        <w:t>m³</w:t>
      </w:r>
      <w:r>
        <w:rPr>
          <w:rFonts w:hint="eastAsia"/>
          <w:color w:val="auto"/>
          <w:lang w:val="en-US" w:eastAsia="zh-CN"/>
        </w:rPr>
        <w:t>挖掘机装载，10t自卸汽车运输，10t自卸汽车运送矿石至集散场地，岩石运至排土场。</w:t>
      </w:r>
    </w:p>
    <w:p w14:paraId="5275C004">
      <w:pPr>
        <w:pStyle w:val="16"/>
        <w:rPr>
          <w:rFonts w:hint="eastAsia"/>
          <w:color w:val="auto"/>
          <w:lang w:val="en-US" w:eastAsia="zh-CN"/>
        </w:rPr>
      </w:pPr>
      <w:r>
        <w:rPr>
          <w:rFonts w:hint="eastAsia"/>
          <w:color w:val="auto"/>
          <w:lang w:val="en-US" w:eastAsia="zh-CN"/>
        </w:rPr>
        <w:t>（1）穿孔工作</w:t>
      </w:r>
    </w:p>
    <w:p w14:paraId="18D00BED">
      <w:pPr>
        <w:pStyle w:val="16"/>
        <w:bidi w:val="0"/>
        <w:rPr>
          <w:rFonts w:hint="default"/>
          <w:color w:val="auto"/>
          <w:lang w:val="en-US" w:eastAsia="zh-CN"/>
        </w:rPr>
      </w:pPr>
      <w:r>
        <w:rPr>
          <w:rFonts w:hint="eastAsia"/>
          <w:color w:val="auto"/>
          <w:lang w:val="en-US" w:eastAsia="zh-CN"/>
        </w:rPr>
        <w:t>设计</w:t>
      </w:r>
      <w:r>
        <w:rPr>
          <w:rFonts w:hint="default"/>
          <w:color w:val="auto"/>
          <w:lang w:val="en-US" w:eastAsia="zh-CN"/>
        </w:rPr>
        <w:t>根据矿山阶段高度、矿山生产规模以及围岩性质，参照类似矿山经验和矿山现有设备矿山，选用KQY90型潜孔钻机，进行穿孔作业；凿下向倾斜炮孔，孔径90mm</w:t>
      </w:r>
      <w:r>
        <w:rPr>
          <w:rFonts w:hint="eastAsia"/>
          <w:color w:val="auto"/>
          <w:lang w:val="en-US" w:eastAsia="zh-CN"/>
        </w:rPr>
        <w:t>，</w:t>
      </w:r>
      <w:r>
        <w:rPr>
          <w:rFonts w:hint="default"/>
          <w:color w:val="auto"/>
          <w:lang w:val="en-US" w:eastAsia="zh-CN"/>
        </w:rPr>
        <w:t>炮孔超深1</w:t>
      </w:r>
      <w:r>
        <w:rPr>
          <w:rFonts w:hint="eastAsia"/>
          <w:color w:val="auto"/>
          <w:lang w:val="en-US" w:eastAsia="zh-CN"/>
        </w:rPr>
        <w:t>.</w:t>
      </w:r>
      <w:r>
        <w:rPr>
          <w:rFonts w:hint="default"/>
          <w:color w:val="auto"/>
          <w:lang w:val="en-US" w:eastAsia="zh-CN"/>
        </w:rPr>
        <w:t>5m</w:t>
      </w:r>
      <w:r>
        <w:rPr>
          <w:rFonts w:hint="eastAsia"/>
          <w:color w:val="auto"/>
          <w:lang w:val="en-US" w:eastAsia="zh-CN"/>
        </w:rPr>
        <w:t>，</w:t>
      </w:r>
      <w:r>
        <w:rPr>
          <w:rFonts w:hint="default"/>
          <w:color w:val="auto"/>
          <w:lang w:val="en-US" w:eastAsia="zh-CN"/>
        </w:rPr>
        <w:t>孔间距</w:t>
      </w:r>
      <w:r>
        <w:rPr>
          <w:rFonts w:hint="eastAsia"/>
          <w:color w:val="auto"/>
          <w:lang w:val="en-US" w:eastAsia="zh-CN"/>
        </w:rPr>
        <w:t>3.0</w:t>
      </w:r>
      <w:r>
        <w:rPr>
          <w:rFonts w:hint="default"/>
          <w:color w:val="auto"/>
          <w:lang w:val="en-US" w:eastAsia="zh-CN"/>
        </w:rPr>
        <w:t>m</w:t>
      </w:r>
      <w:r>
        <w:rPr>
          <w:rFonts w:hint="eastAsia"/>
          <w:color w:val="auto"/>
          <w:lang w:val="en-US" w:eastAsia="zh-CN"/>
        </w:rPr>
        <w:t>，</w:t>
      </w:r>
      <w:r>
        <w:rPr>
          <w:rFonts w:hint="default"/>
          <w:color w:val="auto"/>
          <w:lang w:val="en-US" w:eastAsia="zh-CN"/>
        </w:rPr>
        <w:t>排间距2.8m。KQY90型潜孔钻机台班效率30m／台班，废孔率5%。根据每班需要爆破量，矿山需KQY90型潜孔钻机1台，KQY90型潜孔钻机用柴油作为动力，空压机供风。大块石的二次破碎采用机械破碎方式，使用破碎锤破碎大块。</w:t>
      </w:r>
    </w:p>
    <w:p w14:paraId="64B33DB1">
      <w:pPr>
        <w:pStyle w:val="16"/>
        <w:bidi w:val="0"/>
        <w:rPr>
          <w:rFonts w:hint="eastAsia"/>
          <w:color w:val="auto"/>
          <w:lang w:val="en-US" w:eastAsia="zh-CN"/>
        </w:rPr>
      </w:pPr>
      <w:r>
        <w:rPr>
          <w:rFonts w:hint="eastAsia"/>
          <w:color w:val="auto"/>
          <w:lang w:val="en-US" w:eastAsia="zh-CN"/>
        </w:rPr>
        <w:t>（2）爆破工作</w:t>
      </w:r>
    </w:p>
    <w:p w14:paraId="744FF4D9">
      <w:pPr>
        <w:pStyle w:val="16"/>
        <w:bidi w:val="0"/>
        <w:rPr>
          <w:rFonts w:hint="default"/>
          <w:color w:val="auto"/>
          <w:lang w:val="en-US" w:eastAsia="zh-CN"/>
        </w:rPr>
      </w:pPr>
      <w:r>
        <w:rPr>
          <w:rFonts w:hint="eastAsia"/>
          <w:color w:val="auto"/>
          <w:lang w:val="en-US" w:eastAsia="zh-CN"/>
        </w:rPr>
        <w:t>设计</w:t>
      </w:r>
      <w:r>
        <w:rPr>
          <w:rFonts w:hint="default"/>
          <w:color w:val="auto"/>
          <w:lang w:val="en-US" w:eastAsia="zh-CN"/>
        </w:rPr>
        <w:t>中深孔爆破采用2＃岩石乳化炸药，单耗按0.45kg/m³</w:t>
      </w:r>
      <w:r>
        <w:rPr>
          <w:rFonts w:hint="eastAsia"/>
          <w:color w:val="auto"/>
          <w:lang w:val="en-US" w:eastAsia="zh-CN"/>
        </w:rPr>
        <w:t>，</w:t>
      </w:r>
      <w:r>
        <w:rPr>
          <w:rFonts w:hint="default"/>
          <w:color w:val="auto"/>
          <w:lang w:val="en-US" w:eastAsia="zh-CN"/>
        </w:rPr>
        <w:t>每炮孔装药量按炮孔担负体积爆破量计算，采用单一装药结构，填塞长度不得小于孔深的1/3</w:t>
      </w:r>
      <w:r>
        <w:rPr>
          <w:rFonts w:hint="eastAsia"/>
          <w:color w:val="auto"/>
          <w:lang w:val="en-US" w:eastAsia="zh-CN"/>
        </w:rPr>
        <w:t>，</w:t>
      </w:r>
      <w:r>
        <w:rPr>
          <w:rFonts w:hint="default"/>
          <w:color w:val="auto"/>
          <w:lang w:val="en-US" w:eastAsia="zh-CN"/>
        </w:rPr>
        <w:t>采用人工装药和填塞，采用非电导爆管系统起爆。各种爆破器材和起爆器材全部外购，矿山不设置火药库，雇用具有资质的爆破公司配送。</w:t>
      </w:r>
    </w:p>
    <w:p w14:paraId="03B10865">
      <w:pPr>
        <w:pStyle w:val="16"/>
        <w:bidi w:val="0"/>
        <w:rPr>
          <w:rFonts w:hint="default"/>
          <w:color w:val="auto"/>
          <w:lang w:val="en-US" w:eastAsia="zh-CN"/>
        </w:rPr>
      </w:pPr>
      <w:r>
        <w:rPr>
          <w:rFonts w:hint="default"/>
          <w:color w:val="auto"/>
          <w:lang w:val="en-US" w:eastAsia="zh-CN"/>
        </w:rPr>
        <w:t>设计爆破安全界线取200m</w:t>
      </w:r>
      <w:r>
        <w:rPr>
          <w:rFonts w:hint="eastAsia"/>
          <w:color w:val="auto"/>
          <w:lang w:val="en-US" w:eastAsia="zh-CN"/>
        </w:rPr>
        <w:t>，</w:t>
      </w:r>
      <w:r>
        <w:rPr>
          <w:rFonts w:hint="default"/>
          <w:color w:val="auto"/>
          <w:lang w:val="en-US" w:eastAsia="zh-CN"/>
        </w:rPr>
        <w:t>在顺坡方向增大安全距离的1</w:t>
      </w:r>
      <w:r>
        <w:rPr>
          <w:rFonts w:hint="eastAsia"/>
          <w:color w:val="auto"/>
          <w:lang w:val="en-US" w:eastAsia="zh-CN"/>
        </w:rPr>
        <w:t>.5</w:t>
      </w:r>
      <w:r>
        <w:rPr>
          <w:rFonts w:hint="default"/>
          <w:color w:val="auto"/>
          <w:lang w:val="en-US" w:eastAsia="zh-CN"/>
        </w:rPr>
        <w:t>倍，故爆破警戒线为300m。</w:t>
      </w:r>
    </w:p>
    <w:p w14:paraId="05D0B2A6">
      <w:pPr>
        <w:pStyle w:val="16"/>
        <w:bidi w:val="0"/>
        <w:rPr>
          <w:rFonts w:hint="eastAsia"/>
          <w:color w:val="auto"/>
          <w:lang w:val="en-US" w:eastAsia="zh-CN"/>
        </w:rPr>
      </w:pPr>
      <w:r>
        <w:rPr>
          <w:rFonts w:hint="eastAsia"/>
          <w:color w:val="auto"/>
          <w:lang w:val="en-US" w:eastAsia="zh-CN"/>
        </w:rPr>
        <w:t>（3）装载工作</w:t>
      </w:r>
    </w:p>
    <w:p w14:paraId="771C5F19">
      <w:pPr>
        <w:pStyle w:val="16"/>
        <w:bidi w:val="0"/>
        <w:rPr>
          <w:rFonts w:hint="default"/>
          <w:color w:val="auto"/>
          <w:lang w:val="en-US" w:eastAsia="zh-CN"/>
        </w:rPr>
      </w:pPr>
      <w:r>
        <w:rPr>
          <w:rFonts w:hint="eastAsia"/>
          <w:color w:val="auto"/>
          <w:lang w:val="en-US" w:eastAsia="zh-CN"/>
        </w:rPr>
        <w:t>设计</w:t>
      </w:r>
      <w:r>
        <w:rPr>
          <w:rFonts w:hint="default"/>
          <w:color w:val="auto"/>
          <w:lang w:val="en-US" w:eastAsia="zh-CN"/>
        </w:rPr>
        <w:t>根据年开挖矿岩总量，结合开采参数，经计算采用1</w:t>
      </w:r>
      <w:r>
        <w:rPr>
          <w:rFonts w:hint="eastAsia"/>
          <w:color w:val="auto"/>
          <w:lang w:val="en-US" w:eastAsia="zh-CN"/>
        </w:rPr>
        <w:t>.</w:t>
      </w:r>
      <w:r>
        <w:rPr>
          <w:rFonts w:hint="default"/>
          <w:color w:val="auto"/>
          <w:lang w:val="en-US" w:eastAsia="zh-CN"/>
        </w:rPr>
        <w:t>8m³挖掘机1台可以满足矿山正常生产需要，进行采矿和剥离。</w:t>
      </w:r>
    </w:p>
    <w:p w14:paraId="2BA50CEB">
      <w:pPr>
        <w:pStyle w:val="16"/>
        <w:bidi w:val="0"/>
        <w:rPr>
          <w:rFonts w:hint="eastAsia"/>
          <w:color w:val="auto"/>
          <w:lang w:val="en-US" w:eastAsia="zh-CN"/>
        </w:rPr>
      </w:pPr>
      <w:r>
        <w:rPr>
          <w:rFonts w:hint="eastAsia"/>
          <w:color w:val="auto"/>
          <w:lang w:val="en-US" w:eastAsia="zh-CN"/>
        </w:rPr>
        <w:t>（4）运输工作</w:t>
      </w:r>
    </w:p>
    <w:p w14:paraId="2D62FEF8">
      <w:pPr>
        <w:pStyle w:val="16"/>
        <w:bidi w:val="0"/>
        <w:rPr>
          <w:rFonts w:hint="eastAsia"/>
          <w:color w:val="auto"/>
          <w:lang w:val="en-US" w:eastAsia="zh-CN"/>
        </w:rPr>
      </w:pPr>
      <w:r>
        <w:rPr>
          <w:rFonts w:hint="default"/>
          <w:color w:val="auto"/>
          <w:lang w:val="en-US" w:eastAsia="zh-CN"/>
        </w:rPr>
        <w:t>矿山采用公路开拓汽车运输，使用l</w:t>
      </w:r>
      <w:r>
        <w:rPr>
          <w:rFonts w:hint="eastAsia"/>
          <w:color w:val="auto"/>
          <w:lang w:val="en-US" w:eastAsia="zh-CN"/>
        </w:rPr>
        <w:t>0</w:t>
      </w:r>
      <w:r>
        <w:rPr>
          <w:rFonts w:hint="default"/>
          <w:color w:val="auto"/>
          <w:lang w:val="en-US" w:eastAsia="zh-CN"/>
        </w:rPr>
        <w:t>t自卸汽车运输矿岩。自卸汽车载重系数0.9</w:t>
      </w:r>
      <w:r>
        <w:rPr>
          <w:rFonts w:hint="eastAsia"/>
          <w:color w:val="auto"/>
          <w:lang w:val="en-US" w:eastAsia="zh-CN"/>
        </w:rPr>
        <w:t>，</w:t>
      </w:r>
      <w:r>
        <w:rPr>
          <w:rFonts w:hint="default"/>
          <w:color w:val="auto"/>
          <w:lang w:val="en-US" w:eastAsia="zh-CN"/>
        </w:rPr>
        <w:t>矿岩加权平均运输运距3km</w:t>
      </w:r>
      <w:r>
        <w:rPr>
          <w:rFonts w:hint="eastAsia"/>
          <w:color w:val="auto"/>
          <w:lang w:val="en-US" w:eastAsia="zh-CN"/>
        </w:rPr>
        <w:t>，</w:t>
      </w:r>
      <w:r>
        <w:rPr>
          <w:rFonts w:hint="default"/>
          <w:color w:val="auto"/>
          <w:lang w:val="en-US" w:eastAsia="zh-CN"/>
        </w:rPr>
        <w:t>车速18km／时；根据班运输矿岩量，运矿石需6台自卸汽车</w:t>
      </w:r>
      <w:r>
        <w:rPr>
          <w:rFonts w:hint="eastAsia"/>
          <w:color w:val="auto"/>
          <w:lang w:val="en-US" w:eastAsia="zh-CN"/>
        </w:rPr>
        <w:t>。</w:t>
      </w:r>
    </w:p>
    <w:p w14:paraId="6237AB8F">
      <w:pPr>
        <w:pStyle w:val="16"/>
        <w:bidi w:val="0"/>
        <w:rPr>
          <w:rFonts w:hint="eastAsia"/>
          <w:color w:val="auto"/>
          <w:lang w:val="en-US" w:eastAsia="zh-CN"/>
        </w:rPr>
      </w:pPr>
      <w:r>
        <w:rPr>
          <w:rFonts w:hint="eastAsia"/>
          <w:color w:val="auto"/>
          <w:lang w:val="en-US" w:eastAsia="zh-CN"/>
        </w:rPr>
        <w:t>（5）辅助作业</w:t>
      </w:r>
    </w:p>
    <w:p w14:paraId="536E20CC">
      <w:pPr>
        <w:pStyle w:val="16"/>
        <w:bidi w:val="0"/>
        <w:rPr>
          <w:rFonts w:hint="default"/>
          <w:color w:val="auto"/>
          <w:lang w:val="en-US" w:eastAsia="zh-CN"/>
        </w:rPr>
      </w:pPr>
      <w:r>
        <w:rPr>
          <w:rFonts w:hint="eastAsia"/>
          <w:color w:val="auto"/>
          <w:lang w:val="en-US" w:eastAsia="zh-CN"/>
        </w:rPr>
        <w:t>设计</w:t>
      </w:r>
      <w:r>
        <w:rPr>
          <w:rFonts w:hint="default"/>
          <w:color w:val="auto"/>
          <w:lang w:val="en-US" w:eastAsia="zh-CN"/>
        </w:rPr>
        <w:t>选用B160型推土机1台，主要用</w:t>
      </w:r>
      <w:r>
        <w:rPr>
          <w:rFonts w:hint="eastAsia"/>
          <w:color w:val="auto"/>
          <w:lang w:val="en-US" w:eastAsia="zh-CN"/>
        </w:rPr>
        <w:t>于</w:t>
      </w:r>
      <w:r>
        <w:rPr>
          <w:rFonts w:hint="default"/>
          <w:color w:val="auto"/>
          <w:lang w:val="en-US" w:eastAsia="zh-CN"/>
        </w:rPr>
        <w:t>整平作业场地和扫道。</w:t>
      </w:r>
    </w:p>
    <w:p w14:paraId="50D93C52">
      <w:pPr>
        <w:pStyle w:val="16"/>
        <w:bidi w:val="0"/>
        <w:rPr>
          <w:rFonts w:hint="default"/>
          <w:color w:val="auto"/>
          <w:lang w:val="en-US" w:eastAsia="zh-CN"/>
        </w:rPr>
      </w:pPr>
      <w:r>
        <w:rPr>
          <w:rFonts w:hint="default"/>
          <w:color w:val="auto"/>
          <w:lang w:val="en-US" w:eastAsia="zh-CN"/>
        </w:rPr>
        <w:t>为防止运输道路尘土飞扬，污染周围环境，设计选用5t洒水车1台，进行洒水作业。</w:t>
      </w:r>
    </w:p>
    <w:p w14:paraId="7FD06592">
      <w:pPr>
        <w:pStyle w:val="24"/>
        <w:bidi w:val="0"/>
        <w:rPr>
          <w:rFonts w:hint="default"/>
          <w:color w:val="auto"/>
          <w:lang w:val="en-US" w:eastAsia="zh-CN"/>
        </w:rPr>
      </w:pPr>
      <w:r>
        <w:rPr>
          <w:rFonts w:hint="eastAsia"/>
          <w:color w:val="auto"/>
          <w:lang w:val="en-US" w:eastAsia="zh-CN"/>
        </w:rPr>
        <w:t>矿区总平面布置</w:t>
      </w:r>
    </w:p>
    <w:p w14:paraId="28F11A75">
      <w:pPr>
        <w:pStyle w:val="16"/>
        <w:rPr>
          <w:rFonts w:hint="default"/>
          <w:color w:val="auto"/>
          <w:lang w:val="en-US" w:eastAsia="zh-CN"/>
        </w:rPr>
      </w:pPr>
      <w:r>
        <w:rPr>
          <w:rFonts w:hint="default"/>
          <w:color w:val="auto"/>
          <w:lang w:val="en-US" w:eastAsia="zh-CN"/>
        </w:rPr>
        <w:t>矿山</w:t>
      </w:r>
      <w:r>
        <w:rPr>
          <w:rFonts w:hint="eastAsia"/>
          <w:color w:val="auto"/>
          <w:lang w:val="en-US" w:eastAsia="zh-CN"/>
        </w:rPr>
        <w:t>设计</w:t>
      </w:r>
      <w:r>
        <w:rPr>
          <w:rFonts w:hint="default"/>
          <w:color w:val="auto"/>
          <w:lang w:val="en-US" w:eastAsia="zh-CN"/>
        </w:rPr>
        <w:t>主要由采矿场、排土场、工业场地等组成。设计确定工业场地均布置在采场东侧总出入沟爆破危险界线以外，该处地形平缓，填挖方量少。</w:t>
      </w:r>
    </w:p>
    <w:p w14:paraId="41ED10B6">
      <w:pPr>
        <w:pStyle w:val="16"/>
        <w:rPr>
          <w:rFonts w:hint="default"/>
          <w:color w:val="auto"/>
          <w:lang w:val="en-US" w:eastAsia="zh-CN"/>
        </w:rPr>
      </w:pPr>
      <w:r>
        <w:rPr>
          <w:rFonts w:hint="default"/>
          <w:color w:val="auto"/>
          <w:lang w:val="en-US" w:eastAsia="zh-CN"/>
        </w:rPr>
        <w:t>矿</w:t>
      </w:r>
      <w:r>
        <w:rPr>
          <w:rFonts w:hint="eastAsia"/>
          <w:color w:val="auto"/>
          <w:lang w:val="en-US" w:eastAsia="zh-CN"/>
        </w:rPr>
        <w:t>山</w:t>
      </w:r>
      <w:r>
        <w:rPr>
          <w:rFonts w:hint="default"/>
          <w:color w:val="auto"/>
          <w:lang w:val="en-US" w:eastAsia="zh-CN"/>
        </w:rPr>
        <w:t>工人均为附近农民，管理人员为通勤职工，因此不</w:t>
      </w:r>
      <w:r>
        <w:rPr>
          <w:rFonts w:hint="eastAsia"/>
          <w:color w:val="auto"/>
          <w:lang w:val="en-US" w:eastAsia="zh-CN"/>
        </w:rPr>
        <w:t>设计</w:t>
      </w:r>
      <w:r>
        <w:rPr>
          <w:rFonts w:hint="default"/>
          <w:color w:val="auto"/>
          <w:lang w:val="en-US" w:eastAsia="zh-CN"/>
        </w:rPr>
        <w:t>职工居住区，只设办公室、变电所、维修间、工人临时休息室。</w:t>
      </w:r>
    </w:p>
    <w:p w14:paraId="11049827">
      <w:pPr>
        <w:pStyle w:val="24"/>
        <w:bidi w:val="0"/>
        <w:rPr>
          <w:rFonts w:hint="default"/>
          <w:color w:val="auto"/>
          <w:lang w:val="en-US" w:eastAsia="zh-CN"/>
        </w:rPr>
      </w:pPr>
      <w:r>
        <w:rPr>
          <w:rFonts w:hint="eastAsia"/>
          <w:color w:val="auto"/>
          <w:lang w:val="en-US" w:eastAsia="zh-CN"/>
        </w:rPr>
        <w:t>矿山排土</w:t>
      </w:r>
    </w:p>
    <w:p w14:paraId="28619B16">
      <w:pPr>
        <w:pStyle w:val="16"/>
        <w:rPr>
          <w:rFonts w:hint="eastAsia"/>
          <w:color w:val="auto"/>
          <w:lang w:val="en-US" w:eastAsia="zh-CN"/>
        </w:rPr>
      </w:pPr>
      <w:r>
        <w:rPr>
          <w:rFonts w:hint="eastAsia"/>
          <w:color w:val="auto"/>
          <w:lang w:val="en-US" w:eastAsia="zh-CN"/>
        </w:rPr>
        <w:t>矿山为已生产矿山，剥离量较小，剥离的废石用于矿山道路维护，设计矿山不设排土场。</w:t>
      </w:r>
    </w:p>
    <w:p w14:paraId="5ABA6B99">
      <w:pPr>
        <w:pStyle w:val="24"/>
        <w:bidi w:val="0"/>
        <w:rPr>
          <w:rFonts w:hint="default"/>
          <w:color w:val="auto"/>
          <w:lang w:val="en-US" w:eastAsia="zh-CN"/>
        </w:rPr>
      </w:pPr>
      <w:r>
        <w:rPr>
          <w:rFonts w:hint="eastAsia"/>
          <w:color w:val="auto"/>
          <w:lang w:val="en-US" w:eastAsia="zh-CN"/>
        </w:rPr>
        <w:t>矿山防排水</w:t>
      </w:r>
    </w:p>
    <w:p w14:paraId="7606BA28">
      <w:pPr>
        <w:pStyle w:val="16"/>
        <w:rPr>
          <w:rFonts w:hint="eastAsia"/>
          <w:color w:val="auto"/>
          <w:lang w:val="en-US" w:eastAsia="zh-CN"/>
        </w:rPr>
      </w:pPr>
      <w:r>
        <w:rPr>
          <w:rFonts w:hint="eastAsia"/>
          <w:color w:val="auto"/>
          <w:lang w:val="en-US" w:eastAsia="zh-CN"/>
        </w:rPr>
        <w:t>矿山为完全山坡露天矿，采场汇水可自流排出。采区内部设临时排水沟供雨季排水。</w:t>
      </w:r>
    </w:p>
    <w:p w14:paraId="67C6E3C1">
      <w:pPr>
        <w:pStyle w:val="24"/>
        <w:bidi w:val="0"/>
        <w:rPr>
          <w:rFonts w:hint="default"/>
          <w:color w:val="auto"/>
          <w:lang w:val="en-US" w:eastAsia="zh-CN"/>
        </w:rPr>
      </w:pPr>
      <w:r>
        <w:rPr>
          <w:rFonts w:hint="eastAsia"/>
          <w:color w:val="auto"/>
          <w:lang w:val="en-US" w:eastAsia="zh-CN"/>
        </w:rPr>
        <w:t>矿山供电及通讯</w:t>
      </w:r>
    </w:p>
    <w:p w14:paraId="4D2F5031">
      <w:pPr>
        <w:pStyle w:val="16"/>
        <w:rPr>
          <w:rFonts w:hint="default"/>
          <w:color w:val="auto"/>
          <w:lang w:val="en-US" w:eastAsia="zh-CN"/>
        </w:rPr>
      </w:pPr>
      <w:r>
        <w:rPr>
          <w:rFonts w:hint="eastAsia"/>
          <w:color w:val="auto"/>
          <w:lang w:val="en-US" w:eastAsia="zh-CN"/>
        </w:rPr>
        <w:t>（1）矿山供电</w:t>
      </w:r>
    </w:p>
    <w:p w14:paraId="5F244904">
      <w:pPr>
        <w:pStyle w:val="16"/>
        <w:bidi w:val="0"/>
        <w:rPr>
          <w:rFonts w:hint="default"/>
          <w:color w:val="auto"/>
          <w:lang w:val="en-US" w:eastAsia="zh-CN"/>
        </w:rPr>
      </w:pPr>
      <w:r>
        <w:rPr>
          <w:rFonts w:hint="default"/>
          <w:color w:val="auto"/>
          <w:lang w:val="en-US" w:eastAsia="zh-CN"/>
        </w:rPr>
        <w:t>矿山每天一班工作制度，矿山设备多为柴油动力，不需供电，矿山耗</w:t>
      </w:r>
      <w:r>
        <w:rPr>
          <w:rFonts w:hint="eastAsia"/>
          <w:color w:val="auto"/>
          <w:lang w:val="en-US" w:eastAsia="zh-CN"/>
        </w:rPr>
        <w:t>电设备检修及照明使用。</w:t>
      </w:r>
      <w:r>
        <w:rPr>
          <w:rFonts w:hint="default"/>
          <w:color w:val="auto"/>
          <w:lang w:val="en-US" w:eastAsia="zh-CN"/>
        </w:rPr>
        <w:t>矿山为山坡露天矿，可自流排水，根据计算结果，</w:t>
      </w:r>
      <w:r>
        <w:rPr>
          <w:rFonts w:hint="eastAsia"/>
          <w:color w:val="auto"/>
          <w:lang w:val="en-US" w:eastAsia="zh-CN"/>
        </w:rPr>
        <w:t>设计</w:t>
      </w:r>
      <w:r>
        <w:rPr>
          <w:rFonts w:hint="default"/>
          <w:color w:val="auto"/>
          <w:lang w:val="en-US" w:eastAsia="zh-CN"/>
        </w:rPr>
        <w:t>在工业场地设置S9-80/10/04型变压器一台供检修、照明使用。采场边设置S9-80/10/04型变压器在爆破前要断电，爆破后经检查供电线路安全后方可供电。的接地装置。</w:t>
      </w:r>
    </w:p>
    <w:p w14:paraId="5CD1BA40">
      <w:pPr>
        <w:pStyle w:val="16"/>
        <w:bidi w:val="0"/>
        <w:rPr>
          <w:rFonts w:hint="eastAsia"/>
          <w:color w:val="auto"/>
          <w:lang w:val="en-US" w:eastAsia="zh-CN"/>
        </w:rPr>
      </w:pPr>
      <w:r>
        <w:rPr>
          <w:rFonts w:hint="eastAsia"/>
          <w:color w:val="auto"/>
          <w:lang w:val="en-US" w:eastAsia="zh-CN"/>
        </w:rPr>
        <w:t>（2）矿山通讯</w:t>
      </w:r>
    </w:p>
    <w:p w14:paraId="6306705A">
      <w:pPr>
        <w:pStyle w:val="16"/>
        <w:bidi w:val="0"/>
        <w:rPr>
          <w:rFonts w:hint="default"/>
          <w:color w:val="auto"/>
          <w:lang w:val="en-US" w:eastAsia="zh-CN"/>
        </w:rPr>
      </w:pPr>
      <w:r>
        <w:rPr>
          <w:rFonts w:hint="default"/>
          <w:color w:val="auto"/>
          <w:lang w:val="en-US" w:eastAsia="zh-CN"/>
        </w:rPr>
        <w:t>矿山设计采用无线通讯，矿山采用手机与外界联系。</w:t>
      </w:r>
    </w:p>
    <w:p w14:paraId="1B832D41">
      <w:pPr>
        <w:pStyle w:val="16"/>
        <w:bidi w:val="0"/>
        <w:rPr>
          <w:rFonts w:hint="default"/>
          <w:color w:val="auto"/>
          <w:lang w:val="en-US" w:eastAsia="zh-CN"/>
        </w:rPr>
      </w:pPr>
      <w:r>
        <w:rPr>
          <w:rFonts w:hint="default"/>
          <w:color w:val="auto"/>
          <w:lang w:val="en-US" w:eastAsia="zh-CN"/>
        </w:rPr>
        <w:t>矿山调度控制中心和外界及基层生产单位（地点）联系顺利畅通。</w:t>
      </w:r>
    </w:p>
    <w:p w14:paraId="44FA9306">
      <w:pPr>
        <w:pStyle w:val="23"/>
        <w:bidi w:val="0"/>
        <w:rPr>
          <w:rFonts w:hint="default"/>
          <w:color w:val="auto"/>
          <w:lang w:val="en-US" w:eastAsia="zh-CN"/>
        </w:rPr>
      </w:pPr>
      <w:bookmarkStart w:id="14" w:name="_Toc8405"/>
      <w:r>
        <w:rPr>
          <w:rFonts w:hint="default"/>
          <w:color w:val="auto"/>
          <w:lang w:val="en-US" w:eastAsia="zh-CN"/>
        </w:rPr>
        <w:t>上一轮安全生产许可期间生产基本情况</w:t>
      </w:r>
      <w:bookmarkEnd w:id="14"/>
    </w:p>
    <w:p w14:paraId="083ABD51">
      <w:pPr>
        <w:pStyle w:val="16"/>
        <w:rPr>
          <w:rFonts w:hint="default"/>
          <w:color w:val="auto"/>
          <w:lang w:val="en-US" w:eastAsia="zh-CN"/>
        </w:rPr>
      </w:pPr>
      <w:r>
        <w:rPr>
          <w:rFonts w:hint="default"/>
          <w:color w:val="auto"/>
          <w:lang w:val="en-US" w:eastAsia="zh-CN"/>
        </w:rPr>
        <w:t>鞍山东盛源矿业有限公司自202</w:t>
      </w:r>
      <w:r>
        <w:rPr>
          <w:rFonts w:hint="eastAsia"/>
          <w:color w:val="auto"/>
          <w:lang w:val="en-US" w:eastAsia="zh-CN"/>
        </w:rPr>
        <w:t>2</w:t>
      </w:r>
      <w:r>
        <w:rPr>
          <w:rFonts w:hint="default"/>
          <w:color w:val="auto"/>
          <w:lang w:val="en-US" w:eastAsia="zh-CN"/>
        </w:rPr>
        <w:t>年</w:t>
      </w:r>
      <w:r>
        <w:rPr>
          <w:rFonts w:hint="eastAsia"/>
          <w:color w:val="auto"/>
          <w:lang w:val="en-US" w:eastAsia="zh-CN"/>
        </w:rPr>
        <w:t>9</w:t>
      </w:r>
      <w:r>
        <w:rPr>
          <w:rFonts w:hint="default"/>
          <w:color w:val="auto"/>
          <w:lang w:val="en-US" w:eastAsia="zh-CN"/>
        </w:rPr>
        <w:t>月</w:t>
      </w:r>
      <w:r>
        <w:rPr>
          <w:rFonts w:hint="eastAsia"/>
          <w:color w:val="auto"/>
          <w:lang w:val="en-US" w:eastAsia="zh-CN"/>
        </w:rPr>
        <w:t>19</w:t>
      </w:r>
      <w:r>
        <w:rPr>
          <w:rFonts w:hint="default"/>
          <w:color w:val="auto"/>
          <w:lang w:val="en-US" w:eastAsia="zh-CN"/>
        </w:rPr>
        <w:t>日取得安全生产许可证后至今无安全生产事故</w:t>
      </w:r>
      <w:r>
        <w:rPr>
          <w:rFonts w:hint="eastAsia"/>
          <w:color w:val="auto"/>
          <w:lang w:val="en-US" w:eastAsia="zh-CN"/>
        </w:rPr>
        <w:t>。矿山在</w:t>
      </w:r>
      <w:r>
        <w:rPr>
          <w:rFonts w:hint="default"/>
          <w:color w:val="auto"/>
          <w:lang w:val="en-US" w:eastAsia="zh-CN"/>
        </w:rPr>
        <w:t>采场边界设置了警示标志和围栏，多次处理安全隐患，能够及时处理边坡浮石，配备了专业技术人员、注册安全工程师，加强了现场的安全管理。</w:t>
      </w:r>
    </w:p>
    <w:p w14:paraId="332D4652">
      <w:pPr>
        <w:pStyle w:val="23"/>
        <w:bidi w:val="0"/>
        <w:rPr>
          <w:rFonts w:hint="default"/>
          <w:color w:val="auto"/>
          <w:lang w:val="en-US" w:eastAsia="zh-CN"/>
        </w:rPr>
      </w:pPr>
      <w:bookmarkStart w:id="15" w:name="_Toc5888"/>
      <w:r>
        <w:rPr>
          <w:rFonts w:hint="eastAsia"/>
          <w:color w:val="auto"/>
          <w:lang w:val="en-US" w:eastAsia="zh-CN"/>
        </w:rPr>
        <w:t>安全现状</w:t>
      </w:r>
      <w:bookmarkEnd w:id="15"/>
    </w:p>
    <w:p w14:paraId="4666CCA9">
      <w:pPr>
        <w:pStyle w:val="24"/>
        <w:rPr>
          <w:rFonts w:hint="default"/>
          <w:color w:val="auto"/>
          <w:lang w:val="en-US" w:eastAsia="zh-CN"/>
        </w:rPr>
      </w:pPr>
      <w:r>
        <w:rPr>
          <w:rFonts w:hint="default"/>
          <w:color w:val="auto"/>
          <w:lang w:val="en-US" w:eastAsia="zh-CN"/>
        </w:rPr>
        <w:t>生产能力、服务年限及工作制度</w:t>
      </w:r>
    </w:p>
    <w:p w14:paraId="03C89392">
      <w:pPr>
        <w:pStyle w:val="16"/>
        <w:rPr>
          <w:rFonts w:hint="default"/>
          <w:color w:val="auto"/>
          <w:lang w:val="en-US" w:eastAsia="zh-CN"/>
        </w:rPr>
      </w:pPr>
      <w:r>
        <w:rPr>
          <w:rFonts w:hint="default"/>
          <w:color w:val="auto"/>
          <w:lang w:val="en-US" w:eastAsia="zh-CN"/>
        </w:rPr>
        <w:t>矿山实际</w:t>
      </w:r>
      <w:r>
        <w:rPr>
          <w:rFonts w:hint="eastAsia"/>
          <w:color w:val="auto"/>
          <w:lang w:val="en-US" w:eastAsia="zh-CN"/>
        </w:rPr>
        <w:t>生产</w:t>
      </w:r>
      <w:r>
        <w:rPr>
          <w:rFonts w:hint="default"/>
          <w:color w:val="auto"/>
          <w:lang w:val="en-US" w:eastAsia="zh-CN"/>
        </w:rPr>
        <w:t>规模为年产原矿5万m³</w:t>
      </w:r>
      <w:r>
        <w:rPr>
          <w:rFonts w:hint="eastAsia"/>
          <w:color w:val="auto"/>
          <w:lang w:val="en-US" w:eastAsia="zh-CN"/>
        </w:rPr>
        <w:t>，生产服务年限</w:t>
      </w:r>
      <w:r>
        <w:rPr>
          <w:rFonts w:hint="default"/>
          <w:color w:val="auto"/>
          <w:lang w:val="en-US" w:eastAsia="zh-CN"/>
        </w:rPr>
        <w:t>32.77年</w:t>
      </w:r>
      <w:r>
        <w:rPr>
          <w:rFonts w:hint="eastAsia"/>
          <w:color w:val="auto"/>
          <w:lang w:val="en-US" w:eastAsia="zh-CN"/>
        </w:rPr>
        <w:t>。</w:t>
      </w:r>
    </w:p>
    <w:p w14:paraId="4A0BE674">
      <w:pPr>
        <w:pStyle w:val="16"/>
        <w:rPr>
          <w:rFonts w:hint="default"/>
          <w:color w:val="auto"/>
          <w:lang w:val="en-US" w:eastAsia="zh-CN"/>
        </w:rPr>
      </w:pPr>
      <w:r>
        <w:rPr>
          <w:rFonts w:hint="default"/>
          <w:color w:val="auto"/>
          <w:lang w:val="en-US" w:eastAsia="zh-CN"/>
        </w:rPr>
        <w:t>矿山采用间断工作制度，年工作300天，每天1班，每班工作8小时。</w:t>
      </w:r>
    </w:p>
    <w:p w14:paraId="0C416134">
      <w:pPr>
        <w:pStyle w:val="24"/>
        <w:bidi w:val="0"/>
        <w:rPr>
          <w:rFonts w:hint="default"/>
          <w:color w:val="auto"/>
          <w:lang w:val="en-US" w:eastAsia="zh-CN"/>
        </w:rPr>
      </w:pPr>
      <w:r>
        <w:rPr>
          <w:rFonts w:hint="eastAsia"/>
          <w:color w:val="auto"/>
          <w:lang w:val="en-US" w:eastAsia="zh-CN"/>
        </w:rPr>
        <w:t>露天采场现状</w:t>
      </w:r>
    </w:p>
    <w:p w14:paraId="7CB03F29">
      <w:pPr>
        <w:pStyle w:val="16"/>
        <w:rPr>
          <w:rFonts w:hint="default"/>
          <w:color w:val="auto"/>
          <w:lang w:val="en-US" w:eastAsia="zh-CN"/>
        </w:rPr>
      </w:pPr>
      <w:r>
        <w:rPr>
          <w:rFonts w:hint="default"/>
          <w:color w:val="auto"/>
          <w:lang w:val="en-US" w:eastAsia="zh-CN"/>
        </w:rPr>
        <w:t>矿山</w:t>
      </w:r>
      <w:r>
        <w:rPr>
          <w:rFonts w:hint="eastAsia"/>
          <w:color w:val="auto"/>
          <w:lang w:val="en-US" w:eastAsia="zh-CN"/>
        </w:rPr>
        <w:t>采场1与采场2开采完毕，目前开采采场3，采用自上而下分台阶开采</w:t>
      </w:r>
      <w:r>
        <w:rPr>
          <w:rFonts w:hint="default"/>
          <w:color w:val="auto"/>
          <w:lang w:val="en-US" w:eastAsia="zh-CN"/>
        </w:rPr>
        <w:t>。</w:t>
      </w:r>
      <w:r>
        <w:rPr>
          <w:rFonts w:hint="eastAsia"/>
          <w:color w:val="auto"/>
          <w:lang w:val="en-US" w:eastAsia="zh-CN"/>
        </w:rPr>
        <w:t>采场</w:t>
      </w:r>
      <w:r>
        <w:rPr>
          <w:rFonts w:hint="default"/>
          <w:color w:val="auto"/>
          <w:lang w:val="en-US" w:eastAsia="zh-CN"/>
        </w:rPr>
        <w:t>内各开采</w:t>
      </w:r>
      <w:r>
        <w:rPr>
          <w:rFonts w:hint="eastAsia"/>
          <w:color w:val="auto"/>
          <w:lang w:val="en-US" w:eastAsia="zh-CN"/>
        </w:rPr>
        <w:t>水平</w:t>
      </w:r>
      <w:r>
        <w:rPr>
          <w:rFonts w:hint="default"/>
          <w:color w:val="auto"/>
          <w:lang w:val="en-US" w:eastAsia="zh-CN"/>
        </w:rPr>
        <w:t>的矿石用挖掘机铲装到自卸汽车后，沿各自车道将矿石</w:t>
      </w:r>
      <w:r>
        <w:rPr>
          <w:rFonts w:hint="eastAsia"/>
          <w:color w:val="auto"/>
          <w:lang w:val="en-US" w:eastAsia="zh-CN"/>
        </w:rPr>
        <w:t>外运，在开采过程中剥离的岩石和夹石，部分用于铺垫运输道路，其余外运销售。</w:t>
      </w:r>
    </w:p>
    <w:p w14:paraId="0CE87B08">
      <w:pPr>
        <w:pStyle w:val="16"/>
        <w:keepNext w:val="0"/>
        <w:keepLines w:val="0"/>
        <w:pageBreakBefore w:val="0"/>
        <w:widowControl w:val="0"/>
        <w:kinsoku/>
        <w:wordWrap/>
        <w:overflowPunct/>
        <w:topLinePunct w:val="0"/>
        <w:autoSpaceDE/>
        <w:autoSpaceDN/>
        <w:bidi w:val="0"/>
        <w:adjustRightInd w:val="0"/>
        <w:snapToGrid w:val="0"/>
        <w:textAlignment w:val="auto"/>
        <w:rPr>
          <w:rFonts w:hint="default"/>
          <w:color w:val="auto"/>
          <w:lang w:val="en-US" w:eastAsia="zh-CN"/>
        </w:rPr>
      </w:pPr>
      <w:r>
        <w:rPr>
          <w:rFonts w:hint="eastAsia"/>
          <w:color w:val="auto"/>
          <w:lang w:val="en-US" w:eastAsia="zh-CN"/>
        </w:rPr>
        <w:t>目前采场3的长度约370m，宽度约110m；通过现场实测，采场内最高标高为428.06m，位于采场西北方向，最低标高为340.92m，最大深度87.14m；采场内已形成部分350安全平台，但由于安全生产许可证已到期，无法爆破作业，导致尚未完全形成，企业保证在延续安全生产许可证后形成350安全平台。现已形成345m工作平台、360m安全平台、370m安全平台、380m安全平台，台阶高度10m，台阶宽度5m，台阶坡面角55°。</w:t>
      </w:r>
    </w:p>
    <w:p w14:paraId="395F401C">
      <w:pPr>
        <w:pStyle w:val="25"/>
        <w:bidi w:val="0"/>
        <w:rPr>
          <w:rFonts w:hint="eastAsia"/>
          <w:color w:val="auto"/>
          <w:lang w:val="en-US" w:eastAsia="zh-CN"/>
        </w:rPr>
      </w:pPr>
      <w:r>
        <w:rPr>
          <w:color w:val="auto"/>
          <w:sz w:val="24"/>
        </w:rPr>
        <mc:AlternateContent>
          <mc:Choice Requires="wps">
            <w:drawing>
              <wp:anchor distT="0" distB="0" distL="114300" distR="114300" simplePos="0" relativeHeight="251665408" behindDoc="0" locked="0" layoutInCell="1" allowOverlap="1">
                <wp:simplePos x="0" y="0"/>
                <wp:positionH relativeFrom="column">
                  <wp:posOffset>1758315</wp:posOffset>
                </wp:positionH>
                <wp:positionV relativeFrom="paragraph">
                  <wp:posOffset>796290</wp:posOffset>
                </wp:positionV>
                <wp:extent cx="782320" cy="314325"/>
                <wp:effectExtent l="5080" t="4445" r="12700" b="576580"/>
                <wp:wrapNone/>
                <wp:docPr id="37" name="矩形标注 13"/>
                <wp:cNvGraphicFramePr/>
                <a:graphic xmlns:a="http://schemas.openxmlformats.org/drawingml/2006/main">
                  <a:graphicData uri="http://schemas.microsoft.com/office/word/2010/wordprocessingShape">
                    <wps:wsp>
                      <wps:cNvSpPr/>
                      <wps:spPr>
                        <a:xfrm>
                          <a:off x="0" y="0"/>
                          <a:ext cx="782320" cy="314325"/>
                        </a:xfrm>
                        <a:prstGeom prst="wedgeRectCallout">
                          <a:avLst>
                            <a:gd name="adj1" fmla="val 22727"/>
                            <a:gd name="adj2" fmla="val 220303"/>
                          </a:avLst>
                        </a:prstGeom>
                        <a:solidFill>
                          <a:srgbClr val="FFFFFF"/>
                        </a:solidFill>
                        <a:ln w="9525" cap="flat" cmpd="sng">
                          <a:solidFill>
                            <a:srgbClr val="000000"/>
                          </a:solidFill>
                          <a:prstDash val="solid"/>
                          <a:miter/>
                          <a:headEnd type="none" w="med" len="med"/>
                          <a:tailEnd type="none" w="med" len="med"/>
                        </a:ln>
                        <a:effectLst/>
                      </wps:spPr>
                      <wps:txbx>
                        <w:txbxContent>
                          <w:p w14:paraId="3A6F713C">
                            <w:pPr>
                              <w:rPr>
                                <w:rFonts w:hint="eastAsia" w:ascii="宋体" w:hAnsi="宋体"/>
                              </w:rPr>
                            </w:pPr>
                            <w:r>
                              <w:rPr>
                                <w:rFonts w:hint="eastAsia" w:ascii="宋体" w:hAnsi="宋体"/>
                                <w:lang w:val="en-US" w:eastAsia="zh-CN"/>
                              </w:rPr>
                              <w:t>380</w:t>
                            </w:r>
                            <w:r>
                              <w:rPr>
                                <w:rFonts w:hint="eastAsia" w:ascii="宋体" w:hAnsi="宋体"/>
                              </w:rPr>
                              <w:t>m标高</w:t>
                            </w:r>
                          </w:p>
                          <w:p w14:paraId="181FA5ED"/>
                        </w:txbxContent>
                      </wps:txbx>
                      <wps:bodyPr upright="1"/>
                    </wps:wsp>
                  </a:graphicData>
                </a:graphic>
              </wp:anchor>
            </w:drawing>
          </mc:Choice>
          <mc:Fallback>
            <w:pict>
              <v:shape id="矩形标注 13" o:spid="_x0000_s1026" o:spt="61" type="#_x0000_t61" style="position:absolute;left:0pt;margin-left:138.45pt;margin-top:62.7pt;height:24.75pt;width:61.6pt;z-index:251665408;mso-width-relative:page;mso-height-relative:page;" fillcolor="#FFFFFF" filled="t" stroked="t" coordsize="21600,21600" o:gfxdata="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&#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77Iv12gAAAAsBAAAPAAAAAAAAAAEAIAAAACIAAABk&#10;cnMvZG93bnJldi54bWxQSwECFAAUAAAACACHTuJA+oe8wT0CAACcBAAADgAAAAAAAAABACAAAAAp&#10;AQAAZHJzL2Uyb0RvYy54bWxQSwUGAAAAAAYABgBZAQAA2AUAAAAA&#10;" adj="15709,58385">
                <v:fill on="t" focussize="0,0"/>
                <v:stroke color="#000000" joinstyle="miter"/>
                <v:imagedata o:title=""/>
                <o:lock v:ext="edit" aspectratio="f"/>
                <v:textbox>
                  <w:txbxContent>
                    <w:p w14:paraId="3A6F713C">
                      <w:pPr>
                        <w:rPr>
                          <w:rFonts w:hint="eastAsia" w:ascii="宋体" w:hAnsi="宋体"/>
                        </w:rPr>
                      </w:pPr>
                      <w:r>
                        <w:rPr>
                          <w:rFonts w:hint="eastAsia" w:ascii="宋体" w:hAnsi="宋体"/>
                          <w:lang w:val="en-US" w:eastAsia="zh-CN"/>
                        </w:rPr>
                        <w:t>380</w:t>
                      </w:r>
                      <w:r>
                        <w:rPr>
                          <w:rFonts w:hint="eastAsia" w:ascii="宋体" w:hAnsi="宋体"/>
                        </w:rPr>
                        <w:t>m标高</w:t>
                      </w:r>
                    </w:p>
                    <w:p w14:paraId="181FA5ED"/>
                  </w:txbxContent>
                </v:textbox>
              </v:shape>
            </w:pict>
          </mc:Fallback>
        </mc:AlternateContent>
      </w:r>
      <w:r>
        <w:rPr>
          <w:color w:val="auto"/>
          <w:sz w:val="24"/>
        </w:rPr>
        <mc:AlternateContent>
          <mc:Choice Requires="wps">
            <w:drawing>
              <wp:anchor distT="0" distB="0" distL="114300" distR="114300" simplePos="0" relativeHeight="251664384" behindDoc="0" locked="0" layoutInCell="1" allowOverlap="1">
                <wp:simplePos x="0" y="0"/>
                <wp:positionH relativeFrom="column">
                  <wp:posOffset>1101090</wp:posOffset>
                </wp:positionH>
                <wp:positionV relativeFrom="paragraph">
                  <wp:posOffset>1120140</wp:posOffset>
                </wp:positionV>
                <wp:extent cx="782320" cy="314325"/>
                <wp:effectExtent l="5080" t="4445" r="12700" b="443230"/>
                <wp:wrapNone/>
                <wp:docPr id="36" name="矩形标注 13"/>
                <wp:cNvGraphicFramePr/>
                <a:graphic xmlns:a="http://schemas.openxmlformats.org/drawingml/2006/main">
                  <a:graphicData uri="http://schemas.microsoft.com/office/word/2010/wordprocessingShape">
                    <wps:wsp>
                      <wps:cNvSpPr/>
                      <wps:spPr>
                        <a:xfrm>
                          <a:off x="0" y="0"/>
                          <a:ext cx="782320" cy="314325"/>
                        </a:xfrm>
                        <a:prstGeom prst="wedgeRectCallout">
                          <a:avLst>
                            <a:gd name="adj1" fmla="val 49512"/>
                            <a:gd name="adj2" fmla="val 180909"/>
                          </a:avLst>
                        </a:prstGeom>
                        <a:solidFill>
                          <a:srgbClr val="FFFFFF"/>
                        </a:solidFill>
                        <a:ln w="9525" cap="flat" cmpd="sng">
                          <a:solidFill>
                            <a:srgbClr val="000000"/>
                          </a:solidFill>
                          <a:prstDash val="solid"/>
                          <a:miter/>
                          <a:headEnd type="none" w="med" len="med"/>
                          <a:tailEnd type="none" w="med" len="med"/>
                        </a:ln>
                        <a:effectLst/>
                      </wps:spPr>
                      <wps:txbx>
                        <w:txbxContent>
                          <w:p w14:paraId="56FAB3EE">
                            <w:pPr>
                              <w:rPr>
                                <w:rFonts w:hint="eastAsia" w:ascii="宋体" w:hAnsi="宋体"/>
                              </w:rPr>
                            </w:pPr>
                            <w:r>
                              <w:rPr>
                                <w:rFonts w:hint="eastAsia" w:ascii="宋体" w:hAnsi="宋体"/>
                                <w:lang w:val="en-US" w:eastAsia="zh-CN"/>
                              </w:rPr>
                              <w:t>370</w:t>
                            </w:r>
                            <w:r>
                              <w:rPr>
                                <w:rFonts w:hint="eastAsia" w:ascii="宋体" w:hAnsi="宋体"/>
                              </w:rPr>
                              <w:t>m标高</w:t>
                            </w:r>
                          </w:p>
                          <w:p w14:paraId="5B84931F"/>
                        </w:txbxContent>
                      </wps:txbx>
                      <wps:bodyPr upright="1"/>
                    </wps:wsp>
                  </a:graphicData>
                </a:graphic>
              </wp:anchor>
            </w:drawing>
          </mc:Choice>
          <mc:Fallback>
            <w:pict>
              <v:shape id="矩形标注 13" o:spid="_x0000_s1026" o:spt="61" type="#_x0000_t61" style="position:absolute;left:0pt;margin-left:86.7pt;margin-top:88.2pt;height:24.75pt;width:61.6pt;z-index:251664384;mso-width-relative:page;mso-height-relative:page;" fillcolor="#FFFFFF" filled="t" stroked="t" coordsize="21600,21600" o:gfxdata="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&#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OvQrVTXAAAACwEAAA8AAAAAAAAAAQAgAAAAIgAAAGRy&#10;cy9kb3ducmV2LnhtbFBLAQIUABQAAAAIAIdO4kAagq6FPwIAAJwEAAAOAAAAAAAAAAEAIAAAACYB&#10;AABkcnMvZTJvRG9jLnhtbFBLBQYAAAAABgAGAFkBAADXBQAAAAA=&#10;" adj="21495,49876">
                <v:fill on="t" focussize="0,0"/>
                <v:stroke color="#000000" joinstyle="miter"/>
                <v:imagedata o:title=""/>
                <o:lock v:ext="edit" aspectratio="f"/>
                <v:textbox>
                  <w:txbxContent>
                    <w:p w14:paraId="56FAB3EE">
                      <w:pPr>
                        <w:rPr>
                          <w:rFonts w:hint="eastAsia" w:ascii="宋体" w:hAnsi="宋体"/>
                        </w:rPr>
                      </w:pPr>
                      <w:r>
                        <w:rPr>
                          <w:rFonts w:hint="eastAsia" w:ascii="宋体" w:hAnsi="宋体"/>
                          <w:lang w:val="en-US" w:eastAsia="zh-CN"/>
                        </w:rPr>
                        <w:t>370</w:t>
                      </w:r>
                      <w:r>
                        <w:rPr>
                          <w:rFonts w:hint="eastAsia" w:ascii="宋体" w:hAnsi="宋体"/>
                        </w:rPr>
                        <w:t>m标高</w:t>
                      </w:r>
                    </w:p>
                    <w:p w14:paraId="5B84931F"/>
                  </w:txbxContent>
                </v:textbox>
              </v:shape>
            </w:pict>
          </mc:Fallback>
        </mc:AlternateContent>
      </w:r>
      <w:r>
        <w:rPr>
          <w:color w:val="auto"/>
          <w:sz w:val="24"/>
        </w:rPr>
        <mc:AlternateContent>
          <mc:Choice Requires="wps">
            <w:drawing>
              <wp:anchor distT="0" distB="0" distL="114300" distR="114300" simplePos="0" relativeHeight="251663360" behindDoc="0" locked="0" layoutInCell="1" allowOverlap="1">
                <wp:simplePos x="0" y="0"/>
                <wp:positionH relativeFrom="column">
                  <wp:posOffset>701040</wp:posOffset>
                </wp:positionH>
                <wp:positionV relativeFrom="paragraph">
                  <wp:posOffset>1491615</wp:posOffset>
                </wp:positionV>
                <wp:extent cx="782320" cy="314325"/>
                <wp:effectExtent l="5080" t="4445" r="222250" b="290830"/>
                <wp:wrapNone/>
                <wp:docPr id="35" name="矩形标注 13"/>
                <wp:cNvGraphicFramePr/>
                <a:graphic xmlns:a="http://schemas.openxmlformats.org/drawingml/2006/main">
                  <a:graphicData uri="http://schemas.microsoft.com/office/word/2010/wordprocessingShape">
                    <wps:wsp>
                      <wps:cNvSpPr/>
                      <wps:spPr>
                        <a:xfrm>
                          <a:off x="0" y="0"/>
                          <a:ext cx="782320" cy="314325"/>
                        </a:xfrm>
                        <a:prstGeom prst="wedgeRectCallout">
                          <a:avLst>
                            <a:gd name="adj1" fmla="val 72646"/>
                            <a:gd name="adj2" fmla="val 132424"/>
                          </a:avLst>
                        </a:prstGeom>
                        <a:solidFill>
                          <a:srgbClr val="FFFFFF"/>
                        </a:solidFill>
                        <a:ln w="9525" cap="flat" cmpd="sng">
                          <a:solidFill>
                            <a:srgbClr val="000000"/>
                          </a:solidFill>
                          <a:prstDash val="solid"/>
                          <a:miter/>
                          <a:headEnd type="none" w="med" len="med"/>
                          <a:tailEnd type="none" w="med" len="med"/>
                        </a:ln>
                        <a:effectLst/>
                      </wps:spPr>
                      <wps:txbx>
                        <w:txbxContent>
                          <w:p w14:paraId="735D5537">
                            <w:pPr>
                              <w:rPr>
                                <w:rFonts w:hint="eastAsia" w:ascii="宋体" w:hAnsi="宋体"/>
                              </w:rPr>
                            </w:pPr>
                            <w:r>
                              <w:rPr>
                                <w:rFonts w:hint="eastAsia" w:ascii="宋体" w:hAnsi="宋体"/>
                                <w:lang w:val="en-US" w:eastAsia="zh-CN"/>
                              </w:rPr>
                              <w:t>360</w:t>
                            </w:r>
                            <w:r>
                              <w:rPr>
                                <w:rFonts w:hint="eastAsia" w:ascii="宋体" w:hAnsi="宋体"/>
                              </w:rPr>
                              <w:t>m标高</w:t>
                            </w:r>
                          </w:p>
                          <w:p w14:paraId="739CCB3C"/>
                        </w:txbxContent>
                      </wps:txbx>
                      <wps:bodyPr upright="1"/>
                    </wps:wsp>
                  </a:graphicData>
                </a:graphic>
              </wp:anchor>
            </w:drawing>
          </mc:Choice>
          <mc:Fallback>
            <w:pict>
              <v:shape id="矩形标注 13" o:spid="_x0000_s1026" o:spt="61" type="#_x0000_t61" style="position:absolute;left:0pt;margin-left:55.2pt;margin-top:117.45pt;height:24.75pt;width:61.6pt;z-index:251663360;mso-width-relative:page;mso-height-relative:page;" fillcolor="#FFFFFF" filled="t" stroked="t" coordsize="21600,21600" o:gfxdata="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6myoq2gAAAAsBAAAPAAAAAAAAAAEAIAAAACIA&#10;AABkcnMvZG93bnJldi54bWxQSwECFAAUAAAACACHTuJAFKOcYUACAACcBAAADgAAAAAAAAABACAA&#10;AAApAQAAZHJzL2Uyb0RvYy54bWxQSwUGAAAAAAYABgBZAQAA2wUAAAAA&#10;" adj="26492,39404">
                <v:fill on="t" focussize="0,0"/>
                <v:stroke color="#000000" joinstyle="miter"/>
                <v:imagedata o:title=""/>
                <o:lock v:ext="edit" aspectratio="f"/>
                <v:textbox>
                  <w:txbxContent>
                    <w:p w14:paraId="735D5537">
                      <w:pPr>
                        <w:rPr>
                          <w:rFonts w:hint="eastAsia" w:ascii="宋体" w:hAnsi="宋体"/>
                        </w:rPr>
                      </w:pPr>
                      <w:r>
                        <w:rPr>
                          <w:rFonts w:hint="eastAsia" w:ascii="宋体" w:hAnsi="宋体"/>
                          <w:lang w:val="en-US" w:eastAsia="zh-CN"/>
                        </w:rPr>
                        <w:t>360</w:t>
                      </w:r>
                      <w:r>
                        <w:rPr>
                          <w:rFonts w:hint="eastAsia" w:ascii="宋体" w:hAnsi="宋体"/>
                        </w:rPr>
                        <w:t>m标高</w:t>
                      </w:r>
                    </w:p>
                    <w:p w14:paraId="739CCB3C"/>
                  </w:txbxContent>
                </v:textbox>
              </v:shape>
            </w:pict>
          </mc:Fallback>
        </mc:AlternateContent>
      </w:r>
      <w:r>
        <w:rPr>
          <w:color w:val="auto"/>
          <w:sz w:val="24"/>
        </w:rPr>
        <mc:AlternateContent>
          <mc:Choice Requires="wps">
            <w:drawing>
              <wp:anchor distT="0" distB="0" distL="114300" distR="114300" simplePos="0" relativeHeight="251662336" behindDoc="0" locked="0" layoutInCell="1" allowOverlap="1">
                <wp:simplePos x="0" y="0"/>
                <wp:positionH relativeFrom="column">
                  <wp:posOffset>2729865</wp:posOffset>
                </wp:positionH>
                <wp:positionV relativeFrom="paragraph">
                  <wp:posOffset>3396615</wp:posOffset>
                </wp:positionV>
                <wp:extent cx="782320" cy="314325"/>
                <wp:effectExtent l="368935" t="4445" r="10795" b="138430"/>
                <wp:wrapNone/>
                <wp:docPr id="34" name="矩形标注 13"/>
                <wp:cNvGraphicFramePr/>
                <a:graphic xmlns:a="http://schemas.openxmlformats.org/drawingml/2006/main">
                  <a:graphicData uri="http://schemas.microsoft.com/office/word/2010/wordprocessingShape">
                    <wps:wsp>
                      <wps:cNvSpPr/>
                      <wps:spPr>
                        <a:xfrm>
                          <a:off x="2907030" y="4144010"/>
                          <a:ext cx="782320" cy="314325"/>
                        </a:xfrm>
                        <a:prstGeom prst="wedgeRectCallout">
                          <a:avLst>
                            <a:gd name="adj1" fmla="val -92940"/>
                            <a:gd name="adj2" fmla="val 86968"/>
                          </a:avLst>
                        </a:prstGeom>
                        <a:solidFill>
                          <a:srgbClr val="FFFFFF"/>
                        </a:solidFill>
                        <a:ln w="9525" cap="flat" cmpd="sng">
                          <a:solidFill>
                            <a:srgbClr val="000000"/>
                          </a:solidFill>
                          <a:prstDash val="solid"/>
                          <a:miter/>
                          <a:headEnd type="none" w="med" len="med"/>
                          <a:tailEnd type="none" w="med" len="med"/>
                        </a:ln>
                        <a:effectLst/>
                      </wps:spPr>
                      <wps:txbx>
                        <w:txbxContent>
                          <w:p w14:paraId="5011B561">
                            <w:pPr>
                              <w:rPr>
                                <w:rFonts w:hint="eastAsia" w:ascii="宋体" w:hAnsi="宋体"/>
                              </w:rPr>
                            </w:pPr>
                            <w:r>
                              <w:rPr>
                                <w:rFonts w:hint="eastAsia" w:ascii="宋体" w:hAnsi="宋体"/>
                                <w:lang w:val="en-US" w:eastAsia="zh-CN"/>
                              </w:rPr>
                              <w:t>345</w:t>
                            </w:r>
                            <w:r>
                              <w:rPr>
                                <w:rFonts w:hint="eastAsia" w:ascii="宋体" w:hAnsi="宋体"/>
                              </w:rPr>
                              <w:t>m标高</w:t>
                            </w:r>
                          </w:p>
                          <w:p w14:paraId="75F758BD"/>
                        </w:txbxContent>
                      </wps:txbx>
                      <wps:bodyPr upright="1"/>
                    </wps:wsp>
                  </a:graphicData>
                </a:graphic>
              </wp:anchor>
            </w:drawing>
          </mc:Choice>
          <mc:Fallback>
            <w:pict>
              <v:shape id="矩形标注 13" o:spid="_x0000_s1026" o:spt="61" type="#_x0000_t61" style="position:absolute;left:0pt;margin-left:214.95pt;margin-top:267.45pt;height:24.75pt;width:61.6pt;z-index:251662336;mso-width-relative:page;mso-height-relative:page;" fillcolor="#FFFFFF" filled="t" stroked="t" coordsize="21600,21600" o:gfxdata="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C4sZs2QAAAAsBAAAPAAAA&#10;AAAAAAEAIAAAACIAAABkcnMvZG93bnJldi54bWxQSwECFAAUAAAACACHTuJA12PTxk0CAACoBAAA&#10;DgAAAAAAAAABACAAAAAoAQAAZHJzL2Uyb0RvYy54bWxQSwUGAAAAAAYABgBZAQAA5wUAAAAA&#10;" adj="-9275,29585">
                <v:fill on="t" focussize="0,0"/>
                <v:stroke color="#000000" joinstyle="miter"/>
                <v:imagedata o:title=""/>
                <o:lock v:ext="edit" aspectratio="f"/>
                <v:textbox>
                  <w:txbxContent>
                    <w:p w14:paraId="5011B561">
                      <w:pPr>
                        <w:rPr>
                          <w:rFonts w:hint="eastAsia" w:ascii="宋体" w:hAnsi="宋体"/>
                        </w:rPr>
                      </w:pPr>
                      <w:r>
                        <w:rPr>
                          <w:rFonts w:hint="eastAsia" w:ascii="宋体" w:hAnsi="宋体"/>
                          <w:lang w:val="en-US" w:eastAsia="zh-CN"/>
                        </w:rPr>
                        <w:t>345</w:t>
                      </w:r>
                      <w:r>
                        <w:rPr>
                          <w:rFonts w:hint="eastAsia" w:ascii="宋体" w:hAnsi="宋体"/>
                        </w:rPr>
                        <w:t>m标高</w:t>
                      </w:r>
                    </w:p>
                    <w:p w14:paraId="75F758BD"/>
                  </w:txbxContent>
                </v:textbox>
              </v:shape>
            </w:pict>
          </mc:Fallback>
        </mc:AlternateContent>
      </w:r>
      <w:r>
        <w:rPr>
          <w:rFonts w:hint="eastAsia"/>
          <w:color w:val="auto"/>
          <w:lang w:val="en-US" w:eastAsia="zh-CN"/>
        </w:rPr>
        <w:drawing>
          <wp:inline distT="0" distB="0" distL="114300" distR="114300">
            <wp:extent cx="5817235" cy="4361180"/>
            <wp:effectExtent l="0" t="0" r="12065" b="1270"/>
            <wp:docPr id="26" name="图片 26" descr="30f1a7543777b357023991830081b5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30f1a7543777b357023991830081b59b"/>
                    <pic:cNvPicPr>
                      <a:picLocks noChangeAspect="1"/>
                    </pic:cNvPicPr>
                  </pic:nvPicPr>
                  <pic:blipFill>
                    <a:blip r:embed="rId8"/>
                    <a:stretch>
                      <a:fillRect/>
                    </a:stretch>
                  </pic:blipFill>
                  <pic:spPr>
                    <a:xfrm>
                      <a:off x="0" y="0"/>
                      <a:ext cx="5817235" cy="4361180"/>
                    </a:xfrm>
                    <a:prstGeom prst="rect">
                      <a:avLst/>
                    </a:prstGeom>
                  </pic:spPr>
                </pic:pic>
              </a:graphicData>
            </a:graphic>
          </wp:inline>
        </w:drawing>
      </w:r>
    </w:p>
    <w:p w14:paraId="5AFB45FA">
      <w:pPr>
        <w:pStyle w:val="25"/>
        <w:bidi w:val="0"/>
        <w:rPr>
          <w:rFonts w:hint="eastAsia"/>
          <w:color w:val="auto"/>
          <w:lang w:val="en-US" w:eastAsia="zh-CN"/>
        </w:rPr>
      </w:pPr>
      <w:r>
        <w:rPr>
          <w:rFonts w:hint="eastAsia"/>
          <w:color w:val="auto"/>
          <w:lang w:val="en-US" w:eastAsia="zh-CN"/>
        </w:rPr>
        <w:t>图2.6-1  采场现状图</w:t>
      </w:r>
    </w:p>
    <w:p w14:paraId="6BFCE5AC">
      <w:pPr>
        <w:pStyle w:val="25"/>
        <w:bidi w:val="0"/>
        <w:rPr>
          <w:rFonts w:hint="eastAsia"/>
          <w:color w:val="auto"/>
          <w:lang w:val="en-US" w:eastAsia="zh-CN"/>
        </w:rPr>
      </w:pPr>
    </w:p>
    <w:p w14:paraId="6471D2D4">
      <w:pPr>
        <w:pStyle w:val="24"/>
        <w:bidi w:val="0"/>
        <w:rPr>
          <w:rFonts w:hint="default"/>
          <w:color w:val="auto"/>
          <w:lang w:val="en-US" w:eastAsia="zh-CN"/>
        </w:rPr>
      </w:pPr>
      <w:r>
        <w:rPr>
          <w:rFonts w:hint="default"/>
          <w:color w:val="auto"/>
          <w:lang w:val="en-US" w:eastAsia="zh-CN"/>
        </w:rPr>
        <w:t>开拓运输</w:t>
      </w:r>
    </w:p>
    <w:p w14:paraId="2A4FB4B0">
      <w:pPr>
        <w:pStyle w:val="16"/>
        <w:rPr>
          <w:rFonts w:hint="eastAsia"/>
          <w:color w:val="auto"/>
          <w:lang w:val="en-US" w:eastAsia="zh-CN"/>
        </w:rPr>
      </w:pPr>
      <w:r>
        <w:rPr>
          <w:rFonts w:hint="default"/>
          <w:color w:val="auto"/>
          <w:lang w:val="en-US" w:eastAsia="zh-CN"/>
        </w:rPr>
        <w:t>鞍山东盛源矿业有限公司采用公路开拓汽车运输方案，</w:t>
      </w:r>
      <w:r>
        <w:rPr>
          <w:rFonts w:hint="eastAsia"/>
          <w:color w:val="auto"/>
          <w:lang w:val="en-US" w:eastAsia="zh-CN"/>
        </w:rPr>
        <w:t>且为山坡露天矿。</w:t>
      </w:r>
    </w:p>
    <w:p w14:paraId="5F289891">
      <w:pPr>
        <w:pStyle w:val="16"/>
        <w:rPr>
          <w:rFonts w:hint="eastAsia"/>
          <w:color w:val="auto"/>
          <w:lang w:val="en-US" w:eastAsia="zh-CN"/>
        </w:rPr>
      </w:pPr>
      <w:r>
        <w:rPr>
          <w:rFonts w:hint="eastAsia"/>
          <w:color w:val="auto"/>
          <w:lang w:val="en-US" w:eastAsia="zh-CN"/>
        </w:rPr>
        <w:t>矿山共划分为3个采场，开采顺序为采场1→采场2→采场3，目前矿山的采场1与采场2已开采完毕，正在开采采场3。</w:t>
      </w:r>
    </w:p>
    <w:p w14:paraId="2A583BFF">
      <w:pPr>
        <w:pStyle w:val="16"/>
        <w:rPr>
          <w:rFonts w:hint="default"/>
          <w:color w:val="auto"/>
          <w:lang w:val="en-US" w:eastAsia="zh-CN"/>
        </w:rPr>
      </w:pPr>
      <w:r>
        <w:rPr>
          <w:rFonts w:hint="eastAsia"/>
          <w:color w:val="auto"/>
          <w:lang w:val="en-US" w:eastAsia="zh-CN"/>
        </w:rPr>
        <w:t>运输道路</w:t>
      </w:r>
      <w:r>
        <w:rPr>
          <w:rFonts w:hint="default"/>
          <w:color w:val="auto"/>
          <w:lang w:val="en-US" w:eastAsia="zh-CN"/>
        </w:rPr>
        <w:t>为单车道，路面宽</w:t>
      </w:r>
      <w:r>
        <w:rPr>
          <w:rFonts w:hint="eastAsia"/>
          <w:color w:val="auto"/>
          <w:lang w:val="en-US" w:eastAsia="zh-CN"/>
        </w:rPr>
        <w:t>4</w:t>
      </w:r>
      <w:r>
        <w:rPr>
          <w:rFonts w:hint="default"/>
          <w:color w:val="auto"/>
          <w:lang w:val="en-US" w:eastAsia="zh-CN"/>
        </w:rPr>
        <w:t>m</w:t>
      </w:r>
      <w:r>
        <w:rPr>
          <w:rFonts w:hint="eastAsia"/>
          <w:color w:val="auto"/>
          <w:lang w:val="en-US" w:eastAsia="zh-CN"/>
        </w:rPr>
        <w:t>，</w:t>
      </w:r>
      <w:r>
        <w:rPr>
          <w:rFonts w:hint="default"/>
          <w:color w:val="auto"/>
          <w:lang w:val="en-US" w:eastAsia="zh-CN"/>
        </w:rPr>
        <w:t>限制坡度8%</w:t>
      </w:r>
      <w:r>
        <w:rPr>
          <w:rFonts w:hint="eastAsia"/>
          <w:color w:val="auto"/>
          <w:lang w:val="en-US" w:eastAsia="zh-CN"/>
        </w:rPr>
        <w:t>，</w:t>
      </w:r>
      <w:r>
        <w:rPr>
          <w:rFonts w:hint="default"/>
          <w:color w:val="auto"/>
          <w:lang w:val="en-US" w:eastAsia="zh-CN"/>
        </w:rPr>
        <w:t>最小转弯半径15m</w:t>
      </w:r>
      <w:r>
        <w:rPr>
          <w:rFonts w:hint="eastAsia"/>
          <w:color w:val="auto"/>
          <w:lang w:val="en-US" w:eastAsia="zh-CN"/>
        </w:rPr>
        <w:t>，运输道路平整，缓坡段长度40m，宽度8m，坡度不大于3%，道路为碎石路面简易道路。在运输道路外侧已设置了车挡设施，车挡设施轮廓为梯形，挡车高度1m，宽度0.8m。</w:t>
      </w:r>
      <w:r>
        <w:rPr>
          <w:rFonts w:hint="default"/>
          <w:color w:val="auto"/>
          <w:lang w:val="en-US" w:eastAsia="zh-CN"/>
        </w:rPr>
        <w:t>在</w:t>
      </w:r>
      <w:r>
        <w:rPr>
          <w:rFonts w:hint="eastAsia"/>
          <w:color w:val="auto"/>
          <w:lang w:val="en-US" w:eastAsia="zh-CN"/>
        </w:rPr>
        <w:t>矿区</w:t>
      </w:r>
      <w:r>
        <w:rPr>
          <w:rFonts w:hint="default"/>
          <w:color w:val="auto"/>
          <w:lang w:val="en-US" w:eastAsia="zh-CN"/>
        </w:rPr>
        <w:t>东侧设</w:t>
      </w:r>
      <w:r>
        <w:rPr>
          <w:rFonts w:hint="eastAsia"/>
          <w:color w:val="auto"/>
          <w:lang w:val="en-US" w:eastAsia="zh-CN"/>
        </w:rPr>
        <w:t>道</w:t>
      </w:r>
      <w:r>
        <w:rPr>
          <w:rFonts w:hint="default"/>
          <w:color w:val="auto"/>
          <w:lang w:val="en-US" w:eastAsia="zh-CN"/>
        </w:rPr>
        <w:t>路总出入沟口</w:t>
      </w:r>
      <w:r>
        <w:rPr>
          <w:rFonts w:hint="eastAsia"/>
          <w:color w:val="auto"/>
          <w:lang w:val="en-US" w:eastAsia="zh-CN"/>
        </w:rPr>
        <w:t>，标高+300m</w:t>
      </w:r>
      <w:r>
        <w:rPr>
          <w:rFonts w:hint="default"/>
          <w:color w:val="auto"/>
          <w:lang w:val="en-US" w:eastAsia="zh-CN"/>
        </w:rPr>
        <w:t>。</w:t>
      </w:r>
    </w:p>
    <w:p w14:paraId="2C8E0638">
      <w:pPr>
        <w:pStyle w:val="16"/>
        <w:bidi w:val="0"/>
        <w:rPr>
          <w:color w:val="auto"/>
        </w:rPr>
      </w:pPr>
      <w:r>
        <w:rPr>
          <w:color w:val="auto"/>
        </w:rPr>
        <w:t>矿山采用</w:t>
      </w:r>
      <w:r>
        <w:rPr>
          <w:rFonts w:hint="eastAsia"/>
          <w:color w:val="auto"/>
          <w:lang w:val="en-US" w:eastAsia="zh-CN"/>
        </w:rPr>
        <w:t>1</w:t>
      </w:r>
      <w:r>
        <w:rPr>
          <w:color w:val="auto"/>
        </w:rPr>
        <w:t>台5t洒水车进行路面洒水，降低路面粉尘浓度。</w:t>
      </w:r>
    </w:p>
    <w:p w14:paraId="3538786F">
      <w:pPr>
        <w:pStyle w:val="16"/>
        <w:bidi w:val="0"/>
        <w:rPr>
          <w:color w:val="auto"/>
        </w:rPr>
      </w:pPr>
    </w:p>
    <w:p w14:paraId="24BEF685">
      <w:pPr>
        <w:pStyle w:val="25"/>
        <w:bidi w:val="0"/>
        <w:rPr>
          <w:rFonts w:hint="default"/>
          <w:color w:val="auto"/>
          <w:lang w:val="en-US" w:eastAsia="zh-CN"/>
        </w:rPr>
      </w:pPr>
      <w:r>
        <w:rPr>
          <w:rFonts w:hint="default"/>
          <w:color w:val="auto"/>
          <w:lang w:val="en-US" w:eastAsia="zh-CN"/>
        </w:rPr>
        <w:drawing>
          <wp:inline distT="0" distB="0" distL="114300" distR="114300">
            <wp:extent cx="5579745" cy="4183380"/>
            <wp:effectExtent l="0" t="0" r="1905" b="7620"/>
            <wp:docPr id="21" name="图片 21" descr="f8e7458fb931839991950966a216d5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f8e7458fb931839991950966a216d5e0"/>
                    <pic:cNvPicPr>
                      <a:picLocks noChangeAspect="1"/>
                    </pic:cNvPicPr>
                  </pic:nvPicPr>
                  <pic:blipFill>
                    <a:blip r:embed="rId9"/>
                    <a:stretch>
                      <a:fillRect/>
                    </a:stretch>
                  </pic:blipFill>
                  <pic:spPr>
                    <a:xfrm>
                      <a:off x="0" y="0"/>
                      <a:ext cx="5579745" cy="4183380"/>
                    </a:xfrm>
                    <a:prstGeom prst="rect">
                      <a:avLst/>
                    </a:prstGeom>
                  </pic:spPr>
                </pic:pic>
              </a:graphicData>
            </a:graphic>
          </wp:inline>
        </w:drawing>
      </w:r>
    </w:p>
    <w:p w14:paraId="55C57558">
      <w:pPr>
        <w:pStyle w:val="25"/>
        <w:bidi w:val="0"/>
        <w:rPr>
          <w:rFonts w:hint="eastAsia"/>
          <w:color w:val="auto"/>
          <w:lang w:val="en-US" w:eastAsia="zh-CN"/>
        </w:rPr>
      </w:pPr>
      <w:r>
        <w:rPr>
          <w:rFonts w:hint="eastAsia"/>
          <w:color w:val="auto"/>
          <w:lang w:val="en-US" w:eastAsia="zh-CN"/>
        </w:rPr>
        <w:t>图2.6-2  运输道路及安全车挡</w:t>
      </w:r>
    </w:p>
    <w:p w14:paraId="17D42E37">
      <w:pPr>
        <w:pStyle w:val="25"/>
        <w:bidi w:val="0"/>
        <w:rPr>
          <w:rFonts w:hint="default"/>
          <w:color w:val="auto"/>
          <w:lang w:val="en-US" w:eastAsia="zh-CN"/>
        </w:rPr>
      </w:pPr>
      <w:r>
        <w:rPr>
          <w:rFonts w:hint="default"/>
          <w:color w:val="auto"/>
          <w:lang w:val="en-US" w:eastAsia="zh-CN"/>
        </w:rPr>
        <w:drawing>
          <wp:inline distT="0" distB="0" distL="114300" distR="114300">
            <wp:extent cx="5646420" cy="4232910"/>
            <wp:effectExtent l="0" t="0" r="11430" b="15240"/>
            <wp:docPr id="22" name="图片 22" descr="f88c723188997e0836331768dc7fd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f88c723188997e0836331768dc7fd553"/>
                    <pic:cNvPicPr>
                      <a:picLocks noChangeAspect="1"/>
                    </pic:cNvPicPr>
                  </pic:nvPicPr>
                  <pic:blipFill>
                    <a:blip r:embed="rId10"/>
                    <a:stretch>
                      <a:fillRect/>
                    </a:stretch>
                  </pic:blipFill>
                  <pic:spPr>
                    <a:xfrm>
                      <a:off x="0" y="0"/>
                      <a:ext cx="5646420" cy="4232910"/>
                    </a:xfrm>
                    <a:prstGeom prst="rect">
                      <a:avLst/>
                    </a:prstGeom>
                  </pic:spPr>
                </pic:pic>
              </a:graphicData>
            </a:graphic>
          </wp:inline>
        </w:drawing>
      </w:r>
    </w:p>
    <w:p w14:paraId="73574D21">
      <w:pPr>
        <w:pStyle w:val="25"/>
        <w:bidi w:val="0"/>
        <w:rPr>
          <w:rFonts w:hint="eastAsia"/>
          <w:color w:val="auto"/>
          <w:lang w:val="en-US" w:eastAsia="zh-CN"/>
        </w:rPr>
      </w:pPr>
      <w:r>
        <w:rPr>
          <w:rFonts w:hint="eastAsia"/>
          <w:color w:val="auto"/>
          <w:lang w:val="en-US" w:eastAsia="zh-CN"/>
        </w:rPr>
        <w:t>图2.6-3  洒水车</w:t>
      </w:r>
    </w:p>
    <w:p w14:paraId="6D38A3BE">
      <w:pPr>
        <w:pStyle w:val="24"/>
        <w:bidi w:val="0"/>
        <w:rPr>
          <w:rFonts w:hint="default"/>
          <w:color w:val="auto"/>
          <w:lang w:val="en-US" w:eastAsia="zh-CN"/>
        </w:rPr>
      </w:pPr>
      <w:r>
        <w:rPr>
          <w:rFonts w:hint="eastAsia"/>
          <w:color w:val="auto"/>
          <w:lang w:val="en-US" w:eastAsia="zh-CN"/>
        </w:rPr>
        <w:t>生产工艺</w:t>
      </w:r>
    </w:p>
    <w:p w14:paraId="4B4B1C9B">
      <w:pPr>
        <w:pStyle w:val="16"/>
        <w:rPr>
          <w:rFonts w:hint="default"/>
          <w:color w:val="auto"/>
          <w:lang w:val="en-US" w:eastAsia="zh-CN"/>
        </w:rPr>
      </w:pPr>
      <w:r>
        <w:rPr>
          <w:rFonts w:hint="default"/>
          <w:color w:val="auto"/>
          <w:lang w:val="en-US" w:eastAsia="zh-CN"/>
        </w:rPr>
        <w:t>（1）采矿方法</w:t>
      </w:r>
    </w:p>
    <w:p w14:paraId="34EED151">
      <w:pPr>
        <w:pStyle w:val="16"/>
        <w:rPr>
          <w:rFonts w:hint="default"/>
          <w:color w:val="auto"/>
          <w:lang w:val="en-US" w:eastAsia="zh-CN"/>
        </w:rPr>
      </w:pPr>
      <w:r>
        <w:rPr>
          <w:rFonts w:hint="default"/>
          <w:color w:val="auto"/>
          <w:lang w:val="en-US" w:eastAsia="zh-CN"/>
        </w:rPr>
        <w:t>鞍山东盛源矿业有限公司采用</w:t>
      </w:r>
      <w:r>
        <w:rPr>
          <w:rFonts w:hint="eastAsia"/>
          <w:color w:val="auto"/>
          <w:lang w:val="en-US" w:eastAsia="zh-CN"/>
        </w:rPr>
        <w:t>自上而下分台阶开采</w:t>
      </w:r>
      <w:r>
        <w:rPr>
          <w:rFonts w:hint="default"/>
          <w:color w:val="auto"/>
          <w:lang w:val="en-US" w:eastAsia="zh-CN"/>
        </w:rPr>
        <w:t>，</w:t>
      </w:r>
      <w:r>
        <w:rPr>
          <w:rFonts w:hint="eastAsia"/>
          <w:color w:val="auto"/>
          <w:lang w:val="en-US" w:eastAsia="zh-CN"/>
        </w:rPr>
        <w:t>台阶高度1</w:t>
      </w:r>
      <w:r>
        <w:rPr>
          <w:rFonts w:hint="default"/>
          <w:color w:val="auto"/>
          <w:lang w:val="en-US" w:eastAsia="zh-CN"/>
        </w:rPr>
        <w:t>0m，</w:t>
      </w:r>
      <w:r>
        <w:rPr>
          <w:rFonts w:hint="eastAsia"/>
          <w:color w:val="auto"/>
          <w:lang w:val="en-US" w:eastAsia="zh-CN"/>
        </w:rPr>
        <w:t>采场3</w:t>
      </w:r>
      <w:r>
        <w:rPr>
          <w:rFonts w:hint="default"/>
          <w:color w:val="auto"/>
          <w:lang w:val="en-US" w:eastAsia="zh-CN"/>
        </w:rPr>
        <w:t>台阶坡面</w:t>
      </w:r>
      <w:r>
        <w:rPr>
          <w:rFonts w:hint="eastAsia"/>
          <w:color w:val="auto"/>
          <w:lang w:val="en-US" w:eastAsia="zh-CN"/>
        </w:rPr>
        <w:t>角55</w:t>
      </w:r>
      <w:r>
        <w:rPr>
          <w:rFonts w:hint="default"/>
          <w:color w:val="auto"/>
          <w:lang w:val="en-US" w:eastAsia="zh-CN"/>
        </w:rPr>
        <w:t>°。</w:t>
      </w:r>
    </w:p>
    <w:p w14:paraId="041B94CF">
      <w:pPr>
        <w:pStyle w:val="16"/>
        <w:rPr>
          <w:rFonts w:hint="default"/>
          <w:color w:val="auto"/>
          <w:lang w:val="en-US" w:eastAsia="zh-CN"/>
        </w:rPr>
      </w:pPr>
      <w:r>
        <w:rPr>
          <w:rFonts w:hint="default"/>
          <w:color w:val="auto"/>
          <w:lang w:val="en-US" w:eastAsia="zh-CN"/>
        </w:rPr>
        <w:t>（2）穿孔爆破</w:t>
      </w:r>
    </w:p>
    <w:p w14:paraId="14F670A1">
      <w:pPr>
        <w:pStyle w:val="16"/>
        <w:rPr>
          <w:rFonts w:hint="eastAsia"/>
          <w:color w:val="auto"/>
          <w:lang w:val="en-US" w:eastAsia="zh-CN"/>
        </w:rPr>
      </w:pPr>
      <w:r>
        <w:rPr>
          <w:rFonts w:hint="default"/>
          <w:color w:val="auto"/>
          <w:lang w:val="en-US" w:eastAsia="zh-CN"/>
        </w:rPr>
        <w:t>鞍山东盛源矿业有限公司</w:t>
      </w:r>
      <w:r>
        <w:rPr>
          <w:rFonts w:hint="eastAsia"/>
          <w:color w:val="auto"/>
          <w:lang w:val="en-US" w:eastAsia="zh-CN"/>
        </w:rPr>
        <w:t>委托岫岩满族自治县广财爆破工程有限公司，委托包括爆破作业环境勘查、组织指挥与实施爆破作业、安全警戒工作、爆破作业后的现场检查工作，以及爆炸物品的领取、运输、保管、使用和清退等事项。因此，鞍山东盛源矿业有限公司无穿孔爆破相关设备。</w:t>
      </w:r>
    </w:p>
    <w:p w14:paraId="2B414B25">
      <w:pPr>
        <w:pStyle w:val="16"/>
        <w:bidi w:val="0"/>
        <w:rPr>
          <w:rFonts w:hint="eastAsia"/>
          <w:color w:val="auto"/>
          <w:lang w:val="en-US" w:eastAsia="zh-CN"/>
        </w:rPr>
      </w:pPr>
      <w:r>
        <w:rPr>
          <w:rFonts w:hint="eastAsia"/>
          <w:color w:val="auto"/>
          <w:lang w:val="en-US" w:eastAsia="zh-CN"/>
        </w:rPr>
        <w:t>现场采用中深孔爆破，采用单一装药结构，填塞长度不得小于孔深的1/3，采用人工装药和填塞，采用数码雷管起爆。爆破前，将钻机、挖掘机等移动设备开到爆破警戒圈以外的安全地点，爆破警戒线为300m。采场内二次破碎不采用爆破方式，采用反铲更换冲击锤进行破碎大块作业。</w:t>
      </w:r>
    </w:p>
    <w:p w14:paraId="11E06CB0">
      <w:pPr>
        <w:pStyle w:val="16"/>
        <w:bidi w:val="0"/>
        <w:rPr>
          <w:rFonts w:hint="eastAsia"/>
          <w:color w:val="auto"/>
          <w:lang w:val="en-US" w:eastAsia="zh-CN"/>
        </w:rPr>
      </w:pPr>
      <w:r>
        <w:rPr>
          <w:rFonts w:hint="eastAsia"/>
          <w:color w:val="auto"/>
          <w:lang w:val="en-US" w:eastAsia="zh-CN"/>
        </w:rPr>
        <w:t>（3）铲装运输</w:t>
      </w:r>
    </w:p>
    <w:p w14:paraId="738BE4C3">
      <w:pPr>
        <w:pStyle w:val="16"/>
        <w:bidi w:val="0"/>
        <w:rPr>
          <w:rFonts w:hint="eastAsia" w:eastAsia="宋体"/>
          <w:color w:val="auto"/>
          <w:lang w:val="en-US" w:eastAsia="zh-CN"/>
        </w:rPr>
      </w:pPr>
      <w:r>
        <w:rPr>
          <w:rFonts w:hint="eastAsia"/>
          <w:color w:val="auto"/>
          <w:lang w:val="en-US" w:eastAsia="zh-CN"/>
        </w:rPr>
        <w:t>鞍山东盛源矿业有限公司采用2台SANY SY4151H挖掘机进行装矿，采用3台装载机，采用6台10t自卸汽车</w:t>
      </w:r>
      <w:r>
        <w:rPr>
          <w:rFonts w:hint="eastAsia" w:ascii="宋体" w:hAnsi="宋体" w:cs="宋体"/>
          <w:color w:val="auto"/>
          <w:sz w:val="28"/>
          <w:szCs w:val="28"/>
        </w:rPr>
        <w:t>运输矿石</w:t>
      </w:r>
      <w:r>
        <w:rPr>
          <w:rFonts w:hint="eastAsia" w:ascii="宋体" w:hAnsi="宋体" w:cs="宋体"/>
          <w:color w:val="auto"/>
          <w:sz w:val="28"/>
          <w:szCs w:val="28"/>
          <w:lang w:eastAsia="zh-CN"/>
        </w:rPr>
        <w:t>。</w:t>
      </w:r>
    </w:p>
    <w:p w14:paraId="1B042CEE">
      <w:pPr>
        <w:pStyle w:val="25"/>
        <w:bidi w:val="0"/>
        <w:rPr>
          <w:rFonts w:hint="default"/>
          <w:color w:val="auto"/>
          <w:lang w:val="en-US" w:eastAsia="zh-CN"/>
        </w:rPr>
      </w:pPr>
      <w:r>
        <w:rPr>
          <w:rFonts w:hint="default"/>
          <w:color w:val="auto"/>
          <w:lang w:val="en-US" w:eastAsia="zh-CN"/>
        </w:rPr>
        <w:drawing>
          <wp:inline distT="0" distB="0" distL="114300" distR="114300">
            <wp:extent cx="5102860" cy="3825875"/>
            <wp:effectExtent l="0" t="0" r="2540" b="3175"/>
            <wp:docPr id="24" name="图片 24" descr="4d7d367e25d3cb9f161f045cb0841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4d7d367e25d3cb9f161f045cb0841318"/>
                    <pic:cNvPicPr>
                      <a:picLocks noChangeAspect="1"/>
                    </pic:cNvPicPr>
                  </pic:nvPicPr>
                  <pic:blipFill>
                    <a:blip r:embed="rId11"/>
                    <a:stretch>
                      <a:fillRect/>
                    </a:stretch>
                  </pic:blipFill>
                  <pic:spPr>
                    <a:xfrm>
                      <a:off x="0" y="0"/>
                      <a:ext cx="5102860" cy="3825875"/>
                    </a:xfrm>
                    <a:prstGeom prst="rect">
                      <a:avLst/>
                    </a:prstGeom>
                  </pic:spPr>
                </pic:pic>
              </a:graphicData>
            </a:graphic>
          </wp:inline>
        </w:drawing>
      </w:r>
    </w:p>
    <w:p w14:paraId="7793FB11">
      <w:pPr>
        <w:pStyle w:val="25"/>
        <w:bidi w:val="0"/>
        <w:rPr>
          <w:rFonts w:hint="default"/>
          <w:color w:val="auto"/>
          <w:lang w:val="en-US" w:eastAsia="zh-CN"/>
        </w:rPr>
      </w:pPr>
      <w:r>
        <w:rPr>
          <w:rFonts w:hint="eastAsia"/>
          <w:color w:val="auto"/>
          <w:lang w:val="en-US" w:eastAsia="zh-CN"/>
        </w:rPr>
        <w:t>图2.6-4  挖掘机</w:t>
      </w:r>
    </w:p>
    <w:p w14:paraId="639B704D">
      <w:pPr>
        <w:pStyle w:val="25"/>
        <w:bidi w:val="0"/>
        <w:rPr>
          <w:rFonts w:hint="default"/>
          <w:color w:val="auto"/>
          <w:lang w:val="en-US" w:eastAsia="zh-CN"/>
        </w:rPr>
      </w:pPr>
      <w:r>
        <w:rPr>
          <w:rFonts w:hint="default"/>
          <w:color w:val="auto"/>
          <w:lang w:val="en-US" w:eastAsia="zh-CN"/>
        </w:rPr>
        <w:drawing>
          <wp:inline distT="0" distB="0" distL="114300" distR="114300">
            <wp:extent cx="5205095" cy="3902075"/>
            <wp:effectExtent l="0" t="0" r="14605" b="3175"/>
            <wp:docPr id="25" name="图片 25" descr="34d01184f7f2ede4741bdc5b50344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34d01184f7f2ede4741bdc5b50344572"/>
                    <pic:cNvPicPr>
                      <a:picLocks noChangeAspect="1"/>
                    </pic:cNvPicPr>
                  </pic:nvPicPr>
                  <pic:blipFill>
                    <a:blip r:embed="rId12"/>
                    <a:stretch>
                      <a:fillRect/>
                    </a:stretch>
                  </pic:blipFill>
                  <pic:spPr>
                    <a:xfrm>
                      <a:off x="0" y="0"/>
                      <a:ext cx="5205095" cy="3902075"/>
                    </a:xfrm>
                    <a:prstGeom prst="rect">
                      <a:avLst/>
                    </a:prstGeom>
                  </pic:spPr>
                </pic:pic>
              </a:graphicData>
            </a:graphic>
          </wp:inline>
        </w:drawing>
      </w:r>
    </w:p>
    <w:p w14:paraId="4A1938AD">
      <w:pPr>
        <w:pStyle w:val="25"/>
        <w:bidi w:val="0"/>
        <w:rPr>
          <w:rFonts w:hint="eastAsia"/>
          <w:color w:val="auto"/>
          <w:lang w:val="en-US" w:eastAsia="zh-CN"/>
        </w:rPr>
      </w:pPr>
      <w:r>
        <w:rPr>
          <w:rFonts w:hint="eastAsia"/>
          <w:color w:val="auto"/>
          <w:lang w:val="en-US" w:eastAsia="zh-CN"/>
        </w:rPr>
        <w:t>图2.6-5  自卸汽车</w:t>
      </w:r>
    </w:p>
    <w:p w14:paraId="61B426CB">
      <w:pPr>
        <w:pStyle w:val="25"/>
        <w:bidi w:val="0"/>
        <w:rPr>
          <w:rFonts w:hint="default"/>
          <w:color w:val="auto"/>
          <w:lang w:val="en-US" w:eastAsia="zh-CN"/>
        </w:rPr>
      </w:pPr>
      <w:r>
        <w:rPr>
          <w:rFonts w:hint="default"/>
          <w:color w:val="auto"/>
          <w:lang w:val="en-US" w:eastAsia="zh-CN"/>
        </w:rPr>
        <w:drawing>
          <wp:inline distT="0" distB="0" distL="114300" distR="114300">
            <wp:extent cx="5137785" cy="4492625"/>
            <wp:effectExtent l="0" t="0" r="5715" b="3175"/>
            <wp:docPr id="31" name="图片 31" descr="6b9c9602d8211207dca5fd9e8720ae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6b9c9602d8211207dca5fd9e8720ae07"/>
                    <pic:cNvPicPr>
                      <a:picLocks noChangeAspect="1"/>
                    </pic:cNvPicPr>
                  </pic:nvPicPr>
                  <pic:blipFill>
                    <a:blip r:embed="rId13"/>
                    <a:srcRect t="17904" b="16563"/>
                    <a:stretch>
                      <a:fillRect/>
                    </a:stretch>
                  </pic:blipFill>
                  <pic:spPr>
                    <a:xfrm>
                      <a:off x="0" y="0"/>
                      <a:ext cx="5137785" cy="4492625"/>
                    </a:xfrm>
                    <a:prstGeom prst="rect">
                      <a:avLst/>
                    </a:prstGeom>
                  </pic:spPr>
                </pic:pic>
              </a:graphicData>
            </a:graphic>
          </wp:inline>
        </w:drawing>
      </w:r>
    </w:p>
    <w:p w14:paraId="6123D3CF">
      <w:pPr>
        <w:pStyle w:val="25"/>
        <w:bidi w:val="0"/>
        <w:rPr>
          <w:rFonts w:hint="eastAsia"/>
          <w:color w:val="auto"/>
          <w:lang w:val="en-US" w:eastAsia="zh-CN"/>
        </w:rPr>
      </w:pPr>
      <w:r>
        <w:rPr>
          <w:rFonts w:hint="eastAsia"/>
          <w:color w:val="auto"/>
          <w:lang w:val="en-US" w:eastAsia="zh-CN"/>
        </w:rPr>
        <w:t>图2.6-6  避爆棚</w:t>
      </w:r>
    </w:p>
    <w:p w14:paraId="08AEDFD3">
      <w:pPr>
        <w:pStyle w:val="24"/>
        <w:bidi w:val="0"/>
        <w:rPr>
          <w:rFonts w:hint="eastAsia"/>
          <w:color w:val="auto"/>
          <w:lang w:val="en-US" w:eastAsia="zh-CN"/>
        </w:rPr>
      </w:pPr>
      <w:r>
        <w:rPr>
          <w:rFonts w:hint="eastAsia"/>
          <w:color w:val="auto"/>
          <w:lang w:val="en-US" w:eastAsia="zh-CN"/>
        </w:rPr>
        <w:t>矿区总平面布置</w:t>
      </w:r>
    </w:p>
    <w:p w14:paraId="3EBD5F35">
      <w:pPr>
        <w:pStyle w:val="16"/>
        <w:rPr>
          <w:rFonts w:hint="eastAsia"/>
          <w:color w:val="auto"/>
          <w:lang w:val="en-US" w:eastAsia="zh-CN"/>
        </w:rPr>
      </w:pPr>
      <w:r>
        <w:rPr>
          <w:rFonts w:hint="eastAsia"/>
          <w:color w:val="auto"/>
          <w:lang w:val="en-US" w:eastAsia="zh-CN"/>
        </w:rPr>
        <w:t>矿区东侧设道路总出入沟口，标高+300m。</w:t>
      </w:r>
    </w:p>
    <w:p w14:paraId="41BF9747">
      <w:pPr>
        <w:pStyle w:val="16"/>
        <w:rPr>
          <w:rFonts w:hint="eastAsia"/>
          <w:color w:val="auto"/>
          <w:lang w:val="en-US" w:eastAsia="zh-CN"/>
        </w:rPr>
      </w:pPr>
      <w:r>
        <w:rPr>
          <w:rFonts w:hint="eastAsia"/>
          <w:color w:val="auto"/>
          <w:lang w:val="en-US" w:eastAsia="zh-CN"/>
        </w:rPr>
        <w:t>矿区东侧外设有工业场地，工业场地包括办公室、库房。矿区运输道路由东侧进入矿区，矿区道路等级为Ⅲ级，宽度为4m，道路纵坡不超过8%，最小转弯半径为15m，缓坡段长度40m，宽度8m，坡度不大于3%，道路为碎石路面简易道路。在运输道路外侧已设置了车挡设施，车挡设施轮廓为梯形，高度1m，宽度0.8m。</w:t>
      </w:r>
    </w:p>
    <w:p w14:paraId="3163E775">
      <w:pPr>
        <w:pStyle w:val="24"/>
        <w:bidi w:val="0"/>
        <w:rPr>
          <w:rFonts w:hint="eastAsia"/>
          <w:color w:val="auto"/>
          <w:lang w:val="en-US" w:eastAsia="zh-CN"/>
        </w:rPr>
      </w:pPr>
      <w:r>
        <w:rPr>
          <w:rFonts w:hint="eastAsia"/>
          <w:color w:val="auto"/>
          <w:lang w:val="en-US" w:eastAsia="zh-CN"/>
        </w:rPr>
        <w:t>矿山排土</w:t>
      </w:r>
    </w:p>
    <w:p w14:paraId="6D1AF77C">
      <w:pPr>
        <w:pStyle w:val="16"/>
        <w:rPr>
          <w:rFonts w:hint="eastAsia"/>
          <w:color w:val="auto"/>
          <w:lang w:val="en-US" w:eastAsia="zh-CN"/>
        </w:rPr>
      </w:pPr>
      <w:r>
        <w:rPr>
          <w:rFonts w:hint="eastAsia"/>
          <w:color w:val="auto"/>
          <w:lang w:val="en-US" w:eastAsia="zh-CN"/>
        </w:rPr>
        <w:t>矿山地表表土大部分已经剥离，仅有少部分地表覆土，为了不破坏地表植被以及减少征地投资，部分剥离岩土用作铺路石料，生产产生的废石量较少，产生的废石部分用于铺垫运输道路，其余外运销售，矿山不设排土场。</w:t>
      </w:r>
    </w:p>
    <w:p w14:paraId="32EEE83D">
      <w:pPr>
        <w:pStyle w:val="24"/>
        <w:bidi w:val="0"/>
        <w:rPr>
          <w:rFonts w:hint="eastAsia"/>
          <w:color w:val="auto"/>
          <w:lang w:val="en-US" w:eastAsia="zh-CN"/>
        </w:rPr>
      </w:pPr>
      <w:r>
        <w:rPr>
          <w:rFonts w:hint="eastAsia"/>
          <w:color w:val="auto"/>
          <w:lang w:val="en-US" w:eastAsia="zh-CN"/>
        </w:rPr>
        <w:t>矿山防排水</w:t>
      </w:r>
    </w:p>
    <w:p w14:paraId="2C6FBF7E">
      <w:pPr>
        <w:pStyle w:val="16"/>
        <w:rPr>
          <w:rFonts w:hint="eastAsia"/>
          <w:color w:val="auto"/>
          <w:lang w:val="en-US" w:eastAsia="zh-CN"/>
        </w:rPr>
      </w:pPr>
      <w:r>
        <w:rPr>
          <w:rFonts w:hint="eastAsia"/>
          <w:color w:val="auto"/>
          <w:lang w:val="en-US" w:eastAsia="zh-CN"/>
        </w:rPr>
        <w:t>矿山为山坡露天采场，未形成封闭圈，采场内设置排水沟，可实现自流排水。</w:t>
      </w:r>
    </w:p>
    <w:p w14:paraId="660C551F">
      <w:pPr>
        <w:pStyle w:val="24"/>
        <w:bidi w:val="0"/>
        <w:rPr>
          <w:rFonts w:hint="eastAsia"/>
          <w:color w:val="auto"/>
          <w:lang w:val="en-US" w:eastAsia="zh-CN"/>
        </w:rPr>
      </w:pPr>
      <w:r>
        <w:rPr>
          <w:rFonts w:hint="eastAsia"/>
          <w:color w:val="auto"/>
          <w:lang w:val="en-US" w:eastAsia="zh-CN"/>
        </w:rPr>
        <w:t>矿山供电及通讯</w:t>
      </w:r>
    </w:p>
    <w:p w14:paraId="53E156F9">
      <w:pPr>
        <w:pStyle w:val="16"/>
        <w:rPr>
          <w:rFonts w:hint="default"/>
          <w:color w:val="auto"/>
          <w:lang w:val="en-US" w:eastAsia="zh-CN"/>
        </w:rPr>
      </w:pPr>
      <w:r>
        <w:rPr>
          <w:rFonts w:hint="eastAsia"/>
          <w:color w:val="auto"/>
          <w:lang w:val="en-US" w:eastAsia="zh-CN"/>
        </w:rPr>
        <w:t>矿山在工业场地设置由一台S9-80/10/04变压器供检修、照明使用。</w:t>
      </w:r>
    </w:p>
    <w:p w14:paraId="6EBD4808">
      <w:pPr>
        <w:pStyle w:val="16"/>
        <w:rPr>
          <w:rFonts w:hint="eastAsia"/>
          <w:color w:val="auto"/>
          <w:lang w:val="en-US" w:eastAsia="zh-CN"/>
        </w:rPr>
      </w:pPr>
      <w:r>
        <w:rPr>
          <w:rFonts w:hint="eastAsia"/>
          <w:color w:val="auto"/>
          <w:lang w:val="en-US" w:eastAsia="zh-CN"/>
        </w:rPr>
        <w:t>矿山设计采用间断工作制度，每天1班，每班工作8小时，不设照明。且矿山设备为柴油动力，不需供电，故不设供电设备。</w:t>
      </w:r>
    </w:p>
    <w:p w14:paraId="05B0B4DC">
      <w:pPr>
        <w:pStyle w:val="16"/>
        <w:rPr>
          <w:rFonts w:hint="default"/>
          <w:color w:val="auto"/>
          <w:lang w:val="en-US" w:eastAsia="zh-CN"/>
        </w:rPr>
      </w:pPr>
      <w:r>
        <w:rPr>
          <w:rFonts w:hint="default"/>
          <w:color w:val="auto"/>
          <w:lang w:val="en-US" w:eastAsia="zh-CN"/>
        </w:rPr>
        <w:t>由于采场面积较小，人员配备手机等移动设备，能保证通讯畅通。</w:t>
      </w:r>
    </w:p>
    <w:p w14:paraId="71532774">
      <w:pPr>
        <w:pStyle w:val="24"/>
        <w:bidi w:val="0"/>
        <w:rPr>
          <w:rFonts w:hint="default"/>
          <w:color w:val="auto"/>
          <w:lang w:val="en-US" w:eastAsia="zh-CN"/>
        </w:rPr>
      </w:pPr>
      <w:r>
        <w:rPr>
          <w:rFonts w:hint="default"/>
          <w:color w:val="auto"/>
          <w:lang w:val="en-US" w:eastAsia="zh-CN"/>
        </w:rPr>
        <w:t>安全警示标识</w:t>
      </w:r>
    </w:p>
    <w:p w14:paraId="51DF40AC">
      <w:pPr>
        <w:pStyle w:val="16"/>
        <w:rPr>
          <w:rFonts w:hint="eastAsia"/>
          <w:color w:val="auto"/>
          <w:lang w:val="en-US" w:eastAsia="zh-CN"/>
        </w:rPr>
      </w:pPr>
      <w:r>
        <w:rPr>
          <w:rFonts w:hint="default"/>
          <w:color w:val="auto"/>
          <w:lang w:val="en-US" w:eastAsia="zh-CN"/>
        </w:rPr>
        <w:t>鞍山东盛源矿业有限公司安全警示标识</w:t>
      </w:r>
      <w:r>
        <w:rPr>
          <w:rFonts w:hint="eastAsia"/>
          <w:color w:val="auto"/>
          <w:lang w:val="en-US" w:eastAsia="zh-CN"/>
        </w:rPr>
        <w:t>设置较齐全。</w:t>
      </w:r>
    </w:p>
    <w:p w14:paraId="0447EF11">
      <w:pPr>
        <w:pStyle w:val="25"/>
        <w:bidi w:val="0"/>
        <w:rPr>
          <w:rFonts w:hint="eastAsia"/>
          <w:color w:val="auto"/>
          <w:lang w:val="en-US" w:eastAsia="zh-CN"/>
        </w:rPr>
      </w:pPr>
      <w:r>
        <w:rPr>
          <w:rFonts w:hint="eastAsia"/>
          <w:color w:val="auto"/>
          <w:lang w:val="en-US" w:eastAsia="zh-CN"/>
        </w:rPr>
        <w:drawing>
          <wp:inline distT="0" distB="0" distL="114300" distR="114300">
            <wp:extent cx="2630170" cy="3509645"/>
            <wp:effectExtent l="0" t="0" r="17780" b="14605"/>
            <wp:docPr id="27" name="图片 27" descr="dda02b09529eafdc1640b66f2f228a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dda02b09529eafdc1640b66f2f228a68"/>
                    <pic:cNvPicPr>
                      <a:picLocks noChangeAspect="1"/>
                    </pic:cNvPicPr>
                  </pic:nvPicPr>
                  <pic:blipFill>
                    <a:blip r:embed="rId14"/>
                    <a:stretch>
                      <a:fillRect/>
                    </a:stretch>
                  </pic:blipFill>
                  <pic:spPr>
                    <a:xfrm>
                      <a:off x="0" y="0"/>
                      <a:ext cx="2630170" cy="3509645"/>
                    </a:xfrm>
                    <a:prstGeom prst="rect">
                      <a:avLst/>
                    </a:prstGeom>
                  </pic:spPr>
                </pic:pic>
              </a:graphicData>
            </a:graphic>
          </wp:inline>
        </w:drawing>
      </w:r>
      <w:r>
        <w:rPr>
          <w:rFonts w:hint="eastAsia"/>
          <w:color w:val="auto"/>
          <w:lang w:val="en-US" w:eastAsia="zh-CN"/>
        </w:rPr>
        <w:drawing>
          <wp:inline distT="0" distB="0" distL="114300" distR="114300">
            <wp:extent cx="2651760" cy="3536950"/>
            <wp:effectExtent l="0" t="0" r="15240" b="6350"/>
            <wp:docPr id="28" name="图片 28" descr="e94b82dad51b3e2ec7423c9b61b9b6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e94b82dad51b3e2ec7423c9b61b9b6c3"/>
                    <pic:cNvPicPr>
                      <a:picLocks noChangeAspect="1"/>
                    </pic:cNvPicPr>
                  </pic:nvPicPr>
                  <pic:blipFill>
                    <a:blip r:embed="rId15"/>
                    <a:stretch>
                      <a:fillRect/>
                    </a:stretch>
                  </pic:blipFill>
                  <pic:spPr>
                    <a:xfrm>
                      <a:off x="0" y="0"/>
                      <a:ext cx="2651760" cy="3536950"/>
                    </a:xfrm>
                    <a:prstGeom prst="rect">
                      <a:avLst/>
                    </a:prstGeom>
                  </pic:spPr>
                </pic:pic>
              </a:graphicData>
            </a:graphic>
          </wp:inline>
        </w:drawing>
      </w:r>
    </w:p>
    <w:p w14:paraId="10D85273">
      <w:pPr>
        <w:pStyle w:val="16"/>
        <w:rPr>
          <w:rFonts w:hint="eastAsia"/>
          <w:color w:val="auto"/>
          <w:lang w:val="en-US" w:eastAsia="zh-CN"/>
        </w:rPr>
      </w:pPr>
      <w:r>
        <w:rPr>
          <w:rFonts w:hint="eastAsia"/>
          <w:color w:val="auto"/>
          <w:lang w:val="en-US" w:eastAsia="zh-CN"/>
        </w:rPr>
        <w:drawing>
          <wp:inline distT="0" distB="0" distL="114300" distR="114300">
            <wp:extent cx="2458085" cy="3279140"/>
            <wp:effectExtent l="0" t="0" r="18415" b="16510"/>
            <wp:docPr id="29" name="图片 29" descr="f6b6d2f8290274bf4149317b14e7c7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f6b6d2f8290274bf4149317b14e7c7bf"/>
                    <pic:cNvPicPr>
                      <a:picLocks noChangeAspect="1"/>
                    </pic:cNvPicPr>
                  </pic:nvPicPr>
                  <pic:blipFill>
                    <a:blip r:embed="rId16"/>
                    <a:stretch>
                      <a:fillRect/>
                    </a:stretch>
                  </pic:blipFill>
                  <pic:spPr>
                    <a:xfrm>
                      <a:off x="0" y="0"/>
                      <a:ext cx="2458085" cy="3279140"/>
                    </a:xfrm>
                    <a:prstGeom prst="rect">
                      <a:avLst/>
                    </a:prstGeom>
                  </pic:spPr>
                </pic:pic>
              </a:graphicData>
            </a:graphic>
          </wp:inline>
        </w:drawing>
      </w:r>
      <w:r>
        <w:rPr>
          <w:rFonts w:hint="eastAsia"/>
          <w:color w:val="auto"/>
          <w:lang w:val="en-US" w:eastAsia="zh-CN"/>
        </w:rPr>
        <w:t xml:space="preserve">  </w:t>
      </w:r>
      <w:r>
        <w:rPr>
          <w:rFonts w:hint="eastAsia"/>
          <w:color w:val="auto"/>
          <w:lang w:val="en-US" w:eastAsia="zh-CN"/>
        </w:rPr>
        <w:drawing>
          <wp:inline distT="0" distB="0" distL="114300" distR="114300">
            <wp:extent cx="2446655" cy="3263900"/>
            <wp:effectExtent l="0" t="0" r="10795" b="12700"/>
            <wp:docPr id="30" name="图片 30" descr="986d98ef333eb7d772fb61f9660be8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986d98ef333eb7d772fb61f9660be8f6"/>
                    <pic:cNvPicPr>
                      <a:picLocks noChangeAspect="1"/>
                    </pic:cNvPicPr>
                  </pic:nvPicPr>
                  <pic:blipFill>
                    <a:blip r:embed="rId17"/>
                    <a:stretch>
                      <a:fillRect/>
                    </a:stretch>
                  </pic:blipFill>
                  <pic:spPr>
                    <a:xfrm>
                      <a:off x="0" y="0"/>
                      <a:ext cx="2446655" cy="3263900"/>
                    </a:xfrm>
                    <a:prstGeom prst="rect">
                      <a:avLst/>
                    </a:prstGeom>
                  </pic:spPr>
                </pic:pic>
              </a:graphicData>
            </a:graphic>
          </wp:inline>
        </w:drawing>
      </w:r>
    </w:p>
    <w:p w14:paraId="68FB263D">
      <w:pPr>
        <w:pStyle w:val="25"/>
        <w:bidi w:val="0"/>
        <w:rPr>
          <w:rFonts w:hint="default"/>
          <w:color w:val="auto"/>
          <w:lang w:val="en-US"/>
        </w:rPr>
      </w:pPr>
      <w:r>
        <w:rPr>
          <w:rFonts w:hint="eastAsia"/>
          <w:color w:val="auto"/>
          <w:lang w:val="en-US" w:eastAsia="zh-CN"/>
        </w:rPr>
        <w:t>图2.6-7  安全标识照片</w:t>
      </w:r>
    </w:p>
    <w:p w14:paraId="5205A6DE">
      <w:pPr>
        <w:pStyle w:val="24"/>
        <w:bidi w:val="0"/>
        <w:rPr>
          <w:rFonts w:hint="default"/>
          <w:color w:val="auto"/>
          <w:lang w:val="en-US" w:eastAsia="zh-CN"/>
        </w:rPr>
      </w:pPr>
      <w:r>
        <w:rPr>
          <w:rFonts w:hint="eastAsia"/>
          <w:color w:val="auto"/>
          <w:lang w:val="en-US" w:eastAsia="zh-CN"/>
        </w:rPr>
        <w:t>主要设备</w:t>
      </w:r>
    </w:p>
    <w:p w14:paraId="32D13338">
      <w:pPr>
        <w:pStyle w:val="25"/>
        <w:bidi w:val="0"/>
        <w:rPr>
          <w:rFonts w:hint="eastAsia"/>
          <w:color w:val="auto"/>
        </w:rPr>
      </w:pPr>
      <w:r>
        <w:rPr>
          <w:rFonts w:hint="eastAsia"/>
          <w:color w:val="auto"/>
        </w:rPr>
        <w:t xml:space="preserve">表2.6-1 </w:t>
      </w:r>
      <w:r>
        <w:rPr>
          <w:rFonts w:hint="eastAsia"/>
          <w:color w:val="auto"/>
          <w:lang w:val="en-US" w:eastAsia="zh-CN"/>
        </w:rPr>
        <w:t xml:space="preserve"> </w:t>
      </w:r>
      <w:r>
        <w:rPr>
          <w:rFonts w:hint="eastAsia"/>
          <w:color w:val="auto"/>
        </w:rPr>
        <w:t>主要设备表</w:t>
      </w:r>
    </w:p>
    <w:tbl>
      <w:tblPr>
        <w:tblStyle w:val="19"/>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27"/>
        <w:gridCol w:w="2000"/>
        <w:gridCol w:w="3234"/>
        <w:gridCol w:w="857"/>
        <w:gridCol w:w="1604"/>
      </w:tblGrid>
      <w:tr w14:paraId="3F8B80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27" w:type="dxa"/>
            <w:noWrap w:val="0"/>
            <w:vAlign w:val="center"/>
          </w:tcPr>
          <w:p w14:paraId="25CA0DD1">
            <w:pPr>
              <w:pStyle w:val="26"/>
              <w:bidi w:val="0"/>
              <w:rPr>
                <w:rFonts w:hint="eastAsia"/>
                <w:color w:val="auto"/>
              </w:rPr>
            </w:pPr>
            <w:r>
              <w:rPr>
                <w:rFonts w:hint="eastAsia"/>
                <w:color w:val="auto"/>
              </w:rPr>
              <w:t>序号</w:t>
            </w:r>
          </w:p>
        </w:tc>
        <w:tc>
          <w:tcPr>
            <w:tcW w:w="2000" w:type="dxa"/>
            <w:noWrap w:val="0"/>
            <w:vAlign w:val="center"/>
          </w:tcPr>
          <w:p w14:paraId="4ABA2B3E">
            <w:pPr>
              <w:pStyle w:val="26"/>
              <w:bidi w:val="0"/>
              <w:rPr>
                <w:rFonts w:hint="eastAsia"/>
                <w:color w:val="auto"/>
              </w:rPr>
            </w:pPr>
            <w:r>
              <w:rPr>
                <w:rFonts w:hint="eastAsia"/>
                <w:color w:val="auto"/>
              </w:rPr>
              <w:t>设备名称</w:t>
            </w:r>
          </w:p>
        </w:tc>
        <w:tc>
          <w:tcPr>
            <w:tcW w:w="3234" w:type="dxa"/>
            <w:noWrap w:val="0"/>
            <w:vAlign w:val="center"/>
          </w:tcPr>
          <w:p w14:paraId="18E6281C">
            <w:pPr>
              <w:pStyle w:val="26"/>
              <w:bidi w:val="0"/>
              <w:rPr>
                <w:rFonts w:hint="eastAsia"/>
                <w:color w:val="auto"/>
              </w:rPr>
            </w:pPr>
            <w:r>
              <w:rPr>
                <w:rFonts w:hint="eastAsia"/>
                <w:color w:val="auto"/>
              </w:rPr>
              <w:t>型号／规格</w:t>
            </w:r>
          </w:p>
        </w:tc>
        <w:tc>
          <w:tcPr>
            <w:tcW w:w="857" w:type="dxa"/>
            <w:noWrap w:val="0"/>
            <w:vAlign w:val="center"/>
          </w:tcPr>
          <w:p w14:paraId="3031B495">
            <w:pPr>
              <w:pStyle w:val="26"/>
              <w:bidi w:val="0"/>
              <w:rPr>
                <w:rFonts w:hint="eastAsia"/>
                <w:color w:val="auto"/>
              </w:rPr>
            </w:pPr>
            <w:r>
              <w:rPr>
                <w:rFonts w:hint="eastAsia"/>
                <w:color w:val="auto"/>
              </w:rPr>
              <w:t>单位</w:t>
            </w:r>
          </w:p>
        </w:tc>
        <w:tc>
          <w:tcPr>
            <w:tcW w:w="1604" w:type="dxa"/>
            <w:noWrap w:val="0"/>
            <w:vAlign w:val="center"/>
          </w:tcPr>
          <w:p w14:paraId="0806FA6C">
            <w:pPr>
              <w:pStyle w:val="26"/>
              <w:bidi w:val="0"/>
              <w:rPr>
                <w:rFonts w:hint="eastAsia"/>
                <w:color w:val="auto"/>
              </w:rPr>
            </w:pPr>
            <w:r>
              <w:rPr>
                <w:rFonts w:hint="eastAsia"/>
                <w:color w:val="auto"/>
              </w:rPr>
              <w:t>数量</w:t>
            </w:r>
          </w:p>
        </w:tc>
      </w:tr>
      <w:tr w14:paraId="7E30D7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27" w:type="dxa"/>
            <w:noWrap w:val="0"/>
            <w:vAlign w:val="center"/>
          </w:tcPr>
          <w:p w14:paraId="1B8554F2">
            <w:pPr>
              <w:pStyle w:val="26"/>
              <w:bidi w:val="0"/>
              <w:rPr>
                <w:rFonts w:hint="eastAsia"/>
                <w:color w:val="auto"/>
                <w:lang w:eastAsia="zh-CN"/>
              </w:rPr>
            </w:pPr>
            <w:r>
              <w:rPr>
                <w:rFonts w:hint="eastAsia"/>
                <w:color w:val="auto"/>
                <w:lang w:val="en-US" w:eastAsia="zh-CN"/>
              </w:rPr>
              <w:t>1</w:t>
            </w:r>
          </w:p>
        </w:tc>
        <w:tc>
          <w:tcPr>
            <w:tcW w:w="2000" w:type="dxa"/>
            <w:noWrap w:val="0"/>
            <w:vAlign w:val="center"/>
          </w:tcPr>
          <w:p w14:paraId="4C9B7C80">
            <w:pPr>
              <w:pStyle w:val="26"/>
              <w:bidi w:val="0"/>
              <w:rPr>
                <w:rFonts w:hint="eastAsia"/>
                <w:color w:val="auto"/>
              </w:rPr>
            </w:pPr>
            <w:r>
              <w:rPr>
                <w:rFonts w:hint="eastAsia"/>
                <w:color w:val="auto"/>
              </w:rPr>
              <w:t>自卸矿车</w:t>
            </w:r>
          </w:p>
        </w:tc>
        <w:tc>
          <w:tcPr>
            <w:tcW w:w="3234" w:type="dxa"/>
            <w:noWrap w:val="0"/>
            <w:vAlign w:val="center"/>
          </w:tcPr>
          <w:p w14:paraId="473ABE01">
            <w:pPr>
              <w:pStyle w:val="26"/>
              <w:bidi w:val="0"/>
              <w:rPr>
                <w:rFonts w:hint="eastAsia"/>
                <w:color w:val="auto"/>
              </w:rPr>
            </w:pPr>
            <w:r>
              <w:rPr>
                <w:rFonts w:hint="eastAsia"/>
                <w:color w:val="auto"/>
                <w:lang w:val="en-US" w:eastAsia="zh-CN"/>
              </w:rPr>
              <w:t>10</w:t>
            </w:r>
            <w:r>
              <w:rPr>
                <w:rFonts w:hint="eastAsia"/>
                <w:color w:val="auto"/>
              </w:rPr>
              <w:t>t</w:t>
            </w:r>
          </w:p>
        </w:tc>
        <w:tc>
          <w:tcPr>
            <w:tcW w:w="857" w:type="dxa"/>
            <w:noWrap w:val="0"/>
            <w:vAlign w:val="center"/>
          </w:tcPr>
          <w:p w14:paraId="1F60648A">
            <w:pPr>
              <w:pStyle w:val="26"/>
              <w:bidi w:val="0"/>
              <w:rPr>
                <w:rFonts w:hint="eastAsia"/>
                <w:color w:val="auto"/>
              </w:rPr>
            </w:pPr>
            <w:r>
              <w:rPr>
                <w:rFonts w:hint="eastAsia"/>
                <w:color w:val="auto"/>
              </w:rPr>
              <w:t>台</w:t>
            </w:r>
          </w:p>
        </w:tc>
        <w:tc>
          <w:tcPr>
            <w:tcW w:w="1604" w:type="dxa"/>
            <w:noWrap w:val="0"/>
            <w:vAlign w:val="center"/>
          </w:tcPr>
          <w:p w14:paraId="10D68947">
            <w:pPr>
              <w:pStyle w:val="26"/>
              <w:bidi w:val="0"/>
              <w:rPr>
                <w:rFonts w:hint="eastAsia"/>
                <w:color w:val="auto"/>
              </w:rPr>
            </w:pPr>
            <w:r>
              <w:rPr>
                <w:rFonts w:hint="eastAsia"/>
                <w:color w:val="auto"/>
              </w:rPr>
              <w:t>6</w:t>
            </w:r>
          </w:p>
        </w:tc>
      </w:tr>
      <w:tr w14:paraId="4B646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27" w:type="dxa"/>
            <w:noWrap w:val="0"/>
            <w:vAlign w:val="center"/>
          </w:tcPr>
          <w:p w14:paraId="00E95BF4">
            <w:pPr>
              <w:pStyle w:val="26"/>
              <w:bidi w:val="0"/>
              <w:rPr>
                <w:rFonts w:hint="eastAsia"/>
                <w:color w:val="auto"/>
                <w:lang w:eastAsia="zh-CN"/>
              </w:rPr>
            </w:pPr>
            <w:r>
              <w:rPr>
                <w:rFonts w:hint="eastAsia"/>
                <w:color w:val="auto"/>
                <w:lang w:val="en-US" w:eastAsia="zh-CN"/>
              </w:rPr>
              <w:t>2</w:t>
            </w:r>
          </w:p>
        </w:tc>
        <w:tc>
          <w:tcPr>
            <w:tcW w:w="2000" w:type="dxa"/>
            <w:noWrap w:val="0"/>
            <w:vAlign w:val="center"/>
          </w:tcPr>
          <w:p w14:paraId="294B07DE">
            <w:pPr>
              <w:pStyle w:val="26"/>
              <w:bidi w:val="0"/>
              <w:rPr>
                <w:rFonts w:hint="eastAsia"/>
                <w:color w:val="auto"/>
              </w:rPr>
            </w:pPr>
            <w:r>
              <w:rPr>
                <w:rFonts w:hint="eastAsia"/>
                <w:color w:val="auto"/>
              </w:rPr>
              <w:t>挖掘机</w:t>
            </w:r>
          </w:p>
        </w:tc>
        <w:tc>
          <w:tcPr>
            <w:tcW w:w="3234" w:type="dxa"/>
            <w:noWrap w:val="0"/>
            <w:vAlign w:val="center"/>
          </w:tcPr>
          <w:p w14:paraId="244FE79D">
            <w:pPr>
              <w:pStyle w:val="26"/>
              <w:bidi w:val="0"/>
              <w:rPr>
                <w:rFonts w:hint="eastAsia"/>
                <w:color w:val="auto"/>
              </w:rPr>
            </w:pPr>
            <w:r>
              <w:rPr>
                <w:rFonts w:hint="eastAsia"/>
                <w:color w:val="auto"/>
              </w:rPr>
              <w:t>SANY</w:t>
            </w:r>
          </w:p>
        </w:tc>
        <w:tc>
          <w:tcPr>
            <w:tcW w:w="857" w:type="dxa"/>
            <w:noWrap w:val="0"/>
            <w:vAlign w:val="center"/>
          </w:tcPr>
          <w:p w14:paraId="26FCD516">
            <w:pPr>
              <w:pStyle w:val="26"/>
              <w:bidi w:val="0"/>
              <w:rPr>
                <w:rFonts w:hint="eastAsia"/>
                <w:color w:val="auto"/>
              </w:rPr>
            </w:pPr>
            <w:r>
              <w:rPr>
                <w:rFonts w:hint="eastAsia"/>
                <w:color w:val="auto"/>
              </w:rPr>
              <w:t>台</w:t>
            </w:r>
          </w:p>
        </w:tc>
        <w:tc>
          <w:tcPr>
            <w:tcW w:w="1604" w:type="dxa"/>
            <w:noWrap w:val="0"/>
            <w:vAlign w:val="center"/>
          </w:tcPr>
          <w:p w14:paraId="4AE52922">
            <w:pPr>
              <w:pStyle w:val="26"/>
              <w:bidi w:val="0"/>
              <w:rPr>
                <w:rFonts w:hint="eastAsia"/>
                <w:color w:val="auto"/>
                <w:lang w:eastAsia="zh-CN"/>
              </w:rPr>
            </w:pPr>
            <w:r>
              <w:rPr>
                <w:rFonts w:hint="eastAsia"/>
                <w:color w:val="auto"/>
                <w:lang w:val="en-US" w:eastAsia="zh-CN"/>
              </w:rPr>
              <w:t>2</w:t>
            </w:r>
          </w:p>
        </w:tc>
      </w:tr>
      <w:tr w14:paraId="47E02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27" w:type="dxa"/>
            <w:noWrap w:val="0"/>
            <w:vAlign w:val="center"/>
          </w:tcPr>
          <w:p w14:paraId="0374D2F3">
            <w:pPr>
              <w:pStyle w:val="26"/>
              <w:bidi w:val="0"/>
              <w:rPr>
                <w:rFonts w:hint="default"/>
                <w:color w:val="auto"/>
                <w:lang w:val="en-US" w:eastAsia="zh-CN"/>
              </w:rPr>
            </w:pPr>
            <w:r>
              <w:rPr>
                <w:rFonts w:hint="eastAsia"/>
                <w:color w:val="auto"/>
                <w:lang w:val="en-US" w:eastAsia="zh-CN"/>
              </w:rPr>
              <w:t>3</w:t>
            </w:r>
          </w:p>
        </w:tc>
        <w:tc>
          <w:tcPr>
            <w:tcW w:w="2000" w:type="dxa"/>
            <w:noWrap w:val="0"/>
            <w:vAlign w:val="center"/>
          </w:tcPr>
          <w:p w14:paraId="5EA38747">
            <w:pPr>
              <w:pStyle w:val="26"/>
              <w:bidi w:val="0"/>
              <w:rPr>
                <w:rFonts w:hint="eastAsia" w:eastAsia="宋体"/>
                <w:color w:val="auto"/>
                <w:lang w:val="en-US" w:eastAsia="zh-CN"/>
              </w:rPr>
            </w:pPr>
            <w:r>
              <w:rPr>
                <w:rFonts w:hint="eastAsia"/>
                <w:color w:val="auto"/>
                <w:lang w:val="en-US" w:eastAsia="zh-CN"/>
              </w:rPr>
              <w:t>装载机</w:t>
            </w:r>
          </w:p>
        </w:tc>
        <w:tc>
          <w:tcPr>
            <w:tcW w:w="3234" w:type="dxa"/>
            <w:noWrap w:val="0"/>
            <w:vAlign w:val="center"/>
          </w:tcPr>
          <w:p w14:paraId="53911ADF">
            <w:pPr>
              <w:pStyle w:val="26"/>
              <w:bidi w:val="0"/>
              <w:rPr>
                <w:rFonts w:hint="default" w:eastAsia="宋体"/>
                <w:color w:val="auto"/>
                <w:lang w:val="en-US" w:eastAsia="zh-CN"/>
              </w:rPr>
            </w:pPr>
            <w:r>
              <w:rPr>
                <w:rFonts w:hint="eastAsia"/>
                <w:color w:val="auto"/>
                <w:lang w:val="en-US" w:eastAsia="zh-CN"/>
              </w:rPr>
              <w:t>2.7m³</w:t>
            </w:r>
          </w:p>
        </w:tc>
        <w:tc>
          <w:tcPr>
            <w:tcW w:w="857" w:type="dxa"/>
            <w:noWrap w:val="0"/>
            <w:vAlign w:val="center"/>
          </w:tcPr>
          <w:p w14:paraId="385C11F8">
            <w:pPr>
              <w:pStyle w:val="26"/>
              <w:bidi w:val="0"/>
              <w:rPr>
                <w:rFonts w:hint="eastAsia"/>
                <w:color w:val="auto"/>
              </w:rPr>
            </w:pPr>
            <w:r>
              <w:rPr>
                <w:rFonts w:hint="eastAsia"/>
                <w:color w:val="auto"/>
              </w:rPr>
              <w:t>台</w:t>
            </w:r>
          </w:p>
        </w:tc>
        <w:tc>
          <w:tcPr>
            <w:tcW w:w="1604" w:type="dxa"/>
            <w:noWrap w:val="0"/>
            <w:vAlign w:val="center"/>
          </w:tcPr>
          <w:p w14:paraId="317AE612">
            <w:pPr>
              <w:pStyle w:val="26"/>
              <w:bidi w:val="0"/>
              <w:rPr>
                <w:rFonts w:hint="default"/>
                <w:color w:val="auto"/>
                <w:lang w:val="en-US" w:eastAsia="zh-CN"/>
              </w:rPr>
            </w:pPr>
            <w:r>
              <w:rPr>
                <w:rFonts w:hint="eastAsia"/>
                <w:color w:val="auto"/>
                <w:lang w:val="en-US" w:eastAsia="zh-CN"/>
              </w:rPr>
              <w:t>3</w:t>
            </w:r>
          </w:p>
        </w:tc>
      </w:tr>
      <w:tr w14:paraId="027A6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827" w:type="dxa"/>
            <w:shd w:val="clear" w:color="auto" w:fill="auto"/>
            <w:noWrap w:val="0"/>
            <w:vAlign w:val="center"/>
          </w:tcPr>
          <w:p w14:paraId="1A1DD13F">
            <w:pPr>
              <w:pStyle w:val="26"/>
              <w:bidi w:val="0"/>
              <w:rPr>
                <w:rFonts w:hint="eastAsia" w:ascii="Times New Roman" w:hAnsi="Times New Roman" w:eastAsia="宋体" w:cs="宋体"/>
                <w:color w:val="auto"/>
                <w:sz w:val="24"/>
                <w:lang w:val="en-US" w:eastAsia="zh-CN"/>
              </w:rPr>
            </w:pPr>
            <w:r>
              <w:rPr>
                <w:rFonts w:hint="eastAsia"/>
                <w:color w:val="auto"/>
                <w:lang w:val="en-US" w:eastAsia="zh-CN"/>
              </w:rPr>
              <w:t>4</w:t>
            </w:r>
          </w:p>
        </w:tc>
        <w:tc>
          <w:tcPr>
            <w:tcW w:w="2000" w:type="dxa"/>
            <w:shd w:val="clear" w:color="auto" w:fill="auto"/>
            <w:noWrap w:val="0"/>
            <w:vAlign w:val="center"/>
          </w:tcPr>
          <w:p w14:paraId="44699785">
            <w:pPr>
              <w:pStyle w:val="26"/>
              <w:bidi w:val="0"/>
              <w:rPr>
                <w:rFonts w:hint="eastAsia" w:ascii="Times New Roman" w:hAnsi="Times New Roman" w:eastAsia="宋体" w:cs="宋体"/>
                <w:color w:val="auto"/>
                <w:sz w:val="24"/>
              </w:rPr>
            </w:pPr>
            <w:r>
              <w:rPr>
                <w:rFonts w:hint="eastAsia"/>
                <w:color w:val="auto"/>
              </w:rPr>
              <w:t>洒水车</w:t>
            </w:r>
          </w:p>
        </w:tc>
        <w:tc>
          <w:tcPr>
            <w:tcW w:w="3234" w:type="dxa"/>
            <w:shd w:val="clear" w:color="auto" w:fill="auto"/>
            <w:noWrap w:val="0"/>
            <w:vAlign w:val="center"/>
          </w:tcPr>
          <w:p w14:paraId="3D8003B8">
            <w:pPr>
              <w:pStyle w:val="26"/>
              <w:bidi w:val="0"/>
              <w:rPr>
                <w:rFonts w:hint="eastAsia" w:ascii="Times New Roman" w:hAnsi="Times New Roman" w:eastAsia="宋体" w:cs="宋体"/>
                <w:color w:val="auto"/>
                <w:sz w:val="24"/>
              </w:rPr>
            </w:pPr>
            <w:r>
              <w:rPr>
                <w:rFonts w:hint="eastAsia"/>
                <w:color w:val="auto"/>
              </w:rPr>
              <w:t>5t</w:t>
            </w:r>
          </w:p>
        </w:tc>
        <w:tc>
          <w:tcPr>
            <w:tcW w:w="857" w:type="dxa"/>
            <w:shd w:val="clear" w:color="auto" w:fill="auto"/>
            <w:noWrap w:val="0"/>
            <w:vAlign w:val="center"/>
          </w:tcPr>
          <w:p w14:paraId="746441D3">
            <w:pPr>
              <w:pStyle w:val="26"/>
              <w:bidi w:val="0"/>
              <w:rPr>
                <w:rFonts w:hint="eastAsia" w:ascii="Times New Roman" w:hAnsi="Times New Roman" w:eastAsia="宋体" w:cs="宋体"/>
                <w:color w:val="auto"/>
                <w:sz w:val="24"/>
              </w:rPr>
            </w:pPr>
            <w:r>
              <w:rPr>
                <w:rFonts w:hint="eastAsia"/>
                <w:color w:val="auto"/>
              </w:rPr>
              <w:t>台</w:t>
            </w:r>
          </w:p>
        </w:tc>
        <w:tc>
          <w:tcPr>
            <w:tcW w:w="1604" w:type="dxa"/>
            <w:shd w:val="clear" w:color="auto" w:fill="auto"/>
            <w:noWrap w:val="0"/>
            <w:vAlign w:val="center"/>
          </w:tcPr>
          <w:p w14:paraId="3ABE1A94">
            <w:pPr>
              <w:pStyle w:val="26"/>
              <w:bidi w:val="0"/>
              <w:rPr>
                <w:rFonts w:hint="eastAsia" w:ascii="Times New Roman" w:hAnsi="Times New Roman" w:eastAsia="宋体" w:cs="宋体"/>
                <w:color w:val="auto"/>
                <w:sz w:val="24"/>
                <w:lang w:val="en-US" w:eastAsia="zh-CN"/>
              </w:rPr>
            </w:pPr>
            <w:r>
              <w:rPr>
                <w:rFonts w:hint="eastAsia"/>
                <w:color w:val="auto"/>
                <w:lang w:val="en-US" w:eastAsia="zh-CN"/>
              </w:rPr>
              <w:t>1</w:t>
            </w:r>
          </w:p>
        </w:tc>
      </w:tr>
    </w:tbl>
    <w:p w14:paraId="242AE4F1">
      <w:pPr>
        <w:pStyle w:val="23"/>
        <w:bidi w:val="0"/>
        <w:rPr>
          <w:rFonts w:hint="default"/>
          <w:color w:val="auto"/>
          <w:lang w:val="en-US" w:eastAsia="zh-CN"/>
        </w:rPr>
      </w:pPr>
      <w:bookmarkStart w:id="16" w:name="_Toc30602"/>
      <w:r>
        <w:rPr>
          <w:rFonts w:hint="eastAsia"/>
          <w:color w:val="auto"/>
          <w:lang w:val="en-US" w:eastAsia="zh-CN"/>
        </w:rPr>
        <w:t>安全管理及其他</w:t>
      </w:r>
      <w:bookmarkEnd w:id="16"/>
    </w:p>
    <w:p w14:paraId="2D7DB2F7">
      <w:pPr>
        <w:pStyle w:val="24"/>
        <w:rPr>
          <w:rFonts w:hint="default"/>
          <w:color w:val="auto"/>
          <w:lang w:val="en-US" w:eastAsia="zh-CN"/>
        </w:rPr>
      </w:pPr>
      <w:r>
        <w:rPr>
          <w:rFonts w:hint="default"/>
          <w:color w:val="auto"/>
          <w:lang w:val="en-US" w:eastAsia="zh-CN"/>
        </w:rPr>
        <w:t>安全组织机构设置</w:t>
      </w:r>
    </w:p>
    <w:p w14:paraId="38496A71">
      <w:pPr>
        <w:pStyle w:val="16"/>
        <w:rPr>
          <w:rFonts w:hint="eastAsia" w:ascii="宋体" w:hAnsi="宋体" w:cs="宋体"/>
          <w:color w:val="auto"/>
          <w:sz w:val="28"/>
          <w:szCs w:val="28"/>
          <w:lang w:val="en-US" w:eastAsia="zh-CN"/>
        </w:rPr>
      </w:pPr>
      <w:r>
        <w:rPr>
          <w:rFonts w:hint="eastAsia" w:ascii="宋体" w:hAnsi="宋体" w:cs="宋体"/>
          <w:color w:val="auto"/>
          <w:sz w:val="28"/>
          <w:szCs w:val="28"/>
          <w:lang w:val="en-US" w:eastAsia="zh-CN"/>
        </w:rPr>
        <w:t>企业安全生产管理机构为安全科，科长为</w:t>
      </w:r>
      <w:r>
        <w:rPr>
          <w:rFonts w:hint="eastAsia"/>
          <w:color w:val="auto"/>
          <w:lang w:val="en-US" w:eastAsia="zh-CN"/>
        </w:rPr>
        <w:t>石琳琳</w:t>
      </w:r>
      <w:r>
        <w:rPr>
          <w:rFonts w:hint="eastAsia" w:ascii="宋体" w:hAnsi="宋体" w:cs="宋体"/>
          <w:color w:val="auto"/>
          <w:sz w:val="28"/>
          <w:szCs w:val="28"/>
          <w:lang w:val="en-US" w:eastAsia="zh-CN"/>
        </w:rPr>
        <w:t>，科员为</w:t>
      </w:r>
      <w:r>
        <w:rPr>
          <w:rFonts w:hint="eastAsia"/>
          <w:color w:val="auto"/>
          <w:lang w:val="en-US" w:eastAsia="zh-CN"/>
        </w:rPr>
        <w:t>李久怡</w:t>
      </w:r>
      <w:r>
        <w:rPr>
          <w:rFonts w:hint="eastAsia" w:ascii="宋体" w:hAnsi="宋体" w:cs="宋体"/>
          <w:color w:val="auto"/>
          <w:sz w:val="28"/>
          <w:szCs w:val="28"/>
          <w:lang w:val="en-US" w:eastAsia="zh-CN"/>
        </w:rPr>
        <w:t>，并以正式文件形式下发。</w:t>
      </w:r>
    </w:p>
    <w:p w14:paraId="16D92A58">
      <w:pPr>
        <w:pStyle w:val="16"/>
        <w:rPr>
          <w:rFonts w:hint="default" w:ascii="宋体" w:hAnsi="宋体" w:cs="宋体"/>
          <w:color w:val="auto"/>
          <w:sz w:val="28"/>
          <w:szCs w:val="28"/>
          <w:lang w:val="en-US" w:eastAsia="zh-CN"/>
        </w:rPr>
      </w:pPr>
      <w:r>
        <w:rPr>
          <w:rFonts w:hint="eastAsia" w:ascii="宋体" w:hAnsi="宋体" w:cs="宋体"/>
          <w:color w:val="auto"/>
          <w:sz w:val="28"/>
          <w:szCs w:val="28"/>
          <w:lang w:val="en-US" w:eastAsia="zh-CN"/>
        </w:rPr>
        <w:t>企业生产技术管理机构为技术科，任命刘永胜为采矿技术员、汪冲为地质技术员、杨威为机电技术员。</w:t>
      </w:r>
    </w:p>
    <w:p w14:paraId="7AA1F2BA">
      <w:pPr>
        <w:pStyle w:val="16"/>
        <w:rPr>
          <w:rFonts w:hint="eastAsia" w:ascii="宋体" w:hAnsi="宋体" w:cs="宋体"/>
          <w:color w:val="auto"/>
          <w:sz w:val="28"/>
          <w:szCs w:val="28"/>
          <w:lang w:val="en-US" w:eastAsia="zh-CN"/>
        </w:rPr>
      </w:pPr>
      <w:r>
        <w:rPr>
          <w:rFonts w:hint="eastAsia" w:ascii="宋体" w:hAnsi="宋体" w:cs="宋体"/>
          <w:color w:val="auto"/>
          <w:sz w:val="28"/>
          <w:szCs w:val="28"/>
          <w:lang w:val="en-US" w:eastAsia="zh-CN"/>
        </w:rPr>
        <w:t>企业配备了注册安全工程师</w:t>
      </w:r>
      <w:r>
        <w:rPr>
          <w:rFonts w:hint="eastAsia"/>
          <w:color w:val="auto"/>
          <w:spacing w:val="-5"/>
          <w:lang w:val="en-US" w:eastAsia="zh-CN"/>
        </w:rPr>
        <w:t>董师章</w:t>
      </w:r>
      <w:r>
        <w:rPr>
          <w:rFonts w:hint="eastAsia" w:ascii="宋体" w:hAnsi="宋体" w:cs="宋体"/>
          <w:color w:val="auto"/>
          <w:sz w:val="28"/>
          <w:szCs w:val="28"/>
          <w:lang w:val="en-US" w:eastAsia="zh-CN"/>
        </w:rPr>
        <w:t>。</w:t>
      </w:r>
    </w:p>
    <w:p w14:paraId="22B18C8A">
      <w:pPr>
        <w:pStyle w:val="24"/>
        <w:bidi w:val="0"/>
        <w:rPr>
          <w:rFonts w:hint="default"/>
          <w:color w:val="auto"/>
          <w:lang w:val="en-US" w:eastAsia="zh-CN"/>
        </w:rPr>
      </w:pPr>
      <w:r>
        <w:rPr>
          <w:rFonts w:hint="default"/>
          <w:color w:val="auto"/>
          <w:lang w:val="en-US" w:eastAsia="zh-CN"/>
        </w:rPr>
        <w:t>人员教育培训及取证</w:t>
      </w:r>
    </w:p>
    <w:p w14:paraId="7181B7DC">
      <w:pPr>
        <w:pStyle w:val="16"/>
        <w:rPr>
          <w:rFonts w:hint="eastAsia"/>
          <w:color w:val="auto"/>
          <w:lang w:val="en-US" w:eastAsia="zh-CN"/>
        </w:rPr>
      </w:pPr>
      <w:r>
        <w:rPr>
          <w:rFonts w:hint="eastAsia"/>
          <w:color w:val="auto"/>
          <w:lang w:val="en-US" w:eastAsia="zh-CN"/>
        </w:rPr>
        <w:t>企业对职工进行了安全生产教育培训，留有考试成绩单及试卷，培训人员考核均为合格</w:t>
      </w:r>
    </w:p>
    <w:p w14:paraId="1CE5310E">
      <w:pPr>
        <w:pStyle w:val="16"/>
        <w:rPr>
          <w:rFonts w:hint="default"/>
          <w:color w:val="auto"/>
          <w:lang w:val="en-US" w:eastAsia="zh-CN"/>
        </w:rPr>
      </w:pPr>
      <w:r>
        <w:rPr>
          <w:rFonts w:hint="eastAsia"/>
          <w:color w:val="auto"/>
          <w:lang w:val="en-US" w:eastAsia="zh-CN"/>
        </w:rPr>
        <w:t>企业主要负责人夏玉东，安全生产管理人员石琳琳和李久怡，特种作业人员张军辉和孙忠斌，经过培训后均取得证件，且在有效期内。</w:t>
      </w:r>
    </w:p>
    <w:p w14:paraId="1F795112">
      <w:pPr>
        <w:pStyle w:val="25"/>
        <w:bidi w:val="0"/>
        <w:rPr>
          <w:rFonts w:hint="eastAsia"/>
          <w:color w:val="auto"/>
        </w:rPr>
      </w:pPr>
      <w:r>
        <w:rPr>
          <w:rFonts w:hint="eastAsia"/>
          <w:color w:val="auto"/>
        </w:rPr>
        <w:t>表2.7-1 主要负责人、安全管理人员、特种作业人员证件</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06"/>
        <w:gridCol w:w="2907"/>
        <w:gridCol w:w="2907"/>
      </w:tblGrid>
      <w:tr w14:paraId="6E7A4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752C796B">
            <w:pPr>
              <w:snapToGrid w:val="0"/>
              <w:jc w:val="center"/>
              <w:rPr>
                <w:rFonts w:ascii="Times New Roman" w:hAnsi="Times New Roman"/>
                <w:color w:val="auto"/>
                <w:szCs w:val="21"/>
              </w:rPr>
            </w:pPr>
            <w:r>
              <w:rPr>
                <w:rFonts w:hint="eastAsia" w:ascii="Times New Roman" w:hAnsi="Times New Roman"/>
                <w:color w:val="auto"/>
                <w:szCs w:val="21"/>
              </w:rPr>
              <w:t>姓名</w:t>
            </w:r>
          </w:p>
        </w:tc>
        <w:tc>
          <w:tcPr>
            <w:tcW w:w="2907" w:type="dxa"/>
            <w:noWrap w:val="0"/>
            <w:vAlign w:val="top"/>
          </w:tcPr>
          <w:p w14:paraId="6DAD2AE1">
            <w:pPr>
              <w:snapToGrid w:val="0"/>
              <w:jc w:val="center"/>
              <w:rPr>
                <w:rFonts w:ascii="Times New Roman" w:hAnsi="Times New Roman"/>
                <w:color w:val="auto"/>
                <w:szCs w:val="21"/>
              </w:rPr>
            </w:pPr>
            <w:r>
              <w:rPr>
                <w:rFonts w:hint="eastAsia" w:ascii="Times New Roman" w:hAnsi="Times New Roman"/>
                <w:color w:val="auto"/>
                <w:szCs w:val="21"/>
              </w:rPr>
              <w:t>人员类型</w:t>
            </w:r>
          </w:p>
        </w:tc>
        <w:tc>
          <w:tcPr>
            <w:tcW w:w="2907" w:type="dxa"/>
            <w:noWrap w:val="0"/>
            <w:vAlign w:val="top"/>
          </w:tcPr>
          <w:p w14:paraId="5B65D2C8">
            <w:pPr>
              <w:snapToGrid w:val="0"/>
              <w:jc w:val="center"/>
              <w:rPr>
                <w:rFonts w:ascii="Times New Roman" w:hAnsi="Times New Roman"/>
                <w:color w:val="auto"/>
                <w:szCs w:val="21"/>
              </w:rPr>
            </w:pPr>
            <w:r>
              <w:rPr>
                <w:rFonts w:hint="eastAsia" w:ascii="Times New Roman" w:hAnsi="Times New Roman"/>
                <w:color w:val="auto"/>
                <w:szCs w:val="21"/>
              </w:rPr>
              <w:t>证件有效期</w:t>
            </w:r>
          </w:p>
        </w:tc>
      </w:tr>
      <w:tr w14:paraId="7D092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2278C890">
            <w:pPr>
              <w:snapToGrid w:val="0"/>
              <w:jc w:val="center"/>
              <w:rPr>
                <w:rFonts w:ascii="Times New Roman" w:hAnsi="Times New Roman"/>
                <w:color w:val="auto"/>
                <w:szCs w:val="21"/>
              </w:rPr>
            </w:pPr>
            <w:r>
              <w:rPr>
                <w:rFonts w:hint="eastAsia"/>
                <w:color w:val="auto"/>
                <w:lang w:val="en-US" w:eastAsia="zh-CN"/>
              </w:rPr>
              <w:t>夏玉东</w:t>
            </w:r>
          </w:p>
        </w:tc>
        <w:tc>
          <w:tcPr>
            <w:tcW w:w="2907" w:type="dxa"/>
            <w:noWrap w:val="0"/>
            <w:vAlign w:val="top"/>
          </w:tcPr>
          <w:p w14:paraId="425B2033">
            <w:pPr>
              <w:snapToGrid w:val="0"/>
              <w:jc w:val="center"/>
              <w:rPr>
                <w:rFonts w:ascii="Times New Roman" w:hAnsi="Times New Roman"/>
                <w:color w:val="auto"/>
                <w:szCs w:val="21"/>
              </w:rPr>
            </w:pPr>
            <w:r>
              <w:rPr>
                <w:rFonts w:hint="eastAsia" w:ascii="Times New Roman" w:hAnsi="Times New Roman"/>
                <w:color w:val="auto"/>
                <w:szCs w:val="21"/>
              </w:rPr>
              <w:t>主要负责人</w:t>
            </w:r>
          </w:p>
        </w:tc>
        <w:tc>
          <w:tcPr>
            <w:tcW w:w="2907" w:type="dxa"/>
            <w:noWrap w:val="0"/>
            <w:vAlign w:val="top"/>
          </w:tcPr>
          <w:p w14:paraId="7C53421D">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rPr>
              <w:t>2024.</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24</w:t>
            </w:r>
            <w:r>
              <w:rPr>
                <w:rFonts w:hint="eastAsia" w:ascii="Times New Roman" w:hAnsi="Times New Roman"/>
                <w:color w:val="auto"/>
                <w:szCs w:val="21"/>
              </w:rPr>
              <w:t>-2027.</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23</w:t>
            </w:r>
          </w:p>
        </w:tc>
      </w:tr>
      <w:tr w14:paraId="0BF16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6FA6C3EC">
            <w:pPr>
              <w:snapToGrid w:val="0"/>
              <w:jc w:val="center"/>
              <w:rPr>
                <w:rFonts w:ascii="Times New Roman" w:hAnsi="Times New Roman"/>
                <w:color w:val="auto"/>
                <w:szCs w:val="21"/>
              </w:rPr>
            </w:pPr>
            <w:r>
              <w:rPr>
                <w:rFonts w:hint="eastAsia"/>
                <w:color w:val="auto"/>
                <w:lang w:val="en-US" w:eastAsia="zh-CN"/>
              </w:rPr>
              <w:t>石琳琳</w:t>
            </w:r>
          </w:p>
        </w:tc>
        <w:tc>
          <w:tcPr>
            <w:tcW w:w="2907" w:type="dxa"/>
            <w:noWrap w:val="0"/>
            <w:vAlign w:val="top"/>
          </w:tcPr>
          <w:p w14:paraId="5674CD14">
            <w:pPr>
              <w:snapToGrid w:val="0"/>
              <w:jc w:val="center"/>
              <w:rPr>
                <w:rFonts w:ascii="Times New Roman" w:hAnsi="Times New Roman"/>
                <w:color w:val="auto"/>
                <w:szCs w:val="21"/>
              </w:rPr>
            </w:pPr>
            <w:r>
              <w:rPr>
                <w:rFonts w:hint="eastAsia" w:ascii="Times New Roman" w:hAnsi="Times New Roman"/>
                <w:color w:val="auto"/>
                <w:szCs w:val="21"/>
              </w:rPr>
              <w:t>安全生产管理人员</w:t>
            </w:r>
          </w:p>
        </w:tc>
        <w:tc>
          <w:tcPr>
            <w:tcW w:w="2907" w:type="dxa"/>
            <w:noWrap w:val="0"/>
            <w:vAlign w:val="top"/>
          </w:tcPr>
          <w:p w14:paraId="0D6B8B6E">
            <w:pPr>
              <w:snapToGrid w:val="0"/>
              <w:jc w:val="center"/>
              <w:rPr>
                <w:rFonts w:hint="eastAsia" w:ascii="Times New Roman" w:hAnsi="Times New Roman"/>
                <w:color w:val="auto"/>
                <w:szCs w:val="21"/>
              </w:rPr>
            </w:pPr>
            <w:r>
              <w:rPr>
                <w:rFonts w:hint="eastAsia" w:ascii="Times New Roman" w:hAnsi="Times New Roman"/>
                <w:color w:val="auto"/>
                <w:szCs w:val="21"/>
              </w:rPr>
              <w:t>2024.</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24</w:t>
            </w:r>
            <w:r>
              <w:rPr>
                <w:rFonts w:hint="eastAsia" w:ascii="Times New Roman" w:hAnsi="Times New Roman"/>
                <w:color w:val="auto"/>
                <w:szCs w:val="21"/>
              </w:rPr>
              <w:t>-2027.</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23</w:t>
            </w:r>
          </w:p>
        </w:tc>
      </w:tr>
      <w:tr w14:paraId="5BF39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7C6A8E17">
            <w:pPr>
              <w:snapToGrid w:val="0"/>
              <w:jc w:val="center"/>
              <w:rPr>
                <w:rFonts w:hint="eastAsia" w:ascii="Times New Roman" w:hAnsi="Times New Roman"/>
                <w:color w:val="auto"/>
                <w:szCs w:val="21"/>
              </w:rPr>
            </w:pPr>
            <w:r>
              <w:rPr>
                <w:rFonts w:hint="eastAsia"/>
                <w:color w:val="auto"/>
                <w:lang w:val="en-US" w:eastAsia="zh-CN"/>
              </w:rPr>
              <w:t>李久怡</w:t>
            </w:r>
          </w:p>
        </w:tc>
        <w:tc>
          <w:tcPr>
            <w:tcW w:w="2907" w:type="dxa"/>
            <w:noWrap w:val="0"/>
            <w:vAlign w:val="top"/>
          </w:tcPr>
          <w:p w14:paraId="4D01D738">
            <w:pPr>
              <w:snapToGrid w:val="0"/>
              <w:jc w:val="center"/>
              <w:rPr>
                <w:rFonts w:hint="eastAsia" w:ascii="Times New Roman" w:hAnsi="Times New Roman"/>
                <w:color w:val="auto"/>
                <w:szCs w:val="21"/>
              </w:rPr>
            </w:pPr>
            <w:r>
              <w:rPr>
                <w:rFonts w:hint="eastAsia" w:ascii="Times New Roman" w:hAnsi="Times New Roman"/>
                <w:color w:val="auto"/>
                <w:szCs w:val="21"/>
              </w:rPr>
              <w:t>安全生产管理人员</w:t>
            </w:r>
          </w:p>
        </w:tc>
        <w:tc>
          <w:tcPr>
            <w:tcW w:w="2907" w:type="dxa"/>
            <w:noWrap w:val="0"/>
            <w:vAlign w:val="top"/>
          </w:tcPr>
          <w:p w14:paraId="6F1ABBF5">
            <w:pPr>
              <w:snapToGrid w:val="0"/>
              <w:jc w:val="center"/>
              <w:rPr>
                <w:rFonts w:hint="eastAsia" w:ascii="Times New Roman" w:hAnsi="Times New Roman"/>
                <w:color w:val="auto"/>
                <w:szCs w:val="21"/>
              </w:rPr>
            </w:pPr>
            <w:r>
              <w:rPr>
                <w:rFonts w:hint="eastAsia" w:ascii="Times New Roman" w:hAnsi="Times New Roman"/>
                <w:color w:val="auto"/>
                <w:szCs w:val="21"/>
              </w:rPr>
              <w:t>2024.</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24</w:t>
            </w:r>
            <w:r>
              <w:rPr>
                <w:rFonts w:hint="eastAsia" w:ascii="Times New Roman" w:hAnsi="Times New Roman"/>
                <w:color w:val="auto"/>
                <w:szCs w:val="21"/>
              </w:rPr>
              <w:t>-2027.</w:t>
            </w:r>
            <w:r>
              <w:rPr>
                <w:rFonts w:hint="eastAsia" w:ascii="Times New Roman" w:hAnsi="Times New Roman"/>
                <w:color w:val="auto"/>
                <w:szCs w:val="21"/>
                <w:lang w:val="en-US" w:eastAsia="zh-CN"/>
              </w:rPr>
              <w:t>6</w:t>
            </w:r>
            <w:r>
              <w:rPr>
                <w:rFonts w:hint="eastAsia" w:ascii="Times New Roman" w:hAnsi="Times New Roman"/>
                <w:color w:val="auto"/>
                <w:szCs w:val="21"/>
              </w:rPr>
              <w:t>.</w:t>
            </w:r>
            <w:r>
              <w:rPr>
                <w:rFonts w:hint="eastAsia" w:ascii="Times New Roman" w:hAnsi="Times New Roman"/>
                <w:color w:val="auto"/>
                <w:szCs w:val="21"/>
                <w:lang w:val="en-US" w:eastAsia="zh-CN"/>
              </w:rPr>
              <w:t>23</w:t>
            </w:r>
          </w:p>
        </w:tc>
      </w:tr>
      <w:tr w14:paraId="1F54D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38EA55C2">
            <w:pPr>
              <w:snapToGrid w:val="0"/>
              <w:jc w:val="center"/>
              <w:rPr>
                <w:rFonts w:hint="eastAsia" w:ascii="Times New Roman" w:hAnsi="Times New Roman"/>
                <w:color w:val="auto"/>
                <w:szCs w:val="21"/>
              </w:rPr>
            </w:pPr>
            <w:r>
              <w:rPr>
                <w:rFonts w:hint="eastAsia"/>
                <w:color w:val="auto"/>
                <w:lang w:val="en-US" w:eastAsia="zh-CN"/>
              </w:rPr>
              <w:t>张军辉</w:t>
            </w:r>
          </w:p>
        </w:tc>
        <w:tc>
          <w:tcPr>
            <w:tcW w:w="2907" w:type="dxa"/>
            <w:noWrap w:val="0"/>
            <w:vAlign w:val="top"/>
          </w:tcPr>
          <w:p w14:paraId="1A165B57">
            <w:pPr>
              <w:snapToGrid w:val="0"/>
              <w:jc w:val="center"/>
              <w:rPr>
                <w:rFonts w:hint="default" w:ascii="Times New Roman" w:hAnsi="Times New Roman"/>
                <w:color w:val="auto"/>
                <w:szCs w:val="21"/>
                <w:lang w:val="en-US"/>
              </w:rPr>
            </w:pPr>
            <w:r>
              <w:rPr>
                <w:rFonts w:hint="eastAsia"/>
                <w:color w:val="auto"/>
                <w:lang w:val="en-US" w:eastAsia="zh-CN"/>
              </w:rPr>
              <w:t>特种作业人员</w:t>
            </w:r>
          </w:p>
        </w:tc>
        <w:tc>
          <w:tcPr>
            <w:tcW w:w="2907" w:type="dxa"/>
            <w:noWrap w:val="0"/>
            <w:vAlign w:val="top"/>
          </w:tcPr>
          <w:p w14:paraId="21654DC2">
            <w:pPr>
              <w:snapToGrid w:val="0"/>
              <w:jc w:val="center"/>
              <w:rPr>
                <w:rFonts w:hint="default" w:ascii="Times New Roman" w:hAnsi="Times New Roman"/>
                <w:color w:val="auto"/>
                <w:szCs w:val="21"/>
                <w:lang w:val="en-US"/>
              </w:rPr>
            </w:pPr>
            <w:r>
              <w:rPr>
                <w:rFonts w:hint="eastAsia" w:ascii="Times New Roman" w:hAnsi="Times New Roman"/>
                <w:color w:val="auto"/>
                <w:szCs w:val="21"/>
              </w:rPr>
              <w:t>202</w:t>
            </w:r>
            <w:r>
              <w:rPr>
                <w:rFonts w:hint="eastAsia" w:ascii="Times New Roman" w:hAnsi="Times New Roman"/>
                <w:color w:val="auto"/>
                <w:szCs w:val="21"/>
                <w:lang w:val="en-US" w:eastAsia="zh-CN"/>
              </w:rPr>
              <w:t>3</w:t>
            </w:r>
            <w:r>
              <w:rPr>
                <w:rFonts w:hint="eastAsia" w:ascii="Times New Roman" w:hAnsi="Times New Roman"/>
                <w:color w:val="auto"/>
                <w:szCs w:val="21"/>
              </w:rPr>
              <w:t>.</w:t>
            </w:r>
            <w:r>
              <w:rPr>
                <w:rFonts w:hint="eastAsia" w:ascii="Times New Roman" w:hAnsi="Times New Roman"/>
                <w:color w:val="auto"/>
                <w:szCs w:val="21"/>
                <w:lang w:val="en-US" w:eastAsia="zh-CN"/>
              </w:rPr>
              <w:t>4</w:t>
            </w:r>
            <w:r>
              <w:rPr>
                <w:rFonts w:hint="eastAsia" w:ascii="Times New Roman" w:hAnsi="Times New Roman"/>
                <w:color w:val="auto"/>
                <w:szCs w:val="21"/>
              </w:rPr>
              <w:t>.</w:t>
            </w:r>
            <w:r>
              <w:rPr>
                <w:rFonts w:hint="eastAsia" w:ascii="Times New Roman" w:hAnsi="Times New Roman"/>
                <w:color w:val="auto"/>
                <w:szCs w:val="21"/>
                <w:lang w:val="en-US" w:eastAsia="zh-CN"/>
              </w:rPr>
              <w:t>11</w:t>
            </w:r>
            <w:r>
              <w:rPr>
                <w:rFonts w:hint="eastAsia" w:ascii="Times New Roman" w:hAnsi="Times New Roman"/>
                <w:color w:val="auto"/>
                <w:szCs w:val="21"/>
              </w:rPr>
              <w:t>-202</w:t>
            </w:r>
            <w:r>
              <w:rPr>
                <w:rFonts w:hint="eastAsia" w:ascii="Times New Roman" w:hAnsi="Times New Roman"/>
                <w:color w:val="auto"/>
                <w:szCs w:val="21"/>
                <w:lang w:val="en-US" w:eastAsia="zh-CN"/>
              </w:rPr>
              <w:t>9</w:t>
            </w:r>
            <w:r>
              <w:rPr>
                <w:rFonts w:hint="eastAsia" w:ascii="Times New Roman" w:hAnsi="Times New Roman"/>
                <w:color w:val="auto"/>
                <w:szCs w:val="21"/>
              </w:rPr>
              <w:t>.</w:t>
            </w:r>
            <w:r>
              <w:rPr>
                <w:rFonts w:hint="eastAsia" w:ascii="Times New Roman" w:hAnsi="Times New Roman"/>
                <w:color w:val="auto"/>
                <w:szCs w:val="21"/>
                <w:lang w:val="en-US" w:eastAsia="zh-CN"/>
              </w:rPr>
              <w:t>4</w:t>
            </w:r>
            <w:r>
              <w:rPr>
                <w:rFonts w:hint="eastAsia" w:ascii="Times New Roman" w:hAnsi="Times New Roman"/>
                <w:color w:val="auto"/>
                <w:szCs w:val="21"/>
              </w:rPr>
              <w:t>.</w:t>
            </w:r>
            <w:r>
              <w:rPr>
                <w:rFonts w:hint="eastAsia" w:ascii="Times New Roman" w:hAnsi="Times New Roman"/>
                <w:color w:val="auto"/>
                <w:szCs w:val="21"/>
                <w:lang w:val="en-US" w:eastAsia="zh-CN"/>
              </w:rPr>
              <w:t>10</w:t>
            </w:r>
          </w:p>
        </w:tc>
      </w:tr>
      <w:tr w14:paraId="139F7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6" w:type="dxa"/>
            <w:noWrap w:val="0"/>
            <w:vAlign w:val="top"/>
          </w:tcPr>
          <w:p w14:paraId="3C61C345">
            <w:pPr>
              <w:snapToGrid w:val="0"/>
              <w:jc w:val="center"/>
              <w:rPr>
                <w:rFonts w:hint="eastAsia" w:ascii="Times New Roman" w:hAnsi="Times New Roman"/>
                <w:color w:val="auto"/>
                <w:szCs w:val="21"/>
              </w:rPr>
            </w:pPr>
            <w:r>
              <w:rPr>
                <w:rFonts w:hint="eastAsia" w:ascii="Times New Roman" w:hAnsi="Times New Roman"/>
                <w:color w:val="auto"/>
                <w:szCs w:val="21"/>
              </w:rPr>
              <w:t>孙忠斌</w:t>
            </w:r>
          </w:p>
        </w:tc>
        <w:tc>
          <w:tcPr>
            <w:tcW w:w="2907" w:type="dxa"/>
            <w:noWrap w:val="0"/>
            <w:vAlign w:val="top"/>
          </w:tcPr>
          <w:p w14:paraId="612BE563">
            <w:pPr>
              <w:snapToGrid w:val="0"/>
              <w:jc w:val="center"/>
              <w:rPr>
                <w:rFonts w:hint="default" w:ascii="Times New Roman" w:hAnsi="Times New Roman"/>
                <w:color w:val="auto"/>
                <w:szCs w:val="21"/>
                <w:lang w:val="en-US"/>
              </w:rPr>
            </w:pPr>
            <w:r>
              <w:rPr>
                <w:rFonts w:hint="eastAsia"/>
                <w:color w:val="auto"/>
                <w:lang w:val="en-US" w:eastAsia="zh-CN"/>
              </w:rPr>
              <w:t>特种作业人员</w:t>
            </w:r>
          </w:p>
        </w:tc>
        <w:tc>
          <w:tcPr>
            <w:tcW w:w="2907" w:type="dxa"/>
            <w:noWrap w:val="0"/>
            <w:vAlign w:val="top"/>
          </w:tcPr>
          <w:p w14:paraId="274FA8BA">
            <w:pPr>
              <w:snapToGrid w:val="0"/>
              <w:jc w:val="center"/>
              <w:rPr>
                <w:rFonts w:hint="eastAsia" w:ascii="Times New Roman" w:hAnsi="Times New Roman"/>
                <w:color w:val="auto"/>
                <w:szCs w:val="21"/>
              </w:rPr>
            </w:pPr>
            <w:r>
              <w:rPr>
                <w:rFonts w:hint="eastAsia" w:ascii="Times New Roman" w:hAnsi="Times New Roman"/>
                <w:color w:val="auto"/>
                <w:szCs w:val="21"/>
              </w:rPr>
              <w:t>202</w:t>
            </w:r>
            <w:r>
              <w:rPr>
                <w:rFonts w:hint="eastAsia" w:ascii="Times New Roman" w:hAnsi="Times New Roman"/>
                <w:color w:val="auto"/>
                <w:szCs w:val="21"/>
                <w:lang w:val="en-US" w:eastAsia="zh-CN"/>
              </w:rPr>
              <w:t>1</w:t>
            </w:r>
            <w:r>
              <w:rPr>
                <w:rFonts w:hint="eastAsia" w:ascii="Times New Roman" w:hAnsi="Times New Roman"/>
                <w:color w:val="auto"/>
                <w:szCs w:val="21"/>
              </w:rPr>
              <w:t>.</w:t>
            </w:r>
            <w:r>
              <w:rPr>
                <w:rFonts w:hint="eastAsia" w:ascii="Times New Roman" w:hAnsi="Times New Roman"/>
                <w:color w:val="auto"/>
                <w:szCs w:val="21"/>
                <w:lang w:val="en-US" w:eastAsia="zh-CN"/>
              </w:rPr>
              <w:t>10</w:t>
            </w:r>
            <w:r>
              <w:rPr>
                <w:rFonts w:hint="eastAsia" w:ascii="Times New Roman" w:hAnsi="Times New Roman"/>
                <w:color w:val="auto"/>
                <w:szCs w:val="21"/>
              </w:rPr>
              <w:t>.</w:t>
            </w:r>
            <w:r>
              <w:rPr>
                <w:rFonts w:hint="eastAsia" w:ascii="Times New Roman" w:hAnsi="Times New Roman"/>
                <w:color w:val="auto"/>
                <w:szCs w:val="21"/>
                <w:lang w:val="en-US" w:eastAsia="zh-CN"/>
              </w:rPr>
              <w:t>26</w:t>
            </w:r>
            <w:r>
              <w:rPr>
                <w:rFonts w:hint="eastAsia" w:ascii="Times New Roman" w:hAnsi="Times New Roman"/>
                <w:color w:val="auto"/>
                <w:szCs w:val="21"/>
              </w:rPr>
              <w:t>-2027.</w:t>
            </w:r>
            <w:r>
              <w:rPr>
                <w:rFonts w:hint="eastAsia" w:ascii="Times New Roman" w:hAnsi="Times New Roman"/>
                <w:color w:val="auto"/>
                <w:szCs w:val="21"/>
                <w:lang w:val="en-US" w:eastAsia="zh-CN"/>
              </w:rPr>
              <w:t>10</w:t>
            </w:r>
            <w:r>
              <w:rPr>
                <w:rFonts w:hint="eastAsia" w:ascii="Times New Roman" w:hAnsi="Times New Roman"/>
                <w:color w:val="auto"/>
                <w:szCs w:val="21"/>
              </w:rPr>
              <w:t>.</w:t>
            </w:r>
            <w:r>
              <w:rPr>
                <w:rFonts w:hint="eastAsia" w:ascii="Times New Roman" w:hAnsi="Times New Roman"/>
                <w:color w:val="auto"/>
                <w:szCs w:val="21"/>
                <w:lang w:val="en-US" w:eastAsia="zh-CN"/>
              </w:rPr>
              <w:t>25</w:t>
            </w:r>
          </w:p>
        </w:tc>
      </w:tr>
    </w:tbl>
    <w:p w14:paraId="6EB48EDD">
      <w:pPr>
        <w:pStyle w:val="25"/>
        <w:bidi w:val="0"/>
        <w:rPr>
          <w:rFonts w:hint="default"/>
          <w:color w:val="auto"/>
          <w:lang w:val="en-US" w:eastAsia="zh-CN"/>
        </w:rPr>
      </w:pPr>
    </w:p>
    <w:p w14:paraId="3FD747F4">
      <w:pPr>
        <w:pStyle w:val="24"/>
        <w:bidi w:val="0"/>
        <w:rPr>
          <w:rFonts w:hint="default"/>
          <w:color w:val="auto"/>
          <w:lang w:val="en-US" w:eastAsia="zh-CN"/>
        </w:rPr>
      </w:pPr>
      <w:r>
        <w:rPr>
          <w:color w:val="auto"/>
        </w:rPr>
        <w:t>安全生产制度</w:t>
      </w:r>
      <w:r>
        <w:rPr>
          <w:rFonts w:hint="eastAsia"/>
          <w:color w:val="auto"/>
          <w:lang w:eastAsia="zh-CN"/>
        </w:rPr>
        <w:t>、操作规程</w:t>
      </w:r>
    </w:p>
    <w:p w14:paraId="02BDCFA2">
      <w:pPr>
        <w:pStyle w:val="16"/>
        <w:rPr>
          <w:rFonts w:hint="default"/>
          <w:color w:val="auto"/>
          <w:lang w:val="en-US" w:eastAsia="zh-CN"/>
        </w:rPr>
      </w:pPr>
      <w:r>
        <w:rPr>
          <w:rFonts w:hint="eastAsia"/>
          <w:color w:val="auto"/>
          <w:lang w:eastAsia="zh-CN"/>
        </w:rPr>
        <w:t>（</w:t>
      </w:r>
      <w:r>
        <w:rPr>
          <w:rFonts w:hint="eastAsia"/>
          <w:color w:val="auto"/>
          <w:lang w:val="en-US" w:eastAsia="zh-CN"/>
        </w:rPr>
        <w:t>1</w:t>
      </w:r>
      <w:r>
        <w:rPr>
          <w:rFonts w:hint="eastAsia"/>
          <w:color w:val="auto"/>
          <w:lang w:eastAsia="zh-CN"/>
        </w:rPr>
        <w:t>）</w:t>
      </w:r>
      <w:r>
        <w:rPr>
          <w:rFonts w:hint="eastAsia"/>
          <w:color w:val="auto"/>
          <w:lang w:val="en-US" w:eastAsia="zh-CN"/>
        </w:rPr>
        <w:t>安全生产责任制</w:t>
      </w:r>
    </w:p>
    <w:p w14:paraId="372DDF32">
      <w:pPr>
        <w:pStyle w:val="16"/>
        <w:rPr>
          <w:rFonts w:hint="eastAsia"/>
          <w:color w:val="auto"/>
          <w:lang w:eastAsia="zh-CN"/>
        </w:rPr>
      </w:pPr>
      <w:r>
        <w:rPr>
          <w:rFonts w:hint="eastAsia"/>
          <w:color w:val="auto"/>
          <w:lang w:eastAsia="zh-CN"/>
        </w:rPr>
        <w:t>企业制定并下发了公司全员安全生产责任制，包括矿长安全生产责任制、生产技术负责人安全生产责任制、专职安全员安全生产责任制、电工安全生产责任制等责任制共计10项。</w:t>
      </w:r>
    </w:p>
    <w:p w14:paraId="00126239">
      <w:pPr>
        <w:pStyle w:val="16"/>
        <w:rPr>
          <w:rFonts w:hint="default"/>
          <w:color w:val="auto"/>
          <w:lang w:val="en-US" w:eastAsia="zh-CN"/>
        </w:rPr>
      </w:pPr>
      <w:r>
        <w:rPr>
          <w:rFonts w:hint="eastAsia"/>
          <w:color w:val="auto"/>
          <w:lang w:eastAsia="zh-CN"/>
        </w:rPr>
        <w:t>（</w:t>
      </w:r>
      <w:r>
        <w:rPr>
          <w:rFonts w:hint="eastAsia"/>
          <w:color w:val="auto"/>
          <w:lang w:val="en-US" w:eastAsia="zh-CN"/>
        </w:rPr>
        <w:t>2</w:t>
      </w:r>
      <w:r>
        <w:rPr>
          <w:rFonts w:hint="eastAsia"/>
          <w:color w:val="auto"/>
          <w:lang w:eastAsia="zh-CN"/>
        </w:rPr>
        <w:t>）</w:t>
      </w:r>
      <w:r>
        <w:rPr>
          <w:rFonts w:hint="eastAsia"/>
          <w:color w:val="auto"/>
          <w:lang w:val="en-US" w:eastAsia="zh-CN"/>
        </w:rPr>
        <w:t>安全生产规章制度</w:t>
      </w:r>
    </w:p>
    <w:p w14:paraId="17F1CD38">
      <w:pPr>
        <w:pStyle w:val="16"/>
        <w:rPr>
          <w:rFonts w:hint="eastAsia"/>
          <w:color w:val="auto"/>
          <w:lang w:eastAsia="zh-CN"/>
        </w:rPr>
      </w:pPr>
      <w:r>
        <w:rPr>
          <w:rFonts w:hint="eastAsia"/>
          <w:color w:val="auto"/>
          <w:lang w:eastAsia="zh-CN"/>
        </w:rPr>
        <w:t>企业制定并下发了安全生产规章制度，包括安全检查管理制度、生产安全事故管理制度、安全教育培训制度等制度共计19项。</w:t>
      </w:r>
    </w:p>
    <w:p w14:paraId="7FEFA580">
      <w:pPr>
        <w:pStyle w:val="16"/>
        <w:rPr>
          <w:rFonts w:hint="default"/>
          <w:color w:val="auto"/>
          <w:lang w:val="en-US" w:eastAsia="zh-CN"/>
        </w:rPr>
      </w:pPr>
      <w:r>
        <w:rPr>
          <w:rFonts w:hint="eastAsia"/>
          <w:color w:val="auto"/>
          <w:lang w:eastAsia="zh-CN"/>
        </w:rPr>
        <w:t>（</w:t>
      </w:r>
      <w:r>
        <w:rPr>
          <w:rFonts w:hint="eastAsia"/>
          <w:color w:val="auto"/>
          <w:lang w:val="en-US" w:eastAsia="zh-CN"/>
        </w:rPr>
        <w:t>3</w:t>
      </w:r>
      <w:r>
        <w:rPr>
          <w:rFonts w:hint="eastAsia"/>
          <w:color w:val="auto"/>
          <w:lang w:eastAsia="zh-CN"/>
        </w:rPr>
        <w:t>）</w:t>
      </w:r>
      <w:r>
        <w:rPr>
          <w:rFonts w:hint="eastAsia"/>
          <w:color w:val="auto"/>
          <w:lang w:val="en-US" w:eastAsia="zh-CN"/>
        </w:rPr>
        <w:t>操作规程</w:t>
      </w:r>
    </w:p>
    <w:p w14:paraId="1DD61165">
      <w:pPr>
        <w:pStyle w:val="16"/>
        <w:rPr>
          <w:rFonts w:hint="eastAsia"/>
          <w:color w:val="auto"/>
          <w:lang w:eastAsia="zh-CN"/>
        </w:rPr>
      </w:pPr>
      <w:r>
        <w:rPr>
          <w:rFonts w:hint="eastAsia"/>
          <w:color w:val="auto"/>
          <w:lang w:eastAsia="zh-CN"/>
        </w:rPr>
        <w:t>企业制定并下发了安全技术操作规程，包括生产工人岗位安全操作规程、电工和焊工岗位安全操作规程、挖掘机及自卸车司机岗位安全操作规程等操作规程共计11项。</w:t>
      </w:r>
    </w:p>
    <w:p w14:paraId="3562B6EA">
      <w:pPr>
        <w:pStyle w:val="24"/>
        <w:bidi w:val="0"/>
        <w:rPr>
          <w:rFonts w:hint="default"/>
          <w:color w:val="auto"/>
          <w:lang w:val="en-US" w:eastAsia="zh-CN"/>
        </w:rPr>
      </w:pPr>
      <w:r>
        <w:rPr>
          <w:rFonts w:hint="eastAsia"/>
          <w:color w:val="auto"/>
          <w:lang w:val="en-US" w:eastAsia="zh-CN"/>
        </w:rPr>
        <w:t>应急预案</w:t>
      </w:r>
    </w:p>
    <w:p w14:paraId="2251F5A1">
      <w:pPr>
        <w:pStyle w:val="16"/>
        <w:bidi w:val="0"/>
        <w:rPr>
          <w:rFonts w:hint="eastAsia"/>
          <w:color w:val="auto"/>
          <w:lang w:val="en-US" w:eastAsia="zh-CN"/>
        </w:rPr>
      </w:pPr>
      <w:r>
        <w:rPr>
          <w:rFonts w:hint="eastAsia"/>
          <w:color w:val="auto"/>
          <w:lang w:val="en-US" w:eastAsia="zh-CN"/>
        </w:rPr>
        <w:t>矿山编制了生产安全事故应急预案，对矿山生产过程中的危险有害因素分析比较全面，建立了预警机制，保障措施到位，应急物资和人员得到落实，能够满足矿山应急的需要。矿山生产安全事故应急预案于2025年9月30日在岫岩满族自治县应急管理局进行了备案，备案编号为：210323-2025-0054。</w:t>
      </w:r>
    </w:p>
    <w:p w14:paraId="51F256B6">
      <w:pPr>
        <w:pStyle w:val="16"/>
        <w:bidi w:val="0"/>
        <w:rPr>
          <w:color w:val="auto"/>
        </w:rPr>
      </w:pPr>
      <w:r>
        <w:rPr>
          <w:rFonts w:hint="eastAsia"/>
          <w:color w:val="auto"/>
          <w:lang w:val="en-US" w:eastAsia="zh-CN"/>
        </w:rPr>
        <w:t>企业在应急材料库存放了足够数量的应急物资并明确了保管人。并进行了车辆伤害事故和火灾事故应急演练。</w:t>
      </w:r>
    </w:p>
    <w:p w14:paraId="033E62F5">
      <w:pPr>
        <w:pStyle w:val="16"/>
        <w:bidi w:val="0"/>
        <w:rPr>
          <w:rFonts w:hint="eastAsia"/>
          <w:color w:val="auto"/>
          <w:lang w:val="en-US" w:eastAsia="zh-CN"/>
        </w:rPr>
      </w:pPr>
      <w:r>
        <w:rPr>
          <w:rFonts w:hint="eastAsia"/>
          <w:color w:val="auto"/>
          <w:lang w:val="en-US" w:eastAsia="zh-CN"/>
        </w:rPr>
        <w:t>企业与岫岩满族自治县富山矿业有限公司签订了《安全生产事故应急救援合作协议》。</w:t>
      </w:r>
    </w:p>
    <w:p w14:paraId="338996ED">
      <w:pPr>
        <w:pStyle w:val="24"/>
        <w:bidi w:val="0"/>
        <w:rPr>
          <w:rFonts w:hint="default"/>
          <w:color w:val="auto"/>
          <w:lang w:val="en-US" w:eastAsia="zh-CN"/>
        </w:rPr>
      </w:pPr>
      <w:r>
        <w:rPr>
          <w:rFonts w:hint="eastAsia"/>
          <w:color w:val="auto"/>
          <w:lang w:val="en-US" w:eastAsia="zh-CN"/>
        </w:rPr>
        <w:t>现场管理、安全检查</w:t>
      </w:r>
    </w:p>
    <w:p w14:paraId="3B6FD864">
      <w:pPr>
        <w:pStyle w:val="16"/>
        <w:rPr>
          <w:rFonts w:hint="default"/>
          <w:color w:val="auto"/>
          <w:lang w:val="en-US" w:eastAsia="zh-CN"/>
        </w:rPr>
      </w:pPr>
      <w:r>
        <w:rPr>
          <w:rFonts w:hint="eastAsia"/>
          <w:color w:val="auto"/>
          <w:lang w:val="en-US" w:eastAsia="zh-CN"/>
        </w:rPr>
        <w:t>为职工发放了符合规定的劳动保护用品，留有发放记录。安全生产检查、安全会议和隐患整改记录齐全，建立了双重预防机制与隐患排查治理制度。</w:t>
      </w:r>
    </w:p>
    <w:p w14:paraId="5DB53032">
      <w:pPr>
        <w:pStyle w:val="24"/>
        <w:bidi w:val="0"/>
        <w:rPr>
          <w:rFonts w:hint="default"/>
          <w:color w:val="auto"/>
          <w:lang w:val="en-US" w:eastAsia="zh-CN"/>
        </w:rPr>
      </w:pPr>
      <w:r>
        <w:rPr>
          <w:rFonts w:hint="eastAsia"/>
          <w:color w:val="auto"/>
          <w:lang w:val="en-US" w:eastAsia="zh-CN"/>
        </w:rPr>
        <w:t>其他</w:t>
      </w:r>
    </w:p>
    <w:p w14:paraId="2028BFA9">
      <w:pPr>
        <w:pStyle w:val="16"/>
        <w:bidi w:val="0"/>
        <w:rPr>
          <w:rFonts w:hint="eastAsia"/>
          <w:color w:val="auto"/>
          <w:lang w:val="en-US" w:eastAsia="zh-CN"/>
        </w:rPr>
      </w:pPr>
      <w:r>
        <w:rPr>
          <w:rFonts w:hint="eastAsia"/>
          <w:color w:val="auto"/>
          <w:lang w:val="en-US" w:eastAsia="zh-CN"/>
        </w:rPr>
        <w:t>（1）营业执照</w:t>
      </w:r>
    </w:p>
    <w:p w14:paraId="05C59679">
      <w:pPr>
        <w:pStyle w:val="16"/>
        <w:bidi w:val="0"/>
        <w:rPr>
          <w:rFonts w:hint="default"/>
          <w:color w:val="auto"/>
          <w:lang w:val="en-US" w:eastAsia="zh-CN"/>
        </w:rPr>
      </w:pPr>
      <w:r>
        <w:rPr>
          <w:rFonts w:hint="eastAsia"/>
          <w:color w:val="auto"/>
          <w:lang w:val="en-US" w:eastAsia="zh-CN"/>
        </w:rPr>
        <w:t>企业</w:t>
      </w:r>
      <w:r>
        <w:rPr>
          <w:rFonts w:hint="default"/>
          <w:color w:val="auto"/>
          <w:lang w:val="en-US" w:eastAsia="zh-CN"/>
        </w:rPr>
        <w:t>持有岫岩满族自治县市场监督管理局于2022年11月15日下发的《营业执照》（统一社会信用代码</w:t>
      </w:r>
      <w:r>
        <w:rPr>
          <w:rFonts w:hint="eastAsia"/>
          <w:color w:val="auto"/>
          <w:lang w:val="en-US" w:eastAsia="zh-CN"/>
        </w:rPr>
        <w:t>XXXXXXXXXXXXX</w:t>
      </w:r>
      <w:r>
        <w:rPr>
          <w:rFonts w:hint="default"/>
          <w:color w:val="auto"/>
          <w:lang w:val="en-US" w:eastAsia="zh-CN"/>
        </w:rPr>
        <w:t>）</w:t>
      </w:r>
      <w:r>
        <w:rPr>
          <w:rFonts w:hint="eastAsia"/>
          <w:color w:val="auto"/>
          <w:lang w:val="en-US" w:eastAsia="zh-CN"/>
        </w:rPr>
        <w:t>，成立日期2012年6月4日</w:t>
      </w:r>
      <w:r>
        <w:rPr>
          <w:rFonts w:hint="default"/>
          <w:color w:val="auto"/>
          <w:lang w:val="en-US" w:eastAsia="zh-CN"/>
        </w:rPr>
        <w:t>。</w:t>
      </w:r>
    </w:p>
    <w:p w14:paraId="0132D4F1">
      <w:pPr>
        <w:pStyle w:val="16"/>
        <w:bidi w:val="0"/>
        <w:rPr>
          <w:rFonts w:hint="default"/>
          <w:color w:val="auto"/>
          <w:lang w:val="en-US" w:eastAsia="zh-CN"/>
        </w:rPr>
      </w:pPr>
      <w:r>
        <w:rPr>
          <w:rFonts w:hint="eastAsia"/>
          <w:color w:val="auto"/>
          <w:lang w:val="en-US" w:eastAsia="zh-CN"/>
        </w:rPr>
        <w:t>（2）采矿许可证</w:t>
      </w:r>
    </w:p>
    <w:p w14:paraId="66E1EEC7">
      <w:pPr>
        <w:pStyle w:val="16"/>
        <w:bidi w:val="0"/>
        <w:rPr>
          <w:rFonts w:hint="eastAsia"/>
          <w:color w:val="auto"/>
          <w:lang w:val="en-US" w:eastAsia="zh-CN"/>
        </w:rPr>
      </w:pPr>
      <w:r>
        <w:rPr>
          <w:rFonts w:hint="default"/>
          <w:color w:val="auto"/>
          <w:lang w:val="en-US" w:eastAsia="zh-CN"/>
        </w:rPr>
        <w:t>东盛源矿业于2022年6月10日取得鞍山市行政审批局颁发的《采矿许可证》（证号：</w:t>
      </w:r>
      <w:r>
        <w:rPr>
          <w:rFonts w:hint="eastAsia"/>
          <w:color w:val="auto"/>
          <w:lang w:val="en-US" w:eastAsia="zh-CN"/>
        </w:rPr>
        <w:t>XXXXXXXXXXXXX</w:t>
      </w:r>
      <w:r>
        <w:rPr>
          <w:rFonts w:hint="default"/>
          <w:color w:val="auto"/>
          <w:lang w:val="en-US" w:eastAsia="zh-CN"/>
        </w:rPr>
        <w:t>）（有效期为2020年4月24日至2032年5月24日）</w:t>
      </w:r>
      <w:r>
        <w:rPr>
          <w:rFonts w:hint="eastAsia"/>
          <w:color w:val="auto"/>
          <w:lang w:val="en-US" w:eastAsia="zh-CN"/>
        </w:rPr>
        <w:t>。</w:t>
      </w:r>
    </w:p>
    <w:p w14:paraId="60494694">
      <w:pPr>
        <w:pStyle w:val="16"/>
        <w:bidi w:val="0"/>
        <w:rPr>
          <w:rFonts w:hint="eastAsia"/>
          <w:color w:val="auto"/>
          <w:lang w:val="en-US" w:eastAsia="zh-CN"/>
        </w:rPr>
      </w:pPr>
      <w:r>
        <w:rPr>
          <w:rFonts w:hint="eastAsia"/>
          <w:color w:val="auto"/>
          <w:lang w:val="en-US" w:eastAsia="zh-CN"/>
        </w:rPr>
        <w:t>（3）安全生产许可证</w:t>
      </w:r>
    </w:p>
    <w:p w14:paraId="3E94F7E9">
      <w:pPr>
        <w:pStyle w:val="16"/>
        <w:bidi w:val="0"/>
        <w:rPr>
          <w:rFonts w:hint="eastAsia"/>
          <w:color w:val="auto"/>
          <w:lang w:val="en-US" w:eastAsia="zh-CN"/>
        </w:rPr>
      </w:pPr>
      <w:r>
        <w:rPr>
          <w:rFonts w:hint="default"/>
          <w:color w:val="auto"/>
          <w:lang w:val="en-US" w:eastAsia="zh-CN"/>
        </w:rPr>
        <w:t>东盛源矿业持有辽宁省应急管理厅核发的《安全生产许可证》（（辽）FM安许证字〔2022〕YC031090L）（有效期为2022年10月19日至2025年10月18日）</w:t>
      </w:r>
      <w:r>
        <w:rPr>
          <w:rFonts w:hint="eastAsia"/>
          <w:color w:val="auto"/>
          <w:lang w:val="en-US" w:eastAsia="zh-CN"/>
        </w:rPr>
        <w:t>。</w:t>
      </w:r>
    </w:p>
    <w:p w14:paraId="491E4FB2">
      <w:pPr>
        <w:pStyle w:val="16"/>
        <w:rPr>
          <w:rFonts w:hint="eastAsia"/>
          <w:color w:val="auto"/>
          <w:lang w:val="en-US" w:eastAsia="zh-CN"/>
        </w:rPr>
      </w:pPr>
      <w:r>
        <w:rPr>
          <w:rFonts w:hint="eastAsia"/>
          <w:color w:val="auto"/>
          <w:lang w:val="en-US" w:eastAsia="zh-CN"/>
        </w:rPr>
        <w:t>（4）边坡稳定性分析</w:t>
      </w:r>
    </w:p>
    <w:p w14:paraId="183FB56B">
      <w:pPr>
        <w:pStyle w:val="16"/>
        <w:rPr>
          <w:rFonts w:hint="default"/>
          <w:color w:val="auto"/>
          <w:lang w:val="en-US" w:eastAsia="zh-CN"/>
        </w:rPr>
      </w:pPr>
      <w:r>
        <w:rPr>
          <w:rFonts w:hint="eastAsia"/>
          <w:color w:val="auto"/>
          <w:lang w:val="en-US" w:eastAsia="zh-CN"/>
        </w:rPr>
        <w:t>企业委托辽宁省核工业地质二四一大队有限责任公司，于2025年9月编制完成《鞍山东盛源矿业有限公司露天采场边坡稳定性评价报告》，结论为：按工况Ⅰ状态，边坡安全系数取1.10～1.15，按工况Ⅲ状态，边坡安全系数取1.10～1.05。经计算，DSYBPO1、DSYBPO2两条剖面在Ⅰ、Ⅲ两种工况下，所计算的安全系数均大于按规范要求的安全系数，由此判定，两条剖面附近边坡处于稳定状态。</w:t>
      </w:r>
    </w:p>
    <w:p w14:paraId="6368369F">
      <w:pPr>
        <w:pStyle w:val="22"/>
        <w:bidi w:val="0"/>
        <w:ind w:left="0" w:leftChars="0" w:firstLine="0" w:firstLineChars="0"/>
        <w:rPr>
          <w:rFonts w:hint="default"/>
          <w:color w:val="auto"/>
          <w:lang w:val="en-US" w:eastAsia="zh-CN"/>
        </w:rPr>
      </w:pPr>
      <w:bookmarkStart w:id="17" w:name="_Toc20219"/>
      <w:r>
        <w:rPr>
          <w:rFonts w:hint="default"/>
          <w:color w:val="auto"/>
          <w:lang w:val="en-US" w:eastAsia="zh-CN"/>
        </w:rPr>
        <w:t>危险、有害因素识别及分析</w:t>
      </w:r>
      <w:bookmarkEnd w:id="17"/>
    </w:p>
    <w:p w14:paraId="4656689A">
      <w:pPr>
        <w:pStyle w:val="23"/>
        <w:rPr>
          <w:rFonts w:hint="default"/>
          <w:color w:val="auto"/>
          <w:lang w:val="en-US" w:eastAsia="zh-CN"/>
        </w:rPr>
      </w:pPr>
      <w:bookmarkStart w:id="18" w:name="_Toc22251"/>
      <w:r>
        <w:rPr>
          <w:rFonts w:hint="default"/>
          <w:color w:val="auto"/>
          <w:lang w:val="en-US" w:eastAsia="zh-CN"/>
        </w:rPr>
        <w:t>主要危险、有害因素辨识与分析</w:t>
      </w:r>
      <w:bookmarkEnd w:id="18"/>
    </w:p>
    <w:p w14:paraId="655D9A63">
      <w:pPr>
        <w:pStyle w:val="16"/>
        <w:bidi w:val="0"/>
        <w:rPr>
          <w:rFonts w:hint="default"/>
          <w:color w:val="auto"/>
          <w:lang w:val="en-US" w:eastAsia="zh-CN"/>
        </w:rPr>
      </w:pPr>
      <w:r>
        <w:rPr>
          <w:rFonts w:hint="default"/>
          <w:color w:val="auto"/>
          <w:lang w:val="en-US" w:eastAsia="zh-CN"/>
        </w:rPr>
        <w:t>经过调查研究并结合以往生产过程中的实践经验和研究成果确定，鞍山东盛源矿业有限公司在生产过程中可能存在的主要危险、有害因素包括如下：</w:t>
      </w:r>
    </w:p>
    <w:p w14:paraId="52A888A5">
      <w:pPr>
        <w:pStyle w:val="24"/>
        <w:bidi w:val="0"/>
        <w:rPr>
          <w:rFonts w:hint="default"/>
          <w:color w:val="auto"/>
          <w:lang w:val="en-US" w:eastAsia="zh-CN"/>
        </w:rPr>
      </w:pPr>
      <w:r>
        <w:rPr>
          <w:rFonts w:hint="default"/>
          <w:color w:val="auto"/>
          <w:lang w:val="en-US" w:eastAsia="zh-CN"/>
        </w:rPr>
        <w:t>滑坡与坍塌</w:t>
      </w:r>
    </w:p>
    <w:p w14:paraId="75662625">
      <w:pPr>
        <w:pStyle w:val="16"/>
        <w:bidi w:val="0"/>
        <w:rPr>
          <w:rFonts w:hint="eastAsia"/>
          <w:color w:val="auto"/>
        </w:rPr>
      </w:pPr>
      <w:r>
        <w:rPr>
          <w:rFonts w:hint="eastAsia"/>
          <w:color w:val="auto"/>
        </w:rPr>
        <w:t>对于非煤矿山，容易发生滑坡和坍塌的主要部位为露天采场边坡。</w:t>
      </w:r>
    </w:p>
    <w:p w14:paraId="374679AF">
      <w:pPr>
        <w:pStyle w:val="16"/>
        <w:bidi w:val="0"/>
        <w:rPr>
          <w:rFonts w:hint="eastAsia"/>
          <w:color w:val="auto"/>
        </w:rPr>
      </w:pPr>
      <w:r>
        <w:rPr>
          <w:rFonts w:hint="eastAsia"/>
          <w:color w:val="auto"/>
        </w:rPr>
        <w:t>边坡的破坏类型按破坏机理可分为：平面破坏、楔形破坏、圆弧形破坏、倾倒破坏等。</w:t>
      </w:r>
    </w:p>
    <w:p w14:paraId="5F1282A3">
      <w:pPr>
        <w:pStyle w:val="16"/>
        <w:bidi w:val="0"/>
        <w:rPr>
          <w:rFonts w:hint="eastAsia"/>
          <w:color w:val="auto"/>
        </w:rPr>
      </w:pPr>
      <w:r>
        <w:rPr>
          <w:rFonts w:hint="eastAsia"/>
          <w:color w:val="auto"/>
        </w:rPr>
        <w:t>边坡发生滑坡和坍塌的部位包括采场工作帮和采场最终边坡。</w:t>
      </w:r>
    </w:p>
    <w:p w14:paraId="7A962964">
      <w:pPr>
        <w:pStyle w:val="16"/>
        <w:bidi w:val="0"/>
        <w:rPr>
          <w:rFonts w:hint="eastAsia"/>
          <w:color w:val="auto"/>
        </w:rPr>
      </w:pPr>
      <w:r>
        <w:rPr>
          <w:rFonts w:hint="eastAsia"/>
          <w:color w:val="auto"/>
        </w:rPr>
        <w:t>露天采场造成滑坡和坍塌的原因主要来自以下几个方面：</w:t>
      </w:r>
    </w:p>
    <w:p w14:paraId="5D950C21">
      <w:pPr>
        <w:pStyle w:val="16"/>
        <w:bidi w:val="0"/>
        <w:rPr>
          <w:rFonts w:hint="eastAsia"/>
          <w:color w:val="auto"/>
        </w:rPr>
      </w:pPr>
      <w:r>
        <w:rPr>
          <w:rFonts w:hint="eastAsia"/>
          <w:color w:val="auto"/>
        </w:rPr>
        <w:t>（1）矿岩性质方面的影响。如矿岩节理发育、稳固性差等。</w:t>
      </w:r>
    </w:p>
    <w:p w14:paraId="3A155A0A">
      <w:pPr>
        <w:pStyle w:val="16"/>
        <w:bidi w:val="0"/>
        <w:rPr>
          <w:rFonts w:hint="eastAsia"/>
          <w:color w:val="auto"/>
        </w:rPr>
      </w:pPr>
      <w:r>
        <w:rPr>
          <w:rFonts w:hint="eastAsia"/>
          <w:color w:val="auto"/>
        </w:rPr>
        <w:t>（2）地质构造方面的影响。如在矿体中揭露小断层、裂隙、溶洞、软岩、泥夹层、破碎带、裂隙水等，都容易引起塌落片帮、采场局部塌陷。</w:t>
      </w:r>
    </w:p>
    <w:p w14:paraId="71F6FB61">
      <w:pPr>
        <w:pStyle w:val="16"/>
        <w:bidi w:val="0"/>
        <w:rPr>
          <w:rFonts w:hint="eastAsia"/>
          <w:color w:val="auto"/>
        </w:rPr>
      </w:pPr>
      <w:r>
        <w:rPr>
          <w:rFonts w:hint="eastAsia"/>
          <w:color w:val="auto"/>
        </w:rPr>
        <w:t>（3）开采方式及露天采场构成要素不合理。如掏底式开采会造成危岩，将直接破坏采场边坡岩体的稳定性；采场台阶太高，坡面角过大，这些情况下都容易发生滑坡。</w:t>
      </w:r>
    </w:p>
    <w:p w14:paraId="5987B3E9">
      <w:pPr>
        <w:pStyle w:val="16"/>
        <w:bidi w:val="0"/>
        <w:rPr>
          <w:rFonts w:hint="eastAsia"/>
          <w:color w:val="auto"/>
        </w:rPr>
      </w:pPr>
      <w:r>
        <w:rPr>
          <w:rFonts w:hint="eastAsia"/>
          <w:color w:val="auto"/>
        </w:rPr>
        <w:t>（4）水冲刷作用下产生的滑坡。</w:t>
      </w:r>
    </w:p>
    <w:p w14:paraId="7DC3B073">
      <w:pPr>
        <w:pStyle w:val="16"/>
        <w:bidi w:val="0"/>
        <w:rPr>
          <w:rFonts w:hint="eastAsia"/>
          <w:color w:val="auto"/>
        </w:rPr>
      </w:pPr>
      <w:r>
        <w:rPr>
          <w:rFonts w:hint="eastAsia"/>
          <w:color w:val="auto"/>
        </w:rPr>
        <w:t>（5）边坡管理不到位。</w:t>
      </w:r>
    </w:p>
    <w:p w14:paraId="22F0B5F7">
      <w:pPr>
        <w:pStyle w:val="24"/>
        <w:bidi w:val="0"/>
        <w:rPr>
          <w:rFonts w:hint="default"/>
          <w:color w:val="auto"/>
          <w:lang w:val="en-US" w:eastAsia="zh-CN"/>
        </w:rPr>
      </w:pPr>
      <w:r>
        <w:rPr>
          <w:rFonts w:hint="default"/>
          <w:color w:val="auto"/>
          <w:lang w:val="en-US" w:eastAsia="zh-CN"/>
        </w:rPr>
        <w:t>放炮</w:t>
      </w:r>
    </w:p>
    <w:p w14:paraId="6228D93C">
      <w:pPr>
        <w:pStyle w:val="16"/>
        <w:bidi w:val="0"/>
        <w:rPr>
          <w:rFonts w:hint="default"/>
          <w:color w:val="auto"/>
          <w:lang w:val="en-US" w:eastAsia="zh-CN"/>
        </w:rPr>
      </w:pPr>
      <w:r>
        <w:rPr>
          <w:rFonts w:hint="default"/>
          <w:color w:val="auto"/>
          <w:lang w:val="en-US" w:eastAsia="zh-CN"/>
        </w:rPr>
        <w:t>爆破作业是非煤矿山生产过程中的重要工序，爆破产生的震动、冲击波和飞石对人员、设备设施、构筑物等有较大的损害。</w:t>
      </w:r>
    </w:p>
    <w:p w14:paraId="20E06BA3">
      <w:pPr>
        <w:pStyle w:val="16"/>
        <w:bidi w:val="0"/>
        <w:rPr>
          <w:rFonts w:hint="default"/>
          <w:color w:val="auto"/>
          <w:lang w:val="en-US" w:eastAsia="zh-CN"/>
        </w:rPr>
      </w:pPr>
      <w:r>
        <w:rPr>
          <w:rFonts w:hint="default"/>
          <w:color w:val="auto"/>
          <w:lang w:val="en-US" w:eastAsia="zh-CN"/>
        </w:rPr>
        <w:t>爆破作业中常见的意外事故有：拒爆、早爆、自爆、迟爆等。</w:t>
      </w:r>
    </w:p>
    <w:p w14:paraId="6682BE3E">
      <w:pPr>
        <w:pStyle w:val="16"/>
        <w:bidi w:val="0"/>
        <w:rPr>
          <w:rFonts w:hint="default"/>
          <w:color w:val="auto"/>
          <w:lang w:val="en-US" w:eastAsia="zh-CN"/>
        </w:rPr>
      </w:pPr>
      <w:r>
        <w:rPr>
          <w:rFonts w:hint="default"/>
          <w:color w:val="auto"/>
          <w:lang w:val="en-US" w:eastAsia="zh-CN"/>
        </w:rPr>
        <w:t>爆破产生的有害效应主要包括：爆破地震效应、爆破冲击波、爆破飞石、爆破有毒气体等。</w:t>
      </w:r>
    </w:p>
    <w:p w14:paraId="5946FC61">
      <w:pPr>
        <w:pStyle w:val="16"/>
        <w:bidi w:val="0"/>
        <w:rPr>
          <w:rFonts w:hint="default"/>
          <w:color w:val="auto"/>
          <w:lang w:val="en-US" w:eastAsia="zh-CN"/>
        </w:rPr>
      </w:pPr>
      <w:r>
        <w:rPr>
          <w:rFonts w:hint="default"/>
          <w:color w:val="auto"/>
          <w:lang w:val="en-US" w:eastAsia="zh-CN"/>
        </w:rPr>
        <w:t>导致爆破事故的主要原因有：</w:t>
      </w:r>
    </w:p>
    <w:p w14:paraId="0A38030B">
      <w:pPr>
        <w:pStyle w:val="16"/>
        <w:bidi w:val="0"/>
        <w:rPr>
          <w:rFonts w:hint="default"/>
          <w:color w:val="auto"/>
          <w:lang w:val="en-US" w:eastAsia="zh-CN"/>
        </w:rPr>
      </w:pPr>
      <w:r>
        <w:rPr>
          <w:rFonts w:hint="default"/>
          <w:color w:val="auto"/>
          <w:lang w:val="en-US" w:eastAsia="zh-CN"/>
        </w:rPr>
        <w:t>（1）炸药运输工程中强烈振动或摩擦。</w:t>
      </w:r>
    </w:p>
    <w:p w14:paraId="468E2FFF">
      <w:pPr>
        <w:pStyle w:val="16"/>
        <w:bidi w:val="0"/>
        <w:rPr>
          <w:rFonts w:hint="default"/>
          <w:color w:val="auto"/>
          <w:lang w:val="en-US" w:eastAsia="zh-CN"/>
        </w:rPr>
      </w:pPr>
      <w:r>
        <w:rPr>
          <w:rFonts w:hint="default"/>
          <w:color w:val="auto"/>
          <w:lang w:val="en-US" w:eastAsia="zh-CN"/>
        </w:rPr>
        <w:t>（2）爆破器材质量不良。</w:t>
      </w:r>
    </w:p>
    <w:p w14:paraId="0352AF89">
      <w:pPr>
        <w:pStyle w:val="16"/>
        <w:bidi w:val="0"/>
        <w:rPr>
          <w:rFonts w:hint="default"/>
          <w:color w:val="auto"/>
          <w:lang w:val="en-US" w:eastAsia="zh-CN"/>
        </w:rPr>
      </w:pPr>
      <w:r>
        <w:rPr>
          <w:rFonts w:hint="default"/>
          <w:color w:val="auto"/>
          <w:lang w:val="en-US" w:eastAsia="zh-CN"/>
        </w:rPr>
        <w:t>（3）爆破设计不合理。</w:t>
      </w:r>
    </w:p>
    <w:p w14:paraId="7F008A05">
      <w:pPr>
        <w:pStyle w:val="16"/>
        <w:bidi w:val="0"/>
        <w:rPr>
          <w:rFonts w:hint="default"/>
          <w:color w:val="auto"/>
          <w:lang w:val="en-US" w:eastAsia="zh-CN"/>
        </w:rPr>
      </w:pPr>
      <w:r>
        <w:rPr>
          <w:rFonts w:hint="default"/>
          <w:color w:val="auto"/>
          <w:lang w:val="en-US" w:eastAsia="zh-CN"/>
        </w:rPr>
        <w:t>（4）爆破警戒不到位，信号不完善，安全距离不够。</w:t>
      </w:r>
    </w:p>
    <w:p w14:paraId="2F9B0B1F">
      <w:pPr>
        <w:pStyle w:val="16"/>
        <w:bidi w:val="0"/>
        <w:rPr>
          <w:rFonts w:hint="default"/>
          <w:color w:val="auto"/>
          <w:lang w:val="en-US" w:eastAsia="zh-CN"/>
        </w:rPr>
      </w:pPr>
      <w:r>
        <w:rPr>
          <w:rFonts w:hint="default"/>
          <w:color w:val="auto"/>
          <w:lang w:val="en-US" w:eastAsia="zh-CN"/>
        </w:rPr>
        <w:t>（5）放炮后过早进入工作面。</w:t>
      </w:r>
    </w:p>
    <w:p w14:paraId="1F8C620B">
      <w:pPr>
        <w:pStyle w:val="16"/>
        <w:bidi w:val="0"/>
        <w:rPr>
          <w:rFonts w:hint="default"/>
          <w:color w:val="auto"/>
          <w:lang w:val="en-US" w:eastAsia="zh-CN"/>
        </w:rPr>
      </w:pPr>
      <w:r>
        <w:rPr>
          <w:rFonts w:hint="default"/>
          <w:color w:val="auto"/>
          <w:lang w:val="en-US" w:eastAsia="zh-CN"/>
        </w:rPr>
        <w:t>（6）盲炮处理不当或打残眼。</w:t>
      </w:r>
    </w:p>
    <w:p w14:paraId="4DA50BE5">
      <w:pPr>
        <w:pStyle w:val="16"/>
        <w:bidi w:val="0"/>
        <w:rPr>
          <w:rFonts w:hint="default"/>
          <w:color w:val="auto"/>
          <w:lang w:val="en-US" w:eastAsia="zh-CN"/>
        </w:rPr>
      </w:pPr>
      <w:r>
        <w:rPr>
          <w:rFonts w:hint="default"/>
          <w:color w:val="auto"/>
          <w:lang w:val="en-US" w:eastAsia="zh-CN"/>
        </w:rPr>
        <w:t>（7）非爆破作业人员作业，爆破作业人员违章。</w:t>
      </w:r>
    </w:p>
    <w:p w14:paraId="2DC1B20A">
      <w:pPr>
        <w:pStyle w:val="16"/>
        <w:bidi w:val="0"/>
        <w:rPr>
          <w:rFonts w:hint="default"/>
          <w:color w:val="auto"/>
          <w:lang w:val="en-US" w:eastAsia="zh-CN"/>
        </w:rPr>
      </w:pPr>
      <w:r>
        <w:rPr>
          <w:rFonts w:hint="default"/>
          <w:color w:val="auto"/>
          <w:lang w:val="en-US" w:eastAsia="zh-CN"/>
        </w:rPr>
        <w:t>对于本生产系统，易发生爆破事故的场所主要有：运送炸药的道路、爆破作业地点、爆破后区域等。</w:t>
      </w:r>
    </w:p>
    <w:p w14:paraId="12A1DDAE">
      <w:pPr>
        <w:pStyle w:val="24"/>
        <w:bidi w:val="0"/>
        <w:rPr>
          <w:rFonts w:hint="default"/>
          <w:color w:val="auto"/>
          <w:lang w:val="en-US" w:eastAsia="zh-CN"/>
        </w:rPr>
      </w:pPr>
      <w:r>
        <w:rPr>
          <w:rFonts w:hint="default"/>
          <w:color w:val="auto"/>
          <w:lang w:val="en-US" w:eastAsia="zh-CN"/>
        </w:rPr>
        <w:t>车辆伤害</w:t>
      </w:r>
    </w:p>
    <w:p w14:paraId="1F54F93D">
      <w:pPr>
        <w:pStyle w:val="16"/>
        <w:bidi w:val="0"/>
        <w:rPr>
          <w:rFonts w:hint="eastAsia"/>
          <w:color w:val="auto"/>
        </w:rPr>
      </w:pPr>
      <w:r>
        <w:rPr>
          <w:rFonts w:hint="eastAsia"/>
          <w:color w:val="auto"/>
        </w:rPr>
        <w:t>车辆伤害是指企业机动车辆在行驶中引起的人体坠落和物体坍塌、下落、挤压伤亡事故，不包括起重设备提升、牵引车辆和车辆停驶时引发的车辆伤害。车辆伤害有时造成的危害程度和危害范围是很大的，甚至会造成重大伤亡事故。</w:t>
      </w:r>
    </w:p>
    <w:p w14:paraId="05DDC9D2">
      <w:pPr>
        <w:pStyle w:val="16"/>
        <w:bidi w:val="0"/>
        <w:rPr>
          <w:rFonts w:hint="eastAsia"/>
          <w:color w:val="auto"/>
        </w:rPr>
      </w:pPr>
      <w:r>
        <w:rPr>
          <w:rFonts w:hint="eastAsia"/>
          <w:color w:val="auto"/>
        </w:rPr>
        <w:t>运输事故主要包括挤、压、撞、倾覆等。</w:t>
      </w:r>
    </w:p>
    <w:p w14:paraId="780F41DC">
      <w:pPr>
        <w:pStyle w:val="16"/>
        <w:bidi w:val="0"/>
        <w:rPr>
          <w:rFonts w:hint="eastAsia"/>
          <w:color w:val="auto"/>
        </w:rPr>
      </w:pPr>
      <w:r>
        <w:rPr>
          <w:rFonts w:hint="eastAsia"/>
          <w:color w:val="auto"/>
        </w:rPr>
        <w:t>运输伤害的原因主要来自以下几个方面：</w:t>
      </w:r>
    </w:p>
    <w:p w14:paraId="3CB9813B">
      <w:pPr>
        <w:pStyle w:val="16"/>
        <w:bidi w:val="0"/>
        <w:rPr>
          <w:rFonts w:hint="eastAsia"/>
          <w:color w:val="auto"/>
        </w:rPr>
      </w:pPr>
      <w:r>
        <w:rPr>
          <w:rFonts w:hint="eastAsia"/>
          <w:color w:val="auto"/>
        </w:rPr>
        <w:t>（1）作业人员安全意识不强，违章驾驶、酒后驾驶、超高超重、开故障车、开英雄车、开疲劳车、违章超车。</w:t>
      </w:r>
    </w:p>
    <w:p w14:paraId="49DBFF73">
      <w:pPr>
        <w:pStyle w:val="16"/>
        <w:bidi w:val="0"/>
        <w:rPr>
          <w:rFonts w:hint="eastAsia"/>
          <w:color w:val="auto"/>
        </w:rPr>
      </w:pPr>
      <w:r>
        <w:rPr>
          <w:rFonts w:hint="eastAsia"/>
          <w:color w:val="auto"/>
        </w:rPr>
        <w:t>（2）车辆驾驶员没有经过培训考试持证上岗，或没有严格执行行车规则和驾驶操作规程。</w:t>
      </w:r>
    </w:p>
    <w:p w14:paraId="2D672DA5">
      <w:pPr>
        <w:pStyle w:val="16"/>
        <w:bidi w:val="0"/>
        <w:rPr>
          <w:rFonts w:hint="eastAsia"/>
          <w:color w:val="auto"/>
        </w:rPr>
      </w:pPr>
      <w:r>
        <w:rPr>
          <w:rFonts w:hint="eastAsia"/>
          <w:color w:val="auto"/>
        </w:rPr>
        <w:t>（3）车辆没有按照有关规定进行维修保养，其安全防护装置有缺陷。</w:t>
      </w:r>
    </w:p>
    <w:p w14:paraId="0F9CADB8">
      <w:pPr>
        <w:pStyle w:val="16"/>
        <w:bidi w:val="0"/>
        <w:rPr>
          <w:rFonts w:hint="eastAsia"/>
          <w:color w:val="auto"/>
        </w:rPr>
      </w:pPr>
      <w:r>
        <w:rPr>
          <w:rFonts w:hint="eastAsia"/>
          <w:color w:val="auto"/>
        </w:rPr>
        <w:t>（4）运输道路的宽度不够，路面不平、坡度比较大，曲线半径不够大。</w:t>
      </w:r>
    </w:p>
    <w:p w14:paraId="7EE1FCEE">
      <w:pPr>
        <w:pStyle w:val="16"/>
        <w:bidi w:val="0"/>
        <w:rPr>
          <w:rFonts w:hint="eastAsia"/>
          <w:color w:val="auto"/>
        </w:rPr>
      </w:pPr>
      <w:r>
        <w:rPr>
          <w:rFonts w:hint="eastAsia"/>
          <w:color w:val="auto"/>
        </w:rPr>
        <w:t>（5）自然条件恶劣，如冰雪和多雨季节道路较滑、雾天和烟尘弥漫影响能见度。</w:t>
      </w:r>
    </w:p>
    <w:p w14:paraId="3EFB1750">
      <w:pPr>
        <w:pStyle w:val="24"/>
        <w:bidi w:val="0"/>
        <w:rPr>
          <w:rFonts w:hint="default"/>
          <w:color w:val="auto"/>
          <w:lang w:val="en-US" w:eastAsia="zh-CN"/>
        </w:rPr>
      </w:pPr>
      <w:r>
        <w:rPr>
          <w:rFonts w:hint="default"/>
          <w:color w:val="auto"/>
          <w:lang w:val="en-US" w:eastAsia="zh-CN"/>
        </w:rPr>
        <w:t>高处坠落</w:t>
      </w:r>
    </w:p>
    <w:p w14:paraId="5DAF6924">
      <w:pPr>
        <w:pStyle w:val="16"/>
        <w:bidi w:val="0"/>
        <w:rPr>
          <w:rFonts w:hint="default"/>
          <w:color w:val="auto"/>
          <w:lang w:val="en-US" w:eastAsia="zh-CN"/>
        </w:rPr>
      </w:pPr>
      <w:r>
        <w:rPr>
          <w:rFonts w:hint="default"/>
          <w:color w:val="auto"/>
          <w:lang w:val="en-US" w:eastAsia="zh-CN"/>
        </w:rPr>
        <w:t>露天采场的生产过程中，在工作台阶上部凿岩、在坡面上处理浮石及在设备上检修等高处作业是作业人员的日常工作内容，由于操作失误、未系安全带、未设置防护栏等防护措施以及防护措施失效等原因会造成高处坠落事故。</w:t>
      </w:r>
    </w:p>
    <w:p w14:paraId="5496E97B">
      <w:pPr>
        <w:pStyle w:val="24"/>
        <w:bidi w:val="0"/>
        <w:rPr>
          <w:rFonts w:hint="default"/>
          <w:color w:val="auto"/>
          <w:lang w:val="en-US" w:eastAsia="zh-CN"/>
        </w:rPr>
      </w:pPr>
      <w:r>
        <w:rPr>
          <w:rFonts w:hint="default"/>
          <w:color w:val="auto"/>
          <w:lang w:val="en-US" w:eastAsia="zh-CN"/>
        </w:rPr>
        <w:t>物体打击</w:t>
      </w:r>
    </w:p>
    <w:p w14:paraId="12EF9D47">
      <w:pPr>
        <w:pStyle w:val="16"/>
        <w:bidi w:val="0"/>
        <w:rPr>
          <w:rFonts w:hint="default"/>
          <w:color w:val="auto"/>
          <w:lang w:val="en-US" w:eastAsia="zh-CN"/>
        </w:rPr>
      </w:pPr>
      <w:r>
        <w:rPr>
          <w:rFonts w:hint="default"/>
          <w:color w:val="auto"/>
          <w:lang w:val="en-US" w:eastAsia="zh-CN"/>
        </w:rPr>
        <w:t>物体打击是物体在重力或其它外力的作用下产生动力，打击人体造成人身伤亡事故。对于非煤矿山，重力等外力作用下产生运动主要为滚石，其主要发生部位为露天采场边坡。</w:t>
      </w:r>
    </w:p>
    <w:p w14:paraId="3B63D628">
      <w:pPr>
        <w:pStyle w:val="16"/>
        <w:bidi w:val="0"/>
        <w:rPr>
          <w:rFonts w:hint="default"/>
          <w:color w:val="auto"/>
          <w:lang w:val="en-US" w:eastAsia="zh-CN"/>
        </w:rPr>
      </w:pPr>
      <w:r>
        <w:rPr>
          <w:rFonts w:hint="default"/>
          <w:color w:val="auto"/>
          <w:lang w:val="en-US" w:eastAsia="zh-CN"/>
        </w:rPr>
        <w:t>本项目中，物体打击的危险因素主要来自：</w:t>
      </w:r>
    </w:p>
    <w:p w14:paraId="196AB40E">
      <w:pPr>
        <w:pStyle w:val="16"/>
        <w:bidi w:val="0"/>
        <w:rPr>
          <w:rFonts w:hint="default"/>
          <w:color w:val="auto"/>
          <w:lang w:val="en-US" w:eastAsia="zh-CN"/>
        </w:rPr>
      </w:pPr>
      <w:r>
        <w:rPr>
          <w:rFonts w:hint="default"/>
          <w:color w:val="auto"/>
          <w:lang w:val="en-US" w:eastAsia="zh-CN"/>
        </w:rPr>
        <w:t>（1）在同一坡面上，上下双层或多层同时进行作业；</w:t>
      </w:r>
    </w:p>
    <w:p w14:paraId="6B06A665">
      <w:pPr>
        <w:pStyle w:val="16"/>
        <w:bidi w:val="0"/>
        <w:rPr>
          <w:rFonts w:hint="default"/>
          <w:color w:val="auto"/>
          <w:lang w:val="en-US" w:eastAsia="zh-CN"/>
        </w:rPr>
      </w:pPr>
      <w:r>
        <w:rPr>
          <w:rFonts w:hint="default"/>
          <w:color w:val="auto"/>
          <w:lang w:val="en-US" w:eastAsia="zh-CN"/>
        </w:rPr>
        <w:t>（2）人员在运送材料、使用器械的过程中，由于操作不当造成的人员伤害。</w:t>
      </w:r>
    </w:p>
    <w:p w14:paraId="731B4B97">
      <w:pPr>
        <w:pStyle w:val="16"/>
        <w:bidi w:val="0"/>
        <w:rPr>
          <w:rFonts w:hint="default"/>
          <w:color w:val="auto"/>
          <w:lang w:val="en-US" w:eastAsia="zh-CN"/>
        </w:rPr>
      </w:pPr>
      <w:r>
        <w:rPr>
          <w:rFonts w:hint="default"/>
          <w:color w:val="auto"/>
          <w:lang w:val="en-US" w:eastAsia="zh-CN"/>
        </w:rPr>
        <w:t>（3）人员在边坡底部休息或停留。</w:t>
      </w:r>
    </w:p>
    <w:p w14:paraId="038F94ED">
      <w:pPr>
        <w:pStyle w:val="16"/>
        <w:bidi w:val="0"/>
        <w:rPr>
          <w:rFonts w:hint="default"/>
          <w:color w:val="auto"/>
          <w:lang w:val="en-US" w:eastAsia="zh-CN"/>
        </w:rPr>
      </w:pPr>
      <w:r>
        <w:rPr>
          <w:rFonts w:hint="default"/>
          <w:color w:val="auto"/>
          <w:lang w:val="en-US" w:eastAsia="zh-CN"/>
        </w:rPr>
        <w:t>（4）矿岩物理性质方面的影响。</w:t>
      </w:r>
    </w:p>
    <w:p w14:paraId="10FE3115">
      <w:pPr>
        <w:pStyle w:val="16"/>
        <w:bidi w:val="0"/>
        <w:rPr>
          <w:rFonts w:hint="default"/>
          <w:color w:val="auto"/>
          <w:lang w:val="en-US" w:eastAsia="zh-CN"/>
        </w:rPr>
      </w:pPr>
      <w:r>
        <w:rPr>
          <w:rFonts w:hint="default"/>
          <w:color w:val="auto"/>
          <w:lang w:val="en-US" w:eastAsia="zh-CN"/>
        </w:rPr>
        <w:t>（5）地质构造方面的影响。</w:t>
      </w:r>
    </w:p>
    <w:p w14:paraId="402F07F8">
      <w:pPr>
        <w:pStyle w:val="16"/>
        <w:bidi w:val="0"/>
        <w:rPr>
          <w:rFonts w:hint="default"/>
          <w:color w:val="auto"/>
          <w:lang w:val="en-US" w:eastAsia="zh-CN"/>
        </w:rPr>
      </w:pPr>
      <w:r>
        <w:rPr>
          <w:rFonts w:hint="default"/>
          <w:color w:val="auto"/>
          <w:lang w:val="en-US" w:eastAsia="zh-CN"/>
        </w:rPr>
        <w:t>（6）开采工艺参数不合理，如边坡角过大，安全平台宽度不够等。</w:t>
      </w:r>
    </w:p>
    <w:p w14:paraId="491E4DAE">
      <w:pPr>
        <w:pStyle w:val="16"/>
        <w:bidi w:val="0"/>
        <w:rPr>
          <w:rFonts w:hint="default"/>
          <w:color w:val="auto"/>
          <w:lang w:val="en-US" w:eastAsia="zh-CN"/>
        </w:rPr>
      </w:pPr>
      <w:r>
        <w:rPr>
          <w:rFonts w:hint="default"/>
          <w:color w:val="auto"/>
          <w:lang w:val="en-US" w:eastAsia="zh-CN"/>
        </w:rPr>
        <w:t>（7）坡面上的浮石处理不及时，造成滚石伤人。</w:t>
      </w:r>
    </w:p>
    <w:p w14:paraId="10413166">
      <w:pPr>
        <w:pStyle w:val="16"/>
        <w:bidi w:val="0"/>
        <w:rPr>
          <w:rFonts w:hint="default"/>
          <w:color w:val="auto"/>
          <w:lang w:val="en-US" w:eastAsia="zh-CN"/>
        </w:rPr>
      </w:pPr>
      <w:r>
        <w:rPr>
          <w:rFonts w:hint="default"/>
          <w:color w:val="auto"/>
          <w:lang w:val="en-US" w:eastAsia="zh-CN"/>
        </w:rPr>
        <w:t>（8）夏季降雨雨水对露天矿边帮的冲刷和风化侵蚀造成边坡滚石伤人。</w:t>
      </w:r>
    </w:p>
    <w:p w14:paraId="5780E805">
      <w:pPr>
        <w:pStyle w:val="16"/>
        <w:bidi w:val="0"/>
        <w:rPr>
          <w:rFonts w:hint="default"/>
          <w:color w:val="auto"/>
          <w:lang w:val="en-US" w:eastAsia="zh-CN"/>
        </w:rPr>
      </w:pPr>
      <w:r>
        <w:rPr>
          <w:rFonts w:hint="default"/>
          <w:color w:val="auto"/>
          <w:lang w:val="en-US" w:eastAsia="zh-CN"/>
        </w:rPr>
        <w:t>（9）处理浮石操作方法不当。由于处理浮石操作不当所引起的滚石事故，大多数是因处理前缺乏全面的检查，未掌握浮石情况造成的。</w:t>
      </w:r>
    </w:p>
    <w:p w14:paraId="74CB3404">
      <w:pPr>
        <w:pStyle w:val="24"/>
        <w:bidi w:val="0"/>
        <w:rPr>
          <w:rFonts w:hint="default"/>
          <w:color w:val="auto"/>
          <w:lang w:val="en-US" w:eastAsia="zh-CN"/>
        </w:rPr>
      </w:pPr>
      <w:r>
        <w:rPr>
          <w:rFonts w:hint="default"/>
          <w:color w:val="auto"/>
          <w:lang w:val="en-US" w:eastAsia="zh-CN"/>
        </w:rPr>
        <w:t>机械伤害</w:t>
      </w:r>
    </w:p>
    <w:p w14:paraId="181FA733">
      <w:pPr>
        <w:pStyle w:val="16"/>
        <w:bidi w:val="0"/>
        <w:rPr>
          <w:rFonts w:hint="default"/>
          <w:color w:val="auto"/>
          <w:lang w:val="en-US" w:eastAsia="zh-CN"/>
        </w:rPr>
      </w:pPr>
      <w:r>
        <w:rPr>
          <w:rFonts w:hint="default"/>
          <w:color w:val="auto"/>
          <w:lang w:val="en-US" w:eastAsia="zh-CN"/>
        </w:rPr>
        <w:t>机械性伤害主要指机械设备运动（静止）部件、工具、加工件直接与人体接触引起的夹击、碰撞、剪切、卷入、绞、碾、割、刺等形式的伤害。</w:t>
      </w:r>
    </w:p>
    <w:p w14:paraId="68D71189">
      <w:pPr>
        <w:pStyle w:val="16"/>
        <w:bidi w:val="0"/>
        <w:rPr>
          <w:rFonts w:hint="default"/>
          <w:color w:val="auto"/>
          <w:lang w:val="en-US" w:eastAsia="zh-CN"/>
        </w:rPr>
      </w:pPr>
      <w:r>
        <w:rPr>
          <w:rFonts w:hint="default"/>
          <w:color w:val="auto"/>
          <w:lang w:val="en-US" w:eastAsia="zh-CN"/>
        </w:rPr>
        <w:t>该矿机械伤害的危险部位和危险区域主要有以下几种：</w:t>
      </w:r>
    </w:p>
    <w:p w14:paraId="540C31DF">
      <w:pPr>
        <w:pStyle w:val="16"/>
        <w:bidi w:val="0"/>
        <w:rPr>
          <w:rFonts w:hint="default"/>
          <w:color w:val="auto"/>
          <w:lang w:val="en-US" w:eastAsia="zh-CN"/>
        </w:rPr>
      </w:pPr>
      <w:r>
        <w:rPr>
          <w:rFonts w:hint="default"/>
          <w:color w:val="auto"/>
          <w:lang w:val="en-US" w:eastAsia="zh-CN"/>
        </w:rPr>
        <w:t>旋转部位：空压设备、穿孔机械及运输机械的转轴、转轮等可使人员的服饰、头发缠绕其上，造成伤害。</w:t>
      </w:r>
    </w:p>
    <w:p w14:paraId="1649370F">
      <w:pPr>
        <w:pStyle w:val="16"/>
        <w:bidi w:val="0"/>
        <w:rPr>
          <w:rFonts w:hint="default"/>
          <w:color w:val="auto"/>
          <w:lang w:val="en-US" w:eastAsia="zh-CN"/>
        </w:rPr>
      </w:pPr>
      <w:r>
        <w:rPr>
          <w:rFonts w:hint="default"/>
          <w:color w:val="auto"/>
          <w:lang w:val="en-US" w:eastAsia="zh-CN"/>
        </w:rPr>
        <w:t>飞出物：空压设备、穿孔机械及运输机械运转时，抛射出固体颗粒或碎屑，伤害人眼或皮肤，工件或机械碎片意外抛出，击伤人体。</w:t>
      </w:r>
    </w:p>
    <w:p w14:paraId="04ADB7AA">
      <w:pPr>
        <w:pStyle w:val="16"/>
        <w:bidi w:val="0"/>
        <w:rPr>
          <w:rFonts w:hint="default"/>
          <w:color w:val="auto"/>
          <w:lang w:val="en-US" w:eastAsia="zh-CN"/>
        </w:rPr>
      </w:pPr>
      <w:r>
        <w:rPr>
          <w:rFonts w:hint="default"/>
          <w:color w:val="auto"/>
          <w:lang w:val="en-US" w:eastAsia="zh-CN"/>
        </w:rPr>
        <w:t>啮合点：当人员的手、肢体或服饰接触机械的相互紧密接触且相互运动的部位形成啮合点时，可能被卷入啮合点，而发生挤压伤害。</w:t>
      </w:r>
    </w:p>
    <w:p w14:paraId="77342ABD">
      <w:pPr>
        <w:pStyle w:val="16"/>
        <w:bidi w:val="0"/>
        <w:rPr>
          <w:rFonts w:hint="default"/>
          <w:color w:val="auto"/>
          <w:lang w:val="en-US" w:eastAsia="zh-CN"/>
        </w:rPr>
      </w:pPr>
      <w:r>
        <w:rPr>
          <w:rFonts w:hint="default"/>
          <w:color w:val="auto"/>
          <w:lang w:val="en-US" w:eastAsia="zh-CN"/>
        </w:rPr>
        <w:t>往复运动部分：凿岩机械的往复运动部件的往复运动区域是危险区域，一旦人体或其一部分进入就可能受到伤害。</w:t>
      </w:r>
    </w:p>
    <w:p w14:paraId="6F0FED6B">
      <w:pPr>
        <w:pStyle w:val="24"/>
        <w:bidi w:val="0"/>
        <w:rPr>
          <w:rFonts w:hint="default"/>
          <w:color w:val="auto"/>
          <w:lang w:val="en-US" w:eastAsia="zh-CN"/>
        </w:rPr>
      </w:pPr>
      <w:r>
        <w:rPr>
          <w:rFonts w:hint="default"/>
          <w:color w:val="auto"/>
          <w:lang w:val="en-US" w:eastAsia="zh-CN"/>
        </w:rPr>
        <w:t>触电伤害</w:t>
      </w:r>
    </w:p>
    <w:p w14:paraId="7D94410A">
      <w:pPr>
        <w:pStyle w:val="16"/>
        <w:bidi w:val="0"/>
        <w:rPr>
          <w:rFonts w:hint="default"/>
          <w:color w:val="auto"/>
          <w:lang w:val="en-US" w:eastAsia="zh-CN"/>
        </w:rPr>
      </w:pPr>
      <w:r>
        <w:rPr>
          <w:rFonts w:hint="default"/>
          <w:color w:val="auto"/>
          <w:lang w:val="en-US" w:eastAsia="zh-CN"/>
        </w:rPr>
        <w:t>电伤害分为电击和电伤两方面，包括雷电、静电、触电等事故。</w:t>
      </w:r>
    </w:p>
    <w:p w14:paraId="2A2BDECD">
      <w:pPr>
        <w:pStyle w:val="16"/>
        <w:bidi w:val="0"/>
        <w:rPr>
          <w:rFonts w:hint="default"/>
          <w:color w:val="auto"/>
          <w:lang w:val="en-US" w:eastAsia="zh-CN"/>
        </w:rPr>
      </w:pPr>
      <w:r>
        <w:rPr>
          <w:rFonts w:hint="default"/>
          <w:color w:val="auto"/>
          <w:lang w:val="en-US" w:eastAsia="zh-CN"/>
        </w:rPr>
        <w:t>触电危险的分布极广，凡是用到电气设备的和有电气线路通过的场所，都是触电事故可能发生的场所。</w:t>
      </w:r>
    </w:p>
    <w:p w14:paraId="6C704AA5">
      <w:pPr>
        <w:pStyle w:val="16"/>
        <w:bidi w:val="0"/>
        <w:rPr>
          <w:rFonts w:hint="default"/>
          <w:color w:val="auto"/>
          <w:lang w:val="en-US" w:eastAsia="zh-CN"/>
        </w:rPr>
      </w:pPr>
      <w:r>
        <w:rPr>
          <w:rFonts w:hint="default"/>
          <w:color w:val="auto"/>
          <w:lang w:val="en-US" w:eastAsia="zh-CN"/>
        </w:rPr>
        <w:t>常见的引发触电事故的因素有：</w:t>
      </w:r>
    </w:p>
    <w:p w14:paraId="30B1E269">
      <w:pPr>
        <w:pStyle w:val="16"/>
        <w:bidi w:val="0"/>
        <w:rPr>
          <w:rFonts w:hint="default"/>
          <w:color w:val="auto"/>
          <w:lang w:val="en-US" w:eastAsia="zh-CN"/>
        </w:rPr>
      </w:pPr>
      <w:r>
        <w:rPr>
          <w:rFonts w:hint="default"/>
          <w:color w:val="auto"/>
          <w:lang w:val="en-US" w:eastAsia="zh-CN"/>
        </w:rPr>
        <w:t>（1）电线、电气设施的绝缘或外壳损坏、设备漏电。</w:t>
      </w:r>
    </w:p>
    <w:p w14:paraId="4D2DD426">
      <w:pPr>
        <w:pStyle w:val="16"/>
        <w:bidi w:val="0"/>
        <w:rPr>
          <w:rFonts w:hint="default"/>
          <w:color w:val="auto"/>
          <w:lang w:val="en-US" w:eastAsia="zh-CN"/>
        </w:rPr>
      </w:pPr>
      <w:r>
        <w:rPr>
          <w:rFonts w:hint="default"/>
          <w:color w:val="auto"/>
          <w:lang w:val="en-US" w:eastAsia="zh-CN"/>
        </w:rPr>
        <w:t>（2）电气设备接地损坏或没接地线。</w:t>
      </w:r>
    </w:p>
    <w:p w14:paraId="03225973">
      <w:pPr>
        <w:pStyle w:val="16"/>
        <w:bidi w:val="0"/>
        <w:rPr>
          <w:rFonts w:hint="default"/>
          <w:color w:val="auto"/>
          <w:lang w:val="en-US" w:eastAsia="zh-CN"/>
        </w:rPr>
      </w:pPr>
      <w:r>
        <w:rPr>
          <w:rFonts w:hint="default"/>
          <w:color w:val="auto"/>
          <w:lang w:val="en-US" w:eastAsia="zh-CN"/>
        </w:rPr>
        <w:t>（3）移动使用的配电箱、板及所用导线不符合要求，末使用漏电保护器，不戴绝缘手套。</w:t>
      </w:r>
    </w:p>
    <w:p w14:paraId="41E540C5">
      <w:pPr>
        <w:pStyle w:val="16"/>
        <w:bidi w:val="0"/>
        <w:rPr>
          <w:rFonts w:hint="default"/>
          <w:color w:val="auto"/>
          <w:lang w:val="en-US" w:eastAsia="zh-CN"/>
        </w:rPr>
      </w:pPr>
      <w:r>
        <w:rPr>
          <w:rFonts w:hint="default"/>
          <w:color w:val="auto"/>
          <w:lang w:val="en-US" w:eastAsia="zh-CN"/>
        </w:rPr>
        <w:t>（4）乱接不符合要求的临时线。</w:t>
      </w:r>
    </w:p>
    <w:p w14:paraId="6725972F">
      <w:pPr>
        <w:pStyle w:val="16"/>
        <w:bidi w:val="0"/>
        <w:rPr>
          <w:rFonts w:hint="default"/>
          <w:color w:val="auto"/>
          <w:lang w:val="en-US" w:eastAsia="zh-CN"/>
        </w:rPr>
      </w:pPr>
      <w:r>
        <w:rPr>
          <w:rFonts w:hint="default"/>
          <w:color w:val="auto"/>
          <w:lang w:val="en-US" w:eastAsia="zh-CN"/>
        </w:rPr>
        <w:t>（5）不办理操作票或不执行监护制度，不使用或使用不合格绝缘工具和电气工具。</w:t>
      </w:r>
    </w:p>
    <w:p w14:paraId="0CDE6B09">
      <w:pPr>
        <w:pStyle w:val="16"/>
        <w:bidi w:val="0"/>
        <w:rPr>
          <w:rFonts w:hint="default"/>
          <w:color w:val="auto"/>
          <w:lang w:val="en-US" w:eastAsia="zh-CN"/>
        </w:rPr>
      </w:pPr>
      <w:r>
        <w:rPr>
          <w:rFonts w:hint="default"/>
          <w:color w:val="auto"/>
          <w:lang w:val="en-US" w:eastAsia="zh-CN"/>
        </w:rPr>
        <w:t>（6）检修电气设备工作完毕，未办理工作票终结手续，运行人员就对检修设备恢复送电。</w:t>
      </w:r>
    </w:p>
    <w:p w14:paraId="24F12207">
      <w:pPr>
        <w:pStyle w:val="16"/>
        <w:bidi w:val="0"/>
        <w:rPr>
          <w:rFonts w:hint="default"/>
          <w:color w:val="auto"/>
          <w:lang w:val="en-US" w:eastAsia="zh-CN"/>
        </w:rPr>
      </w:pPr>
      <w:r>
        <w:rPr>
          <w:rFonts w:hint="default"/>
          <w:color w:val="auto"/>
          <w:lang w:val="en-US" w:eastAsia="zh-CN"/>
        </w:rPr>
        <w:t>（7）在带电设备附近进行作业，不符合安全距离的规定要求或无监护措施。</w:t>
      </w:r>
    </w:p>
    <w:p w14:paraId="5014393A">
      <w:pPr>
        <w:pStyle w:val="16"/>
        <w:bidi w:val="0"/>
        <w:rPr>
          <w:rFonts w:hint="default"/>
          <w:color w:val="auto"/>
          <w:lang w:val="en-US" w:eastAsia="zh-CN"/>
        </w:rPr>
      </w:pPr>
      <w:r>
        <w:rPr>
          <w:rFonts w:hint="default"/>
          <w:color w:val="auto"/>
          <w:lang w:val="en-US" w:eastAsia="zh-CN"/>
        </w:rPr>
        <w:t>（8）跨越安全围栏或超越安全警戒线，工作人员走错间隔，误碰带电设备，以及在安全带电设备附近使用钢卷尺等进行测量或携带金属超高物体在带电设备下行走。</w:t>
      </w:r>
    </w:p>
    <w:p w14:paraId="575B4679">
      <w:pPr>
        <w:pStyle w:val="16"/>
        <w:bidi w:val="0"/>
        <w:rPr>
          <w:rFonts w:hint="default"/>
          <w:color w:val="auto"/>
          <w:lang w:val="en-US" w:eastAsia="zh-CN"/>
        </w:rPr>
      </w:pPr>
      <w:r>
        <w:rPr>
          <w:rFonts w:hint="default"/>
          <w:color w:val="auto"/>
          <w:lang w:val="en-US" w:eastAsia="zh-CN"/>
        </w:rPr>
        <w:t>（9）线路检修时不装设或未按规定装设接地线，装设地线不验电。</w:t>
      </w:r>
    </w:p>
    <w:p w14:paraId="4B736CA4">
      <w:pPr>
        <w:pStyle w:val="16"/>
        <w:bidi w:val="0"/>
        <w:rPr>
          <w:rFonts w:hint="default"/>
          <w:color w:val="auto"/>
          <w:lang w:val="en-US" w:eastAsia="zh-CN"/>
        </w:rPr>
      </w:pPr>
      <w:r>
        <w:rPr>
          <w:rFonts w:hint="default"/>
          <w:color w:val="auto"/>
          <w:lang w:val="en-US" w:eastAsia="zh-CN"/>
        </w:rPr>
        <w:t>（10）工作人员擅自扩大工作范围。</w:t>
      </w:r>
    </w:p>
    <w:p w14:paraId="1CB0910C">
      <w:pPr>
        <w:pStyle w:val="16"/>
        <w:bidi w:val="0"/>
        <w:rPr>
          <w:rFonts w:hint="default"/>
          <w:color w:val="auto"/>
          <w:lang w:val="en-US" w:eastAsia="zh-CN"/>
        </w:rPr>
      </w:pPr>
      <w:r>
        <w:rPr>
          <w:rFonts w:hint="default"/>
          <w:color w:val="auto"/>
          <w:lang w:val="en-US" w:eastAsia="zh-CN"/>
        </w:rPr>
        <w:t>（11）使用的电动工具金属外壳不接地，操作时不戴绝缘手套。</w:t>
      </w:r>
    </w:p>
    <w:p w14:paraId="62CBAA9E">
      <w:pPr>
        <w:pStyle w:val="16"/>
        <w:bidi w:val="0"/>
        <w:rPr>
          <w:rFonts w:hint="default"/>
          <w:color w:val="auto"/>
          <w:lang w:val="en-US" w:eastAsia="zh-CN"/>
        </w:rPr>
      </w:pPr>
      <w:r>
        <w:rPr>
          <w:rFonts w:hint="default"/>
          <w:color w:val="auto"/>
          <w:lang w:val="en-US" w:eastAsia="zh-CN"/>
        </w:rPr>
        <w:t>（12）标志缺陷（如裸露带电部分附近的警告牌、刀闸的开合警告牌不明显，就可能导致作业人员疏忽大意，进而发生触电、误合刀闸等人身或设备事故）。</w:t>
      </w:r>
    </w:p>
    <w:p w14:paraId="32576A6B">
      <w:pPr>
        <w:pStyle w:val="16"/>
        <w:bidi w:val="0"/>
        <w:rPr>
          <w:rFonts w:hint="default"/>
          <w:color w:val="auto"/>
          <w:lang w:val="en-US" w:eastAsia="zh-CN"/>
        </w:rPr>
      </w:pPr>
      <w:r>
        <w:rPr>
          <w:rFonts w:hint="default"/>
          <w:color w:val="auto"/>
          <w:lang w:val="en-US" w:eastAsia="zh-CN"/>
        </w:rPr>
        <w:t>（13）电气作业的安全管理工作存在漏洞。</w:t>
      </w:r>
    </w:p>
    <w:p w14:paraId="1CEC9BE3">
      <w:pPr>
        <w:pStyle w:val="16"/>
        <w:bidi w:val="0"/>
        <w:rPr>
          <w:rFonts w:hint="default"/>
          <w:color w:val="auto"/>
          <w:lang w:val="en-US" w:eastAsia="zh-CN"/>
        </w:rPr>
      </w:pPr>
      <w:r>
        <w:rPr>
          <w:rFonts w:hint="default"/>
          <w:color w:val="auto"/>
          <w:lang w:val="en-US" w:eastAsia="zh-CN"/>
        </w:rPr>
        <w:t>（14）没有严格执行送电、停电、操作、维护，以及检修中的停电、验电、放电、接地等用电安全制度。</w:t>
      </w:r>
    </w:p>
    <w:p w14:paraId="54EB051E">
      <w:pPr>
        <w:pStyle w:val="16"/>
        <w:bidi w:val="0"/>
        <w:rPr>
          <w:rFonts w:hint="default"/>
          <w:color w:val="auto"/>
          <w:lang w:val="en-US" w:eastAsia="zh-CN"/>
        </w:rPr>
      </w:pPr>
      <w:r>
        <w:rPr>
          <w:rFonts w:hint="default"/>
          <w:color w:val="auto"/>
          <w:lang w:val="en-US" w:eastAsia="zh-CN"/>
        </w:rPr>
        <w:t>（15）电气设备的防护等级或选型错误。</w:t>
      </w:r>
    </w:p>
    <w:p w14:paraId="31FF5AD9">
      <w:pPr>
        <w:pStyle w:val="16"/>
        <w:bidi w:val="0"/>
        <w:rPr>
          <w:rFonts w:hint="default"/>
          <w:color w:val="auto"/>
          <w:lang w:val="en-US" w:eastAsia="zh-CN"/>
        </w:rPr>
      </w:pPr>
      <w:r>
        <w:rPr>
          <w:rFonts w:hint="default"/>
          <w:color w:val="auto"/>
          <w:lang w:val="en-US" w:eastAsia="zh-CN"/>
        </w:rPr>
        <w:t>（16）电气设备未采取绝缘、设置防护距离以及接地（零）措施等。</w:t>
      </w:r>
    </w:p>
    <w:p w14:paraId="28E8F3AC">
      <w:pPr>
        <w:pStyle w:val="16"/>
        <w:bidi w:val="0"/>
        <w:rPr>
          <w:rFonts w:hint="default"/>
          <w:color w:val="auto"/>
          <w:lang w:val="en-US" w:eastAsia="zh-CN"/>
        </w:rPr>
      </w:pPr>
      <w:r>
        <w:rPr>
          <w:rFonts w:hint="default"/>
          <w:color w:val="auto"/>
          <w:lang w:val="en-US" w:eastAsia="zh-CN"/>
        </w:rPr>
        <w:t>（17）防雷装置设计不合理。</w:t>
      </w:r>
    </w:p>
    <w:p w14:paraId="539FDFF3">
      <w:pPr>
        <w:pStyle w:val="16"/>
        <w:bidi w:val="0"/>
        <w:rPr>
          <w:rFonts w:hint="default"/>
          <w:color w:val="auto"/>
          <w:lang w:val="en-US" w:eastAsia="zh-CN"/>
        </w:rPr>
      </w:pPr>
      <w:r>
        <w:rPr>
          <w:rFonts w:hint="default"/>
          <w:color w:val="auto"/>
          <w:lang w:val="en-US" w:eastAsia="zh-CN"/>
        </w:rPr>
        <w:t>（18）防雷装置安装存在缺陷。</w:t>
      </w:r>
    </w:p>
    <w:p w14:paraId="46880A5E">
      <w:pPr>
        <w:pStyle w:val="16"/>
        <w:bidi w:val="0"/>
        <w:rPr>
          <w:rFonts w:hint="default"/>
          <w:color w:val="auto"/>
          <w:lang w:val="en-US" w:eastAsia="zh-CN"/>
        </w:rPr>
      </w:pPr>
      <w:r>
        <w:rPr>
          <w:rFonts w:hint="default"/>
          <w:color w:val="auto"/>
          <w:lang w:val="en-US" w:eastAsia="zh-CN"/>
        </w:rPr>
        <w:t>（19）防雷装置失效，防雷接地体接地电阻不符合要求。</w:t>
      </w:r>
    </w:p>
    <w:p w14:paraId="023BD9A4">
      <w:pPr>
        <w:pStyle w:val="16"/>
        <w:bidi w:val="0"/>
        <w:rPr>
          <w:rFonts w:hint="default"/>
          <w:color w:val="auto"/>
          <w:lang w:val="en-US" w:eastAsia="zh-CN"/>
        </w:rPr>
      </w:pPr>
      <w:r>
        <w:rPr>
          <w:rFonts w:hint="default"/>
          <w:color w:val="auto"/>
          <w:lang w:val="en-US" w:eastAsia="zh-CN"/>
        </w:rPr>
        <w:t>（20）缺乏必要的人身防雷安全知识等。</w:t>
      </w:r>
    </w:p>
    <w:p w14:paraId="25B9741C">
      <w:pPr>
        <w:pStyle w:val="24"/>
        <w:bidi w:val="0"/>
        <w:rPr>
          <w:rFonts w:hint="default"/>
          <w:color w:val="auto"/>
          <w:lang w:val="en-US" w:eastAsia="zh-CN"/>
        </w:rPr>
      </w:pPr>
      <w:r>
        <w:rPr>
          <w:rFonts w:hint="default"/>
          <w:color w:val="auto"/>
          <w:lang w:val="en-US" w:eastAsia="zh-CN"/>
        </w:rPr>
        <w:t>压力容器爆炸</w:t>
      </w:r>
    </w:p>
    <w:p w14:paraId="766D3F77">
      <w:pPr>
        <w:pStyle w:val="16"/>
        <w:rPr>
          <w:rFonts w:hint="default"/>
          <w:color w:val="auto"/>
          <w:lang w:val="en-US" w:eastAsia="zh-CN"/>
        </w:rPr>
      </w:pPr>
      <w:r>
        <w:rPr>
          <w:rFonts w:hint="default"/>
          <w:color w:val="auto"/>
          <w:lang w:val="en-US" w:eastAsia="zh-CN"/>
        </w:rPr>
        <w:t>露天采场的移动式空压机风包是露天矿生产过程中涉及的主要压力容器，压力较高，作业条件相对比较恶劣，如果不按照要求定期进行检测，维护不到位，易于发生压力容器爆炸事故，造成人员伤亡和设备损坏事故。</w:t>
      </w:r>
    </w:p>
    <w:p w14:paraId="2C901981">
      <w:pPr>
        <w:pStyle w:val="24"/>
        <w:bidi w:val="0"/>
        <w:rPr>
          <w:rFonts w:hint="default"/>
          <w:color w:val="auto"/>
          <w:lang w:val="en-US" w:eastAsia="zh-CN"/>
        </w:rPr>
      </w:pPr>
      <w:r>
        <w:rPr>
          <w:rFonts w:hint="default"/>
          <w:color w:val="auto"/>
          <w:lang w:val="en-US" w:eastAsia="zh-CN"/>
        </w:rPr>
        <w:t>火灾</w:t>
      </w:r>
    </w:p>
    <w:p w14:paraId="7F3D97C1">
      <w:pPr>
        <w:pStyle w:val="16"/>
        <w:bidi w:val="0"/>
        <w:rPr>
          <w:rFonts w:hint="default"/>
          <w:color w:val="auto"/>
          <w:lang w:val="en-US" w:eastAsia="zh-CN"/>
        </w:rPr>
      </w:pPr>
      <w:r>
        <w:rPr>
          <w:rFonts w:hint="default"/>
          <w:color w:val="auto"/>
          <w:lang w:val="en-US" w:eastAsia="zh-CN"/>
        </w:rPr>
        <w:t>矿山火灾按其发生的原因，有内因火灾与外因火灾之分。前者是由于矿岩氧化自燃而引起的；后者是由于矿岩自燃以外的原因，如吸烟、明火或电气设备故障等引起的火灾。据统计，我国非煤矿山中，外因火灾占矿山火灾事故的80%～90%，是矿山火灾的主要形式。</w:t>
      </w:r>
    </w:p>
    <w:p w14:paraId="3FD2DB86">
      <w:pPr>
        <w:pStyle w:val="16"/>
        <w:bidi w:val="0"/>
        <w:rPr>
          <w:rFonts w:hint="default"/>
          <w:color w:val="auto"/>
          <w:lang w:val="en-US" w:eastAsia="zh-CN"/>
        </w:rPr>
      </w:pPr>
      <w:r>
        <w:rPr>
          <w:rFonts w:hint="default"/>
          <w:color w:val="auto"/>
          <w:lang w:val="en-US" w:eastAsia="zh-CN"/>
        </w:rPr>
        <w:t>本项目中，该矿的矿岩不具有自燃性，因此，矿山火灾的危险性主要来自外因。</w:t>
      </w:r>
    </w:p>
    <w:p w14:paraId="77127F4B">
      <w:pPr>
        <w:pStyle w:val="16"/>
        <w:bidi w:val="0"/>
        <w:rPr>
          <w:rFonts w:hint="default"/>
          <w:color w:val="auto"/>
          <w:lang w:val="en-US" w:eastAsia="zh-CN"/>
        </w:rPr>
      </w:pPr>
      <w:r>
        <w:rPr>
          <w:rFonts w:hint="default"/>
          <w:color w:val="auto"/>
          <w:lang w:val="en-US" w:eastAsia="zh-CN"/>
        </w:rPr>
        <w:t>非煤矿山外因火灾危险因素主要来自以下几个方面：</w:t>
      </w:r>
    </w:p>
    <w:p w14:paraId="7490EF40">
      <w:pPr>
        <w:pStyle w:val="16"/>
        <w:bidi w:val="0"/>
        <w:rPr>
          <w:rFonts w:hint="default"/>
          <w:color w:val="auto"/>
          <w:lang w:val="en-US" w:eastAsia="zh-CN"/>
        </w:rPr>
      </w:pPr>
      <w:r>
        <w:rPr>
          <w:rFonts w:hint="default"/>
          <w:color w:val="auto"/>
          <w:lang w:val="en-US" w:eastAsia="zh-CN"/>
        </w:rPr>
        <w:t>（1）生产和生活用火不慎。</w:t>
      </w:r>
    </w:p>
    <w:p w14:paraId="6DCC96BF">
      <w:pPr>
        <w:pStyle w:val="16"/>
        <w:bidi w:val="0"/>
        <w:rPr>
          <w:rFonts w:hint="default"/>
          <w:color w:val="auto"/>
          <w:lang w:val="en-US" w:eastAsia="zh-CN"/>
        </w:rPr>
      </w:pPr>
      <w:r>
        <w:rPr>
          <w:rFonts w:hint="default"/>
          <w:color w:val="auto"/>
          <w:lang w:val="en-US" w:eastAsia="zh-CN"/>
        </w:rPr>
        <w:t>（2）设备不良。</w:t>
      </w:r>
    </w:p>
    <w:p w14:paraId="1DECDAD1">
      <w:pPr>
        <w:pStyle w:val="16"/>
        <w:bidi w:val="0"/>
        <w:rPr>
          <w:rFonts w:hint="default"/>
          <w:color w:val="auto"/>
          <w:lang w:val="en-US" w:eastAsia="zh-CN"/>
        </w:rPr>
      </w:pPr>
      <w:r>
        <w:rPr>
          <w:rFonts w:hint="default"/>
          <w:color w:val="auto"/>
          <w:lang w:val="en-US" w:eastAsia="zh-CN"/>
        </w:rPr>
        <w:t>（3）物料的原因。</w:t>
      </w:r>
    </w:p>
    <w:p w14:paraId="54B17A34">
      <w:pPr>
        <w:pStyle w:val="16"/>
        <w:bidi w:val="0"/>
        <w:rPr>
          <w:rFonts w:hint="default"/>
          <w:color w:val="auto"/>
          <w:lang w:val="en-US" w:eastAsia="zh-CN"/>
        </w:rPr>
      </w:pPr>
      <w:r>
        <w:rPr>
          <w:rFonts w:hint="default"/>
          <w:color w:val="auto"/>
          <w:lang w:val="en-US" w:eastAsia="zh-CN"/>
        </w:rPr>
        <w:t>（4）环境的原因。</w:t>
      </w:r>
    </w:p>
    <w:p w14:paraId="6F36CAC3">
      <w:pPr>
        <w:pStyle w:val="16"/>
        <w:bidi w:val="0"/>
        <w:rPr>
          <w:rFonts w:hint="default"/>
          <w:color w:val="auto"/>
          <w:lang w:val="en-US" w:eastAsia="zh-CN"/>
        </w:rPr>
      </w:pPr>
      <w:r>
        <w:rPr>
          <w:rFonts w:hint="default"/>
          <w:color w:val="auto"/>
          <w:lang w:val="en-US" w:eastAsia="zh-CN"/>
        </w:rPr>
        <w:t>（5）管理的原因。</w:t>
      </w:r>
    </w:p>
    <w:p w14:paraId="6449DC1A">
      <w:pPr>
        <w:pStyle w:val="16"/>
        <w:bidi w:val="0"/>
        <w:rPr>
          <w:rFonts w:hint="default"/>
          <w:color w:val="auto"/>
          <w:lang w:val="en-US" w:eastAsia="zh-CN"/>
        </w:rPr>
      </w:pPr>
      <w:r>
        <w:rPr>
          <w:rFonts w:hint="default"/>
          <w:color w:val="auto"/>
          <w:lang w:val="en-US" w:eastAsia="zh-CN"/>
        </w:rPr>
        <w:t>（6）建（构）筑物结构布局不合理，建筑材料选用不当等因素。</w:t>
      </w:r>
    </w:p>
    <w:p w14:paraId="7C616C8E">
      <w:pPr>
        <w:pStyle w:val="24"/>
        <w:bidi w:val="0"/>
        <w:rPr>
          <w:rFonts w:hint="default"/>
          <w:color w:val="auto"/>
          <w:lang w:val="en-US" w:eastAsia="zh-CN"/>
        </w:rPr>
      </w:pPr>
      <w:r>
        <w:rPr>
          <w:rFonts w:hint="default"/>
          <w:color w:val="auto"/>
          <w:lang w:val="en-US" w:eastAsia="zh-CN"/>
        </w:rPr>
        <w:t>粉尘</w:t>
      </w:r>
    </w:p>
    <w:p w14:paraId="152C92A4">
      <w:pPr>
        <w:pStyle w:val="16"/>
        <w:bidi w:val="0"/>
        <w:rPr>
          <w:rFonts w:hint="eastAsia"/>
          <w:color w:val="auto"/>
        </w:rPr>
      </w:pPr>
      <w:r>
        <w:rPr>
          <w:rFonts w:hint="eastAsia"/>
          <w:color w:val="auto"/>
        </w:rPr>
        <w:t>露天采矿场在穿孔、爆破、铲装、汽车运输、汽车卸载等生产过程中都会产生大量的粉尘。具体有如下几种：</w:t>
      </w:r>
    </w:p>
    <w:p w14:paraId="4C8A4A59">
      <w:pPr>
        <w:pStyle w:val="16"/>
        <w:bidi w:val="0"/>
        <w:rPr>
          <w:rFonts w:hint="eastAsia"/>
          <w:color w:val="auto"/>
        </w:rPr>
      </w:pPr>
      <w:r>
        <w:rPr>
          <w:rFonts w:hint="eastAsia"/>
          <w:color w:val="auto"/>
        </w:rPr>
        <w:t>（1）钻机穿孔作业产尘</w:t>
      </w:r>
    </w:p>
    <w:p w14:paraId="1B10A815">
      <w:pPr>
        <w:pStyle w:val="16"/>
        <w:bidi w:val="0"/>
        <w:rPr>
          <w:rFonts w:hint="eastAsia"/>
          <w:color w:val="auto"/>
        </w:rPr>
      </w:pPr>
      <w:r>
        <w:rPr>
          <w:rFonts w:hint="eastAsia"/>
          <w:color w:val="auto"/>
        </w:rPr>
        <w:t>打眼过程中，岩石破碎成粉末，如捕尘装置损坏，将产生较多粉尘。</w:t>
      </w:r>
    </w:p>
    <w:p w14:paraId="58EFBDFC">
      <w:pPr>
        <w:pStyle w:val="16"/>
        <w:bidi w:val="0"/>
        <w:rPr>
          <w:rFonts w:hint="eastAsia"/>
          <w:color w:val="auto"/>
        </w:rPr>
      </w:pPr>
      <w:r>
        <w:rPr>
          <w:rFonts w:hint="eastAsia"/>
          <w:color w:val="auto"/>
        </w:rPr>
        <w:t>（2）爆破作业产尘</w:t>
      </w:r>
    </w:p>
    <w:p w14:paraId="4328F378">
      <w:pPr>
        <w:pStyle w:val="16"/>
        <w:bidi w:val="0"/>
        <w:rPr>
          <w:rFonts w:hint="eastAsia"/>
          <w:color w:val="auto"/>
        </w:rPr>
      </w:pPr>
      <w:r>
        <w:rPr>
          <w:rFonts w:hint="eastAsia"/>
          <w:color w:val="auto"/>
        </w:rPr>
        <w:t>爆破作业时，矿岩由于受到爆破的巨大压力作用而粉碎，随后形成粉尘。爆破瞬间产生的粉尘量最大，但形成的高浓度粉尘在空气中的维持时间较短。爆破产生的粉尘散移开采区的时间较长，最严重的是爆破产尘表面吸附的爆破生成的有毒有害气体对人体危害更大。</w:t>
      </w:r>
    </w:p>
    <w:p w14:paraId="616CD1FD">
      <w:pPr>
        <w:pStyle w:val="16"/>
        <w:bidi w:val="0"/>
        <w:rPr>
          <w:rFonts w:hint="eastAsia"/>
          <w:color w:val="auto"/>
        </w:rPr>
      </w:pPr>
      <w:r>
        <w:rPr>
          <w:rFonts w:hint="eastAsia"/>
          <w:color w:val="auto"/>
        </w:rPr>
        <w:t>（3）铲装作业产尘 </w:t>
      </w:r>
    </w:p>
    <w:p w14:paraId="173AF049">
      <w:pPr>
        <w:pStyle w:val="16"/>
        <w:bidi w:val="0"/>
        <w:rPr>
          <w:rFonts w:hint="eastAsia"/>
          <w:color w:val="auto"/>
        </w:rPr>
      </w:pPr>
      <w:r>
        <w:rPr>
          <w:rFonts w:hint="eastAsia"/>
          <w:color w:val="auto"/>
        </w:rPr>
        <w:t>一部分粉尘是沉落在矿岩表面上的，另一部分是摩擦、碰撞产生的粉尘因受振动而扬起形成二次粉尘；铲斗在向汽车卸料时由于落差会产生大量粉尘；清扫爆堆时也会产生粉尘。</w:t>
      </w:r>
    </w:p>
    <w:p w14:paraId="1CDCF5C8">
      <w:pPr>
        <w:pStyle w:val="16"/>
        <w:bidi w:val="0"/>
        <w:rPr>
          <w:rFonts w:hint="eastAsia"/>
          <w:color w:val="auto"/>
        </w:rPr>
      </w:pPr>
      <w:r>
        <w:rPr>
          <w:rFonts w:hint="eastAsia"/>
          <w:color w:val="auto"/>
        </w:rPr>
        <w:t>（4）运输作业产尘</w:t>
      </w:r>
    </w:p>
    <w:p w14:paraId="41FDA99F">
      <w:pPr>
        <w:pStyle w:val="16"/>
        <w:bidi w:val="0"/>
        <w:rPr>
          <w:rFonts w:hint="eastAsia"/>
          <w:color w:val="auto"/>
        </w:rPr>
      </w:pPr>
      <w:r>
        <w:rPr>
          <w:rFonts w:hint="eastAsia"/>
          <w:color w:val="auto"/>
        </w:rPr>
        <w:t>汽车运输时，路面行车产生扬尘；汽车运输路面沉积的粉尘受到汽车经过所产生的挤压、振动和气流的影响，无规则运动，形成二次扬尘。自卸汽车时，岩石碰撞摩擦产生粉尘。</w:t>
      </w:r>
    </w:p>
    <w:p w14:paraId="2D102D5C">
      <w:pPr>
        <w:pStyle w:val="16"/>
        <w:bidi w:val="0"/>
        <w:rPr>
          <w:rFonts w:hint="eastAsia"/>
          <w:color w:val="auto"/>
        </w:rPr>
      </w:pPr>
      <w:r>
        <w:rPr>
          <w:rFonts w:hint="eastAsia"/>
          <w:color w:val="auto"/>
        </w:rPr>
        <w:t>生产过程中，如果在粉尘作业环境中长时间工作吸入粉尘，就会引起肺部组织纤维化、硬化，丧失呼吸功能，导致肺病。尘肺病是无法治愈的职业病；粉尘还会引起刺激性疾病、急性中毒或癌症。</w:t>
      </w:r>
    </w:p>
    <w:p w14:paraId="4B1655C8">
      <w:pPr>
        <w:pStyle w:val="24"/>
        <w:bidi w:val="0"/>
        <w:rPr>
          <w:rFonts w:hint="default"/>
          <w:color w:val="auto"/>
          <w:lang w:val="en-US" w:eastAsia="zh-CN"/>
        </w:rPr>
      </w:pPr>
      <w:r>
        <w:rPr>
          <w:rFonts w:hint="default"/>
          <w:color w:val="auto"/>
          <w:lang w:val="en-US" w:eastAsia="zh-CN"/>
        </w:rPr>
        <w:t>噪声与振动</w:t>
      </w:r>
    </w:p>
    <w:p w14:paraId="1A5ACE96">
      <w:pPr>
        <w:pStyle w:val="16"/>
        <w:bidi w:val="0"/>
        <w:rPr>
          <w:rFonts w:hint="default"/>
          <w:color w:val="auto"/>
          <w:lang w:val="en-US" w:eastAsia="zh-CN"/>
        </w:rPr>
      </w:pPr>
      <w:r>
        <w:rPr>
          <w:rFonts w:hint="default"/>
          <w:color w:val="auto"/>
          <w:lang w:val="en-US" w:eastAsia="zh-CN"/>
        </w:rPr>
        <w:t>在非煤矿山生产过程中，噪声主要来源于气动凿岩工具的空气动力噪声，各设备在运转中的振动、摩擦、碰撞而产生的机械噪声、设备噪音和电动机等电气设备所产生的电磁辐射噪声。</w:t>
      </w:r>
    </w:p>
    <w:p w14:paraId="3F4E6772">
      <w:pPr>
        <w:pStyle w:val="16"/>
        <w:bidi w:val="0"/>
        <w:rPr>
          <w:rFonts w:hint="default"/>
          <w:color w:val="auto"/>
          <w:lang w:val="en-US" w:eastAsia="zh-CN"/>
        </w:rPr>
      </w:pPr>
      <w:r>
        <w:rPr>
          <w:rFonts w:hint="default"/>
          <w:color w:val="auto"/>
          <w:lang w:val="en-US" w:eastAsia="zh-CN"/>
        </w:rPr>
        <w:t>噪声作用于人体会产生各方面影响及危害，长期接触高强度噪声会使听力下降，甚至耳聋。噪声作用于人体的神经系统，从而诱发许多疾病，如头晕、失眠多梦、降低脑力工作效率，使人体疲劳。此外，噪声还恶化了作业环境，会影响人机操作。</w:t>
      </w:r>
    </w:p>
    <w:p w14:paraId="12B183C7">
      <w:pPr>
        <w:pStyle w:val="16"/>
        <w:bidi w:val="0"/>
        <w:rPr>
          <w:rFonts w:hint="default"/>
          <w:color w:val="auto"/>
          <w:lang w:val="en-US" w:eastAsia="zh-CN"/>
        </w:rPr>
      </w:pPr>
      <w:r>
        <w:rPr>
          <w:rFonts w:hint="default"/>
          <w:color w:val="auto"/>
          <w:lang w:val="en-US" w:eastAsia="zh-CN"/>
        </w:rPr>
        <w:t>产生噪声和振动的设备主要有：液压破碎锤、挖掘机、运输车辆等。矿山液压破碎锤、挖掘机等设备均为连续噪声源。</w:t>
      </w:r>
    </w:p>
    <w:p w14:paraId="70951335">
      <w:pPr>
        <w:pStyle w:val="24"/>
        <w:bidi w:val="0"/>
        <w:rPr>
          <w:rFonts w:hint="default"/>
          <w:color w:val="auto"/>
          <w:lang w:val="en-US" w:eastAsia="zh-CN"/>
        </w:rPr>
      </w:pPr>
      <w:r>
        <w:rPr>
          <w:rFonts w:hint="default"/>
          <w:color w:val="auto"/>
          <w:lang w:val="en-US" w:eastAsia="zh-CN"/>
        </w:rPr>
        <w:t>高温与低温</w:t>
      </w:r>
    </w:p>
    <w:p w14:paraId="28106CD6">
      <w:pPr>
        <w:pStyle w:val="16"/>
        <w:bidi w:val="0"/>
        <w:rPr>
          <w:rFonts w:hint="default"/>
          <w:color w:val="auto"/>
          <w:lang w:val="en-US" w:eastAsia="zh-CN"/>
        </w:rPr>
      </w:pPr>
      <w:r>
        <w:rPr>
          <w:rFonts w:hint="default"/>
          <w:color w:val="auto"/>
          <w:lang w:val="en-US" w:eastAsia="zh-CN"/>
        </w:rPr>
        <w:t>在盛夏酷暑季节，作业环境温度较高，加上劳动强度大，作业人员易发生眩晕、中暑等症状。</w:t>
      </w:r>
    </w:p>
    <w:p w14:paraId="4AF80017">
      <w:pPr>
        <w:pStyle w:val="16"/>
        <w:bidi w:val="0"/>
        <w:rPr>
          <w:rFonts w:hint="default"/>
          <w:color w:val="auto"/>
          <w:lang w:val="en-US" w:eastAsia="zh-CN"/>
        </w:rPr>
      </w:pPr>
      <w:r>
        <w:rPr>
          <w:rFonts w:hint="default"/>
          <w:color w:val="auto"/>
          <w:lang w:val="en-US" w:eastAsia="zh-CN"/>
        </w:rPr>
        <w:t>在严冬，作业人员在低温的环境中作业，如果劳动防护不好，容易冻伤手脚，轻则红肿疼痛，重则可能造成终身残疾。</w:t>
      </w:r>
    </w:p>
    <w:p w14:paraId="580D85DC">
      <w:pPr>
        <w:pStyle w:val="16"/>
        <w:bidi w:val="0"/>
        <w:rPr>
          <w:rFonts w:hint="default"/>
          <w:color w:val="auto"/>
          <w:lang w:val="en-US" w:eastAsia="zh-CN"/>
        </w:rPr>
      </w:pPr>
      <w:r>
        <w:rPr>
          <w:rFonts w:hint="default"/>
          <w:color w:val="auto"/>
          <w:lang w:val="en-US" w:eastAsia="zh-CN"/>
        </w:rPr>
        <w:t>降雪将会造成</w:t>
      </w:r>
      <w:r>
        <w:rPr>
          <w:rFonts w:hint="eastAsia"/>
          <w:color w:val="auto"/>
          <w:lang w:val="en-US" w:eastAsia="zh-CN"/>
        </w:rPr>
        <w:t>运输</w:t>
      </w:r>
      <w:r>
        <w:rPr>
          <w:rFonts w:hint="default"/>
          <w:color w:val="auto"/>
          <w:lang w:val="en-US" w:eastAsia="zh-CN"/>
        </w:rPr>
        <w:t>道路及</w:t>
      </w:r>
      <w:r>
        <w:rPr>
          <w:rFonts w:hint="eastAsia"/>
          <w:color w:val="auto"/>
          <w:lang w:val="en-US" w:eastAsia="zh-CN"/>
        </w:rPr>
        <w:t>工作平台</w:t>
      </w:r>
      <w:r>
        <w:rPr>
          <w:rFonts w:hint="default"/>
          <w:color w:val="auto"/>
          <w:lang w:val="en-US" w:eastAsia="zh-CN"/>
        </w:rPr>
        <w:t>湿滑，</w:t>
      </w:r>
      <w:r>
        <w:rPr>
          <w:rFonts w:hint="eastAsia"/>
          <w:color w:val="auto"/>
          <w:lang w:val="en-US" w:eastAsia="zh-CN"/>
        </w:rPr>
        <w:t>运输车辆及</w:t>
      </w:r>
      <w:r>
        <w:rPr>
          <w:rFonts w:hint="default"/>
          <w:color w:val="auto"/>
          <w:lang w:val="en-US" w:eastAsia="zh-CN"/>
        </w:rPr>
        <w:t>作业人员工作时容易造成</w:t>
      </w:r>
      <w:r>
        <w:rPr>
          <w:rFonts w:hint="eastAsia"/>
          <w:color w:val="auto"/>
          <w:lang w:val="en-US" w:eastAsia="zh-CN"/>
        </w:rPr>
        <w:t>车辆失控和人员</w:t>
      </w:r>
      <w:r>
        <w:rPr>
          <w:rFonts w:hint="default"/>
          <w:color w:val="auto"/>
          <w:lang w:val="en-US" w:eastAsia="zh-CN"/>
        </w:rPr>
        <w:t>滑倒摔伤事故，甚至会造成作业人员伤亡。</w:t>
      </w:r>
    </w:p>
    <w:p w14:paraId="3FBF62C3">
      <w:pPr>
        <w:pStyle w:val="24"/>
        <w:bidi w:val="0"/>
        <w:rPr>
          <w:rFonts w:hint="default"/>
          <w:color w:val="auto"/>
          <w:lang w:val="en-US" w:eastAsia="zh-CN"/>
        </w:rPr>
      </w:pPr>
      <w:r>
        <w:rPr>
          <w:rFonts w:hint="default"/>
          <w:color w:val="auto"/>
          <w:lang w:val="en-US" w:eastAsia="zh-CN"/>
        </w:rPr>
        <w:t>其他伤害</w:t>
      </w:r>
    </w:p>
    <w:p w14:paraId="74B11457">
      <w:pPr>
        <w:adjustRightInd w:val="0"/>
        <w:snapToGrid w:val="0"/>
        <w:spacing w:line="360" w:lineRule="auto"/>
        <w:ind w:firstLine="560" w:firstLineChars="200"/>
        <w:rPr>
          <w:rFonts w:hint="eastAsia" w:ascii="宋体" w:hAnsi="宋体" w:cs="宋体"/>
          <w:color w:val="auto"/>
          <w:sz w:val="28"/>
          <w:szCs w:val="28"/>
        </w:rPr>
      </w:pPr>
      <w:bookmarkStart w:id="19" w:name="_Toc23517"/>
      <w:bookmarkStart w:id="20" w:name="_Toc26761"/>
      <w:bookmarkStart w:id="21" w:name="_Toc13388951"/>
      <w:bookmarkStart w:id="22" w:name="_Toc6178"/>
      <w:r>
        <w:rPr>
          <w:rFonts w:hint="eastAsia" w:ascii="宋体" w:hAnsi="宋体" w:cs="宋体"/>
          <w:color w:val="auto"/>
          <w:sz w:val="28"/>
          <w:szCs w:val="28"/>
        </w:rPr>
        <w:t>（1）雷击</w:t>
      </w:r>
      <w:bookmarkEnd w:id="19"/>
      <w:bookmarkEnd w:id="20"/>
      <w:bookmarkEnd w:id="21"/>
      <w:bookmarkEnd w:id="22"/>
    </w:p>
    <w:p w14:paraId="0AAB1C70">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项目所在地区春夏季有雷雨天气，该项目选址地势较高，地域空旷，在雷雨天存在被直接雷击和感应雷击的危险。因此，地表建筑、设施有遭受雷击的危险性。</w:t>
      </w:r>
    </w:p>
    <w:p w14:paraId="1925DDA5">
      <w:pPr>
        <w:adjustRightInd w:val="0"/>
        <w:snapToGrid w:val="0"/>
        <w:spacing w:line="360" w:lineRule="auto"/>
        <w:ind w:firstLine="560" w:firstLineChars="200"/>
        <w:rPr>
          <w:rFonts w:hint="eastAsia" w:ascii="宋体" w:hAnsi="宋体" w:cs="宋体"/>
          <w:color w:val="auto"/>
          <w:sz w:val="28"/>
          <w:szCs w:val="28"/>
        </w:rPr>
      </w:pPr>
      <w:bookmarkStart w:id="23" w:name="_Toc28620"/>
      <w:bookmarkStart w:id="24" w:name="_Toc13388952"/>
      <w:bookmarkStart w:id="25" w:name="_Toc17167"/>
      <w:bookmarkStart w:id="26" w:name="_Toc13103"/>
      <w:r>
        <w:rPr>
          <w:rFonts w:hint="eastAsia" w:ascii="宋体" w:hAnsi="宋体" w:cs="宋体"/>
          <w:color w:val="auto"/>
          <w:sz w:val="28"/>
          <w:szCs w:val="28"/>
        </w:rPr>
        <w:t>（2）地震</w:t>
      </w:r>
      <w:bookmarkEnd w:id="23"/>
      <w:bookmarkEnd w:id="24"/>
      <w:bookmarkEnd w:id="25"/>
      <w:bookmarkEnd w:id="26"/>
    </w:p>
    <w:p w14:paraId="0BB02089">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地表建（构）筑物设计的抗震级别为6～7级，如果建筑物没有达到设计要求抗震等级，或发生6～7级以上地震，有可能遭受地震危害。</w:t>
      </w:r>
    </w:p>
    <w:p w14:paraId="5D4A9F20">
      <w:pPr>
        <w:adjustRightInd w:val="0"/>
        <w:snapToGrid w:val="0"/>
        <w:spacing w:line="360" w:lineRule="auto"/>
        <w:ind w:firstLine="560" w:firstLineChars="200"/>
        <w:rPr>
          <w:rFonts w:hint="eastAsia" w:ascii="宋体" w:hAnsi="宋体" w:cs="宋体"/>
          <w:color w:val="auto"/>
          <w:sz w:val="28"/>
          <w:szCs w:val="28"/>
        </w:rPr>
      </w:pPr>
      <w:bookmarkStart w:id="27" w:name="_Toc6366"/>
      <w:bookmarkStart w:id="28" w:name="_Toc13388953"/>
      <w:bookmarkStart w:id="29" w:name="_Toc4908"/>
      <w:bookmarkStart w:id="30" w:name="_Toc22892"/>
      <w:r>
        <w:rPr>
          <w:rFonts w:hint="eastAsia" w:ascii="宋体" w:hAnsi="宋体" w:cs="宋体"/>
          <w:color w:val="auto"/>
          <w:sz w:val="28"/>
          <w:szCs w:val="28"/>
        </w:rPr>
        <w:t>（3）水灾</w:t>
      </w:r>
      <w:bookmarkEnd w:id="27"/>
      <w:bookmarkEnd w:id="28"/>
      <w:bookmarkEnd w:id="29"/>
      <w:bookmarkEnd w:id="30"/>
    </w:p>
    <w:p w14:paraId="1E8F34FC">
      <w:pPr>
        <w:pStyle w:val="16"/>
        <w:bidi w:val="0"/>
        <w:rPr>
          <w:rFonts w:hint="eastAsia"/>
          <w:color w:val="auto"/>
        </w:rPr>
      </w:pPr>
      <w:r>
        <w:rPr>
          <w:rFonts w:hint="eastAsia"/>
          <w:color w:val="auto"/>
        </w:rPr>
        <w:t>如果露天矿山的工业场地选址不合理，在洪水影响范围内，在遭遇洪水的情况，可能造成工业场地被洪水淹没的后果。</w:t>
      </w:r>
    </w:p>
    <w:p w14:paraId="572585CA">
      <w:pPr>
        <w:pStyle w:val="16"/>
        <w:bidi w:val="0"/>
        <w:rPr>
          <w:rFonts w:hint="eastAsia"/>
          <w:color w:val="auto"/>
        </w:rPr>
      </w:pPr>
      <w:r>
        <w:rPr>
          <w:rFonts w:hint="eastAsia"/>
          <w:color w:val="auto"/>
        </w:rPr>
        <w:t>露天采场地处山区，生产过程中往往由于受降雨、地形地貌、生产管理等自然和人为因素的影响而容易受到洪水的侵袭，造成人员伤亡、矿山停产等事故。</w:t>
      </w:r>
    </w:p>
    <w:p w14:paraId="36A39924">
      <w:pPr>
        <w:pStyle w:val="16"/>
        <w:bidi w:val="0"/>
        <w:rPr>
          <w:rFonts w:hint="eastAsia"/>
          <w:color w:val="auto"/>
        </w:rPr>
      </w:pPr>
      <w:r>
        <w:rPr>
          <w:rFonts w:hint="eastAsia"/>
          <w:color w:val="auto"/>
        </w:rPr>
        <w:t>采用作业条件危险性评估法对滑坡与坍塌、放炮、车辆伤害、高处坠落、物体打击、机械伤害、触电伤害、压力容器爆照、火灾、粉尘、噪声与震动、高温与低温、其他伤害进行定量评估，划分危险等级，具体划分结果见表3.1-1。</w:t>
      </w:r>
    </w:p>
    <w:p w14:paraId="27152BF6">
      <w:pPr>
        <w:pStyle w:val="17"/>
        <w:jc w:val="center"/>
        <w:rPr>
          <w:rFonts w:hint="eastAsia" w:ascii="Times New Roman" w:hAnsi="Times New Roman"/>
          <w:color w:val="auto"/>
          <w:sz w:val="24"/>
        </w:rPr>
      </w:pPr>
      <w:r>
        <w:rPr>
          <w:rFonts w:hint="eastAsia" w:ascii="Times New Roman" w:hAnsi="Times New Roman"/>
          <w:color w:val="auto"/>
          <w:sz w:val="24"/>
        </w:rPr>
        <w:t xml:space="preserve">表3.1-1 </w:t>
      </w:r>
      <w:r>
        <w:rPr>
          <w:rFonts w:ascii="Times New Roman" w:hAnsi="Times New Roman"/>
          <w:bCs/>
          <w:color w:val="auto"/>
          <w:sz w:val="24"/>
        </w:rPr>
        <w:t>事故风险评价表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2412"/>
        <w:gridCol w:w="567"/>
        <w:gridCol w:w="707"/>
        <w:gridCol w:w="710"/>
        <w:gridCol w:w="1133"/>
        <w:gridCol w:w="2743"/>
      </w:tblGrid>
      <w:tr w14:paraId="5643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674" w:type="dxa"/>
            <w:noWrap w:val="0"/>
            <w:vAlign w:val="center"/>
          </w:tcPr>
          <w:p w14:paraId="3AC51C99">
            <w:pPr>
              <w:pStyle w:val="26"/>
              <w:bidi w:val="0"/>
              <w:rPr>
                <w:rFonts w:hint="eastAsia"/>
                <w:color w:val="auto"/>
              </w:rPr>
            </w:pPr>
            <w:r>
              <w:rPr>
                <w:rFonts w:hint="eastAsia"/>
                <w:color w:val="auto"/>
              </w:rPr>
              <w:t>序号</w:t>
            </w:r>
          </w:p>
        </w:tc>
        <w:tc>
          <w:tcPr>
            <w:tcW w:w="2412" w:type="dxa"/>
            <w:noWrap w:val="0"/>
            <w:vAlign w:val="center"/>
          </w:tcPr>
          <w:p w14:paraId="47B17262">
            <w:pPr>
              <w:pStyle w:val="26"/>
              <w:bidi w:val="0"/>
              <w:rPr>
                <w:rFonts w:hint="eastAsia"/>
                <w:color w:val="auto"/>
              </w:rPr>
            </w:pPr>
            <w:r>
              <w:rPr>
                <w:rFonts w:hint="eastAsia"/>
                <w:color w:val="auto"/>
              </w:rPr>
              <w:t>事故风险类别</w:t>
            </w:r>
          </w:p>
        </w:tc>
        <w:tc>
          <w:tcPr>
            <w:tcW w:w="567" w:type="dxa"/>
            <w:noWrap w:val="0"/>
            <w:vAlign w:val="center"/>
          </w:tcPr>
          <w:p w14:paraId="26DA59BF">
            <w:pPr>
              <w:pStyle w:val="26"/>
              <w:bidi w:val="0"/>
              <w:rPr>
                <w:rFonts w:hint="eastAsia"/>
                <w:color w:val="auto"/>
              </w:rPr>
            </w:pPr>
            <w:r>
              <w:rPr>
                <w:rFonts w:hint="eastAsia"/>
                <w:color w:val="auto"/>
              </w:rPr>
              <w:t>L</w:t>
            </w:r>
          </w:p>
        </w:tc>
        <w:tc>
          <w:tcPr>
            <w:tcW w:w="707" w:type="dxa"/>
            <w:noWrap w:val="0"/>
            <w:vAlign w:val="center"/>
          </w:tcPr>
          <w:p w14:paraId="68933B8B">
            <w:pPr>
              <w:pStyle w:val="26"/>
              <w:bidi w:val="0"/>
              <w:rPr>
                <w:rFonts w:hint="eastAsia"/>
                <w:color w:val="auto"/>
              </w:rPr>
            </w:pPr>
            <w:r>
              <w:rPr>
                <w:rFonts w:hint="eastAsia"/>
                <w:color w:val="auto"/>
              </w:rPr>
              <w:t>E</w:t>
            </w:r>
          </w:p>
        </w:tc>
        <w:tc>
          <w:tcPr>
            <w:tcW w:w="710" w:type="dxa"/>
            <w:noWrap w:val="0"/>
            <w:vAlign w:val="center"/>
          </w:tcPr>
          <w:p w14:paraId="1CCC0171">
            <w:pPr>
              <w:pStyle w:val="26"/>
              <w:bidi w:val="0"/>
              <w:rPr>
                <w:rFonts w:hint="eastAsia"/>
                <w:color w:val="auto"/>
              </w:rPr>
            </w:pPr>
            <w:r>
              <w:rPr>
                <w:rFonts w:hint="eastAsia"/>
                <w:color w:val="auto"/>
              </w:rPr>
              <w:t>C</w:t>
            </w:r>
          </w:p>
        </w:tc>
        <w:tc>
          <w:tcPr>
            <w:tcW w:w="1133" w:type="dxa"/>
            <w:noWrap w:val="0"/>
            <w:vAlign w:val="center"/>
          </w:tcPr>
          <w:p w14:paraId="36E4BD9E">
            <w:pPr>
              <w:pStyle w:val="26"/>
              <w:bidi w:val="0"/>
              <w:rPr>
                <w:rFonts w:hint="eastAsia"/>
                <w:color w:val="auto"/>
              </w:rPr>
            </w:pPr>
            <w:r>
              <w:rPr>
                <w:rFonts w:hint="eastAsia"/>
                <w:color w:val="auto"/>
              </w:rPr>
              <w:t>D=LEC</w:t>
            </w:r>
          </w:p>
        </w:tc>
        <w:tc>
          <w:tcPr>
            <w:tcW w:w="2743" w:type="dxa"/>
            <w:noWrap w:val="0"/>
            <w:vAlign w:val="center"/>
          </w:tcPr>
          <w:p w14:paraId="5CD59D5A">
            <w:pPr>
              <w:pStyle w:val="26"/>
              <w:bidi w:val="0"/>
              <w:rPr>
                <w:rFonts w:hint="eastAsia"/>
                <w:color w:val="auto"/>
              </w:rPr>
            </w:pPr>
            <w:r>
              <w:rPr>
                <w:rFonts w:hint="eastAsia"/>
                <w:color w:val="auto"/>
              </w:rPr>
              <w:t>风险等级</w:t>
            </w:r>
          </w:p>
        </w:tc>
      </w:tr>
      <w:tr w14:paraId="225AD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674" w:type="dxa"/>
            <w:noWrap w:val="0"/>
            <w:vAlign w:val="center"/>
          </w:tcPr>
          <w:p w14:paraId="6AAEA62F">
            <w:pPr>
              <w:pStyle w:val="26"/>
              <w:bidi w:val="0"/>
              <w:rPr>
                <w:rFonts w:hint="eastAsia"/>
                <w:color w:val="auto"/>
              </w:rPr>
            </w:pPr>
            <w:r>
              <w:rPr>
                <w:rFonts w:hint="eastAsia"/>
                <w:color w:val="auto"/>
              </w:rPr>
              <w:t>1</w:t>
            </w:r>
          </w:p>
        </w:tc>
        <w:tc>
          <w:tcPr>
            <w:tcW w:w="2412" w:type="dxa"/>
            <w:noWrap w:val="0"/>
            <w:vAlign w:val="center"/>
          </w:tcPr>
          <w:p w14:paraId="084BD3DE">
            <w:pPr>
              <w:pStyle w:val="26"/>
              <w:bidi w:val="0"/>
              <w:rPr>
                <w:rFonts w:hint="eastAsia"/>
                <w:color w:val="auto"/>
              </w:rPr>
            </w:pPr>
            <w:r>
              <w:rPr>
                <w:rFonts w:hint="eastAsia"/>
                <w:color w:val="auto"/>
              </w:rPr>
              <w:t>放炮</w:t>
            </w:r>
          </w:p>
        </w:tc>
        <w:tc>
          <w:tcPr>
            <w:tcW w:w="567" w:type="dxa"/>
            <w:noWrap w:val="0"/>
            <w:vAlign w:val="center"/>
          </w:tcPr>
          <w:p w14:paraId="595624F0">
            <w:pPr>
              <w:pStyle w:val="26"/>
              <w:bidi w:val="0"/>
              <w:rPr>
                <w:rFonts w:hint="eastAsia"/>
                <w:color w:val="auto"/>
              </w:rPr>
            </w:pPr>
            <w:r>
              <w:rPr>
                <w:rFonts w:hint="eastAsia"/>
                <w:color w:val="auto"/>
              </w:rPr>
              <w:t>0.5</w:t>
            </w:r>
          </w:p>
        </w:tc>
        <w:tc>
          <w:tcPr>
            <w:tcW w:w="707" w:type="dxa"/>
            <w:noWrap w:val="0"/>
            <w:vAlign w:val="center"/>
          </w:tcPr>
          <w:p w14:paraId="6BFE57C1">
            <w:pPr>
              <w:pStyle w:val="26"/>
              <w:bidi w:val="0"/>
              <w:rPr>
                <w:rFonts w:hint="eastAsia"/>
                <w:color w:val="auto"/>
              </w:rPr>
            </w:pPr>
            <w:r>
              <w:rPr>
                <w:rFonts w:hint="eastAsia"/>
                <w:color w:val="auto"/>
              </w:rPr>
              <w:t>3</w:t>
            </w:r>
          </w:p>
        </w:tc>
        <w:tc>
          <w:tcPr>
            <w:tcW w:w="710" w:type="dxa"/>
            <w:noWrap w:val="0"/>
            <w:vAlign w:val="center"/>
          </w:tcPr>
          <w:p w14:paraId="7453C7B9">
            <w:pPr>
              <w:pStyle w:val="26"/>
              <w:bidi w:val="0"/>
              <w:rPr>
                <w:rFonts w:hint="eastAsia"/>
                <w:color w:val="auto"/>
              </w:rPr>
            </w:pPr>
            <w:r>
              <w:rPr>
                <w:rFonts w:hint="eastAsia"/>
                <w:color w:val="auto"/>
              </w:rPr>
              <w:t>40</w:t>
            </w:r>
          </w:p>
        </w:tc>
        <w:tc>
          <w:tcPr>
            <w:tcW w:w="1133" w:type="dxa"/>
            <w:noWrap w:val="0"/>
            <w:vAlign w:val="center"/>
          </w:tcPr>
          <w:p w14:paraId="1742D22B">
            <w:pPr>
              <w:pStyle w:val="26"/>
              <w:bidi w:val="0"/>
              <w:rPr>
                <w:rFonts w:hint="eastAsia"/>
                <w:color w:val="auto"/>
              </w:rPr>
            </w:pPr>
            <w:r>
              <w:rPr>
                <w:rFonts w:hint="eastAsia"/>
                <w:color w:val="auto"/>
              </w:rPr>
              <w:t>60</w:t>
            </w:r>
          </w:p>
        </w:tc>
        <w:tc>
          <w:tcPr>
            <w:tcW w:w="2743" w:type="dxa"/>
            <w:noWrap w:val="0"/>
            <w:vAlign w:val="center"/>
          </w:tcPr>
          <w:p w14:paraId="05007289">
            <w:pPr>
              <w:pStyle w:val="26"/>
              <w:bidi w:val="0"/>
              <w:rPr>
                <w:rFonts w:hint="eastAsia"/>
                <w:color w:val="auto"/>
              </w:rPr>
            </w:pPr>
            <w:r>
              <w:rPr>
                <w:rFonts w:hint="eastAsia"/>
                <w:color w:val="auto"/>
              </w:rPr>
              <w:t>可能危险，需要注意</w:t>
            </w:r>
          </w:p>
        </w:tc>
      </w:tr>
      <w:tr w14:paraId="34B35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674" w:type="dxa"/>
            <w:noWrap w:val="0"/>
            <w:vAlign w:val="center"/>
          </w:tcPr>
          <w:p w14:paraId="6130853A">
            <w:pPr>
              <w:pStyle w:val="26"/>
              <w:bidi w:val="0"/>
              <w:rPr>
                <w:rFonts w:hint="eastAsia"/>
                <w:color w:val="auto"/>
              </w:rPr>
            </w:pPr>
            <w:r>
              <w:rPr>
                <w:rFonts w:hint="eastAsia"/>
                <w:color w:val="auto"/>
              </w:rPr>
              <w:t>2</w:t>
            </w:r>
          </w:p>
        </w:tc>
        <w:tc>
          <w:tcPr>
            <w:tcW w:w="2412" w:type="dxa"/>
            <w:noWrap w:val="0"/>
            <w:vAlign w:val="center"/>
          </w:tcPr>
          <w:p w14:paraId="358FADBF">
            <w:pPr>
              <w:pStyle w:val="26"/>
              <w:bidi w:val="0"/>
              <w:rPr>
                <w:rFonts w:hint="eastAsia"/>
                <w:color w:val="auto"/>
              </w:rPr>
            </w:pPr>
            <w:r>
              <w:rPr>
                <w:rFonts w:hint="eastAsia"/>
                <w:color w:val="auto"/>
              </w:rPr>
              <w:t>滑坡与坍塌</w:t>
            </w:r>
          </w:p>
        </w:tc>
        <w:tc>
          <w:tcPr>
            <w:tcW w:w="567" w:type="dxa"/>
            <w:noWrap w:val="0"/>
            <w:vAlign w:val="center"/>
          </w:tcPr>
          <w:p w14:paraId="2E7BF612">
            <w:pPr>
              <w:pStyle w:val="26"/>
              <w:bidi w:val="0"/>
              <w:rPr>
                <w:rFonts w:hint="eastAsia"/>
                <w:color w:val="auto"/>
              </w:rPr>
            </w:pPr>
            <w:r>
              <w:rPr>
                <w:rFonts w:hint="eastAsia"/>
                <w:color w:val="auto"/>
              </w:rPr>
              <w:t>1</w:t>
            </w:r>
          </w:p>
        </w:tc>
        <w:tc>
          <w:tcPr>
            <w:tcW w:w="707" w:type="dxa"/>
            <w:noWrap w:val="0"/>
            <w:vAlign w:val="center"/>
          </w:tcPr>
          <w:p w14:paraId="5A7B669E">
            <w:pPr>
              <w:pStyle w:val="26"/>
              <w:bidi w:val="0"/>
              <w:rPr>
                <w:rFonts w:hint="eastAsia"/>
                <w:color w:val="auto"/>
              </w:rPr>
            </w:pPr>
            <w:r>
              <w:rPr>
                <w:rFonts w:hint="eastAsia"/>
                <w:color w:val="auto"/>
              </w:rPr>
              <w:t>6</w:t>
            </w:r>
          </w:p>
        </w:tc>
        <w:tc>
          <w:tcPr>
            <w:tcW w:w="710" w:type="dxa"/>
            <w:noWrap w:val="0"/>
            <w:vAlign w:val="center"/>
          </w:tcPr>
          <w:p w14:paraId="73711EBC">
            <w:pPr>
              <w:pStyle w:val="26"/>
              <w:bidi w:val="0"/>
              <w:rPr>
                <w:rFonts w:hint="eastAsia"/>
                <w:color w:val="auto"/>
              </w:rPr>
            </w:pPr>
            <w:r>
              <w:rPr>
                <w:rFonts w:hint="eastAsia"/>
                <w:color w:val="auto"/>
              </w:rPr>
              <w:t>7</w:t>
            </w:r>
          </w:p>
        </w:tc>
        <w:tc>
          <w:tcPr>
            <w:tcW w:w="1133" w:type="dxa"/>
            <w:noWrap w:val="0"/>
            <w:vAlign w:val="center"/>
          </w:tcPr>
          <w:p w14:paraId="10801462">
            <w:pPr>
              <w:pStyle w:val="26"/>
              <w:bidi w:val="0"/>
              <w:rPr>
                <w:rFonts w:hint="eastAsia"/>
                <w:color w:val="auto"/>
              </w:rPr>
            </w:pPr>
            <w:r>
              <w:rPr>
                <w:rFonts w:hint="eastAsia"/>
                <w:color w:val="auto"/>
              </w:rPr>
              <w:t>42</w:t>
            </w:r>
          </w:p>
        </w:tc>
        <w:tc>
          <w:tcPr>
            <w:tcW w:w="2743" w:type="dxa"/>
            <w:noWrap w:val="0"/>
            <w:vAlign w:val="center"/>
          </w:tcPr>
          <w:p w14:paraId="517E3934">
            <w:pPr>
              <w:pStyle w:val="26"/>
              <w:bidi w:val="0"/>
              <w:rPr>
                <w:rFonts w:hint="eastAsia"/>
                <w:color w:val="auto"/>
              </w:rPr>
            </w:pPr>
            <w:r>
              <w:rPr>
                <w:rFonts w:hint="eastAsia"/>
                <w:color w:val="auto"/>
              </w:rPr>
              <w:t>可能危险，需要注意</w:t>
            </w:r>
          </w:p>
        </w:tc>
      </w:tr>
      <w:tr w14:paraId="31AB5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674" w:type="dxa"/>
            <w:noWrap w:val="0"/>
            <w:vAlign w:val="center"/>
          </w:tcPr>
          <w:p w14:paraId="178297E7">
            <w:pPr>
              <w:pStyle w:val="26"/>
              <w:bidi w:val="0"/>
              <w:rPr>
                <w:rFonts w:hint="eastAsia"/>
                <w:color w:val="auto"/>
              </w:rPr>
            </w:pPr>
            <w:r>
              <w:rPr>
                <w:rFonts w:hint="eastAsia"/>
                <w:color w:val="auto"/>
              </w:rPr>
              <w:t>3</w:t>
            </w:r>
          </w:p>
        </w:tc>
        <w:tc>
          <w:tcPr>
            <w:tcW w:w="2412" w:type="dxa"/>
            <w:noWrap w:val="0"/>
            <w:vAlign w:val="center"/>
          </w:tcPr>
          <w:p w14:paraId="5D0699DF">
            <w:pPr>
              <w:pStyle w:val="26"/>
              <w:bidi w:val="0"/>
              <w:rPr>
                <w:rFonts w:hint="eastAsia"/>
                <w:color w:val="auto"/>
              </w:rPr>
            </w:pPr>
            <w:r>
              <w:rPr>
                <w:rFonts w:hint="eastAsia"/>
                <w:color w:val="auto"/>
              </w:rPr>
              <w:t>车辆伤害</w:t>
            </w:r>
          </w:p>
        </w:tc>
        <w:tc>
          <w:tcPr>
            <w:tcW w:w="567" w:type="dxa"/>
            <w:noWrap w:val="0"/>
            <w:vAlign w:val="center"/>
          </w:tcPr>
          <w:p w14:paraId="4C42AACC">
            <w:pPr>
              <w:pStyle w:val="26"/>
              <w:bidi w:val="0"/>
              <w:rPr>
                <w:rFonts w:hint="eastAsia"/>
                <w:color w:val="auto"/>
              </w:rPr>
            </w:pPr>
            <w:r>
              <w:rPr>
                <w:rFonts w:hint="eastAsia"/>
                <w:color w:val="auto"/>
              </w:rPr>
              <w:t>1</w:t>
            </w:r>
          </w:p>
        </w:tc>
        <w:tc>
          <w:tcPr>
            <w:tcW w:w="707" w:type="dxa"/>
            <w:noWrap w:val="0"/>
            <w:vAlign w:val="center"/>
          </w:tcPr>
          <w:p w14:paraId="799DC56B">
            <w:pPr>
              <w:pStyle w:val="26"/>
              <w:bidi w:val="0"/>
              <w:rPr>
                <w:rFonts w:hint="eastAsia"/>
                <w:color w:val="auto"/>
              </w:rPr>
            </w:pPr>
            <w:r>
              <w:rPr>
                <w:rFonts w:hint="eastAsia"/>
                <w:color w:val="auto"/>
              </w:rPr>
              <w:t>6</w:t>
            </w:r>
          </w:p>
        </w:tc>
        <w:tc>
          <w:tcPr>
            <w:tcW w:w="710" w:type="dxa"/>
            <w:noWrap w:val="0"/>
            <w:vAlign w:val="center"/>
          </w:tcPr>
          <w:p w14:paraId="14A58A35">
            <w:pPr>
              <w:pStyle w:val="26"/>
              <w:bidi w:val="0"/>
              <w:rPr>
                <w:rFonts w:hint="eastAsia"/>
                <w:color w:val="auto"/>
              </w:rPr>
            </w:pPr>
            <w:r>
              <w:rPr>
                <w:rFonts w:hint="eastAsia"/>
                <w:color w:val="auto"/>
              </w:rPr>
              <w:t>7</w:t>
            </w:r>
          </w:p>
        </w:tc>
        <w:tc>
          <w:tcPr>
            <w:tcW w:w="1133" w:type="dxa"/>
            <w:noWrap w:val="0"/>
            <w:vAlign w:val="center"/>
          </w:tcPr>
          <w:p w14:paraId="7823E83B">
            <w:pPr>
              <w:pStyle w:val="26"/>
              <w:bidi w:val="0"/>
              <w:rPr>
                <w:rFonts w:hint="eastAsia"/>
                <w:color w:val="auto"/>
              </w:rPr>
            </w:pPr>
            <w:r>
              <w:rPr>
                <w:rFonts w:hint="eastAsia"/>
                <w:color w:val="auto"/>
              </w:rPr>
              <w:t>42</w:t>
            </w:r>
          </w:p>
        </w:tc>
        <w:tc>
          <w:tcPr>
            <w:tcW w:w="2743" w:type="dxa"/>
            <w:noWrap w:val="0"/>
            <w:vAlign w:val="center"/>
          </w:tcPr>
          <w:p w14:paraId="7A006F3C">
            <w:pPr>
              <w:pStyle w:val="26"/>
              <w:bidi w:val="0"/>
              <w:rPr>
                <w:rFonts w:hint="eastAsia"/>
                <w:color w:val="auto"/>
              </w:rPr>
            </w:pPr>
            <w:r>
              <w:rPr>
                <w:rFonts w:hint="eastAsia"/>
                <w:color w:val="auto"/>
              </w:rPr>
              <w:t>可能危险，需要注意</w:t>
            </w:r>
          </w:p>
        </w:tc>
      </w:tr>
      <w:tr w14:paraId="141EB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674" w:type="dxa"/>
            <w:noWrap w:val="0"/>
            <w:vAlign w:val="center"/>
          </w:tcPr>
          <w:p w14:paraId="69158026">
            <w:pPr>
              <w:pStyle w:val="26"/>
              <w:bidi w:val="0"/>
              <w:rPr>
                <w:rFonts w:hint="eastAsia"/>
                <w:color w:val="auto"/>
              </w:rPr>
            </w:pPr>
            <w:r>
              <w:rPr>
                <w:rFonts w:hint="eastAsia"/>
                <w:color w:val="auto"/>
              </w:rPr>
              <w:t>4</w:t>
            </w:r>
          </w:p>
        </w:tc>
        <w:tc>
          <w:tcPr>
            <w:tcW w:w="2412" w:type="dxa"/>
            <w:noWrap w:val="0"/>
            <w:vAlign w:val="center"/>
          </w:tcPr>
          <w:p w14:paraId="004CCCBA">
            <w:pPr>
              <w:pStyle w:val="26"/>
              <w:bidi w:val="0"/>
              <w:rPr>
                <w:rFonts w:hint="eastAsia"/>
                <w:color w:val="auto"/>
              </w:rPr>
            </w:pPr>
            <w:r>
              <w:rPr>
                <w:rFonts w:hint="eastAsia"/>
                <w:color w:val="auto"/>
              </w:rPr>
              <w:t>高处坠落</w:t>
            </w:r>
          </w:p>
        </w:tc>
        <w:tc>
          <w:tcPr>
            <w:tcW w:w="567" w:type="dxa"/>
            <w:noWrap w:val="0"/>
            <w:vAlign w:val="center"/>
          </w:tcPr>
          <w:p w14:paraId="687CC8DF">
            <w:pPr>
              <w:pStyle w:val="26"/>
              <w:bidi w:val="0"/>
              <w:rPr>
                <w:rFonts w:hint="eastAsia"/>
                <w:color w:val="auto"/>
              </w:rPr>
            </w:pPr>
            <w:r>
              <w:rPr>
                <w:rFonts w:hint="eastAsia"/>
                <w:color w:val="auto"/>
              </w:rPr>
              <w:t>1</w:t>
            </w:r>
          </w:p>
        </w:tc>
        <w:tc>
          <w:tcPr>
            <w:tcW w:w="707" w:type="dxa"/>
            <w:noWrap w:val="0"/>
            <w:vAlign w:val="center"/>
          </w:tcPr>
          <w:p w14:paraId="4732774D">
            <w:pPr>
              <w:pStyle w:val="26"/>
              <w:bidi w:val="0"/>
              <w:rPr>
                <w:rFonts w:hint="eastAsia"/>
                <w:color w:val="auto"/>
              </w:rPr>
            </w:pPr>
            <w:r>
              <w:rPr>
                <w:rFonts w:hint="eastAsia"/>
                <w:color w:val="auto"/>
              </w:rPr>
              <w:t>6</w:t>
            </w:r>
          </w:p>
        </w:tc>
        <w:tc>
          <w:tcPr>
            <w:tcW w:w="710" w:type="dxa"/>
            <w:noWrap w:val="0"/>
            <w:vAlign w:val="center"/>
          </w:tcPr>
          <w:p w14:paraId="6CBDFAE7">
            <w:pPr>
              <w:pStyle w:val="26"/>
              <w:bidi w:val="0"/>
              <w:rPr>
                <w:rFonts w:hint="eastAsia"/>
                <w:color w:val="auto"/>
              </w:rPr>
            </w:pPr>
            <w:r>
              <w:rPr>
                <w:rFonts w:hint="eastAsia"/>
                <w:color w:val="auto"/>
              </w:rPr>
              <w:t>7</w:t>
            </w:r>
          </w:p>
        </w:tc>
        <w:tc>
          <w:tcPr>
            <w:tcW w:w="1133" w:type="dxa"/>
            <w:noWrap w:val="0"/>
            <w:vAlign w:val="center"/>
          </w:tcPr>
          <w:p w14:paraId="4C8A9208">
            <w:pPr>
              <w:pStyle w:val="26"/>
              <w:bidi w:val="0"/>
              <w:rPr>
                <w:rFonts w:hint="eastAsia"/>
                <w:color w:val="auto"/>
              </w:rPr>
            </w:pPr>
            <w:r>
              <w:rPr>
                <w:rFonts w:hint="eastAsia"/>
                <w:color w:val="auto"/>
              </w:rPr>
              <w:t>42</w:t>
            </w:r>
          </w:p>
        </w:tc>
        <w:tc>
          <w:tcPr>
            <w:tcW w:w="2743" w:type="dxa"/>
            <w:noWrap w:val="0"/>
            <w:vAlign w:val="center"/>
          </w:tcPr>
          <w:p w14:paraId="423791CF">
            <w:pPr>
              <w:pStyle w:val="26"/>
              <w:bidi w:val="0"/>
              <w:rPr>
                <w:rFonts w:hint="eastAsia"/>
                <w:color w:val="auto"/>
              </w:rPr>
            </w:pPr>
            <w:r>
              <w:rPr>
                <w:rFonts w:hint="eastAsia"/>
                <w:color w:val="auto"/>
              </w:rPr>
              <w:t>可能危险，需要注意</w:t>
            </w:r>
          </w:p>
        </w:tc>
      </w:tr>
      <w:tr w14:paraId="000C3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674" w:type="dxa"/>
            <w:noWrap w:val="0"/>
            <w:vAlign w:val="center"/>
          </w:tcPr>
          <w:p w14:paraId="34AB1823">
            <w:pPr>
              <w:pStyle w:val="26"/>
              <w:bidi w:val="0"/>
              <w:rPr>
                <w:rFonts w:hint="eastAsia"/>
                <w:color w:val="auto"/>
              </w:rPr>
            </w:pPr>
            <w:r>
              <w:rPr>
                <w:rFonts w:hint="eastAsia"/>
                <w:color w:val="auto"/>
              </w:rPr>
              <w:t>5</w:t>
            </w:r>
          </w:p>
        </w:tc>
        <w:tc>
          <w:tcPr>
            <w:tcW w:w="2412" w:type="dxa"/>
            <w:noWrap w:val="0"/>
            <w:vAlign w:val="center"/>
          </w:tcPr>
          <w:p w14:paraId="74494AB0">
            <w:pPr>
              <w:pStyle w:val="26"/>
              <w:bidi w:val="0"/>
              <w:rPr>
                <w:rFonts w:hint="eastAsia"/>
                <w:color w:val="auto"/>
              </w:rPr>
            </w:pPr>
            <w:r>
              <w:rPr>
                <w:rFonts w:hint="eastAsia"/>
                <w:color w:val="auto"/>
              </w:rPr>
              <w:t>物体打击</w:t>
            </w:r>
          </w:p>
        </w:tc>
        <w:tc>
          <w:tcPr>
            <w:tcW w:w="567" w:type="dxa"/>
            <w:noWrap w:val="0"/>
            <w:vAlign w:val="center"/>
          </w:tcPr>
          <w:p w14:paraId="5956E164">
            <w:pPr>
              <w:pStyle w:val="26"/>
              <w:bidi w:val="0"/>
              <w:rPr>
                <w:rFonts w:hint="eastAsia"/>
                <w:color w:val="auto"/>
              </w:rPr>
            </w:pPr>
            <w:r>
              <w:rPr>
                <w:rFonts w:hint="eastAsia"/>
                <w:color w:val="auto"/>
              </w:rPr>
              <w:t>3</w:t>
            </w:r>
          </w:p>
        </w:tc>
        <w:tc>
          <w:tcPr>
            <w:tcW w:w="707" w:type="dxa"/>
            <w:noWrap w:val="0"/>
            <w:vAlign w:val="center"/>
          </w:tcPr>
          <w:p w14:paraId="5AF1C009">
            <w:pPr>
              <w:pStyle w:val="26"/>
              <w:bidi w:val="0"/>
              <w:rPr>
                <w:rFonts w:hint="eastAsia"/>
                <w:color w:val="auto"/>
              </w:rPr>
            </w:pPr>
            <w:r>
              <w:rPr>
                <w:rFonts w:hint="eastAsia"/>
                <w:color w:val="auto"/>
              </w:rPr>
              <w:t>3</w:t>
            </w:r>
          </w:p>
        </w:tc>
        <w:tc>
          <w:tcPr>
            <w:tcW w:w="710" w:type="dxa"/>
            <w:noWrap w:val="0"/>
            <w:vAlign w:val="center"/>
          </w:tcPr>
          <w:p w14:paraId="597EC9C6">
            <w:pPr>
              <w:pStyle w:val="26"/>
              <w:bidi w:val="0"/>
              <w:rPr>
                <w:rFonts w:hint="eastAsia"/>
                <w:color w:val="auto"/>
              </w:rPr>
            </w:pPr>
            <w:r>
              <w:rPr>
                <w:rFonts w:hint="eastAsia"/>
                <w:color w:val="auto"/>
              </w:rPr>
              <w:t>3</w:t>
            </w:r>
          </w:p>
        </w:tc>
        <w:tc>
          <w:tcPr>
            <w:tcW w:w="1133" w:type="dxa"/>
            <w:noWrap w:val="0"/>
            <w:vAlign w:val="center"/>
          </w:tcPr>
          <w:p w14:paraId="04EC2B91">
            <w:pPr>
              <w:pStyle w:val="26"/>
              <w:bidi w:val="0"/>
              <w:rPr>
                <w:rFonts w:hint="eastAsia"/>
                <w:color w:val="auto"/>
              </w:rPr>
            </w:pPr>
            <w:r>
              <w:rPr>
                <w:rFonts w:hint="eastAsia"/>
                <w:color w:val="auto"/>
              </w:rPr>
              <w:t>27</w:t>
            </w:r>
          </w:p>
        </w:tc>
        <w:tc>
          <w:tcPr>
            <w:tcW w:w="2743" w:type="dxa"/>
            <w:noWrap w:val="0"/>
            <w:vAlign w:val="center"/>
          </w:tcPr>
          <w:p w14:paraId="777D6A49">
            <w:pPr>
              <w:pStyle w:val="26"/>
              <w:bidi w:val="0"/>
              <w:rPr>
                <w:rFonts w:hint="eastAsia"/>
                <w:color w:val="auto"/>
              </w:rPr>
            </w:pPr>
            <w:r>
              <w:rPr>
                <w:rFonts w:hint="eastAsia"/>
                <w:color w:val="auto"/>
              </w:rPr>
              <w:t>可能危险，需要注意</w:t>
            </w:r>
          </w:p>
        </w:tc>
      </w:tr>
      <w:tr w14:paraId="2481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74" w:type="dxa"/>
            <w:noWrap w:val="0"/>
            <w:vAlign w:val="center"/>
          </w:tcPr>
          <w:p w14:paraId="60235284">
            <w:pPr>
              <w:pStyle w:val="26"/>
              <w:bidi w:val="0"/>
              <w:rPr>
                <w:rFonts w:hint="eastAsia"/>
                <w:color w:val="auto"/>
              </w:rPr>
            </w:pPr>
            <w:r>
              <w:rPr>
                <w:rFonts w:hint="eastAsia"/>
                <w:color w:val="auto"/>
              </w:rPr>
              <w:t>6</w:t>
            </w:r>
          </w:p>
        </w:tc>
        <w:tc>
          <w:tcPr>
            <w:tcW w:w="2412" w:type="dxa"/>
            <w:noWrap w:val="0"/>
            <w:vAlign w:val="center"/>
          </w:tcPr>
          <w:p w14:paraId="41C1B555">
            <w:pPr>
              <w:pStyle w:val="26"/>
              <w:bidi w:val="0"/>
              <w:rPr>
                <w:rFonts w:hint="eastAsia"/>
                <w:color w:val="auto"/>
              </w:rPr>
            </w:pPr>
            <w:r>
              <w:rPr>
                <w:rFonts w:hint="eastAsia"/>
                <w:color w:val="auto"/>
              </w:rPr>
              <w:t>机械伤害</w:t>
            </w:r>
          </w:p>
        </w:tc>
        <w:tc>
          <w:tcPr>
            <w:tcW w:w="567" w:type="dxa"/>
            <w:noWrap w:val="0"/>
            <w:vAlign w:val="center"/>
          </w:tcPr>
          <w:p w14:paraId="4A192DB9">
            <w:pPr>
              <w:pStyle w:val="26"/>
              <w:bidi w:val="0"/>
              <w:rPr>
                <w:rFonts w:hint="eastAsia"/>
                <w:color w:val="auto"/>
              </w:rPr>
            </w:pPr>
            <w:r>
              <w:rPr>
                <w:rFonts w:hint="eastAsia"/>
                <w:color w:val="auto"/>
              </w:rPr>
              <w:t>3</w:t>
            </w:r>
          </w:p>
        </w:tc>
        <w:tc>
          <w:tcPr>
            <w:tcW w:w="707" w:type="dxa"/>
            <w:noWrap w:val="0"/>
            <w:vAlign w:val="center"/>
          </w:tcPr>
          <w:p w14:paraId="3D5CA0D6">
            <w:pPr>
              <w:pStyle w:val="26"/>
              <w:bidi w:val="0"/>
              <w:rPr>
                <w:rFonts w:hint="eastAsia"/>
                <w:color w:val="auto"/>
              </w:rPr>
            </w:pPr>
            <w:r>
              <w:rPr>
                <w:rFonts w:hint="eastAsia"/>
                <w:color w:val="auto"/>
              </w:rPr>
              <w:t>3</w:t>
            </w:r>
          </w:p>
        </w:tc>
        <w:tc>
          <w:tcPr>
            <w:tcW w:w="710" w:type="dxa"/>
            <w:noWrap w:val="0"/>
            <w:vAlign w:val="center"/>
          </w:tcPr>
          <w:p w14:paraId="6036582F">
            <w:pPr>
              <w:pStyle w:val="26"/>
              <w:bidi w:val="0"/>
              <w:rPr>
                <w:rFonts w:hint="eastAsia"/>
                <w:color w:val="auto"/>
              </w:rPr>
            </w:pPr>
            <w:r>
              <w:rPr>
                <w:rFonts w:hint="eastAsia"/>
                <w:color w:val="auto"/>
              </w:rPr>
              <w:t>3</w:t>
            </w:r>
          </w:p>
        </w:tc>
        <w:tc>
          <w:tcPr>
            <w:tcW w:w="1133" w:type="dxa"/>
            <w:noWrap w:val="0"/>
            <w:vAlign w:val="center"/>
          </w:tcPr>
          <w:p w14:paraId="4F41C798">
            <w:pPr>
              <w:pStyle w:val="26"/>
              <w:bidi w:val="0"/>
              <w:rPr>
                <w:rFonts w:hint="eastAsia"/>
                <w:color w:val="auto"/>
              </w:rPr>
            </w:pPr>
            <w:r>
              <w:rPr>
                <w:rFonts w:hint="eastAsia"/>
                <w:color w:val="auto"/>
              </w:rPr>
              <w:t>27</w:t>
            </w:r>
          </w:p>
        </w:tc>
        <w:tc>
          <w:tcPr>
            <w:tcW w:w="2743" w:type="dxa"/>
            <w:noWrap w:val="0"/>
            <w:vAlign w:val="center"/>
          </w:tcPr>
          <w:p w14:paraId="333D0393">
            <w:pPr>
              <w:pStyle w:val="26"/>
              <w:bidi w:val="0"/>
              <w:rPr>
                <w:rFonts w:hint="eastAsia"/>
                <w:color w:val="auto"/>
              </w:rPr>
            </w:pPr>
            <w:r>
              <w:rPr>
                <w:rFonts w:hint="eastAsia"/>
                <w:color w:val="auto"/>
              </w:rPr>
              <w:t>可能危险，需要注意</w:t>
            </w:r>
          </w:p>
        </w:tc>
      </w:tr>
      <w:tr w14:paraId="4DED3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74" w:type="dxa"/>
            <w:noWrap w:val="0"/>
            <w:vAlign w:val="center"/>
          </w:tcPr>
          <w:p w14:paraId="7F33CCDA">
            <w:pPr>
              <w:pStyle w:val="26"/>
              <w:bidi w:val="0"/>
              <w:rPr>
                <w:rFonts w:hint="eastAsia"/>
                <w:color w:val="auto"/>
              </w:rPr>
            </w:pPr>
            <w:r>
              <w:rPr>
                <w:rFonts w:hint="eastAsia"/>
                <w:color w:val="auto"/>
              </w:rPr>
              <w:t>7</w:t>
            </w:r>
          </w:p>
        </w:tc>
        <w:tc>
          <w:tcPr>
            <w:tcW w:w="2412" w:type="dxa"/>
            <w:noWrap w:val="0"/>
            <w:vAlign w:val="center"/>
          </w:tcPr>
          <w:p w14:paraId="56145EFB">
            <w:pPr>
              <w:pStyle w:val="26"/>
              <w:bidi w:val="0"/>
              <w:rPr>
                <w:rFonts w:hint="eastAsia"/>
                <w:color w:val="auto"/>
              </w:rPr>
            </w:pPr>
            <w:r>
              <w:rPr>
                <w:rFonts w:hint="eastAsia"/>
                <w:color w:val="auto"/>
              </w:rPr>
              <w:t>触电伤害</w:t>
            </w:r>
          </w:p>
        </w:tc>
        <w:tc>
          <w:tcPr>
            <w:tcW w:w="567" w:type="dxa"/>
            <w:noWrap w:val="0"/>
            <w:vAlign w:val="center"/>
          </w:tcPr>
          <w:p w14:paraId="2E30D802">
            <w:pPr>
              <w:pStyle w:val="26"/>
              <w:bidi w:val="0"/>
              <w:rPr>
                <w:rFonts w:hint="eastAsia"/>
                <w:color w:val="auto"/>
              </w:rPr>
            </w:pPr>
            <w:r>
              <w:rPr>
                <w:rFonts w:hint="eastAsia"/>
                <w:color w:val="auto"/>
              </w:rPr>
              <w:t>3</w:t>
            </w:r>
          </w:p>
        </w:tc>
        <w:tc>
          <w:tcPr>
            <w:tcW w:w="707" w:type="dxa"/>
            <w:noWrap w:val="0"/>
            <w:vAlign w:val="center"/>
          </w:tcPr>
          <w:p w14:paraId="5D80F37D">
            <w:pPr>
              <w:pStyle w:val="26"/>
              <w:bidi w:val="0"/>
              <w:rPr>
                <w:rFonts w:hint="eastAsia"/>
                <w:color w:val="auto"/>
              </w:rPr>
            </w:pPr>
            <w:r>
              <w:rPr>
                <w:rFonts w:hint="eastAsia"/>
                <w:color w:val="auto"/>
              </w:rPr>
              <w:t>0.5</w:t>
            </w:r>
          </w:p>
        </w:tc>
        <w:tc>
          <w:tcPr>
            <w:tcW w:w="710" w:type="dxa"/>
            <w:noWrap w:val="0"/>
            <w:vAlign w:val="center"/>
          </w:tcPr>
          <w:p w14:paraId="613EB890">
            <w:pPr>
              <w:pStyle w:val="26"/>
              <w:bidi w:val="0"/>
              <w:rPr>
                <w:rFonts w:hint="eastAsia"/>
                <w:color w:val="auto"/>
              </w:rPr>
            </w:pPr>
            <w:r>
              <w:rPr>
                <w:rFonts w:hint="eastAsia"/>
                <w:color w:val="auto"/>
              </w:rPr>
              <w:t>7</w:t>
            </w:r>
          </w:p>
        </w:tc>
        <w:tc>
          <w:tcPr>
            <w:tcW w:w="1133" w:type="dxa"/>
            <w:noWrap w:val="0"/>
            <w:vAlign w:val="center"/>
          </w:tcPr>
          <w:p w14:paraId="4AF63140">
            <w:pPr>
              <w:pStyle w:val="26"/>
              <w:bidi w:val="0"/>
              <w:rPr>
                <w:rFonts w:hint="eastAsia"/>
                <w:color w:val="auto"/>
              </w:rPr>
            </w:pPr>
            <w:r>
              <w:rPr>
                <w:rFonts w:hint="eastAsia"/>
                <w:color w:val="auto"/>
              </w:rPr>
              <w:t>12.5</w:t>
            </w:r>
          </w:p>
        </w:tc>
        <w:tc>
          <w:tcPr>
            <w:tcW w:w="2743" w:type="dxa"/>
            <w:noWrap w:val="0"/>
            <w:vAlign w:val="center"/>
          </w:tcPr>
          <w:p w14:paraId="4F41F4A1">
            <w:pPr>
              <w:pStyle w:val="26"/>
              <w:bidi w:val="0"/>
              <w:rPr>
                <w:rFonts w:hint="eastAsia"/>
                <w:color w:val="auto"/>
              </w:rPr>
            </w:pPr>
            <w:r>
              <w:rPr>
                <w:rFonts w:hint="eastAsia"/>
                <w:color w:val="auto"/>
              </w:rPr>
              <w:t>稍有危险，或许可以接受</w:t>
            </w:r>
          </w:p>
        </w:tc>
      </w:tr>
      <w:tr w14:paraId="230EF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74" w:type="dxa"/>
            <w:noWrap w:val="0"/>
            <w:vAlign w:val="center"/>
          </w:tcPr>
          <w:p w14:paraId="53FD23B1">
            <w:pPr>
              <w:pStyle w:val="26"/>
              <w:bidi w:val="0"/>
              <w:rPr>
                <w:rFonts w:hint="eastAsia"/>
                <w:color w:val="auto"/>
              </w:rPr>
            </w:pPr>
            <w:r>
              <w:rPr>
                <w:rFonts w:hint="eastAsia"/>
                <w:color w:val="auto"/>
              </w:rPr>
              <w:t>8</w:t>
            </w:r>
          </w:p>
        </w:tc>
        <w:tc>
          <w:tcPr>
            <w:tcW w:w="2412" w:type="dxa"/>
            <w:noWrap w:val="0"/>
            <w:vAlign w:val="center"/>
          </w:tcPr>
          <w:p w14:paraId="17903BAF">
            <w:pPr>
              <w:pStyle w:val="26"/>
              <w:bidi w:val="0"/>
              <w:rPr>
                <w:rFonts w:hint="eastAsia"/>
                <w:color w:val="auto"/>
              </w:rPr>
            </w:pPr>
            <w:r>
              <w:rPr>
                <w:rFonts w:hint="eastAsia"/>
                <w:color w:val="auto"/>
              </w:rPr>
              <w:t>压力容器爆炸</w:t>
            </w:r>
          </w:p>
        </w:tc>
        <w:tc>
          <w:tcPr>
            <w:tcW w:w="567" w:type="dxa"/>
            <w:noWrap w:val="0"/>
            <w:vAlign w:val="center"/>
          </w:tcPr>
          <w:p w14:paraId="4DF2FCF9">
            <w:pPr>
              <w:pStyle w:val="26"/>
              <w:bidi w:val="0"/>
              <w:rPr>
                <w:rFonts w:hint="eastAsia"/>
                <w:color w:val="auto"/>
              </w:rPr>
            </w:pPr>
            <w:r>
              <w:rPr>
                <w:rFonts w:hint="eastAsia"/>
                <w:color w:val="auto"/>
              </w:rPr>
              <w:t>0.5</w:t>
            </w:r>
          </w:p>
        </w:tc>
        <w:tc>
          <w:tcPr>
            <w:tcW w:w="707" w:type="dxa"/>
            <w:noWrap w:val="0"/>
            <w:vAlign w:val="center"/>
          </w:tcPr>
          <w:p w14:paraId="2F8D3373">
            <w:pPr>
              <w:pStyle w:val="26"/>
              <w:bidi w:val="0"/>
              <w:rPr>
                <w:rFonts w:hint="eastAsia"/>
                <w:color w:val="auto"/>
              </w:rPr>
            </w:pPr>
            <w:r>
              <w:rPr>
                <w:rFonts w:hint="eastAsia"/>
                <w:color w:val="auto"/>
              </w:rPr>
              <w:t>3</w:t>
            </w:r>
          </w:p>
        </w:tc>
        <w:tc>
          <w:tcPr>
            <w:tcW w:w="710" w:type="dxa"/>
            <w:noWrap w:val="0"/>
            <w:vAlign w:val="center"/>
          </w:tcPr>
          <w:p w14:paraId="2D90CBE0">
            <w:pPr>
              <w:pStyle w:val="26"/>
              <w:bidi w:val="0"/>
              <w:rPr>
                <w:rFonts w:hint="eastAsia"/>
                <w:color w:val="auto"/>
              </w:rPr>
            </w:pPr>
            <w:r>
              <w:rPr>
                <w:rFonts w:hint="eastAsia"/>
                <w:color w:val="auto"/>
              </w:rPr>
              <w:t>7</w:t>
            </w:r>
          </w:p>
        </w:tc>
        <w:tc>
          <w:tcPr>
            <w:tcW w:w="1133" w:type="dxa"/>
            <w:noWrap w:val="0"/>
            <w:vAlign w:val="center"/>
          </w:tcPr>
          <w:p w14:paraId="2F3D9E1F">
            <w:pPr>
              <w:pStyle w:val="26"/>
              <w:bidi w:val="0"/>
              <w:rPr>
                <w:rFonts w:hint="eastAsia"/>
                <w:color w:val="auto"/>
              </w:rPr>
            </w:pPr>
            <w:r>
              <w:rPr>
                <w:rFonts w:hint="eastAsia"/>
                <w:color w:val="auto"/>
              </w:rPr>
              <w:t>12.5</w:t>
            </w:r>
          </w:p>
        </w:tc>
        <w:tc>
          <w:tcPr>
            <w:tcW w:w="2743" w:type="dxa"/>
            <w:noWrap w:val="0"/>
            <w:vAlign w:val="center"/>
          </w:tcPr>
          <w:p w14:paraId="5CE94536">
            <w:pPr>
              <w:pStyle w:val="26"/>
              <w:bidi w:val="0"/>
              <w:rPr>
                <w:rFonts w:hint="eastAsia"/>
                <w:color w:val="auto"/>
              </w:rPr>
            </w:pPr>
            <w:r>
              <w:rPr>
                <w:rFonts w:hint="eastAsia"/>
                <w:color w:val="auto"/>
              </w:rPr>
              <w:t>稍有危险，或许可以接受</w:t>
            </w:r>
          </w:p>
        </w:tc>
      </w:tr>
      <w:tr w14:paraId="262B0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674" w:type="dxa"/>
            <w:noWrap w:val="0"/>
            <w:vAlign w:val="center"/>
          </w:tcPr>
          <w:p w14:paraId="1965C3C6">
            <w:pPr>
              <w:pStyle w:val="26"/>
              <w:bidi w:val="0"/>
              <w:rPr>
                <w:rFonts w:hint="eastAsia"/>
                <w:color w:val="auto"/>
              </w:rPr>
            </w:pPr>
            <w:r>
              <w:rPr>
                <w:rFonts w:hint="eastAsia"/>
                <w:color w:val="auto"/>
              </w:rPr>
              <w:t>9</w:t>
            </w:r>
          </w:p>
        </w:tc>
        <w:tc>
          <w:tcPr>
            <w:tcW w:w="2412" w:type="dxa"/>
            <w:noWrap w:val="0"/>
            <w:vAlign w:val="center"/>
          </w:tcPr>
          <w:p w14:paraId="0396A3E7">
            <w:pPr>
              <w:pStyle w:val="26"/>
              <w:bidi w:val="0"/>
              <w:rPr>
                <w:rFonts w:hint="eastAsia"/>
                <w:color w:val="auto"/>
              </w:rPr>
            </w:pPr>
            <w:r>
              <w:rPr>
                <w:rFonts w:hint="eastAsia"/>
                <w:color w:val="auto"/>
              </w:rPr>
              <w:t>火灾</w:t>
            </w:r>
          </w:p>
        </w:tc>
        <w:tc>
          <w:tcPr>
            <w:tcW w:w="567" w:type="dxa"/>
            <w:noWrap w:val="0"/>
            <w:vAlign w:val="center"/>
          </w:tcPr>
          <w:p w14:paraId="6CE8D149">
            <w:pPr>
              <w:pStyle w:val="26"/>
              <w:bidi w:val="0"/>
              <w:rPr>
                <w:rFonts w:hint="eastAsia"/>
                <w:color w:val="auto"/>
              </w:rPr>
            </w:pPr>
            <w:r>
              <w:rPr>
                <w:rFonts w:hint="eastAsia"/>
                <w:color w:val="auto"/>
              </w:rPr>
              <w:t>0.5</w:t>
            </w:r>
          </w:p>
        </w:tc>
        <w:tc>
          <w:tcPr>
            <w:tcW w:w="707" w:type="dxa"/>
            <w:noWrap w:val="0"/>
            <w:vAlign w:val="center"/>
          </w:tcPr>
          <w:p w14:paraId="0DCF1420">
            <w:pPr>
              <w:pStyle w:val="26"/>
              <w:bidi w:val="0"/>
              <w:rPr>
                <w:rFonts w:hint="eastAsia"/>
                <w:color w:val="auto"/>
              </w:rPr>
            </w:pPr>
            <w:r>
              <w:rPr>
                <w:rFonts w:hint="eastAsia"/>
                <w:color w:val="auto"/>
              </w:rPr>
              <w:t>1</w:t>
            </w:r>
          </w:p>
        </w:tc>
        <w:tc>
          <w:tcPr>
            <w:tcW w:w="710" w:type="dxa"/>
            <w:noWrap w:val="0"/>
            <w:vAlign w:val="center"/>
          </w:tcPr>
          <w:p w14:paraId="4D88C5DA">
            <w:pPr>
              <w:pStyle w:val="26"/>
              <w:bidi w:val="0"/>
              <w:rPr>
                <w:rFonts w:hint="eastAsia"/>
                <w:color w:val="auto"/>
              </w:rPr>
            </w:pPr>
            <w:r>
              <w:rPr>
                <w:rFonts w:hint="eastAsia"/>
                <w:color w:val="auto"/>
              </w:rPr>
              <w:t>7</w:t>
            </w:r>
          </w:p>
        </w:tc>
        <w:tc>
          <w:tcPr>
            <w:tcW w:w="1133" w:type="dxa"/>
            <w:noWrap w:val="0"/>
            <w:vAlign w:val="center"/>
          </w:tcPr>
          <w:p w14:paraId="0489315F">
            <w:pPr>
              <w:pStyle w:val="26"/>
              <w:bidi w:val="0"/>
              <w:rPr>
                <w:rFonts w:hint="eastAsia"/>
                <w:color w:val="auto"/>
              </w:rPr>
            </w:pPr>
            <w:r>
              <w:rPr>
                <w:rFonts w:hint="eastAsia"/>
                <w:color w:val="auto"/>
              </w:rPr>
              <w:t>3.5</w:t>
            </w:r>
          </w:p>
        </w:tc>
        <w:tc>
          <w:tcPr>
            <w:tcW w:w="2743" w:type="dxa"/>
            <w:noWrap w:val="0"/>
            <w:vAlign w:val="center"/>
          </w:tcPr>
          <w:p w14:paraId="1D88E738">
            <w:pPr>
              <w:pStyle w:val="26"/>
              <w:bidi w:val="0"/>
              <w:rPr>
                <w:rFonts w:hint="eastAsia"/>
                <w:color w:val="auto"/>
              </w:rPr>
            </w:pPr>
            <w:r>
              <w:rPr>
                <w:rFonts w:hint="eastAsia"/>
                <w:color w:val="auto"/>
              </w:rPr>
              <w:t>稍有危险，或许可以接受</w:t>
            </w:r>
          </w:p>
        </w:tc>
      </w:tr>
      <w:tr w14:paraId="0221D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674" w:type="dxa"/>
            <w:noWrap w:val="0"/>
            <w:vAlign w:val="center"/>
          </w:tcPr>
          <w:p w14:paraId="4366371C">
            <w:pPr>
              <w:pStyle w:val="26"/>
              <w:bidi w:val="0"/>
              <w:rPr>
                <w:rFonts w:hint="eastAsia"/>
                <w:color w:val="auto"/>
              </w:rPr>
            </w:pPr>
            <w:r>
              <w:rPr>
                <w:rFonts w:hint="eastAsia"/>
                <w:color w:val="auto"/>
              </w:rPr>
              <w:t>10</w:t>
            </w:r>
          </w:p>
        </w:tc>
        <w:tc>
          <w:tcPr>
            <w:tcW w:w="2412" w:type="dxa"/>
            <w:noWrap w:val="0"/>
            <w:vAlign w:val="center"/>
          </w:tcPr>
          <w:p w14:paraId="08F0F952">
            <w:pPr>
              <w:pStyle w:val="26"/>
              <w:bidi w:val="0"/>
              <w:rPr>
                <w:rFonts w:hint="eastAsia"/>
                <w:color w:val="auto"/>
              </w:rPr>
            </w:pPr>
            <w:r>
              <w:rPr>
                <w:rFonts w:hint="eastAsia"/>
                <w:color w:val="auto"/>
              </w:rPr>
              <w:t>粉尘</w:t>
            </w:r>
          </w:p>
        </w:tc>
        <w:tc>
          <w:tcPr>
            <w:tcW w:w="567" w:type="dxa"/>
            <w:noWrap w:val="0"/>
            <w:vAlign w:val="center"/>
          </w:tcPr>
          <w:p w14:paraId="5052A50C">
            <w:pPr>
              <w:pStyle w:val="26"/>
              <w:bidi w:val="0"/>
              <w:rPr>
                <w:rFonts w:hint="eastAsia"/>
                <w:color w:val="auto"/>
              </w:rPr>
            </w:pPr>
            <w:r>
              <w:rPr>
                <w:rFonts w:hint="eastAsia"/>
                <w:color w:val="auto"/>
              </w:rPr>
              <w:t>3</w:t>
            </w:r>
          </w:p>
        </w:tc>
        <w:tc>
          <w:tcPr>
            <w:tcW w:w="707" w:type="dxa"/>
            <w:noWrap w:val="0"/>
            <w:vAlign w:val="center"/>
          </w:tcPr>
          <w:p w14:paraId="6770D775">
            <w:pPr>
              <w:pStyle w:val="26"/>
              <w:bidi w:val="0"/>
              <w:rPr>
                <w:rFonts w:hint="eastAsia"/>
                <w:color w:val="auto"/>
              </w:rPr>
            </w:pPr>
            <w:r>
              <w:rPr>
                <w:rFonts w:hint="eastAsia"/>
                <w:color w:val="auto"/>
              </w:rPr>
              <w:t>3</w:t>
            </w:r>
          </w:p>
        </w:tc>
        <w:tc>
          <w:tcPr>
            <w:tcW w:w="710" w:type="dxa"/>
            <w:noWrap w:val="0"/>
            <w:vAlign w:val="center"/>
          </w:tcPr>
          <w:p w14:paraId="5F832D5D">
            <w:pPr>
              <w:pStyle w:val="26"/>
              <w:bidi w:val="0"/>
              <w:rPr>
                <w:rFonts w:hint="eastAsia"/>
                <w:color w:val="auto"/>
              </w:rPr>
            </w:pPr>
            <w:r>
              <w:rPr>
                <w:rFonts w:hint="eastAsia"/>
                <w:color w:val="auto"/>
              </w:rPr>
              <w:t>3</w:t>
            </w:r>
          </w:p>
        </w:tc>
        <w:tc>
          <w:tcPr>
            <w:tcW w:w="1133" w:type="dxa"/>
            <w:noWrap w:val="0"/>
            <w:vAlign w:val="center"/>
          </w:tcPr>
          <w:p w14:paraId="243B7F2B">
            <w:pPr>
              <w:pStyle w:val="26"/>
              <w:bidi w:val="0"/>
              <w:rPr>
                <w:rFonts w:hint="eastAsia"/>
                <w:color w:val="auto"/>
              </w:rPr>
            </w:pPr>
            <w:r>
              <w:rPr>
                <w:rFonts w:hint="eastAsia"/>
                <w:color w:val="auto"/>
              </w:rPr>
              <w:t>27</w:t>
            </w:r>
          </w:p>
        </w:tc>
        <w:tc>
          <w:tcPr>
            <w:tcW w:w="2743" w:type="dxa"/>
            <w:noWrap w:val="0"/>
            <w:vAlign w:val="center"/>
          </w:tcPr>
          <w:p w14:paraId="62CE4565">
            <w:pPr>
              <w:pStyle w:val="26"/>
              <w:bidi w:val="0"/>
              <w:rPr>
                <w:rFonts w:hint="eastAsia"/>
                <w:color w:val="auto"/>
              </w:rPr>
            </w:pPr>
            <w:r>
              <w:rPr>
                <w:rFonts w:hint="eastAsia"/>
                <w:color w:val="auto"/>
              </w:rPr>
              <w:t>可能危险，需要注意</w:t>
            </w:r>
          </w:p>
        </w:tc>
      </w:tr>
      <w:tr w14:paraId="79D95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674" w:type="dxa"/>
            <w:noWrap w:val="0"/>
            <w:vAlign w:val="center"/>
          </w:tcPr>
          <w:p w14:paraId="0EB0B7B2">
            <w:pPr>
              <w:pStyle w:val="26"/>
              <w:bidi w:val="0"/>
              <w:rPr>
                <w:rFonts w:hint="eastAsia"/>
                <w:color w:val="auto"/>
              </w:rPr>
            </w:pPr>
            <w:r>
              <w:rPr>
                <w:rFonts w:hint="eastAsia"/>
                <w:color w:val="auto"/>
              </w:rPr>
              <w:t>11</w:t>
            </w:r>
          </w:p>
        </w:tc>
        <w:tc>
          <w:tcPr>
            <w:tcW w:w="2412" w:type="dxa"/>
            <w:noWrap w:val="0"/>
            <w:vAlign w:val="center"/>
          </w:tcPr>
          <w:p w14:paraId="2199889E">
            <w:pPr>
              <w:pStyle w:val="26"/>
              <w:bidi w:val="0"/>
              <w:rPr>
                <w:rFonts w:hint="eastAsia"/>
                <w:color w:val="auto"/>
              </w:rPr>
            </w:pPr>
            <w:r>
              <w:rPr>
                <w:rFonts w:hint="eastAsia"/>
                <w:color w:val="auto"/>
              </w:rPr>
              <w:t>噪声与振动</w:t>
            </w:r>
          </w:p>
        </w:tc>
        <w:tc>
          <w:tcPr>
            <w:tcW w:w="567" w:type="dxa"/>
            <w:noWrap w:val="0"/>
            <w:vAlign w:val="center"/>
          </w:tcPr>
          <w:p w14:paraId="21D89B1C">
            <w:pPr>
              <w:pStyle w:val="26"/>
              <w:bidi w:val="0"/>
              <w:rPr>
                <w:rFonts w:hint="eastAsia"/>
                <w:color w:val="auto"/>
              </w:rPr>
            </w:pPr>
            <w:r>
              <w:rPr>
                <w:rFonts w:hint="eastAsia"/>
                <w:color w:val="auto"/>
              </w:rPr>
              <w:t>10</w:t>
            </w:r>
          </w:p>
        </w:tc>
        <w:tc>
          <w:tcPr>
            <w:tcW w:w="707" w:type="dxa"/>
            <w:noWrap w:val="0"/>
            <w:vAlign w:val="center"/>
          </w:tcPr>
          <w:p w14:paraId="6D9AD25B">
            <w:pPr>
              <w:pStyle w:val="26"/>
              <w:bidi w:val="0"/>
              <w:rPr>
                <w:rFonts w:hint="eastAsia"/>
                <w:color w:val="auto"/>
              </w:rPr>
            </w:pPr>
            <w:r>
              <w:rPr>
                <w:rFonts w:hint="eastAsia"/>
                <w:color w:val="auto"/>
              </w:rPr>
              <w:t>3</w:t>
            </w:r>
          </w:p>
        </w:tc>
        <w:tc>
          <w:tcPr>
            <w:tcW w:w="710" w:type="dxa"/>
            <w:noWrap w:val="0"/>
            <w:vAlign w:val="center"/>
          </w:tcPr>
          <w:p w14:paraId="39901543">
            <w:pPr>
              <w:pStyle w:val="26"/>
              <w:bidi w:val="0"/>
              <w:rPr>
                <w:rFonts w:hint="eastAsia"/>
                <w:color w:val="auto"/>
              </w:rPr>
            </w:pPr>
            <w:r>
              <w:rPr>
                <w:rFonts w:hint="eastAsia"/>
                <w:color w:val="auto"/>
              </w:rPr>
              <w:t>1</w:t>
            </w:r>
          </w:p>
        </w:tc>
        <w:tc>
          <w:tcPr>
            <w:tcW w:w="1133" w:type="dxa"/>
            <w:noWrap w:val="0"/>
            <w:vAlign w:val="center"/>
          </w:tcPr>
          <w:p w14:paraId="5E757CC0">
            <w:pPr>
              <w:pStyle w:val="26"/>
              <w:bidi w:val="0"/>
              <w:rPr>
                <w:rFonts w:hint="eastAsia"/>
                <w:color w:val="auto"/>
              </w:rPr>
            </w:pPr>
            <w:r>
              <w:rPr>
                <w:rFonts w:hint="eastAsia"/>
                <w:color w:val="auto"/>
              </w:rPr>
              <w:t>30</w:t>
            </w:r>
          </w:p>
        </w:tc>
        <w:tc>
          <w:tcPr>
            <w:tcW w:w="2743" w:type="dxa"/>
            <w:noWrap w:val="0"/>
            <w:vAlign w:val="center"/>
          </w:tcPr>
          <w:p w14:paraId="77671F68">
            <w:pPr>
              <w:pStyle w:val="26"/>
              <w:bidi w:val="0"/>
              <w:rPr>
                <w:rFonts w:hint="eastAsia"/>
                <w:color w:val="auto"/>
                <w:lang w:eastAsia="zh-TW"/>
              </w:rPr>
            </w:pPr>
            <w:r>
              <w:rPr>
                <w:rFonts w:hint="eastAsia"/>
                <w:color w:val="auto"/>
              </w:rPr>
              <w:t>可能危险，需要注意</w:t>
            </w:r>
          </w:p>
        </w:tc>
      </w:tr>
      <w:tr w14:paraId="7BCC1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674" w:type="dxa"/>
            <w:noWrap w:val="0"/>
            <w:vAlign w:val="center"/>
          </w:tcPr>
          <w:p w14:paraId="5D7C2EBA">
            <w:pPr>
              <w:pStyle w:val="26"/>
              <w:bidi w:val="0"/>
              <w:rPr>
                <w:rFonts w:hint="eastAsia"/>
                <w:color w:val="auto"/>
              </w:rPr>
            </w:pPr>
            <w:r>
              <w:rPr>
                <w:rFonts w:hint="eastAsia"/>
                <w:color w:val="auto"/>
              </w:rPr>
              <w:t>12</w:t>
            </w:r>
          </w:p>
        </w:tc>
        <w:tc>
          <w:tcPr>
            <w:tcW w:w="2412" w:type="dxa"/>
            <w:noWrap w:val="0"/>
            <w:vAlign w:val="center"/>
          </w:tcPr>
          <w:p w14:paraId="03D564C4">
            <w:pPr>
              <w:pStyle w:val="26"/>
              <w:bidi w:val="0"/>
              <w:rPr>
                <w:rFonts w:hint="eastAsia"/>
                <w:color w:val="auto"/>
              </w:rPr>
            </w:pPr>
            <w:r>
              <w:rPr>
                <w:rFonts w:hint="eastAsia"/>
                <w:color w:val="auto"/>
              </w:rPr>
              <w:t>高温与低温</w:t>
            </w:r>
          </w:p>
        </w:tc>
        <w:tc>
          <w:tcPr>
            <w:tcW w:w="567" w:type="dxa"/>
            <w:noWrap w:val="0"/>
            <w:vAlign w:val="center"/>
          </w:tcPr>
          <w:p w14:paraId="48B54F5A">
            <w:pPr>
              <w:pStyle w:val="26"/>
              <w:bidi w:val="0"/>
              <w:rPr>
                <w:rFonts w:hint="eastAsia"/>
                <w:color w:val="auto"/>
              </w:rPr>
            </w:pPr>
            <w:r>
              <w:rPr>
                <w:rFonts w:hint="eastAsia"/>
                <w:color w:val="auto"/>
              </w:rPr>
              <w:t>3</w:t>
            </w:r>
          </w:p>
        </w:tc>
        <w:tc>
          <w:tcPr>
            <w:tcW w:w="707" w:type="dxa"/>
            <w:noWrap w:val="0"/>
            <w:vAlign w:val="center"/>
          </w:tcPr>
          <w:p w14:paraId="42AB1AFC">
            <w:pPr>
              <w:pStyle w:val="26"/>
              <w:bidi w:val="0"/>
              <w:rPr>
                <w:rFonts w:hint="eastAsia"/>
                <w:color w:val="auto"/>
              </w:rPr>
            </w:pPr>
            <w:r>
              <w:rPr>
                <w:rFonts w:hint="eastAsia"/>
                <w:color w:val="auto"/>
              </w:rPr>
              <w:t>3</w:t>
            </w:r>
          </w:p>
        </w:tc>
        <w:tc>
          <w:tcPr>
            <w:tcW w:w="710" w:type="dxa"/>
            <w:noWrap w:val="0"/>
            <w:vAlign w:val="center"/>
          </w:tcPr>
          <w:p w14:paraId="0AF6F98F">
            <w:pPr>
              <w:pStyle w:val="26"/>
              <w:bidi w:val="0"/>
              <w:rPr>
                <w:rFonts w:hint="eastAsia"/>
                <w:color w:val="auto"/>
              </w:rPr>
            </w:pPr>
            <w:r>
              <w:rPr>
                <w:rFonts w:hint="eastAsia"/>
                <w:color w:val="auto"/>
              </w:rPr>
              <w:t>1</w:t>
            </w:r>
          </w:p>
        </w:tc>
        <w:tc>
          <w:tcPr>
            <w:tcW w:w="1133" w:type="dxa"/>
            <w:noWrap w:val="0"/>
            <w:vAlign w:val="center"/>
          </w:tcPr>
          <w:p w14:paraId="48DD1572">
            <w:pPr>
              <w:pStyle w:val="26"/>
              <w:bidi w:val="0"/>
              <w:rPr>
                <w:rFonts w:hint="eastAsia"/>
                <w:color w:val="auto"/>
              </w:rPr>
            </w:pPr>
            <w:r>
              <w:rPr>
                <w:rFonts w:hint="eastAsia"/>
                <w:color w:val="auto"/>
              </w:rPr>
              <w:t>9</w:t>
            </w:r>
          </w:p>
        </w:tc>
        <w:tc>
          <w:tcPr>
            <w:tcW w:w="2743" w:type="dxa"/>
            <w:noWrap w:val="0"/>
            <w:vAlign w:val="center"/>
          </w:tcPr>
          <w:p w14:paraId="78173434">
            <w:pPr>
              <w:pStyle w:val="26"/>
              <w:bidi w:val="0"/>
              <w:rPr>
                <w:rFonts w:hint="eastAsia"/>
                <w:color w:val="auto"/>
                <w:lang w:eastAsia="zh-TW"/>
              </w:rPr>
            </w:pPr>
            <w:r>
              <w:rPr>
                <w:rFonts w:hint="eastAsia"/>
                <w:color w:val="auto"/>
              </w:rPr>
              <w:t>可能危险，需要注意</w:t>
            </w:r>
          </w:p>
        </w:tc>
      </w:tr>
      <w:tr w14:paraId="42676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74" w:type="dxa"/>
            <w:noWrap w:val="0"/>
            <w:vAlign w:val="center"/>
          </w:tcPr>
          <w:p w14:paraId="2436F681">
            <w:pPr>
              <w:pStyle w:val="26"/>
              <w:bidi w:val="0"/>
              <w:rPr>
                <w:rFonts w:hint="eastAsia"/>
                <w:color w:val="auto"/>
              </w:rPr>
            </w:pPr>
            <w:r>
              <w:rPr>
                <w:rFonts w:hint="eastAsia"/>
                <w:color w:val="auto"/>
              </w:rPr>
              <w:t>13</w:t>
            </w:r>
          </w:p>
        </w:tc>
        <w:tc>
          <w:tcPr>
            <w:tcW w:w="2412" w:type="dxa"/>
            <w:noWrap w:val="0"/>
            <w:vAlign w:val="center"/>
          </w:tcPr>
          <w:p w14:paraId="5AEDC78C">
            <w:pPr>
              <w:pStyle w:val="26"/>
              <w:bidi w:val="0"/>
              <w:rPr>
                <w:rFonts w:hint="eastAsia"/>
                <w:color w:val="auto"/>
              </w:rPr>
            </w:pPr>
            <w:r>
              <w:rPr>
                <w:rFonts w:hint="eastAsia"/>
                <w:color w:val="auto"/>
              </w:rPr>
              <w:t>其他伤害</w:t>
            </w:r>
          </w:p>
        </w:tc>
        <w:tc>
          <w:tcPr>
            <w:tcW w:w="567" w:type="dxa"/>
            <w:noWrap w:val="0"/>
            <w:vAlign w:val="center"/>
          </w:tcPr>
          <w:p w14:paraId="158F6162">
            <w:pPr>
              <w:pStyle w:val="26"/>
              <w:bidi w:val="0"/>
              <w:rPr>
                <w:rFonts w:hint="eastAsia"/>
                <w:color w:val="auto"/>
              </w:rPr>
            </w:pPr>
            <w:r>
              <w:rPr>
                <w:rFonts w:hint="eastAsia"/>
                <w:color w:val="auto"/>
              </w:rPr>
              <w:t>3</w:t>
            </w:r>
          </w:p>
        </w:tc>
        <w:tc>
          <w:tcPr>
            <w:tcW w:w="707" w:type="dxa"/>
            <w:noWrap w:val="0"/>
            <w:vAlign w:val="center"/>
          </w:tcPr>
          <w:p w14:paraId="51098D35">
            <w:pPr>
              <w:pStyle w:val="26"/>
              <w:bidi w:val="0"/>
              <w:rPr>
                <w:rFonts w:hint="eastAsia"/>
                <w:color w:val="auto"/>
              </w:rPr>
            </w:pPr>
            <w:r>
              <w:rPr>
                <w:rFonts w:hint="eastAsia"/>
                <w:color w:val="auto"/>
              </w:rPr>
              <w:t>1</w:t>
            </w:r>
          </w:p>
        </w:tc>
        <w:tc>
          <w:tcPr>
            <w:tcW w:w="710" w:type="dxa"/>
            <w:noWrap w:val="0"/>
            <w:vAlign w:val="center"/>
          </w:tcPr>
          <w:p w14:paraId="66CA17DD">
            <w:pPr>
              <w:pStyle w:val="26"/>
              <w:bidi w:val="0"/>
              <w:rPr>
                <w:rFonts w:hint="eastAsia"/>
                <w:color w:val="auto"/>
              </w:rPr>
            </w:pPr>
            <w:r>
              <w:rPr>
                <w:rFonts w:hint="eastAsia"/>
                <w:color w:val="auto"/>
              </w:rPr>
              <w:t>3</w:t>
            </w:r>
          </w:p>
        </w:tc>
        <w:tc>
          <w:tcPr>
            <w:tcW w:w="1133" w:type="dxa"/>
            <w:noWrap w:val="0"/>
            <w:vAlign w:val="center"/>
          </w:tcPr>
          <w:p w14:paraId="1C43E0F5">
            <w:pPr>
              <w:pStyle w:val="26"/>
              <w:bidi w:val="0"/>
              <w:rPr>
                <w:rFonts w:hint="eastAsia"/>
                <w:color w:val="auto"/>
              </w:rPr>
            </w:pPr>
            <w:r>
              <w:rPr>
                <w:rFonts w:hint="eastAsia"/>
                <w:color w:val="auto"/>
              </w:rPr>
              <w:t>9</w:t>
            </w:r>
          </w:p>
        </w:tc>
        <w:tc>
          <w:tcPr>
            <w:tcW w:w="2743" w:type="dxa"/>
            <w:noWrap w:val="0"/>
            <w:vAlign w:val="center"/>
          </w:tcPr>
          <w:p w14:paraId="1925F3F3">
            <w:pPr>
              <w:pStyle w:val="26"/>
              <w:bidi w:val="0"/>
              <w:rPr>
                <w:rFonts w:hint="eastAsia"/>
                <w:color w:val="auto"/>
                <w:lang w:eastAsia="zh-TW"/>
              </w:rPr>
            </w:pPr>
            <w:r>
              <w:rPr>
                <w:rFonts w:hint="eastAsia"/>
                <w:color w:val="auto"/>
              </w:rPr>
              <w:t>稍有危险，或许可以接受</w:t>
            </w:r>
          </w:p>
        </w:tc>
      </w:tr>
    </w:tbl>
    <w:p w14:paraId="6F732A76">
      <w:pPr>
        <w:pStyle w:val="23"/>
        <w:bidi w:val="0"/>
        <w:rPr>
          <w:rFonts w:hint="default"/>
          <w:color w:val="auto"/>
          <w:lang w:val="en-US" w:eastAsia="zh-CN"/>
        </w:rPr>
      </w:pPr>
      <w:bookmarkStart w:id="31" w:name="_Toc26631"/>
      <w:r>
        <w:rPr>
          <w:rFonts w:hint="default"/>
          <w:color w:val="auto"/>
          <w:lang w:val="en-US" w:eastAsia="zh-CN"/>
        </w:rPr>
        <w:t>重大危险源辨识分析</w:t>
      </w:r>
      <w:bookmarkEnd w:id="31"/>
    </w:p>
    <w:p w14:paraId="6E994CF2">
      <w:pPr>
        <w:pStyle w:val="16"/>
        <w:bidi w:val="0"/>
        <w:rPr>
          <w:rFonts w:hint="default"/>
          <w:color w:val="auto"/>
          <w:lang w:val="en-US" w:eastAsia="zh-CN"/>
        </w:rPr>
      </w:pPr>
      <w:r>
        <w:rPr>
          <w:rFonts w:hint="default"/>
          <w:color w:val="auto"/>
          <w:lang w:val="en-US" w:eastAsia="zh-CN"/>
        </w:rPr>
        <w:t>重大危险源是指长期地或者临时地生产、储存、使用和经营危险物品，且危险物品的数量等于或超过临界量的单元。</w:t>
      </w:r>
    </w:p>
    <w:p w14:paraId="186C2586">
      <w:pPr>
        <w:pStyle w:val="16"/>
        <w:bidi w:val="0"/>
        <w:rPr>
          <w:rFonts w:hint="default"/>
          <w:color w:val="auto"/>
          <w:lang w:val="en-US" w:eastAsia="zh-CN"/>
        </w:rPr>
      </w:pPr>
      <w:r>
        <w:rPr>
          <w:rFonts w:hint="default"/>
          <w:color w:val="auto"/>
          <w:lang w:val="en-US" w:eastAsia="zh-CN"/>
        </w:rPr>
        <w:t>生产单位必须对重大危险源登记建档，进行定期检查、评估、监控，并制定应急预案。通过分析可知，鞍山东盛源矿业有限公司不存储危险化学品，所用爆破器材由爆破公司负责储存运输。因此，依据《危险化学品重大危险源辨识》（GB18218-2018），</w:t>
      </w:r>
      <w:r>
        <w:rPr>
          <w:rFonts w:hint="default"/>
          <w:b/>
          <w:bCs/>
          <w:color w:val="auto"/>
          <w:lang w:val="en-US" w:eastAsia="zh-CN"/>
        </w:rPr>
        <w:t>该项目不构成重大危险源</w:t>
      </w:r>
      <w:r>
        <w:rPr>
          <w:rFonts w:hint="default"/>
          <w:color w:val="auto"/>
          <w:lang w:val="en-US" w:eastAsia="zh-CN"/>
        </w:rPr>
        <w:t>。</w:t>
      </w:r>
    </w:p>
    <w:p w14:paraId="57343470">
      <w:pPr>
        <w:pStyle w:val="22"/>
        <w:bidi w:val="0"/>
        <w:rPr>
          <w:rFonts w:hint="default"/>
          <w:color w:val="auto"/>
          <w:lang w:val="en-US" w:eastAsia="zh-CN"/>
        </w:rPr>
      </w:pPr>
      <w:bookmarkStart w:id="32" w:name="_Toc32476"/>
      <w:r>
        <w:rPr>
          <w:rFonts w:hint="default"/>
          <w:color w:val="auto"/>
          <w:lang w:val="en-US" w:eastAsia="zh-CN"/>
        </w:rPr>
        <w:t>评价单元的划分与评价方法选择</w:t>
      </w:r>
      <w:bookmarkEnd w:id="32"/>
    </w:p>
    <w:p w14:paraId="3DB1BF68">
      <w:pPr>
        <w:pStyle w:val="23"/>
        <w:rPr>
          <w:rFonts w:hint="default"/>
          <w:color w:val="auto"/>
          <w:lang w:val="en-US" w:eastAsia="zh-CN"/>
        </w:rPr>
      </w:pPr>
      <w:bookmarkStart w:id="33" w:name="_Toc19726"/>
      <w:r>
        <w:rPr>
          <w:rFonts w:hint="default"/>
          <w:color w:val="auto"/>
          <w:lang w:val="en-US" w:eastAsia="zh-CN"/>
        </w:rPr>
        <w:t>评价单元划分</w:t>
      </w:r>
      <w:bookmarkEnd w:id="33"/>
    </w:p>
    <w:p w14:paraId="3EC77A25">
      <w:pPr>
        <w:pStyle w:val="16"/>
        <w:bidi w:val="0"/>
        <w:rPr>
          <w:rFonts w:hint="eastAsia"/>
          <w:color w:val="auto"/>
        </w:rPr>
      </w:pPr>
      <w:bookmarkStart w:id="34" w:name="_Toc107452833"/>
      <w:bookmarkStart w:id="35" w:name="_Toc104081465"/>
      <w:bookmarkStart w:id="36" w:name="_Toc90461568"/>
      <w:bookmarkStart w:id="37" w:name="_Toc98566406"/>
      <w:bookmarkStart w:id="38" w:name="_Toc104614588"/>
      <w:r>
        <w:rPr>
          <w:rFonts w:hint="eastAsia"/>
          <w:color w:val="auto"/>
        </w:rPr>
        <w:t>划分评价单元的目的是便于评价工作的有序进行，并有利于提高评价工作的准确性。</w:t>
      </w:r>
    </w:p>
    <w:p w14:paraId="007BF3C6">
      <w:pPr>
        <w:pStyle w:val="16"/>
        <w:bidi w:val="0"/>
        <w:rPr>
          <w:rFonts w:hint="eastAsia"/>
          <w:color w:val="auto"/>
        </w:rPr>
      </w:pPr>
      <w:r>
        <w:rPr>
          <w:rFonts w:hint="eastAsia"/>
          <w:color w:val="auto"/>
        </w:rPr>
        <w:t>通过对该矿生产工艺及其附属设施中存在的危险、有害因素的分析，结合该矿的特点与具体情况，本次评价按生产系统及其附属设施中存在的危险、有害因素的特性划分评价单元。并按评价的需要，将一个评价单元再划分为若干评价子单元。</w:t>
      </w:r>
    </w:p>
    <w:p w14:paraId="17745C21">
      <w:pPr>
        <w:pStyle w:val="16"/>
        <w:bidi w:val="0"/>
        <w:rPr>
          <w:rFonts w:hint="eastAsia"/>
          <w:color w:val="auto"/>
        </w:rPr>
      </w:pPr>
      <w:r>
        <w:rPr>
          <w:rFonts w:hint="eastAsia"/>
          <w:color w:val="auto"/>
        </w:rPr>
        <w:t>根据危险、有害因素识别与分析和评价单元划分原则，结合该矿的生产工艺特点，将该矿划分为安全生产管理和露天开采、周边环境、重大生产安全事故隐患判定和延期换证审核5个评价单元。</w:t>
      </w:r>
    </w:p>
    <w:p w14:paraId="6D1DAE71">
      <w:pPr>
        <w:pStyle w:val="16"/>
        <w:bidi w:val="0"/>
        <w:rPr>
          <w:rFonts w:hint="eastAsia"/>
          <w:color w:val="auto"/>
        </w:rPr>
      </w:pPr>
      <w:r>
        <w:rPr>
          <w:rFonts w:hint="eastAsia"/>
          <w:color w:val="auto"/>
        </w:rPr>
        <w:t>其中，露天开采单元再划分为露天采场、穿孔爆破、采装与运输、供配电、防排水、防灭火、防尘、通讯与其他等子评价单元。</w:t>
      </w:r>
    </w:p>
    <w:bookmarkEnd w:id="34"/>
    <w:bookmarkEnd w:id="35"/>
    <w:bookmarkEnd w:id="36"/>
    <w:bookmarkEnd w:id="37"/>
    <w:bookmarkEnd w:id="38"/>
    <w:p w14:paraId="43AAEDF3">
      <w:pPr>
        <w:pStyle w:val="23"/>
        <w:bidi w:val="0"/>
        <w:rPr>
          <w:rFonts w:hint="default"/>
          <w:color w:val="auto"/>
          <w:lang w:val="en-US" w:eastAsia="zh-CN"/>
        </w:rPr>
      </w:pPr>
      <w:bookmarkStart w:id="39" w:name="_Toc5847"/>
      <w:r>
        <w:rPr>
          <w:rFonts w:hint="default"/>
          <w:color w:val="auto"/>
          <w:lang w:val="en-US" w:eastAsia="zh-CN"/>
        </w:rPr>
        <w:t>评价方法的选择</w:t>
      </w:r>
      <w:bookmarkEnd w:id="39"/>
    </w:p>
    <w:p w14:paraId="1BF405A4">
      <w:pPr>
        <w:pStyle w:val="16"/>
        <w:bidi w:val="0"/>
        <w:rPr>
          <w:rFonts w:hint="eastAsia"/>
          <w:color w:val="auto"/>
        </w:rPr>
      </w:pPr>
      <w:r>
        <w:rPr>
          <w:rFonts w:hint="eastAsia"/>
          <w:color w:val="auto"/>
        </w:rPr>
        <w:t>本次评价选用安全检查表法及经验分析法。</w:t>
      </w:r>
    </w:p>
    <w:p w14:paraId="01379887">
      <w:pPr>
        <w:pStyle w:val="16"/>
        <w:bidi w:val="0"/>
        <w:rPr>
          <w:rFonts w:hint="eastAsia" w:ascii="Times New Roman" w:hAnsi="Times New Roman"/>
          <w:color w:val="auto"/>
          <w:szCs w:val="21"/>
        </w:rPr>
      </w:pPr>
      <w:r>
        <w:rPr>
          <w:rFonts w:hint="eastAsia"/>
          <w:color w:val="auto"/>
        </w:rPr>
        <w:t>安全检查表法是定性的安全评价方法。安全检查表是根据有关法律、法规、技术标准和安全规程制定的，其检查目的明确，内容具体，易于实现安全要求。对检查对象进行详细调查研究和全面分析的过程，也是对系统存在的危险、有害因素辨识、评价的过程，既能准确地发现问题，也可避免检查过程中的走过场和盲目性，从而提高安全检查工作的效果和质量。另外，安全检查表法使用起来简便易行，易于安全管理人员和广大职工掌握和接受，可经常用来进行自我检查。</w:t>
      </w:r>
    </w:p>
    <w:p w14:paraId="41AFD459">
      <w:pPr>
        <w:pStyle w:val="25"/>
        <w:bidi w:val="0"/>
        <w:rPr>
          <w:rFonts w:hint="eastAsia"/>
          <w:color w:val="auto"/>
        </w:rPr>
      </w:pPr>
      <w:r>
        <w:rPr>
          <w:rFonts w:hint="eastAsia"/>
          <w:color w:val="auto"/>
        </w:rPr>
        <w:t>表4.2-1评价单元划分及评价方法选择表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
        <w:gridCol w:w="3933"/>
        <w:gridCol w:w="3671"/>
      </w:tblGrid>
      <w:tr w14:paraId="26492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noWrap w:val="0"/>
            <w:vAlign w:val="center"/>
          </w:tcPr>
          <w:p w14:paraId="689624BE">
            <w:pPr>
              <w:pStyle w:val="26"/>
              <w:bidi w:val="0"/>
              <w:rPr>
                <w:rFonts w:hint="eastAsia"/>
                <w:color w:val="auto"/>
              </w:rPr>
            </w:pPr>
            <w:r>
              <w:rPr>
                <w:rFonts w:hint="eastAsia"/>
                <w:color w:val="auto"/>
              </w:rPr>
              <w:t>序号</w:t>
            </w:r>
          </w:p>
        </w:tc>
        <w:tc>
          <w:tcPr>
            <w:tcW w:w="3933" w:type="dxa"/>
            <w:noWrap w:val="0"/>
            <w:vAlign w:val="center"/>
          </w:tcPr>
          <w:p w14:paraId="21AA4350">
            <w:pPr>
              <w:pStyle w:val="26"/>
              <w:bidi w:val="0"/>
              <w:rPr>
                <w:rFonts w:hint="eastAsia"/>
                <w:color w:val="auto"/>
              </w:rPr>
            </w:pPr>
            <w:r>
              <w:rPr>
                <w:rFonts w:hint="eastAsia"/>
                <w:color w:val="auto"/>
              </w:rPr>
              <w:t>评价单元的划分</w:t>
            </w:r>
          </w:p>
        </w:tc>
        <w:tc>
          <w:tcPr>
            <w:tcW w:w="3671" w:type="dxa"/>
            <w:noWrap w:val="0"/>
            <w:vAlign w:val="center"/>
          </w:tcPr>
          <w:p w14:paraId="0252E471">
            <w:pPr>
              <w:pStyle w:val="26"/>
              <w:bidi w:val="0"/>
              <w:rPr>
                <w:rFonts w:hint="eastAsia"/>
                <w:color w:val="auto"/>
              </w:rPr>
            </w:pPr>
            <w:r>
              <w:rPr>
                <w:rFonts w:hint="eastAsia"/>
                <w:color w:val="auto"/>
              </w:rPr>
              <w:t>评价方法的选择</w:t>
            </w:r>
          </w:p>
        </w:tc>
      </w:tr>
      <w:tr w14:paraId="335C6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noWrap w:val="0"/>
            <w:vAlign w:val="center"/>
          </w:tcPr>
          <w:p w14:paraId="1B422347">
            <w:pPr>
              <w:pStyle w:val="26"/>
              <w:bidi w:val="0"/>
              <w:rPr>
                <w:rFonts w:hint="eastAsia"/>
                <w:color w:val="auto"/>
              </w:rPr>
            </w:pPr>
            <w:r>
              <w:rPr>
                <w:rFonts w:hint="eastAsia"/>
                <w:color w:val="auto"/>
              </w:rPr>
              <w:t>1</w:t>
            </w:r>
          </w:p>
        </w:tc>
        <w:tc>
          <w:tcPr>
            <w:tcW w:w="3933" w:type="dxa"/>
            <w:noWrap w:val="0"/>
            <w:vAlign w:val="center"/>
          </w:tcPr>
          <w:p w14:paraId="19C12F2D">
            <w:pPr>
              <w:pStyle w:val="26"/>
              <w:bidi w:val="0"/>
              <w:rPr>
                <w:rFonts w:hint="eastAsia"/>
                <w:color w:val="auto"/>
              </w:rPr>
            </w:pPr>
            <w:r>
              <w:rPr>
                <w:rFonts w:hint="eastAsia"/>
                <w:color w:val="auto"/>
              </w:rPr>
              <w:t>安全生产管理</w:t>
            </w:r>
          </w:p>
        </w:tc>
        <w:tc>
          <w:tcPr>
            <w:tcW w:w="3671" w:type="dxa"/>
            <w:noWrap w:val="0"/>
            <w:vAlign w:val="center"/>
          </w:tcPr>
          <w:p w14:paraId="0F186D3C">
            <w:pPr>
              <w:pStyle w:val="26"/>
              <w:bidi w:val="0"/>
              <w:rPr>
                <w:rFonts w:hint="eastAsia"/>
                <w:color w:val="auto"/>
              </w:rPr>
            </w:pPr>
            <w:r>
              <w:rPr>
                <w:rFonts w:hint="eastAsia"/>
                <w:color w:val="auto"/>
              </w:rPr>
              <w:t>安全检查表法</w:t>
            </w:r>
          </w:p>
        </w:tc>
      </w:tr>
      <w:tr w14:paraId="15AE3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 w:type="dxa"/>
            <w:noWrap w:val="0"/>
            <w:vAlign w:val="center"/>
          </w:tcPr>
          <w:p w14:paraId="503DFC6F">
            <w:pPr>
              <w:pStyle w:val="26"/>
              <w:bidi w:val="0"/>
              <w:rPr>
                <w:rFonts w:hint="eastAsia"/>
                <w:color w:val="auto"/>
              </w:rPr>
            </w:pPr>
            <w:r>
              <w:rPr>
                <w:rFonts w:hint="eastAsia"/>
                <w:color w:val="auto"/>
              </w:rPr>
              <w:t>2</w:t>
            </w:r>
          </w:p>
        </w:tc>
        <w:tc>
          <w:tcPr>
            <w:tcW w:w="3933" w:type="dxa"/>
            <w:noWrap w:val="0"/>
            <w:vAlign w:val="center"/>
          </w:tcPr>
          <w:p w14:paraId="4AE9EB8F">
            <w:pPr>
              <w:pStyle w:val="26"/>
              <w:bidi w:val="0"/>
              <w:rPr>
                <w:rFonts w:hint="eastAsia"/>
                <w:color w:val="auto"/>
              </w:rPr>
            </w:pPr>
            <w:r>
              <w:rPr>
                <w:rFonts w:hint="eastAsia"/>
                <w:color w:val="auto"/>
              </w:rPr>
              <w:t>露天开采</w:t>
            </w:r>
          </w:p>
        </w:tc>
        <w:tc>
          <w:tcPr>
            <w:tcW w:w="3671" w:type="dxa"/>
            <w:noWrap w:val="0"/>
            <w:vAlign w:val="center"/>
          </w:tcPr>
          <w:p w14:paraId="592E054D">
            <w:pPr>
              <w:pStyle w:val="26"/>
              <w:bidi w:val="0"/>
              <w:rPr>
                <w:rFonts w:hint="eastAsia"/>
                <w:color w:val="auto"/>
              </w:rPr>
            </w:pPr>
            <w:r>
              <w:rPr>
                <w:rFonts w:hint="eastAsia"/>
                <w:color w:val="auto"/>
              </w:rPr>
              <w:t>安全检查表法</w:t>
            </w:r>
          </w:p>
        </w:tc>
      </w:tr>
      <w:tr w14:paraId="688FC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01" w:type="dxa"/>
            <w:noWrap w:val="0"/>
            <w:vAlign w:val="center"/>
          </w:tcPr>
          <w:p w14:paraId="363E2835">
            <w:pPr>
              <w:pStyle w:val="26"/>
              <w:bidi w:val="0"/>
              <w:rPr>
                <w:rFonts w:hint="eastAsia"/>
                <w:color w:val="auto"/>
              </w:rPr>
            </w:pPr>
            <w:r>
              <w:rPr>
                <w:rFonts w:hint="eastAsia"/>
                <w:color w:val="auto"/>
              </w:rPr>
              <w:t>3</w:t>
            </w:r>
          </w:p>
        </w:tc>
        <w:tc>
          <w:tcPr>
            <w:tcW w:w="3933" w:type="dxa"/>
            <w:noWrap w:val="0"/>
            <w:vAlign w:val="center"/>
          </w:tcPr>
          <w:p w14:paraId="37D788AA">
            <w:pPr>
              <w:pStyle w:val="26"/>
              <w:bidi w:val="0"/>
              <w:rPr>
                <w:rFonts w:hint="eastAsia"/>
                <w:color w:val="auto"/>
              </w:rPr>
            </w:pPr>
            <w:r>
              <w:rPr>
                <w:rFonts w:hint="eastAsia"/>
                <w:color w:val="auto"/>
              </w:rPr>
              <w:t>周边环境</w:t>
            </w:r>
          </w:p>
        </w:tc>
        <w:tc>
          <w:tcPr>
            <w:tcW w:w="3671" w:type="dxa"/>
            <w:noWrap w:val="0"/>
            <w:vAlign w:val="center"/>
          </w:tcPr>
          <w:p w14:paraId="692CC272">
            <w:pPr>
              <w:pStyle w:val="26"/>
              <w:bidi w:val="0"/>
              <w:rPr>
                <w:rFonts w:hint="eastAsia"/>
                <w:color w:val="auto"/>
              </w:rPr>
            </w:pPr>
            <w:r>
              <w:rPr>
                <w:rFonts w:hint="eastAsia"/>
                <w:color w:val="auto"/>
              </w:rPr>
              <w:t>经验分析法</w:t>
            </w:r>
          </w:p>
        </w:tc>
      </w:tr>
      <w:tr w14:paraId="3E29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01" w:type="dxa"/>
            <w:noWrap w:val="0"/>
            <w:vAlign w:val="center"/>
          </w:tcPr>
          <w:p w14:paraId="75C406CF">
            <w:pPr>
              <w:pStyle w:val="26"/>
              <w:bidi w:val="0"/>
              <w:rPr>
                <w:rFonts w:hint="eastAsia"/>
                <w:color w:val="auto"/>
              </w:rPr>
            </w:pPr>
            <w:r>
              <w:rPr>
                <w:rFonts w:hint="eastAsia"/>
                <w:color w:val="auto"/>
              </w:rPr>
              <w:t>4</w:t>
            </w:r>
          </w:p>
        </w:tc>
        <w:tc>
          <w:tcPr>
            <w:tcW w:w="3933" w:type="dxa"/>
            <w:noWrap w:val="0"/>
            <w:vAlign w:val="center"/>
          </w:tcPr>
          <w:p w14:paraId="25202532">
            <w:pPr>
              <w:pStyle w:val="26"/>
              <w:bidi w:val="0"/>
              <w:rPr>
                <w:rFonts w:hint="eastAsia"/>
                <w:color w:val="auto"/>
              </w:rPr>
            </w:pPr>
            <w:r>
              <w:rPr>
                <w:rFonts w:hint="eastAsia"/>
                <w:color w:val="auto"/>
              </w:rPr>
              <w:t>重大生产安全事故隐患判定</w:t>
            </w:r>
          </w:p>
        </w:tc>
        <w:tc>
          <w:tcPr>
            <w:tcW w:w="3671" w:type="dxa"/>
            <w:noWrap w:val="0"/>
            <w:vAlign w:val="center"/>
          </w:tcPr>
          <w:p w14:paraId="036057E1">
            <w:pPr>
              <w:pStyle w:val="26"/>
              <w:bidi w:val="0"/>
              <w:rPr>
                <w:rFonts w:hint="eastAsia"/>
                <w:color w:val="auto"/>
              </w:rPr>
            </w:pPr>
            <w:r>
              <w:rPr>
                <w:rFonts w:hint="eastAsia"/>
                <w:color w:val="auto"/>
              </w:rPr>
              <w:t>安全检查表法</w:t>
            </w:r>
          </w:p>
        </w:tc>
      </w:tr>
      <w:tr w14:paraId="02673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01" w:type="dxa"/>
            <w:noWrap w:val="0"/>
            <w:vAlign w:val="center"/>
          </w:tcPr>
          <w:p w14:paraId="221F81F9">
            <w:pPr>
              <w:pStyle w:val="26"/>
              <w:bidi w:val="0"/>
              <w:rPr>
                <w:rFonts w:hint="eastAsia"/>
                <w:color w:val="auto"/>
              </w:rPr>
            </w:pPr>
            <w:r>
              <w:rPr>
                <w:rFonts w:hint="eastAsia"/>
                <w:color w:val="auto"/>
              </w:rPr>
              <w:t>5</w:t>
            </w:r>
          </w:p>
        </w:tc>
        <w:tc>
          <w:tcPr>
            <w:tcW w:w="3933" w:type="dxa"/>
            <w:noWrap w:val="0"/>
            <w:vAlign w:val="center"/>
          </w:tcPr>
          <w:p w14:paraId="623C63C0">
            <w:pPr>
              <w:pStyle w:val="26"/>
              <w:bidi w:val="0"/>
              <w:rPr>
                <w:rFonts w:hint="eastAsia"/>
                <w:color w:val="auto"/>
              </w:rPr>
            </w:pPr>
            <w:r>
              <w:rPr>
                <w:rFonts w:hint="eastAsia"/>
                <w:color w:val="auto"/>
              </w:rPr>
              <w:t>延期换证审核</w:t>
            </w:r>
          </w:p>
        </w:tc>
        <w:tc>
          <w:tcPr>
            <w:tcW w:w="3671" w:type="dxa"/>
            <w:noWrap w:val="0"/>
            <w:vAlign w:val="center"/>
          </w:tcPr>
          <w:p w14:paraId="6FCD1C4C">
            <w:pPr>
              <w:pStyle w:val="26"/>
              <w:bidi w:val="0"/>
              <w:rPr>
                <w:rFonts w:hint="eastAsia"/>
                <w:color w:val="auto"/>
              </w:rPr>
            </w:pPr>
            <w:r>
              <w:rPr>
                <w:rFonts w:hint="eastAsia"/>
                <w:color w:val="auto"/>
              </w:rPr>
              <w:t>安全检查表法</w:t>
            </w:r>
          </w:p>
        </w:tc>
      </w:tr>
    </w:tbl>
    <w:p w14:paraId="33BD4FA6">
      <w:pPr>
        <w:pStyle w:val="16"/>
        <w:bidi w:val="0"/>
        <w:rPr>
          <w:rFonts w:hint="eastAsia"/>
          <w:color w:val="auto"/>
        </w:rPr>
      </w:pPr>
    </w:p>
    <w:p w14:paraId="6F420DD4">
      <w:pPr>
        <w:pStyle w:val="22"/>
        <w:bidi w:val="0"/>
        <w:rPr>
          <w:rFonts w:hint="default"/>
          <w:color w:val="auto"/>
          <w:lang w:val="en-US" w:eastAsia="zh-CN"/>
        </w:rPr>
      </w:pPr>
      <w:bookmarkStart w:id="40" w:name="_Toc5902"/>
      <w:r>
        <w:rPr>
          <w:rFonts w:hint="eastAsia"/>
          <w:color w:val="auto"/>
        </w:rPr>
        <w:t>定性、定量评价</w:t>
      </w:r>
      <w:bookmarkEnd w:id="40"/>
    </w:p>
    <w:p w14:paraId="193A4159">
      <w:pPr>
        <w:pStyle w:val="16"/>
        <w:bidi w:val="0"/>
        <w:rPr>
          <w:rFonts w:hint="eastAsia"/>
          <w:color w:val="auto"/>
        </w:rPr>
      </w:pPr>
      <w:r>
        <w:rPr>
          <w:rFonts w:hint="eastAsia"/>
          <w:color w:val="auto"/>
        </w:rPr>
        <w:t>根据鞍山东盛源矿业有限公司露天矿山生产实际情况和所选择的评价方法，按照划分的评价单元对其进行定性、定量评价如下。</w:t>
      </w:r>
    </w:p>
    <w:p w14:paraId="424B0421">
      <w:pPr>
        <w:pStyle w:val="23"/>
        <w:rPr>
          <w:rFonts w:hint="default"/>
          <w:color w:val="auto"/>
          <w:lang w:val="en-US" w:eastAsia="zh-CN"/>
        </w:rPr>
      </w:pPr>
      <w:bookmarkStart w:id="41" w:name="_Toc19872"/>
      <w:r>
        <w:rPr>
          <w:rFonts w:hint="default"/>
          <w:color w:val="auto"/>
          <w:lang w:val="en-US" w:eastAsia="zh-CN"/>
        </w:rPr>
        <w:t>全管理单元评价</w:t>
      </w:r>
      <w:bookmarkEnd w:id="41"/>
    </w:p>
    <w:p w14:paraId="11413653">
      <w:pPr>
        <w:pStyle w:val="16"/>
        <w:bidi w:val="0"/>
        <w:rPr>
          <w:rFonts w:hint="eastAsia"/>
          <w:color w:val="auto"/>
        </w:rPr>
      </w:pPr>
      <w:r>
        <w:rPr>
          <w:rFonts w:hint="eastAsia"/>
          <w:color w:val="auto"/>
        </w:rPr>
        <w:t>安全管理单元检查详见下表：</w:t>
      </w:r>
    </w:p>
    <w:p w14:paraId="6A722742">
      <w:pPr>
        <w:pStyle w:val="25"/>
        <w:bidi w:val="0"/>
        <w:rPr>
          <w:rFonts w:hint="eastAsia"/>
          <w:color w:val="auto"/>
        </w:rPr>
      </w:pPr>
      <w:r>
        <w:rPr>
          <w:rFonts w:hint="eastAsia"/>
          <w:color w:val="auto"/>
        </w:rPr>
        <w:t>表5.1-1  安全管理单元检查表</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32" w:type="dxa"/>
          <w:left w:w="64" w:type="dxa"/>
          <w:bottom w:w="32" w:type="dxa"/>
          <w:right w:w="64" w:type="dxa"/>
        </w:tblCellMar>
      </w:tblPr>
      <w:tblGrid>
        <w:gridCol w:w="587"/>
        <w:gridCol w:w="2813"/>
        <w:gridCol w:w="2479"/>
        <w:gridCol w:w="429"/>
        <w:gridCol w:w="2602"/>
        <w:gridCol w:w="403"/>
      </w:tblGrid>
      <w:tr w14:paraId="4C234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noWrap w:val="0"/>
            <w:vAlign w:val="center"/>
          </w:tcPr>
          <w:p w14:paraId="18D42E4B">
            <w:pPr>
              <w:pStyle w:val="26"/>
              <w:bidi w:val="0"/>
              <w:snapToGrid w:val="0"/>
              <w:rPr>
                <w:rFonts w:hint="eastAsia"/>
                <w:color w:val="auto"/>
                <w:sz w:val="21"/>
                <w:szCs w:val="21"/>
              </w:rPr>
            </w:pPr>
            <w:r>
              <w:rPr>
                <w:rFonts w:hint="eastAsia"/>
                <w:color w:val="auto"/>
                <w:sz w:val="21"/>
                <w:szCs w:val="21"/>
              </w:rPr>
              <w:t>序号</w:t>
            </w:r>
          </w:p>
        </w:tc>
        <w:tc>
          <w:tcPr>
            <w:tcW w:w="1509" w:type="pct"/>
            <w:noWrap w:val="0"/>
            <w:vAlign w:val="center"/>
          </w:tcPr>
          <w:p w14:paraId="6723D1F4">
            <w:pPr>
              <w:pStyle w:val="26"/>
              <w:bidi w:val="0"/>
              <w:snapToGrid w:val="0"/>
              <w:rPr>
                <w:rFonts w:hint="eastAsia"/>
                <w:color w:val="auto"/>
                <w:sz w:val="21"/>
                <w:szCs w:val="21"/>
              </w:rPr>
            </w:pPr>
            <w:r>
              <w:rPr>
                <w:rFonts w:hint="eastAsia"/>
                <w:color w:val="auto"/>
                <w:sz w:val="21"/>
                <w:szCs w:val="21"/>
              </w:rPr>
              <w:t>检查内容</w:t>
            </w:r>
          </w:p>
        </w:tc>
        <w:tc>
          <w:tcPr>
            <w:tcW w:w="1330" w:type="pct"/>
            <w:noWrap w:val="0"/>
            <w:vAlign w:val="center"/>
          </w:tcPr>
          <w:p w14:paraId="0E90B6C7">
            <w:pPr>
              <w:pStyle w:val="26"/>
              <w:bidi w:val="0"/>
              <w:snapToGrid w:val="0"/>
              <w:rPr>
                <w:rFonts w:hint="eastAsia"/>
                <w:color w:val="auto"/>
                <w:sz w:val="21"/>
                <w:szCs w:val="21"/>
              </w:rPr>
            </w:pPr>
            <w:r>
              <w:rPr>
                <w:rFonts w:hint="eastAsia"/>
                <w:color w:val="auto"/>
                <w:sz w:val="21"/>
                <w:szCs w:val="21"/>
              </w:rPr>
              <w:t>检查依据</w:t>
            </w:r>
          </w:p>
        </w:tc>
        <w:tc>
          <w:tcPr>
            <w:tcW w:w="230" w:type="pct"/>
            <w:noWrap w:val="0"/>
            <w:vAlign w:val="center"/>
          </w:tcPr>
          <w:p w14:paraId="7CBA6B1C">
            <w:pPr>
              <w:pStyle w:val="26"/>
              <w:bidi w:val="0"/>
              <w:snapToGrid w:val="0"/>
              <w:rPr>
                <w:rFonts w:hint="eastAsia"/>
                <w:color w:val="auto"/>
                <w:sz w:val="21"/>
                <w:szCs w:val="21"/>
              </w:rPr>
            </w:pPr>
            <w:r>
              <w:rPr>
                <w:rFonts w:hint="eastAsia"/>
                <w:color w:val="auto"/>
                <w:sz w:val="21"/>
                <w:szCs w:val="21"/>
              </w:rPr>
              <w:t>检查方法</w:t>
            </w:r>
          </w:p>
        </w:tc>
        <w:tc>
          <w:tcPr>
            <w:tcW w:w="1396" w:type="pct"/>
            <w:noWrap w:val="0"/>
            <w:vAlign w:val="center"/>
          </w:tcPr>
          <w:p w14:paraId="46D5738D">
            <w:pPr>
              <w:pStyle w:val="26"/>
              <w:bidi w:val="0"/>
              <w:snapToGrid w:val="0"/>
              <w:rPr>
                <w:rFonts w:hint="eastAsia"/>
                <w:color w:val="auto"/>
                <w:sz w:val="21"/>
                <w:szCs w:val="21"/>
              </w:rPr>
            </w:pPr>
            <w:r>
              <w:rPr>
                <w:rFonts w:hint="eastAsia"/>
                <w:color w:val="auto"/>
                <w:sz w:val="21"/>
                <w:szCs w:val="21"/>
              </w:rPr>
              <w:t>检查结果</w:t>
            </w:r>
          </w:p>
        </w:tc>
        <w:tc>
          <w:tcPr>
            <w:tcW w:w="216" w:type="pct"/>
            <w:noWrap w:val="0"/>
            <w:vAlign w:val="center"/>
          </w:tcPr>
          <w:p w14:paraId="20B2F3A7">
            <w:pPr>
              <w:pStyle w:val="26"/>
              <w:bidi w:val="0"/>
              <w:snapToGrid w:val="0"/>
              <w:rPr>
                <w:rFonts w:hint="eastAsia"/>
                <w:color w:val="auto"/>
                <w:sz w:val="21"/>
                <w:szCs w:val="21"/>
              </w:rPr>
            </w:pPr>
            <w:r>
              <w:rPr>
                <w:rFonts w:hint="eastAsia"/>
                <w:color w:val="auto"/>
                <w:sz w:val="21"/>
                <w:szCs w:val="21"/>
              </w:rPr>
              <w:t>结 论</w:t>
            </w:r>
          </w:p>
        </w:tc>
      </w:tr>
      <w:tr w14:paraId="15263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restart"/>
            <w:noWrap w:val="0"/>
            <w:textDirection w:val="tbRlV"/>
            <w:vAlign w:val="center"/>
          </w:tcPr>
          <w:p w14:paraId="73D011A0">
            <w:pPr>
              <w:pStyle w:val="26"/>
              <w:bidi w:val="0"/>
              <w:snapToGrid w:val="0"/>
              <w:rPr>
                <w:rFonts w:hint="eastAsia"/>
                <w:color w:val="auto"/>
                <w:sz w:val="21"/>
                <w:szCs w:val="21"/>
              </w:rPr>
            </w:pPr>
            <w:r>
              <w:rPr>
                <w:rFonts w:hint="eastAsia"/>
                <w:color w:val="auto"/>
                <w:sz w:val="21"/>
                <w:szCs w:val="21"/>
              </w:rPr>
              <w:t>一、证照及人员资格</w:t>
            </w:r>
          </w:p>
        </w:tc>
        <w:tc>
          <w:tcPr>
            <w:tcW w:w="1509" w:type="pct"/>
            <w:noWrap w:val="0"/>
            <w:vAlign w:val="center"/>
          </w:tcPr>
          <w:p w14:paraId="66A7C60D">
            <w:pPr>
              <w:pStyle w:val="26"/>
              <w:bidi w:val="0"/>
              <w:snapToGrid w:val="0"/>
              <w:rPr>
                <w:rFonts w:hint="eastAsia"/>
                <w:color w:val="auto"/>
                <w:sz w:val="21"/>
                <w:szCs w:val="21"/>
              </w:rPr>
            </w:pPr>
            <w:r>
              <w:rPr>
                <w:rFonts w:hint="eastAsia"/>
                <w:color w:val="auto"/>
                <w:sz w:val="21"/>
                <w:szCs w:val="21"/>
              </w:rPr>
              <w:t>1.采矿许可证、营业执照、安全生产许可证的具备和有效性。</w:t>
            </w:r>
          </w:p>
        </w:tc>
        <w:tc>
          <w:tcPr>
            <w:tcW w:w="1330" w:type="pct"/>
            <w:noWrap w:val="0"/>
            <w:vAlign w:val="center"/>
          </w:tcPr>
          <w:p w14:paraId="60DF4CD6">
            <w:pPr>
              <w:pStyle w:val="26"/>
              <w:bidi w:val="0"/>
              <w:snapToGrid w:val="0"/>
              <w:rPr>
                <w:rFonts w:hint="eastAsia"/>
                <w:color w:val="auto"/>
                <w:sz w:val="21"/>
                <w:szCs w:val="21"/>
              </w:rPr>
            </w:pPr>
            <w:r>
              <w:rPr>
                <w:rFonts w:hint="eastAsia"/>
                <w:color w:val="auto"/>
                <w:sz w:val="21"/>
                <w:szCs w:val="21"/>
              </w:rPr>
              <w:t>《矿产资源法》、《矿山安全法》、《安全生产法》</w:t>
            </w:r>
          </w:p>
        </w:tc>
        <w:tc>
          <w:tcPr>
            <w:tcW w:w="230" w:type="pct"/>
            <w:noWrap w:val="0"/>
            <w:vAlign w:val="center"/>
          </w:tcPr>
          <w:p w14:paraId="6EFA9B8F">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0655E531">
            <w:pPr>
              <w:pStyle w:val="26"/>
              <w:bidi w:val="0"/>
              <w:snapToGrid w:val="0"/>
              <w:rPr>
                <w:rFonts w:hint="eastAsia"/>
                <w:color w:val="auto"/>
                <w:sz w:val="21"/>
                <w:szCs w:val="21"/>
              </w:rPr>
            </w:pPr>
            <w:r>
              <w:rPr>
                <w:rFonts w:hint="eastAsia"/>
                <w:color w:val="auto"/>
                <w:sz w:val="21"/>
                <w:szCs w:val="21"/>
              </w:rPr>
              <w:t>有鞍山市行政审批局</w:t>
            </w:r>
            <w:r>
              <w:rPr>
                <w:rFonts w:hint="eastAsia"/>
                <w:color w:val="auto"/>
                <w:sz w:val="21"/>
                <w:szCs w:val="21"/>
                <w:lang w:val="en-US" w:eastAsia="zh-CN"/>
              </w:rPr>
              <w:t>颁发</w:t>
            </w:r>
            <w:r>
              <w:rPr>
                <w:rFonts w:hint="eastAsia"/>
                <w:color w:val="auto"/>
                <w:sz w:val="21"/>
                <w:szCs w:val="21"/>
              </w:rPr>
              <w:t>的《采矿许可证》，岫岩满族自治县市场监督管理局核发的《营业执照》，辽宁省应急管理厅下发的《安全生产许可证》均在有效期内。</w:t>
            </w:r>
          </w:p>
        </w:tc>
        <w:tc>
          <w:tcPr>
            <w:tcW w:w="216" w:type="pct"/>
            <w:noWrap w:val="0"/>
            <w:vAlign w:val="center"/>
          </w:tcPr>
          <w:p w14:paraId="12612530">
            <w:pPr>
              <w:pStyle w:val="26"/>
              <w:bidi w:val="0"/>
              <w:snapToGrid w:val="0"/>
              <w:rPr>
                <w:rFonts w:hint="eastAsia"/>
                <w:color w:val="auto"/>
                <w:sz w:val="21"/>
                <w:szCs w:val="21"/>
              </w:rPr>
            </w:pPr>
            <w:r>
              <w:rPr>
                <w:rFonts w:hint="eastAsia"/>
                <w:color w:val="auto"/>
                <w:sz w:val="21"/>
                <w:szCs w:val="21"/>
              </w:rPr>
              <w:t>符合要求</w:t>
            </w:r>
          </w:p>
        </w:tc>
      </w:tr>
      <w:tr w14:paraId="2B187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2271FB20">
            <w:pPr>
              <w:pStyle w:val="26"/>
              <w:bidi w:val="0"/>
              <w:snapToGrid w:val="0"/>
              <w:rPr>
                <w:rFonts w:hint="eastAsia"/>
                <w:color w:val="auto"/>
                <w:sz w:val="21"/>
                <w:szCs w:val="21"/>
              </w:rPr>
            </w:pPr>
          </w:p>
        </w:tc>
        <w:tc>
          <w:tcPr>
            <w:tcW w:w="1509" w:type="pct"/>
            <w:noWrap w:val="0"/>
            <w:vAlign w:val="center"/>
          </w:tcPr>
          <w:p w14:paraId="0BE3EF81">
            <w:pPr>
              <w:pStyle w:val="26"/>
              <w:bidi w:val="0"/>
              <w:snapToGrid w:val="0"/>
              <w:rPr>
                <w:rFonts w:hint="eastAsia"/>
                <w:color w:val="auto"/>
                <w:sz w:val="21"/>
                <w:szCs w:val="21"/>
              </w:rPr>
            </w:pPr>
            <w:r>
              <w:rPr>
                <w:rFonts w:hint="eastAsia"/>
                <w:color w:val="auto"/>
                <w:sz w:val="21"/>
                <w:szCs w:val="21"/>
              </w:rPr>
              <w:t>2. 矿山企业主要负责人应依法接受安全培训和考核，并取得合格证。</w:t>
            </w:r>
          </w:p>
        </w:tc>
        <w:tc>
          <w:tcPr>
            <w:tcW w:w="1330" w:type="pct"/>
            <w:noWrap w:val="0"/>
            <w:vAlign w:val="center"/>
          </w:tcPr>
          <w:p w14:paraId="01F3B6E4">
            <w:pPr>
              <w:pStyle w:val="26"/>
              <w:bidi w:val="0"/>
              <w:snapToGrid w:val="0"/>
              <w:rPr>
                <w:rFonts w:hint="eastAsia"/>
                <w:color w:val="auto"/>
                <w:sz w:val="21"/>
                <w:szCs w:val="21"/>
              </w:rPr>
            </w:pPr>
            <w:r>
              <w:rPr>
                <w:rFonts w:hint="eastAsia"/>
                <w:color w:val="auto"/>
                <w:sz w:val="21"/>
                <w:szCs w:val="21"/>
              </w:rPr>
              <w:t>《矿山安全法》第26条、</w:t>
            </w:r>
          </w:p>
          <w:p w14:paraId="5ACEAF99">
            <w:pPr>
              <w:pStyle w:val="26"/>
              <w:bidi w:val="0"/>
              <w:snapToGrid w:val="0"/>
              <w:rPr>
                <w:rFonts w:hint="eastAsia"/>
                <w:color w:val="auto"/>
                <w:sz w:val="21"/>
                <w:szCs w:val="21"/>
              </w:rPr>
            </w:pPr>
            <w:r>
              <w:rPr>
                <w:rFonts w:hint="eastAsia"/>
                <w:color w:val="auto"/>
                <w:sz w:val="21"/>
                <w:szCs w:val="21"/>
              </w:rPr>
              <w:t>《许可证实施办法》、《GB16423-2020》</w:t>
            </w:r>
          </w:p>
          <w:p w14:paraId="762DBED9">
            <w:pPr>
              <w:pStyle w:val="26"/>
              <w:bidi w:val="0"/>
              <w:snapToGrid w:val="0"/>
              <w:rPr>
                <w:rFonts w:hint="eastAsia"/>
                <w:color w:val="auto"/>
                <w:sz w:val="21"/>
                <w:szCs w:val="21"/>
              </w:rPr>
            </w:pPr>
            <w:r>
              <w:rPr>
                <w:rFonts w:hint="eastAsia"/>
                <w:color w:val="auto"/>
                <w:sz w:val="21"/>
                <w:szCs w:val="21"/>
              </w:rPr>
              <w:t>之4.2.3</w:t>
            </w:r>
          </w:p>
        </w:tc>
        <w:tc>
          <w:tcPr>
            <w:tcW w:w="230" w:type="pct"/>
            <w:noWrap w:val="0"/>
            <w:vAlign w:val="center"/>
          </w:tcPr>
          <w:p w14:paraId="5D50E270">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1C82BABB">
            <w:pPr>
              <w:pStyle w:val="26"/>
              <w:bidi w:val="0"/>
              <w:snapToGrid w:val="0"/>
              <w:rPr>
                <w:rFonts w:hint="eastAsia"/>
                <w:color w:val="auto"/>
                <w:sz w:val="21"/>
                <w:szCs w:val="21"/>
              </w:rPr>
            </w:pPr>
            <w:r>
              <w:rPr>
                <w:rFonts w:hint="eastAsia"/>
                <w:color w:val="auto"/>
                <w:sz w:val="21"/>
                <w:szCs w:val="21"/>
              </w:rPr>
              <w:t>主要负责人</w:t>
            </w:r>
            <w:r>
              <w:rPr>
                <w:rFonts w:hint="eastAsia"/>
                <w:color w:val="auto"/>
                <w:sz w:val="21"/>
                <w:szCs w:val="21"/>
                <w:lang w:val="en-US" w:eastAsia="zh-CN"/>
              </w:rPr>
              <w:t>夏玉东</w:t>
            </w:r>
            <w:r>
              <w:rPr>
                <w:rFonts w:hint="eastAsia"/>
                <w:color w:val="auto"/>
                <w:sz w:val="21"/>
                <w:szCs w:val="21"/>
              </w:rPr>
              <w:t>持有主要负责人资格证。</w:t>
            </w:r>
          </w:p>
        </w:tc>
        <w:tc>
          <w:tcPr>
            <w:tcW w:w="216" w:type="pct"/>
            <w:noWrap w:val="0"/>
            <w:vAlign w:val="center"/>
          </w:tcPr>
          <w:p w14:paraId="33A43FF9">
            <w:pPr>
              <w:pStyle w:val="26"/>
              <w:bidi w:val="0"/>
              <w:snapToGrid w:val="0"/>
              <w:rPr>
                <w:rFonts w:hint="eastAsia"/>
                <w:color w:val="auto"/>
                <w:sz w:val="21"/>
                <w:szCs w:val="21"/>
              </w:rPr>
            </w:pPr>
            <w:r>
              <w:rPr>
                <w:rFonts w:hint="eastAsia"/>
                <w:color w:val="auto"/>
                <w:sz w:val="21"/>
                <w:szCs w:val="21"/>
              </w:rPr>
              <w:t>符合要求</w:t>
            </w:r>
          </w:p>
        </w:tc>
      </w:tr>
      <w:tr w14:paraId="77086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6B9CCA9B">
            <w:pPr>
              <w:pStyle w:val="26"/>
              <w:bidi w:val="0"/>
              <w:snapToGrid w:val="0"/>
              <w:rPr>
                <w:rFonts w:hint="eastAsia"/>
                <w:color w:val="auto"/>
                <w:sz w:val="21"/>
                <w:szCs w:val="21"/>
              </w:rPr>
            </w:pPr>
          </w:p>
        </w:tc>
        <w:tc>
          <w:tcPr>
            <w:tcW w:w="1509" w:type="pct"/>
            <w:noWrap w:val="0"/>
            <w:vAlign w:val="center"/>
          </w:tcPr>
          <w:p w14:paraId="7ABA6E22">
            <w:pPr>
              <w:pStyle w:val="26"/>
              <w:bidi w:val="0"/>
              <w:snapToGrid w:val="0"/>
              <w:rPr>
                <w:rFonts w:hint="eastAsia"/>
                <w:color w:val="auto"/>
                <w:sz w:val="21"/>
                <w:szCs w:val="21"/>
              </w:rPr>
            </w:pPr>
            <w:r>
              <w:rPr>
                <w:rFonts w:hint="eastAsia"/>
                <w:color w:val="auto"/>
                <w:sz w:val="21"/>
                <w:szCs w:val="21"/>
              </w:rPr>
              <w:t>3.安全生产管理人员取得安全管理资格证及有效性。</w:t>
            </w:r>
          </w:p>
        </w:tc>
        <w:tc>
          <w:tcPr>
            <w:tcW w:w="1330" w:type="pct"/>
            <w:noWrap w:val="0"/>
            <w:vAlign w:val="center"/>
          </w:tcPr>
          <w:p w14:paraId="326930AB">
            <w:pPr>
              <w:pStyle w:val="26"/>
              <w:bidi w:val="0"/>
              <w:snapToGrid w:val="0"/>
              <w:rPr>
                <w:rFonts w:hint="eastAsia"/>
                <w:color w:val="auto"/>
                <w:sz w:val="21"/>
                <w:szCs w:val="21"/>
              </w:rPr>
            </w:pPr>
            <w:r>
              <w:rPr>
                <w:rFonts w:hint="eastAsia"/>
                <w:color w:val="auto"/>
                <w:sz w:val="21"/>
                <w:szCs w:val="21"/>
              </w:rPr>
              <w:t>《许可证实施办法》</w:t>
            </w:r>
          </w:p>
        </w:tc>
        <w:tc>
          <w:tcPr>
            <w:tcW w:w="230" w:type="pct"/>
            <w:noWrap w:val="0"/>
            <w:vAlign w:val="center"/>
          </w:tcPr>
          <w:p w14:paraId="53A4956F">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21ABFC21">
            <w:pPr>
              <w:pStyle w:val="26"/>
              <w:bidi w:val="0"/>
              <w:snapToGrid w:val="0"/>
              <w:rPr>
                <w:rFonts w:hint="eastAsia"/>
                <w:color w:val="auto"/>
                <w:sz w:val="21"/>
                <w:szCs w:val="21"/>
              </w:rPr>
            </w:pPr>
            <w:r>
              <w:rPr>
                <w:rFonts w:hint="eastAsia"/>
                <w:color w:val="auto"/>
                <w:sz w:val="21"/>
                <w:szCs w:val="21"/>
              </w:rPr>
              <w:t>安全生产管理人员石琳琳</w:t>
            </w:r>
            <w:r>
              <w:rPr>
                <w:rFonts w:hint="eastAsia"/>
                <w:color w:val="auto"/>
                <w:sz w:val="21"/>
                <w:szCs w:val="21"/>
                <w:lang w:eastAsia="zh-CN"/>
              </w:rPr>
              <w:t>、李久怡</w:t>
            </w:r>
            <w:r>
              <w:rPr>
                <w:rFonts w:hint="eastAsia"/>
                <w:color w:val="auto"/>
                <w:sz w:val="21"/>
                <w:szCs w:val="21"/>
              </w:rPr>
              <w:t>得了安全生产管理人员资格证，且有效。</w:t>
            </w:r>
          </w:p>
        </w:tc>
        <w:tc>
          <w:tcPr>
            <w:tcW w:w="216" w:type="pct"/>
            <w:noWrap w:val="0"/>
            <w:vAlign w:val="center"/>
          </w:tcPr>
          <w:p w14:paraId="36DAB7DB">
            <w:pPr>
              <w:pStyle w:val="26"/>
              <w:bidi w:val="0"/>
              <w:snapToGrid w:val="0"/>
              <w:rPr>
                <w:rFonts w:hint="eastAsia"/>
                <w:color w:val="auto"/>
                <w:sz w:val="21"/>
                <w:szCs w:val="21"/>
              </w:rPr>
            </w:pPr>
            <w:r>
              <w:rPr>
                <w:rFonts w:hint="eastAsia"/>
                <w:color w:val="auto"/>
                <w:sz w:val="21"/>
                <w:szCs w:val="21"/>
              </w:rPr>
              <w:t>符合要求</w:t>
            </w:r>
          </w:p>
        </w:tc>
      </w:tr>
      <w:tr w14:paraId="600EF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33ECF1F0">
            <w:pPr>
              <w:pStyle w:val="26"/>
              <w:bidi w:val="0"/>
              <w:snapToGrid w:val="0"/>
              <w:rPr>
                <w:rFonts w:hint="eastAsia"/>
                <w:color w:val="auto"/>
                <w:sz w:val="21"/>
                <w:szCs w:val="21"/>
              </w:rPr>
            </w:pPr>
          </w:p>
        </w:tc>
        <w:tc>
          <w:tcPr>
            <w:tcW w:w="1509" w:type="pct"/>
            <w:noWrap w:val="0"/>
            <w:vAlign w:val="center"/>
          </w:tcPr>
          <w:p w14:paraId="74D9E038">
            <w:pPr>
              <w:pStyle w:val="26"/>
              <w:bidi w:val="0"/>
              <w:snapToGrid w:val="0"/>
              <w:rPr>
                <w:rFonts w:hint="eastAsia"/>
                <w:color w:val="auto"/>
                <w:sz w:val="21"/>
                <w:szCs w:val="21"/>
              </w:rPr>
            </w:pPr>
            <w:r>
              <w:rPr>
                <w:rFonts w:hint="eastAsia"/>
                <w:color w:val="auto"/>
                <w:sz w:val="21"/>
                <w:szCs w:val="21"/>
              </w:rPr>
              <w:t>4.特种作业人员参加岗位专业技能培训以及取得特种作业人员岗位操作证书及有效情况。</w:t>
            </w:r>
          </w:p>
        </w:tc>
        <w:tc>
          <w:tcPr>
            <w:tcW w:w="1330" w:type="pct"/>
            <w:noWrap w:val="0"/>
            <w:vAlign w:val="center"/>
          </w:tcPr>
          <w:p w14:paraId="07A10D5D">
            <w:pPr>
              <w:pStyle w:val="26"/>
              <w:bidi w:val="0"/>
              <w:snapToGrid w:val="0"/>
              <w:rPr>
                <w:rFonts w:hint="eastAsia"/>
                <w:color w:val="auto"/>
                <w:sz w:val="21"/>
                <w:szCs w:val="21"/>
              </w:rPr>
            </w:pPr>
            <w:r>
              <w:rPr>
                <w:rFonts w:hint="eastAsia"/>
                <w:color w:val="auto"/>
                <w:sz w:val="21"/>
                <w:szCs w:val="21"/>
              </w:rPr>
              <w:t>《矿山安全法》第26条、</w:t>
            </w:r>
          </w:p>
          <w:p w14:paraId="592063CB">
            <w:pPr>
              <w:pStyle w:val="26"/>
              <w:bidi w:val="0"/>
              <w:snapToGrid w:val="0"/>
              <w:rPr>
                <w:rFonts w:hint="eastAsia"/>
                <w:color w:val="auto"/>
                <w:sz w:val="21"/>
                <w:szCs w:val="21"/>
              </w:rPr>
            </w:pPr>
            <w:r>
              <w:rPr>
                <w:rFonts w:hint="eastAsia"/>
                <w:color w:val="auto"/>
                <w:sz w:val="21"/>
                <w:szCs w:val="21"/>
              </w:rPr>
              <w:t>《许可证实施办法》、</w:t>
            </w:r>
          </w:p>
          <w:p w14:paraId="7BEC26B9">
            <w:pPr>
              <w:pStyle w:val="26"/>
              <w:bidi w:val="0"/>
              <w:snapToGrid w:val="0"/>
              <w:rPr>
                <w:rFonts w:hint="eastAsia"/>
                <w:color w:val="auto"/>
                <w:sz w:val="21"/>
                <w:szCs w:val="21"/>
              </w:rPr>
            </w:pPr>
            <w:r>
              <w:rPr>
                <w:rFonts w:hint="eastAsia"/>
                <w:color w:val="auto"/>
                <w:sz w:val="21"/>
                <w:szCs w:val="21"/>
              </w:rPr>
              <w:t>《安全生产法》第27条</w:t>
            </w:r>
          </w:p>
        </w:tc>
        <w:tc>
          <w:tcPr>
            <w:tcW w:w="230" w:type="pct"/>
            <w:noWrap w:val="0"/>
            <w:vAlign w:val="center"/>
          </w:tcPr>
          <w:p w14:paraId="314D5ABF">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0F5311F0">
            <w:pPr>
              <w:pStyle w:val="26"/>
              <w:bidi w:val="0"/>
              <w:snapToGrid w:val="0"/>
              <w:rPr>
                <w:rFonts w:hint="eastAsia"/>
                <w:color w:val="auto"/>
                <w:sz w:val="21"/>
                <w:szCs w:val="21"/>
              </w:rPr>
            </w:pPr>
            <w:r>
              <w:rPr>
                <w:rFonts w:hint="eastAsia"/>
                <w:color w:val="auto"/>
                <w:sz w:val="21"/>
                <w:szCs w:val="21"/>
              </w:rPr>
              <w:t>电工作业工孙忠斌、</w:t>
            </w:r>
            <w:r>
              <w:rPr>
                <w:rFonts w:hint="eastAsia"/>
                <w:color w:val="auto"/>
                <w:sz w:val="21"/>
                <w:szCs w:val="21"/>
                <w:lang w:val="en-US" w:eastAsia="zh-CN"/>
              </w:rPr>
              <w:t>焊接与热切割作业</w:t>
            </w:r>
            <w:r>
              <w:rPr>
                <w:rFonts w:hint="eastAsia"/>
                <w:color w:val="auto"/>
                <w:sz w:val="21"/>
                <w:szCs w:val="21"/>
              </w:rPr>
              <w:t>工张军辉均持证上岗，证书均有效。</w:t>
            </w:r>
          </w:p>
        </w:tc>
        <w:tc>
          <w:tcPr>
            <w:tcW w:w="216" w:type="pct"/>
            <w:noWrap w:val="0"/>
            <w:vAlign w:val="center"/>
          </w:tcPr>
          <w:p w14:paraId="3F2CB588">
            <w:pPr>
              <w:pStyle w:val="26"/>
              <w:bidi w:val="0"/>
              <w:snapToGrid w:val="0"/>
              <w:rPr>
                <w:rFonts w:hint="eastAsia"/>
                <w:color w:val="auto"/>
                <w:sz w:val="21"/>
                <w:szCs w:val="21"/>
              </w:rPr>
            </w:pPr>
            <w:r>
              <w:rPr>
                <w:rFonts w:hint="eastAsia"/>
                <w:color w:val="auto"/>
                <w:sz w:val="21"/>
                <w:szCs w:val="21"/>
              </w:rPr>
              <w:t>符合要求</w:t>
            </w:r>
          </w:p>
        </w:tc>
      </w:tr>
      <w:tr w14:paraId="538BA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01F652A3">
            <w:pPr>
              <w:pStyle w:val="26"/>
              <w:bidi w:val="0"/>
              <w:snapToGrid w:val="0"/>
              <w:rPr>
                <w:rFonts w:hint="eastAsia"/>
                <w:color w:val="auto"/>
                <w:sz w:val="21"/>
                <w:szCs w:val="21"/>
              </w:rPr>
            </w:pPr>
          </w:p>
        </w:tc>
        <w:tc>
          <w:tcPr>
            <w:tcW w:w="1509" w:type="pct"/>
            <w:noWrap w:val="0"/>
            <w:vAlign w:val="center"/>
          </w:tcPr>
          <w:p w14:paraId="4B648811">
            <w:pPr>
              <w:pStyle w:val="26"/>
              <w:bidi w:val="0"/>
              <w:snapToGrid w:val="0"/>
              <w:rPr>
                <w:rFonts w:hint="eastAsia"/>
                <w:color w:val="auto"/>
                <w:sz w:val="21"/>
                <w:szCs w:val="21"/>
              </w:rPr>
            </w:pPr>
            <w:r>
              <w:rPr>
                <w:rFonts w:hint="eastAsia"/>
                <w:color w:val="auto"/>
                <w:sz w:val="21"/>
                <w:szCs w:val="21"/>
              </w:rPr>
              <w:t>5.矿山企业应对矿山从业人员进行安全生产教育和培训，保证各岗位人员具备必要的安全生产知识，熟悉本矿山安全生产规章制度和本岗位安全操作规程，掌握本岗位的安全操作技能。未经安全生产教育和培训合格的，不准许上岗。</w:t>
            </w:r>
          </w:p>
        </w:tc>
        <w:tc>
          <w:tcPr>
            <w:tcW w:w="1330" w:type="pct"/>
            <w:noWrap w:val="0"/>
            <w:vAlign w:val="center"/>
          </w:tcPr>
          <w:p w14:paraId="17EBE6A8">
            <w:pPr>
              <w:pStyle w:val="26"/>
              <w:bidi w:val="0"/>
              <w:snapToGrid w:val="0"/>
              <w:rPr>
                <w:rFonts w:hint="eastAsia"/>
                <w:color w:val="auto"/>
                <w:sz w:val="21"/>
                <w:szCs w:val="21"/>
              </w:rPr>
            </w:pPr>
            <w:r>
              <w:rPr>
                <w:rFonts w:hint="eastAsia"/>
                <w:color w:val="auto"/>
                <w:sz w:val="21"/>
                <w:szCs w:val="21"/>
              </w:rPr>
              <w:t>《矿山安全生产法实施条例》第35条、《许可证实施办法》、《GB16423-2020》</w:t>
            </w:r>
          </w:p>
          <w:p w14:paraId="7410956D">
            <w:pPr>
              <w:pStyle w:val="26"/>
              <w:bidi w:val="0"/>
              <w:snapToGrid w:val="0"/>
              <w:rPr>
                <w:rFonts w:hint="eastAsia"/>
                <w:color w:val="auto"/>
                <w:sz w:val="21"/>
                <w:szCs w:val="21"/>
              </w:rPr>
            </w:pPr>
            <w:r>
              <w:rPr>
                <w:rFonts w:hint="eastAsia"/>
                <w:color w:val="auto"/>
                <w:sz w:val="21"/>
                <w:szCs w:val="21"/>
              </w:rPr>
              <w:t>之4.5.1</w:t>
            </w:r>
          </w:p>
        </w:tc>
        <w:tc>
          <w:tcPr>
            <w:tcW w:w="230" w:type="pct"/>
            <w:noWrap w:val="0"/>
            <w:vAlign w:val="center"/>
          </w:tcPr>
          <w:p w14:paraId="6157A527">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1EA21B39">
            <w:pPr>
              <w:pStyle w:val="26"/>
              <w:bidi w:val="0"/>
              <w:snapToGrid w:val="0"/>
              <w:rPr>
                <w:rFonts w:hint="eastAsia"/>
                <w:color w:val="auto"/>
                <w:sz w:val="21"/>
                <w:szCs w:val="21"/>
              </w:rPr>
            </w:pPr>
            <w:r>
              <w:rPr>
                <w:rFonts w:hint="eastAsia"/>
                <w:color w:val="auto"/>
                <w:sz w:val="21"/>
                <w:szCs w:val="21"/>
              </w:rPr>
              <w:t>对作业人员进行了教育和培训，且考试成绩合格。</w:t>
            </w:r>
          </w:p>
        </w:tc>
        <w:tc>
          <w:tcPr>
            <w:tcW w:w="216" w:type="pct"/>
            <w:noWrap w:val="0"/>
            <w:vAlign w:val="center"/>
          </w:tcPr>
          <w:p w14:paraId="620ACF6D">
            <w:pPr>
              <w:pStyle w:val="26"/>
              <w:bidi w:val="0"/>
              <w:snapToGrid w:val="0"/>
              <w:rPr>
                <w:rFonts w:hint="eastAsia"/>
                <w:color w:val="auto"/>
                <w:sz w:val="21"/>
                <w:szCs w:val="21"/>
              </w:rPr>
            </w:pPr>
            <w:r>
              <w:rPr>
                <w:rFonts w:hint="eastAsia"/>
                <w:color w:val="auto"/>
                <w:sz w:val="21"/>
                <w:szCs w:val="21"/>
              </w:rPr>
              <w:t>符合要求</w:t>
            </w:r>
          </w:p>
        </w:tc>
      </w:tr>
      <w:tr w14:paraId="7950F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restart"/>
            <w:noWrap w:val="0"/>
            <w:vAlign w:val="center"/>
          </w:tcPr>
          <w:p w14:paraId="74F47E9A">
            <w:pPr>
              <w:pStyle w:val="26"/>
              <w:bidi w:val="0"/>
              <w:snapToGrid w:val="0"/>
              <w:rPr>
                <w:rFonts w:hint="eastAsia"/>
                <w:color w:val="auto"/>
                <w:sz w:val="21"/>
                <w:szCs w:val="21"/>
              </w:rPr>
            </w:pPr>
            <w:r>
              <w:rPr>
                <w:rFonts w:hint="eastAsia"/>
                <w:color w:val="auto"/>
                <w:sz w:val="21"/>
                <w:szCs w:val="21"/>
              </w:rPr>
              <w:t>二、安全组织及管理制度</w:t>
            </w:r>
          </w:p>
        </w:tc>
        <w:tc>
          <w:tcPr>
            <w:tcW w:w="1509" w:type="pct"/>
            <w:noWrap w:val="0"/>
            <w:vAlign w:val="center"/>
          </w:tcPr>
          <w:p w14:paraId="65D4750A">
            <w:pPr>
              <w:pStyle w:val="26"/>
              <w:bidi w:val="0"/>
              <w:snapToGrid w:val="0"/>
              <w:rPr>
                <w:rFonts w:hint="eastAsia"/>
                <w:color w:val="auto"/>
                <w:sz w:val="21"/>
                <w:szCs w:val="21"/>
              </w:rPr>
            </w:pPr>
            <w:r>
              <w:rPr>
                <w:rFonts w:hint="eastAsia"/>
                <w:color w:val="auto"/>
                <w:sz w:val="21"/>
                <w:szCs w:val="21"/>
              </w:rPr>
              <w:t>1.矿山、金属冶炼、建筑施工、运输单位和危险物品的生产、经营、储存、装卸单位，应当设置安全生产管理机构或者配备专职安全生产管理人员。</w:t>
            </w:r>
          </w:p>
        </w:tc>
        <w:tc>
          <w:tcPr>
            <w:tcW w:w="1330" w:type="pct"/>
            <w:noWrap w:val="0"/>
            <w:vAlign w:val="center"/>
          </w:tcPr>
          <w:p w14:paraId="1354511E">
            <w:pPr>
              <w:pStyle w:val="26"/>
              <w:bidi w:val="0"/>
              <w:snapToGrid w:val="0"/>
              <w:rPr>
                <w:rFonts w:hint="eastAsia"/>
                <w:color w:val="auto"/>
                <w:sz w:val="21"/>
                <w:szCs w:val="21"/>
              </w:rPr>
            </w:pPr>
            <w:r>
              <w:rPr>
                <w:rFonts w:hint="eastAsia"/>
                <w:color w:val="auto"/>
                <w:sz w:val="21"/>
                <w:szCs w:val="21"/>
              </w:rPr>
              <w:t>《安全生产法》第24条、《许可证实施办法》</w:t>
            </w:r>
          </w:p>
        </w:tc>
        <w:tc>
          <w:tcPr>
            <w:tcW w:w="230" w:type="pct"/>
            <w:noWrap w:val="0"/>
            <w:vAlign w:val="center"/>
          </w:tcPr>
          <w:p w14:paraId="2505EC50">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4EE72D00">
            <w:pPr>
              <w:pStyle w:val="26"/>
              <w:bidi w:val="0"/>
              <w:snapToGrid w:val="0"/>
              <w:rPr>
                <w:rFonts w:hint="eastAsia"/>
                <w:color w:val="auto"/>
                <w:sz w:val="21"/>
                <w:szCs w:val="21"/>
              </w:rPr>
            </w:pPr>
            <w:r>
              <w:rPr>
                <w:rFonts w:hint="eastAsia"/>
                <w:color w:val="auto"/>
                <w:sz w:val="21"/>
                <w:szCs w:val="21"/>
              </w:rPr>
              <w:t>企业成立了安全科并配备了专职安全生产管理人员，负责矿山日常安全生产监督管理工作。</w:t>
            </w:r>
          </w:p>
        </w:tc>
        <w:tc>
          <w:tcPr>
            <w:tcW w:w="216" w:type="pct"/>
            <w:noWrap w:val="0"/>
            <w:vAlign w:val="center"/>
          </w:tcPr>
          <w:p w14:paraId="78141904">
            <w:pPr>
              <w:pStyle w:val="26"/>
              <w:bidi w:val="0"/>
              <w:snapToGrid w:val="0"/>
              <w:rPr>
                <w:rFonts w:hint="eastAsia"/>
                <w:color w:val="auto"/>
                <w:sz w:val="21"/>
                <w:szCs w:val="21"/>
              </w:rPr>
            </w:pPr>
            <w:r>
              <w:rPr>
                <w:rFonts w:hint="eastAsia"/>
                <w:color w:val="auto"/>
                <w:sz w:val="21"/>
                <w:szCs w:val="21"/>
              </w:rPr>
              <w:t>符合要求</w:t>
            </w:r>
          </w:p>
        </w:tc>
      </w:tr>
      <w:tr w14:paraId="467F6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7CCF4A6C">
            <w:pPr>
              <w:pStyle w:val="26"/>
              <w:bidi w:val="0"/>
              <w:snapToGrid w:val="0"/>
              <w:rPr>
                <w:rFonts w:hint="eastAsia"/>
                <w:color w:val="auto"/>
                <w:sz w:val="21"/>
                <w:szCs w:val="21"/>
              </w:rPr>
            </w:pPr>
          </w:p>
        </w:tc>
        <w:tc>
          <w:tcPr>
            <w:tcW w:w="1509" w:type="pct"/>
            <w:noWrap w:val="0"/>
            <w:vAlign w:val="center"/>
          </w:tcPr>
          <w:p w14:paraId="20F3ACE8">
            <w:pPr>
              <w:pStyle w:val="26"/>
              <w:bidi w:val="0"/>
              <w:snapToGrid w:val="0"/>
              <w:rPr>
                <w:rFonts w:hint="eastAsia"/>
                <w:color w:val="auto"/>
                <w:sz w:val="21"/>
                <w:szCs w:val="21"/>
              </w:rPr>
            </w:pPr>
            <w:r>
              <w:rPr>
                <w:rFonts w:hint="eastAsia"/>
                <w:color w:val="auto"/>
                <w:sz w:val="21"/>
                <w:szCs w:val="21"/>
              </w:rPr>
              <w:t>2.设立安全生产管理机构，配备专职安全管理人员。</w:t>
            </w:r>
          </w:p>
        </w:tc>
        <w:tc>
          <w:tcPr>
            <w:tcW w:w="1330" w:type="pct"/>
            <w:noWrap w:val="0"/>
            <w:vAlign w:val="center"/>
          </w:tcPr>
          <w:p w14:paraId="01DED9A7">
            <w:pPr>
              <w:pStyle w:val="26"/>
              <w:bidi w:val="0"/>
              <w:snapToGrid w:val="0"/>
              <w:rPr>
                <w:rFonts w:hint="eastAsia"/>
                <w:color w:val="auto"/>
                <w:sz w:val="21"/>
                <w:szCs w:val="21"/>
              </w:rPr>
            </w:pPr>
            <w:r>
              <w:rPr>
                <w:rFonts w:hint="eastAsia"/>
                <w:color w:val="auto"/>
                <w:sz w:val="21"/>
                <w:szCs w:val="21"/>
              </w:rPr>
              <w:t>辽安监非煤〔2018〕29号、</w:t>
            </w:r>
          </w:p>
          <w:p w14:paraId="1AF136C0">
            <w:pPr>
              <w:pStyle w:val="26"/>
              <w:bidi w:val="0"/>
              <w:snapToGrid w:val="0"/>
              <w:rPr>
                <w:rFonts w:hint="eastAsia"/>
                <w:color w:val="auto"/>
                <w:sz w:val="21"/>
                <w:szCs w:val="21"/>
              </w:rPr>
            </w:pPr>
            <w:r>
              <w:rPr>
                <w:rFonts w:hint="eastAsia"/>
                <w:color w:val="auto"/>
                <w:sz w:val="21"/>
                <w:szCs w:val="21"/>
              </w:rPr>
              <w:t>矿安〔2022〕4号</w:t>
            </w:r>
          </w:p>
        </w:tc>
        <w:tc>
          <w:tcPr>
            <w:tcW w:w="230" w:type="pct"/>
            <w:noWrap w:val="0"/>
            <w:vAlign w:val="center"/>
          </w:tcPr>
          <w:p w14:paraId="2179B8BE">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61C23BE8">
            <w:pPr>
              <w:pStyle w:val="26"/>
              <w:bidi w:val="0"/>
              <w:snapToGrid w:val="0"/>
              <w:rPr>
                <w:rFonts w:hint="eastAsia"/>
                <w:color w:val="auto"/>
                <w:sz w:val="21"/>
                <w:szCs w:val="21"/>
              </w:rPr>
            </w:pPr>
            <w:r>
              <w:rPr>
                <w:rFonts w:hint="eastAsia"/>
                <w:color w:val="auto"/>
                <w:sz w:val="21"/>
                <w:szCs w:val="21"/>
              </w:rPr>
              <w:t>矿山配备了专职安全生产管理人员</w:t>
            </w:r>
            <w:r>
              <w:rPr>
                <w:rFonts w:hint="eastAsia"/>
                <w:color w:val="auto"/>
                <w:sz w:val="21"/>
                <w:szCs w:val="21"/>
                <w:lang w:val="en-US" w:eastAsia="zh-CN"/>
              </w:rPr>
              <w:t>2</w:t>
            </w:r>
            <w:r>
              <w:rPr>
                <w:rFonts w:hint="eastAsia"/>
                <w:color w:val="auto"/>
                <w:sz w:val="21"/>
                <w:szCs w:val="21"/>
              </w:rPr>
              <w:t>人，且证件均在有效期内。</w:t>
            </w:r>
          </w:p>
        </w:tc>
        <w:tc>
          <w:tcPr>
            <w:tcW w:w="216" w:type="pct"/>
            <w:noWrap w:val="0"/>
            <w:vAlign w:val="center"/>
          </w:tcPr>
          <w:p w14:paraId="068DFA74">
            <w:pPr>
              <w:pStyle w:val="26"/>
              <w:bidi w:val="0"/>
              <w:snapToGrid w:val="0"/>
              <w:rPr>
                <w:rFonts w:hint="eastAsia"/>
                <w:color w:val="auto"/>
                <w:sz w:val="21"/>
                <w:szCs w:val="21"/>
              </w:rPr>
            </w:pPr>
            <w:r>
              <w:rPr>
                <w:rFonts w:hint="eastAsia"/>
                <w:color w:val="auto"/>
                <w:sz w:val="21"/>
                <w:szCs w:val="21"/>
              </w:rPr>
              <w:t>符合要求</w:t>
            </w:r>
          </w:p>
        </w:tc>
      </w:tr>
      <w:tr w14:paraId="2C70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3812C2D4">
            <w:pPr>
              <w:pStyle w:val="26"/>
              <w:bidi w:val="0"/>
              <w:snapToGrid w:val="0"/>
              <w:rPr>
                <w:rFonts w:hint="eastAsia"/>
                <w:color w:val="auto"/>
                <w:sz w:val="21"/>
                <w:szCs w:val="21"/>
              </w:rPr>
            </w:pPr>
          </w:p>
        </w:tc>
        <w:tc>
          <w:tcPr>
            <w:tcW w:w="1509" w:type="pct"/>
            <w:noWrap w:val="0"/>
            <w:vAlign w:val="center"/>
          </w:tcPr>
          <w:p w14:paraId="654760BB">
            <w:pPr>
              <w:pStyle w:val="26"/>
              <w:bidi w:val="0"/>
              <w:snapToGrid w:val="0"/>
              <w:rPr>
                <w:rFonts w:hint="eastAsia"/>
                <w:color w:val="auto"/>
                <w:sz w:val="21"/>
                <w:szCs w:val="21"/>
              </w:rPr>
            </w:pPr>
            <w:r>
              <w:rPr>
                <w:rFonts w:hint="eastAsia"/>
                <w:color w:val="auto"/>
                <w:sz w:val="21"/>
                <w:szCs w:val="21"/>
              </w:rPr>
              <w:t>3.矿山企业应建立健全安全生产责任制，制定安全生产规章制度、安全教育培训制度和各岗位的安全操作规程。明确各岗位人员的责任和考核标准。</w:t>
            </w:r>
          </w:p>
        </w:tc>
        <w:tc>
          <w:tcPr>
            <w:tcW w:w="1330" w:type="pct"/>
            <w:noWrap w:val="0"/>
            <w:vAlign w:val="center"/>
          </w:tcPr>
          <w:p w14:paraId="67ECC203">
            <w:pPr>
              <w:pStyle w:val="26"/>
              <w:bidi w:val="0"/>
              <w:snapToGrid w:val="0"/>
              <w:rPr>
                <w:rFonts w:hint="eastAsia"/>
                <w:color w:val="auto"/>
                <w:sz w:val="21"/>
                <w:szCs w:val="21"/>
              </w:rPr>
            </w:pPr>
            <w:r>
              <w:rPr>
                <w:rFonts w:hint="eastAsia"/>
                <w:color w:val="auto"/>
                <w:sz w:val="21"/>
                <w:szCs w:val="21"/>
              </w:rPr>
              <w:t>《许可证实施办法》、《GB16423-2020》</w:t>
            </w:r>
          </w:p>
          <w:p w14:paraId="1A43D18A">
            <w:pPr>
              <w:pStyle w:val="26"/>
              <w:bidi w:val="0"/>
              <w:snapToGrid w:val="0"/>
              <w:rPr>
                <w:rFonts w:hint="eastAsia"/>
                <w:color w:val="auto"/>
                <w:sz w:val="21"/>
                <w:szCs w:val="21"/>
              </w:rPr>
            </w:pPr>
            <w:r>
              <w:rPr>
                <w:rFonts w:hint="eastAsia"/>
                <w:color w:val="auto"/>
                <w:sz w:val="21"/>
                <w:szCs w:val="21"/>
              </w:rPr>
              <w:t>之4.1.2</w:t>
            </w:r>
          </w:p>
        </w:tc>
        <w:tc>
          <w:tcPr>
            <w:tcW w:w="230" w:type="pct"/>
            <w:noWrap w:val="0"/>
            <w:vAlign w:val="center"/>
          </w:tcPr>
          <w:p w14:paraId="464A7F18">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2C33BCB7">
            <w:pPr>
              <w:pStyle w:val="26"/>
              <w:bidi w:val="0"/>
              <w:snapToGrid w:val="0"/>
              <w:rPr>
                <w:rFonts w:hint="eastAsia"/>
                <w:color w:val="auto"/>
                <w:sz w:val="21"/>
                <w:szCs w:val="21"/>
              </w:rPr>
            </w:pPr>
            <w:r>
              <w:rPr>
                <w:rFonts w:hint="eastAsia"/>
                <w:color w:val="auto"/>
                <w:sz w:val="21"/>
                <w:szCs w:val="21"/>
              </w:rPr>
              <w:t>制定了较为健全的安全生产责任制。制定了安全</w:t>
            </w:r>
            <w:r>
              <w:rPr>
                <w:rFonts w:hint="eastAsia"/>
                <w:color w:val="auto"/>
                <w:sz w:val="21"/>
                <w:szCs w:val="21"/>
                <w:lang w:val="en-US" w:eastAsia="zh-CN"/>
              </w:rPr>
              <w:t>管理</w:t>
            </w:r>
            <w:r>
              <w:rPr>
                <w:rFonts w:hint="eastAsia"/>
                <w:color w:val="auto"/>
                <w:sz w:val="21"/>
                <w:szCs w:val="21"/>
              </w:rPr>
              <w:t>制度、安全教育培训制度和各岗位的安全操作规程。明确了各岗位人员的责任和考核标准。</w:t>
            </w:r>
          </w:p>
        </w:tc>
        <w:tc>
          <w:tcPr>
            <w:tcW w:w="216" w:type="pct"/>
            <w:noWrap w:val="0"/>
            <w:vAlign w:val="center"/>
          </w:tcPr>
          <w:p w14:paraId="537C3ECC">
            <w:pPr>
              <w:pStyle w:val="26"/>
              <w:bidi w:val="0"/>
              <w:snapToGrid w:val="0"/>
              <w:rPr>
                <w:rFonts w:hint="eastAsia"/>
                <w:color w:val="auto"/>
                <w:sz w:val="21"/>
                <w:szCs w:val="21"/>
              </w:rPr>
            </w:pPr>
            <w:r>
              <w:rPr>
                <w:rFonts w:hint="eastAsia"/>
                <w:color w:val="auto"/>
                <w:sz w:val="21"/>
                <w:szCs w:val="21"/>
              </w:rPr>
              <w:t>符合要求</w:t>
            </w:r>
          </w:p>
        </w:tc>
      </w:tr>
      <w:tr w14:paraId="415E8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79ABD89C">
            <w:pPr>
              <w:pStyle w:val="26"/>
              <w:bidi w:val="0"/>
              <w:snapToGrid w:val="0"/>
              <w:rPr>
                <w:rFonts w:hint="eastAsia"/>
                <w:color w:val="auto"/>
                <w:sz w:val="21"/>
                <w:szCs w:val="21"/>
              </w:rPr>
            </w:pPr>
          </w:p>
        </w:tc>
        <w:tc>
          <w:tcPr>
            <w:tcW w:w="1509" w:type="pct"/>
            <w:noWrap w:val="0"/>
            <w:vAlign w:val="center"/>
          </w:tcPr>
          <w:p w14:paraId="2F00C648">
            <w:pPr>
              <w:pStyle w:val="26"/>
              <w:bidi w:val="0"/>
              <w:snapToGrid w:val="0"/>
              <w:rPr>
                <w:rFonts w:hint="eastAsia"/>
                <w:color w:val="auto"/>
                <w:sz w:val="21"/>
                <w:szCs w:val="21"/>
              </w:rPr>
            </w:pPr>
            <w:r>
              <w:rPr>
                <w:rFonts w:hint="eastAsia"/>
                <w:color w:val="auto"/>
                <w:sz w:val="21"/>
                <w:szCs w:val="21"/>
              </w:rPr>
              <w:t>4.制定安全检查制度、职业危害预防制度、安全教育培训制度、生产安全事故管理制度、重大危险源监控和重大隐患整改制度、设备安全管理制度、安全生产档案管理制度、安全生产奖惩制度等规章制度。</w:t>
            </w:r>
          </w:p>
        </w:tc>
        <w:tc>
          <w:tcPr>
            <w:tcW w:w="1330" w:type="pct"/>
            <w:noWrap w:val="0"/>
            <w:vAlign w:val="center"/>
          </w:tcPr>
          <w:p w14:paraId="4D53A34E">
            <w:pPr>
              <w:pStyle w:val="26"/>
              <w:bidi w:val="0"/>
              <w:snapToGrid w:val="0"/>
              <w:rPr>
                <w:rFonts w:hint="eastAsia"/>
                <w:color w:val="auto"/>
                <w:sz w:val="21"/>
                <w:szCs w:val="21"/>
              </w:rPr>
            </w:pPr>
            <w:r>
              <w:rPr>
                <w:rFonts w:hint="eastAsia"/>
                <w:color w:val="auto"/>
                <w:sz w:val="21"/>
                <w:szCs w:val="21"/>
              </w:rPr>
              <w:t>《许可证实施办法》第二章第五条第一款</w:t>
            </w:r>
          </w:p>
        </w:tc>
        <w:tc>
          <w:tcPr>
            <w:tcW w:w="230" w:type="pct"/>
            <w:noWrap w:val="0"/>
            <w:vAlign w:val="center"/>
          </w:tcPr>
          <w:p w14:paraId="48E8C269">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0E8B9C1C">
            <w:pPr>
              <w:pStyle w:val="26"/>
              <w:bidi w:val="0"/>
              <w:snapToGrid w:val="0"/>
              <w:rPr>
                <w:rFonts w:hint="eastAsia"/>
                <w:color w:val="auto"/>
                <w:sz w:val="21"/>
                <w:szCs w:val="21"/>
              </w:rPr>
            </w:pPr>
            <w:r>
              <w:rPr>
                <w:rFonts w:hint="eastAsia"/>
                <w:color w:val="auto"/>
                <w:sz w:val="21"/>
                <w:szCs w:val="21"/>
              </w:rPr>
              <w:t>制定了较为健全的安全生产规章制度。</w:t>
            </w:r>
          </w:p>
        </w:tc>
        <w:tc>
          <w:tcPr>
            <w:tcW w:w="216" w:type="pct"/>
            <w:noWrap w:val="0"/>
            <w:vAlign w:val="center"/>
          </w:tcPr>
          <w:p w14:paraId="57C9606F">
            <w:pPr>
              <w:pStyle w:val="26"/>
              <w:bidi w:val="0"/>
              <w:snapToGrid w:val="0"/>
              <w:rPr>
                <w:rFonts w:hint="eastAsia"/>
                <w:color w:val="auto"/>
                <w:sz w:val="21"/>
                <w:szCs w:val="21"/>
              </w:rPr>
            </w:pPr>
            <w:r>
              <w:rPr>
                <w:rFonts w:hint="eastAsia"/>
                <w:color w:val="auto"/>
                <w:sz w:val="21"/>
                <w:szCs w:val="21"/>
              </w:rPr>
              <w:t>符合要求</w:t>
            </w:r>
          </w:p>
        </w:tc>
      </w:tr>
      <w:tr w14:paraId="782DC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08DBE50D">
            <w:pPr>
              <w:pStyle w:val="26"/>
              <w:bidi w:val="0"/>
              <w:snapToGrid w:val="0"/>
              <w:rPr>
                <w:rFonts w:hint="eastAsia"/>
                <w:color w:val="auto"/>
                <w:sz w:val="21"/>
                <w:szCs w:val="21"/>
              </w:rPr>
            </w:pPr>
          </w:p>
        </w:tc>
        <w:tc>
          <w:tcPr>
            <w:tcW w:w="1509" w:type="pct"/>
            <w:noWrap w:val="0"/>
            <w:vAlign w:val="center"/>
          </w:tcPr>
          <w:p w14:paraId="7CD57F3E">
            <w:pPr>
              <w:pStyle w:val="26"/>
              <w:bidi w:val="0"/>
              <w:snapToGrid w:val="0"/>
              <w:rPr>
                <w:rFonts w:hint="eastAsia"/>
                <w:color w:val="auto"/>
                <w:sz w:val="21"/>
                <w:szCs w:val="21"/>
              </w:rPr>
            </w:pPr>
            <w:r>
              <w:rPr>
                <w:rFonts w:hint="eastAsia"/>
                <w:color w:val="auto"/>
                <w:sz w:val="21"/>
                <w:szCs w:val="21"/>
              </w:rPr>
              <w:t>5.制定作业安全规程和各工种操作规程。</w:t>
            </w:r>
          </w:p>
        </w:tc>
        <w:tc>
          <w:tcPr>
            <w:tcW w:w="1330" w:type="pct"/>
            <w:noWrap w:val="0"/>
            <w:vAlign w:val="center"/>
          </w:tcPr>
          <w:p w14:paraId="742EAB04">
            <w:pPr>
              <w:pStyle w:val="26"/>
              <w:bidi w:val="0"/>
              <w:snapToGrid w:val="0"/>
              <w:rPr>
                <w:rFonts w:hint="eastAsia"/>
                <w:color w:val="auto"/>
                <w:sz w:val="21"/>
                <w:szCs w:val="21"/>
              </w:rPr>
            </w:pPr>
            <w:r>
              <w:rPr>
                <w:rFonts w:hint="eastAsia"/>
                <w:color w:val="auto"/>
                <w:sz w:val="21"/>
                <w:szCs w:val="21"/>
              </w:rPr>
              <w:t>《矿山安全生产法实施条例》</w:t>
            </w:r>
          </w:p>
        </w:tc>
        <w:tc>
          <w:tcPr>
            <w:tcW w:w="230" w:type="pct"/>
            <w:noWrap w:val="0"/>
            <w:vAlign w:val="center"/>
          </w:tcPr>
          <w:p w14:paraId="2951663D">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46AEA2DE">
            <w:pPr>
              <w:pStyle w:val="26"/>
              <w:bidi w:val="0"/>
              <w:snapToGrid w:val="0"/>
              <w:rPr>
                <w:rFonts w:hint="eastAsia"/>
                <w:color w:val="auto"/>
                <w:sz w:val="21"/>
                <w:szCs w:val="21"/>
              </w:rPr>
            </w:pPr>
            <w:r>
              <w:rPr>
                <w:rFonts w:hint="eastAsia"/>
                <w:color w:val="auto"/>
                <w:sz w:val="21"/>
                <w:szCs w:val="21"/>
              </w:rPr>
              <w:t>制定了作业安全规程和较为齐全的各岗位安全操作规程。</w:t>
            </w:r>
          </w:p>
        </w:tc>
        <w:tc>
          <w:tcPr>
            <w:tcW w:w="216" w:type="pct"/>
            <w:noWrap w:val="0"/>
            <w:vAlign w:val="center"/>
          </w:tcPr>
          <w:p w14:paraId="7D0D9827">
            <w:pPr>
              <w:pStyle w:val="26"/>
              <w:bidi w:val="0"/>
              <w:snapToGrid w:val="0"/>
              <w:rPr>
                <w:rFonts w:hint="eastAsia"/>
                <w:color w:val="auto"/>
                <w:sz w:val="21"/>
                <w:szCs w:val="21"/>
              </w:rPr>
            </w:pPr>
            <w:r>
              <w:rPr>
                <w:rFonts w:hint="eastAsia"/>
                <w:color w:val="auto"/>
                <w:sz w:val="21"/>
                <w:szCs w:val="21"/>
              </w:rPr>
              <w:t>符合要求</w:t>
            </w:r>
          </w:p>
        </w:tc>
      </w:tr>
      <w:tr w14:paraId="2343D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621E259E">
            <w:pPr>
              <w:pStyle w:val="26"/>
              <w:bidi w:val="0"/>
              <w:snapToGrid w:val="0"/>
              <w:rPr>
                <w:rFonts w:hint="eastAsia"/>
                <w:color w:val="auto"/>
                <w:sz w:val="21"/>
                <w:szCs w:val="21"/>
              </w:rPr>
            </w:pPr>
          </w:p>
        </w:tc>
        <w:tc>
          <w:tcPr>
            <w:tcW w:w="1509" w:type="pct"/>
            <w:noWrap w:val="0"/>
            <w:vAlign w:val="center"/>
          </w:tcPr>
          <w:p w14:paraId="69C609DB">
            <w:pPr>
              <w:pStyle w:val="26"/>
              <w:bidi w:val="0"/>
              <w:snapToGrid w:val="0"/>
              <w:rPr>
                <w:rFonts w:hint="eastAsia"/>
                <w:color w:val="auto"/>
                <w:sz w:val="21"/>
                <w:szCs w:val="21"/>
              </w:rPr>
            </w:pPr>
            <w:r>
              <w:rPr>
                <w:rFonts w:hint="eastAsia"/>
                <w:color w:val="auto"/>
                <w:sz w:val="21"/>
                <w:szCs w:val="21"/>
              </w:rPr>
              <w:t>6.安全生产检查和隐患整改等记录。</w:t>
            </w:r>
          </w:p>
        </w:tc>
        <w:tc>
          <w:tcPr>
            <w:tcW w:w="1330" w:type="pct"/>
            <w:noWrap w:val="0"/>
            <w:vAlign w:val="center"/>
          </w:tcPr>
          <w:p w14:paraId="72D2FFBA">
            <w:pPr>
              <w:pStyle w:val="26"/>
              <w:bidi w:val="0"/>
              <w:snapToGrid w:val="0"/>
              <w:rPr>
                <w:rFonts w:hint="eastAsia"/>
                <w:color w:val="auto"/>
                <w:sz w:val="21"/>
                <w:szCs w:val="21"/>
              </w:rPr>
            </w:pPr>
            <w:r>
              <w:rPr>
                <w:rFonts w:hint="eastAsia"/>
                <w:color w:val="auto"/>
                <w:sz w:val="21"/>
                <w:szCs w:val="21"/>
              </w:rPr>
              <w:t>《矿山安全法》第五章第三条</w:t>
            </w:r>
          </w:p>
        </w:tc>
        <w:tc>
          <w:tcPr>
            <w:tcW w:w="230" w:type="pct"/>
            <w:noWrap w:val="0"/>
            <w:vAlign w:val="center"/>
          </w:tcPr>
          <w:p w14:paraId="150D073B">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0204D388">
            <w:pPr>
              <w:pStyle w:val="26"/>
              <w:bidi w:val="0"/>
              <w:snapToGrid w:val="0"/>
              <w:rPr>
                <w:rFonts w:hint="eastAsia"/>
                <w:color w:val="auto"/>
                <w:sz w:val="21"/>
                <w:szCs w:val="21"/>
              </w:rPr>
            </w:pPr>
            <w:r>
              <w:rPr>
                <w:rFonts w:hint="eastAsia"/>
                <w:color w:val="auto"/>
                <w:sz w:val="21"/>
                <w:szCs w:val="21"/>
              </w:rPr>
              <w:t>具有安全生产检查记录和隐患整改等相关记录。</w:t>
            </w:r>
          </w:p>
        </w:tc>
        <w:tc>
          <w:tcPr>
            <w:tcW w:w="216" w:type="pct"/>
            <w:noWrap w:val="0"/>
            <w:vAlign w:val="center"/>
          </w:tcPr>
          <w:p w14:paraId="7CF4BBD7">
            <w:pPr>
              <w:pStyle w:val="26"/>
              <w:bidi w:val="0"/>
              <w:snapToGrid w:val="0"/>
              <w:rPr>
                <w:rFonts w:hint="eastAsia"/>
                <w:color w:val="auto"/>
                <w:sz w:val="21"/>
                <w:szCs w:val="21"/>
              </w:rPr>
            </w:pPr>
            <w:r>
              <w:rPr>
                <w:rFonts w:hint="eastAsia"/>
                <w:color w:val="auto"/>
                <w:sz w:val="21"/>
                <w:szCs w:val="21"/>
              </w:rPr>
              <w:t>符合要求</w:t>
            </w:r>
          </w:p>
        </w:tc>
      </w:tr>
      <w:tr w14:paraId="4280E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082D1B8B">
            <w:pPr>
              <w:pStyle w:val="26"/>
              <w:bidi w:val="0"/>
              <w:snapToGrid w:val="0"/>
              <w:rPr>
                <w:rFonts w:hint="eastAsia"/>
                <w:color w:val="auto"/>
                <w:sz w:val="21"/>
                <w:szCs w:val="21"/>
              </w:rPr>
            </w:pPr>
          </w:p>
        </w:tc>
        <w:tc>
          <w:tcPr>
            <w:tcW w:w="1509" w:type="pct"/>
            <w:noWrap w:val="0"/>
            <w:vAlign w:val="center"/>
          </w:tcPr>
          <w:p w14:paraId="36B1CF1C">
            <w:pPr>
              <w:pStyle w:val="26"/>
              <w:bidi w:val="0"/>
              <w:snapToGrid w:val="0"/>
              <w:rPr>
                <w:rFonts w:hint="eastAsia"/>
                <w:color w:val="auto"/>
                <w:sz w:val="21"/>
                <w:szCs w:val="21"/>
              </w:rPr>
            </w:pPr>
            <w:r>
              <w:rPr>
                <w:rFonts w:hint="eastAsia"/>
                <w:color w:val="auto"/>
                <w:sz w:val="21"/>
                <w:szCs w:val="21"/>
              </w:rPr>
              <w:t>7.制定爆破伤害、边坡坍塌等各种事故以及诱发地质灾害等事故的应急救援预案。</w:t>
            </w:r>
          </w:p>
        </w:tc>
        <w:tc>
          <w:tcPr>
            <w:tcW w:w="1330" w:type="pct"/>
            <w:noWrap w:val="0"/>
            <w:vAlign w:val="center"/>
          </w:tcPr>
          <w:p w14:paraId="2B043ADE">
            <w:pPr>
              <w:pStyle w:val="26"/>
              <w:bidi w:val="0"/>
              <w:snapToGrid w:val="0"/>
              <w:rPr>
                <w:rFonts w:hint="eastAsia"/>
                <w:color w:val="auto"/>
                <w:sz w:val="21"/>
                <w:szCs w:val="21"/>
              </w:rPr>
            </w:pPr>
            <w:r>
              <w:rPr>
                <w:rFonts w:hint="eastAsia"/>
                <w:color w:val="auto"/>
                <w:sz w:val="21"/>
                <w:szCs w:val="21"/>
              </w:rPr>
              <w:t>《许可证实施办法》第二章第五条第十二款</w:t>
            </w:r>
          </w:p>
        </w:tc>
        <w:tc>
          <w:tcPr>
            <w:tcW w:w="230" w:type="pct"/>
            <w:noWrap w:val="0"/>
            <w:vAlign w:val="center"/>
          </w:tcPr>
          <w:p w14:paraId="5855DBD8">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5D93708A">
            <w:pPr>
              <w:pStyle w:val="26"/>
              <w:bidi w:val="0"/>
              <w:snapToGrid w:val="0"/>
              <w:rPr>
                <w:rFonts w:hint="eastAsia"/>
                <w:color w:val="auto"/>
                <w:sz w:val="21"/>
                <w:szCs w:val="21"/>
              </w:rPr>
            </w:pPr>
            <w:r>
              <w:rPr>
                <w:rFonts w:hint="eastAsia"/>
                <w:color w:val="auto"/>
                <w:sz w:val="21"/>
                <w:szCs w:val="21"/>
              </w:rPr>
              <w:t>编制了生产安全事故综合应急预案和专项应急预案。</w:t>
            </w:r>
          </w:p>
        </w:tc>
        <w:tc>
          <w:tcPr>
            <w:tcW w:w="216" w:type="pct"/>
            <w:noWrap w:val="0"/>
            <w:vAlign w:val="center"/>
          </w:tcPr>
          <w:p w14:paraId="68CD9926">
            <w:pPr>
              <w:pStyle w:val="26"/>
              <w:bidi w:val="0"/>
              <w:snapToGrid w:val="0"/>
              <w:rPr>
                <w:rFonts w:hint="eastAsia"/>
                <w:color w:val="auto"/>
                <w:sz w:val="21"/>
                <w:szCs w:val="21"/>
              </w:rPr>
            </w:pPr>
            <w:r>
              <w:rPr>
                <w:rFonts w:hint="eastAsia"/>
                <w:color w:val="auto"/>
                <w:sz w:val="21"/>
                <w:szCs w:val="21"/>
              </w:rPr>
              <w:t>符合要求</w:t>
            </w:r>
          </w:p>
        </w:tc>
      </w:tr>
      <w:tr w14:paraId="77515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71E7A9B4">
            <w:pPr>
              <w:pStyle w:val="26"/>
              <w:bidi w:val="0"/>
              <w:snapToGrid w:val="0"/>
              <w:rPr>
                <w:rFonts w:hint="eastAsia"/>
                <w:color w:val="auto"/>
                <w:sz w:val="21"/>
                <w:szCs w:val="21"/>
              </w:rPr>
            </w:pPr>
          </w:p>
        </w:tc>
        <w:tc>
          <w:tcPr>
            <w:tcW w:w="1509" w:type="pct"/>
            <w:noWrap w:val="0"/>
            <w:vAlign w:val="center"/>
          </w:tcPr>
          <w:p w14:paraId="5F714849">
            <w:pPr>
              <w:pStyle w:val="26"/>
              <w:bidi w:val="0"/>
              <w:snapToGrid w:val="0"/>
              <w:rPr>
                <w:rFonts w:hint="eastAsia"/>
                <w:color w:val="auto"/>
                <w:sz w:val="21"/>
                <w:szCs w:val="21"/>
              </w:rPr>
            </w:pPr>
            <w:r>
              <w:rPr>
                <w:rFonts w:hint="eastAsia"/>
                <w:color w:val="auto"/>
                <w:sz w:val="21"/>
                <w:szCs w:val="21"/>
              </w:rPr>
              <w:t>8.应当在应急预案公布之日起20个工作日内，按照分级属地原则，向县级以上人民政府应急管理部门和其他负有安全生产监督管理职责的部门进行备案。</w:t>
            </w:r>
          </w:p>
        </w:tc>
        <w:tc>
          <w:tcPr>
            <w:tcW w:w="1330" w:type="pct"/>
            <w:noWrap w:val="0"/>
            <w:vAlign w:val="center"/>
          </w:tcPr>
          <w:p w14:paraId="6CB8ABAF">
            <w:pPr>
              <w:pStyle w:val="26"/>
              <w:bidi w:val="0"/>
              <w:snapToGrid w:val="0"/>
              <w:rPr>
                <w:rFonts w:hint="eastAsia"/>
                <w:color w:val="auto"/>
                <w:sz w:val="21"/>
                <w:szCs w:val="21"/>
              </w:rPr>
            </w:pPr>
            <w:r>
              <w:rPr>
                <w:rFonts w:hint="eastAsia"/>
                <w:color w:val="auto"/>
                <w:sz w:val="21"/>
                <w:szCs w:val="21"/>
              </w:rPr>
              <w:t>《生产安全事故应急预案管理办法》第26条</w:t>
            </w:r>
          </w:p>
        </w:tc>
        <w:tc>
          <w:tcPr>
            <w:tcW w:w="230" w:type="pct"/>
            <w:noWrap w:val="0"/>
            <w:vAlign w:val="center"/>
          </w:tcPr>
          <w:p w14:paraId="38D6629F">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1F2D18BA">
            <w:pPr>
              <w:pStyle w:val="26"/>
              <w:bidi w:val="0"/>
              <w:snapToGrid w:val="0"/>
              <w:rPr>
                <w:rFonts w:hint="eastAsia"/>
                <w:color w:val="auto"/>
                <w:sz w:val="21"/>
                <w:szCs w:val="21"/>
              </w:rPr>
            </w:pPr>
            <w:r>
              <w:rPr>
                <w:rFonts w:hint="eastAsia"/>
                <w:color w:val="auto"/>
                <w:sz w:val="21"/>
                <w:szCs w:val="21"/>
              </w:rPr>
              <w:t>应急预案经专家评审并在</w:t>
            </w:r>
            <w:r>
              <w:rPr>
                <w:rFonts w:hint="eastAsia"/>
                <w:color w:val="auto"/>
                <w:sz w:val="21"/>
                <w:szCs w:val="21"/>
                <w:lang w:val="en-US" w:eastAsia="zh-CN"/>
              </w:rPr>
              <w:t>岫岩满族自治县</w:t>
            </w:r>
            <w:r>
              <w:rPr>
                <w:rFonts w:hint="eastAsia"/>
                <w:color w:val="auto"/>
                <w:sz w:val="21"/>
                <w:szCs w:val="21"/>
              </w:rPr>
              <w:t>应急管理局备案。</w:t>
            </w:r>
          </w:p>
        </w:tc>
        <w:tc>
          <w:tcPr>
            <w:tcW w:w="216" w:type="pct"/>
            <w:noWrap w:val="0"/>
            <w:vAlign w:val="center"/>
          </w:tcPr>
          <w:p w14:paraId="144E8A1F">
            <w:pPr>
              <w:pStyle w:val="26"/>
              <w:bidi w:val="0"/>
              <w:snapToGrid w:val="0"/>
              <w:rPr>
                <w:rFonts w:hint="eastAsia"/>
                <w:color w:val="auto"/>
                <w:sz w:val="21"/>
                <w:szCs w:val="21"/>
              </w:rPr>
            </w:pPr>
            <w:r>
              <w:rPr>
                <w:rFonts w:hint="eastAsia"/>
                <w:color w:val="auto"/>
                <w:sz w:val="21"/>
                <w:szCs w:val="21"/>
              </w:rPr>
              <w:t>符合要求</w:t>
            </w:r>
          </w:p>
        </w:tc>
      </w:tr>
      <w:tr w14:paraId="0717E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2B860D72">
            <w:pPr>
              <w:pStyle w:val="26"/>
              <w:bidi w:val="0"/>
              <w:snapToGrid w:val="0"/>
              <w:rPr>
                <w:rFonts w:hint="eastAsia"/>
                <w:color w:val="auto"/>
                <w:sz w:val="21"/>
                <w:szCs w:val="21"/>
              </w:rPr>
            </w:pPr>
          </w:p>
        </w:tc>
        <w:tc>
          <w:tcPr>
            <w:tcW w:w="1509" w:type="pct"/>
            <w:noWrap w:val="0"/>
            <w:vAlign w:val="center"/>
          </w:tcPr>
          <w:p w14:paraId="70473703">
            <w:pPr>
              <w:pStyle w:val="26"/>
              <w:bidi w:val="0"/>
              <w:snapToGrid w:val="0"/>
              <w:rPr>
                <w:rFonts w:hint="eastAsia"/>
                <w:color w:val="auto"/>
                <w:sz w:val="21"/>
                <w:szCs w:val="21"/>
              </w:rPr>
            </w:pPr>
            <w:r>
              <w:rPr>
                <w:rFonts w:hint="eastAsia"/>
                <w:color w:val="auto"/>
                <w:sz w:val="21"/>
                <w:szCs w:val="21"/>
              </w:rPr>
              <w:t>9.专职安全生产管理人员应按照岗位职责组织本矿山应急救援演练。</w:t>
            </w:r>
          </w:p>
        </w:tc>
        <w:tc>
          <w:tcPr>
            <w:tcW w:w="1330" w:type="pct"/>
            <w:noWrap w:val="0"/>
            <w:vAlign w:val="center"/>
          </w:tcPr>
          <w:p w14:paraId="3C17E94E">
            <w:pPr>
              <w:pStyle w:val="26"/>
              <w:bidi w:val="0"/>
              <w:snapToGrid w:val="0"/>
              <w:rPr>
                <w:rFonts w:hint="eastAsia"/>
                <w:color w:val="auto"/>
                <w:sz w:val="21"/>
                <w:szCs w:val="21"/>
              </w:rPr>
            </w:pPr>
            <w:r>
              <w:rPr>
                <w:rFonts w:hint="eastAsia"/>
                <w:color w:val="auto"/>
                <w:sz w:val="21"/>
                <w:szCs w:val="21"/>
              </w:rPr>
              <w:t>《GB16423-2020》</w:t>
            </w:r>
          </w:p>
          <w:p w14:paraId="03D3111C">
            <w:pPr>
              <w:pStyle w:val="26"/>
              <w:bidi w:val="0"/>
              <w:snapToGrid w:val="0"/>
              <w:rPr>
                <w:rFonts w:hint="eastAsia"/>
                <w:color w:val="auto"/>
                <w:sz w:val="21"/>
                <w:szCs w:val="21"/>
              </w:rPr>
            </w:pPr>
            <w:r>
              <w:rPr>
                <w:rFonts w:hint="eastAsia"/>
                <w:color w:val="auto"/>
                <w:sz w:val="21"/>
                <w:szCs w:val="21"/>
              </w:rPr>
              <w:t>之4.3.4条</w:t>
            </w:r>
          </w:p>
        </w:tc>
        <w:tc>
          <w:tcPr>
            <w:tcW w:w="230" w:type="pct"/>
            <w:noWrap w:val="0"/>
            <w:vAlign w:val="center"/>
          </w:tcPr>
          <w:p w14:paraId="515707AD">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2FE79AAB">
            <w:pPr>
              <w:pStyle w:val="26"/>
              <w:bidi w:val="0"/>
              <w:snapToGrid w:val="0"/>
              <w:rPr>
                <w:rFonts w:hint="eastAsia"/>
                <w:color w:val="auto"/>
                <w:sz w:val="21"/>
                <w:szCs w:val="21"/>
              </w:rPr>
            </w:pPr>
            <w:r>
              <w:rPr>
                <w:rFonts w:hint="eastAsia"/>
                <w:color w:val="auto"/>
                <w:sz w:val="21"/>
                <w:szCs w:val="21"/>
              </w:rPr>
              <w:t>每个职工均熟知应急预案；公司制定了应急演练计划，组织</w:t>
            </w:r>
            <w:r>
              <w:rPr>
                <w:rFonts w:hint="eastAsia"/>
                <w:color w:val="auto"/>
                <w:sz w:val="21"/>
                <w:szCs w:val="21"/>
                <w:lang w:val="en-US" w:eastAsia="zh-CN"/>
              </w:rPr>
              <w:t>车辆事故</w:t>
            </w:r>
            <w:r>
              <w:rPr>
                <w:rFonts w:hint="eastAsia"/>
                <w:color w:val="auto"/>
                <w:sz w:val="21"/>
                <w:szCs w:val="21"/>
              </w:rPr>
              <w:t>、爆破伤害等事故应急预案演练，并有演练记录，存档保存。</w:t>
            </w:r>
          </w:p>
        </w:tc>
        <w:tc>
          <w:tcPr>
            <w:tcW w:w="216" w:type="pct"/>
            <w:noWrap w:val="0"/>
            <w:vAlign w:val="center"/>
          </w:tcPr>
          <w:p w14:paraId="068096FF">
            <w:pPr>
              <w:pStyle w:val="26"/>
              <w:bidi w:val="0"/>
              <w:snapToGrid w:val="0"/>
              <w:rPr>
                <w:rFonts w:hint="eastAsia"/>
                <w:color w:val="auto"/>
                <w:sz w:val="21"/>
                <w:szCs w:val="21"/>
              </w:rPr>
            </w:pPr>
            <w:r>
              <w:rPr>
                <w:rFonts w:hint="eastAsia"/>
                <w:color w:val="auto"/>
                <w:sz w:val="21"/>
                <w:szCs w:val="21"/>
              </w:rPr>
              <w:t>符合要求</w:t>
            </w:r>
          </w:p>
        </w:tc>
      </w:tr>
      <w:tr w14:paraId="559BF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5BCFB8AE">
            <w:pPr>
              <w:pStyle w:val="26"/>
              <w:bidi w:val="0"/>
              <w:snapToGrid w:val="0"/>
              <w:rPr>
                <w:rFonts w:hint="eastAsia"/>
                <w:color w:val="auto"/>
                <w:sz w:val="21"/>
                <w:szCs w:val="21"/>
              </w:rPr>
            </w:pPr>
          </w:p>
        </w:tc>
        <w:tc>
          <w:tcPr>
            <w:tcW w:w="1509" w:type="pct"/>
            <w:noWrap w:val="0"/>
            <w:vAlign w:val="center"/>
          </w:tcPr>
          <w:p w14:paraId="3B615DED">
            <w:pPr>
              <w:pStyle w:val="26"/>
              <w:bidi w:val="0"/>
              <w:snapToGrid w:val="0"/>
              <w:rPr>
                <w:rFonts w:hint="eastAsia"/>
                <w:color w:val="auto"/>
                <w:sz w:val="21"/>
                <w:szCs w:val="21"/>
              </w:rPr>
            </w:pPr>
            <w:r>
              <w:rPr>
                <w:rFonts w:hint="eastAsia"/>
                <w:color w:val="auto"/>
                <w:sz w:val="21"/>
                <w:szCs w:val="21"/>
              </w:rPr>
              <w:t>10.建立事故应急救援组织，配备必要的应急救援器材、设备；生产规模较小可以不建立事故应急救援组织的，应当指定兼职的应急救援人员，并与邻近的事故应急救援组织签订救护协议；并有急救物资。</w:t>
            </w:r>
          </w:p>
        </w:tc>
        <w:tc>
          <w:tcPr>
            <w:tcW w:w="1330" w:type="pct"/>
            <w:noWrap w:val="0"/>
            <w:vAlign w:val="center"/>
          </w:tcPr>
          <w:p w14:paraId="7AA71CE8">
            <w:pPr>
              <w:pStyle w:val="26"/>
              <w:bidi w:val="0"/>
              <w:snapToGrid w:val="0"/>
              <w:rPr>
                <w:rFonts w:hint="eastAsia"/>
                <w:color w:val="auto"/>
                <w:sz w:val="21"/>
                <w:szCs w:val="21"/>
              </w:rPr>
            </w:pPr>
            <w:r>
              <w:rPr>
                <w:rFonts w:hint="eastAsia"/>
                <w:color w:val="auto"/>
                <w:sz w:val="21"/>
                <w:szCs w:val="21"/>
              </w:rPr>
              <w:t>辽安监非煤〔2018〕29号</w:t>
            </w:r>
          </w:p>
        </w:tc>
        <w:tc>
          <w:tcPr>
            <w:tcW w:w="230" w:type="pct"/>
            <w:noWrap w:val="0"/>
            <w:vAlign w:val="center"/>
          </w:tcPr>
          <w:p w14:paraId="2CF2B0BA">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666FFF5F">
            <w:pPr>
              <w:pStyle w:val="26"/>
              <w:bidi w:val="0"/>
              <w:snapToGrid w:val="0"/>
              <w:rPr>
                <w:rFonts w:hint="eastAsia"/>
                <w:color w:val="auto"/>
                <w:sz w:val="21"/>
                <w:szCs w:val="21"/>
              </w:rPr>
            </w:pPr>
            <w:r>
              <w:rPr>
                <w:rFonts w:hint="eastAsia"/>
                <w:color w:val="auto"/>
                <w:sz w:val="21"/>
                <w:szCs w:val="21"/>
              </w:rPr>
              <w:t>企业已与</w:t>
            </w:r>
            <w:r>
              <w:rPr>
                <w:rFonts w:hint="eastAsia"/>
                <w:color w:val="auto"/>
                <w:sz w:val="21"/>
                <w:szCs w:val="21"/>
                <w:lang w:val="en-US" w:eastAsia="zh-CN"/>
              </w:rPr>
              <w:t>岫岩满族自治县富山矿业有限公司</w:t>
            </w:r>
            <w:r>
              <w:rPr>
                <w:rFonts w:hint="eastAsia"/>
                <w:color w:val="auto"/>
                <w:sz w:val="21"/>
                <w:szCs w:val="21"/>
              </w:rPr>
              <w:t>签订了</w:t>
            </w:r>
            <w:r>
              <w:rPr>
                <w:rFonts w:hint="eastAsia"/>
                <w:color w:val="auto"/>
                <w:sz w:val="21"/>
                <w:szCs w:val="21"/>
                <w:lang w:val="en-US" w:eastAsia="zh-CN"/>
              </w:rPr>
              <w:t>救援协议</w:t>
            </w:r>
            <w:r>
              <w:rPr>
                <w:rFonts w:hint="eastAsia"/>
                <w:color w:val="auto"/>
                <w:sz w:val="21"/>
                <w:szCs w:val="21"/>
              </w:rPr>
              <w:t>。</w:t>
            </w:r>
          </w:p>
        </w:tc>
        <w:tc>
          <w:tcPr>
            <w:tcW w:w="216" w:type="pct"/>
            <w:noWrap w:val="0"/>
            <w:vAlign w:val="center"/>
          </w:tcPr>
          <w:p w14:paraId="689C2F70">
            <w:pPr>
              <w:pStyle w:val="26"/>
              <w:bidi w:val="0"/>
              <w:snapToGrid w:val="0"/>
              <w:rPr>
                <w:rFonts w:hint="eastAsia"/>
                <w:color w:val="auto"/>
                <w:sz w:val="21"/>
                <w:szCs w:val="21"/>
              </w:rPr>
            </w:pPr>
            <w:r>
              <w:rPr>
                <w:rFonts w:hint="eastAsia"/>
                <w:color w:val="auto"/>
                <w:sz w:val="21"/>
                <w:szCs w:val="21"/>
              </w:rPr>
              <w:t>符合要求</w:t>
            </w:r>
          </w:p>
        </w:tc>
      </w:tr>
      <w:tr w14:paraId="5D05B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restart"/>
            <w:noWrap w:val="0"/>
            <w:textDirection w:val="tbRlV"/>
            <w:vAlign w:val="center"/>
          </w:tcPr>
          <w:p w14:paraId="79CA26E6">
            <w:pPr>
              <w:pStyle w:val="26"/>
              <w:bidi w:val="0"/>
              <w:snapToGrid w:val="0"/>
              <w:rPr>
                <w:rFonts w:hint="eastAsia"/>
                <w:color w:val="auto"/>
                <w:sz w:val="21"/>
                <w:szCs w:val="21"/>
              </w:rPr>
            </w:pPr>
            <w:r>
              <w:rPr>
                <w:rFonts w:hint="eastAsia"/>
                <w:color w:val="auto"/>
                <w:sz w:val="21"/>
                <w:szCs w:val="21"/>
              </w:rPr>
              <w:t>四、其他</w:t>
            </w:r>
          </w:p>
        </w:tc>
        <w:tc>
          <w:tcPr>
            <w:tcW w:w="1509" w:type="pct"/>
            <w:noWrap w:val="0"/>
            <w:vAlign w:val="center"/>
          </w:tcPr>
          <w:p w14:paraId="782A14CA">
            <w:pPr>
              <w:pStyle w:val="26"/>
              <w:bidi w:val="0"/>
              <w:snapToGrid w:val="0"/>
              <w:rPr>
                <w:rFonts w:hint="eastAsia"/>
                <w:color w:val="auto"/>
                <w:sz w:val="21"/>
                <w:szCs w:val="21"/>
              </w:rPr>
            </w:pPr>
            <w:r>
              <w:rPr>
                <w:rFonts w:hint="eastAsia"/>
                <w:color w:val="auto"/>
                <w:sz w:val="21"/>
                <w:szCs w:val="21"/>
              </w:rPr>
              <w:t>1．生产经营单位必须为从业人员提供符合国家标准或者行业标准的劳动防护用品，并监督、教育从业人员按照使用规则佩戴、使用。</w:t>
            </w:r>
          </w:p>
        </w:tc>
        <w:tc>
          <w:tcPr>
            <w:tcW w:w="1330" w:type="pct"/>
            <w:noWrap w:val="0"/>
            <w:vAlign w:val="center"/>
          </w:tcPr>
          <w:p w14:paraId="0DD2C078">
            <w:pPr>
              <w:pStyle w:val="26"/>
              <w:bidi w:val="0"/>
              <w:snapToGrid w:val="0"/>
              <w:rPr>
                <w:rFonts w:hint="eastAsia"/>
                <w:color w:val="auto"/>
                <w:sz w:val="21"/>
                <w:szCs w:val="21"/>
              </w:rPr>
            </w:pPr>
            <w:r>
              <w:rPr>
                <w:rFonts w:hint="eastAsia"/>
                <w:color w:val="auto"/>
                <w:sz w:val="21"/>
                <w:szCs w:val="21"/>
              </w:rPr>
              <w:t>《安全生产法》</w:t>
            </w:r>
          </w:p>
          <w:p w14:paraId="6DC0CEB8">
            <w:pPr>
              <w:pStyle w:val="26"/>
              <w:bidi w:val="0"/>
              <w:snapToGrid w:val="0"/>
              <w:rPr>
                <w:rFonts w:hint="eastAsia"/>
                <w:color w:val="auto"/>
                <w:sz w:val="21"/>
                <w:szCs w:val="21"/>
              </w:rPr>
            </w:pPr>
            <w:r>
              <w:rPr>
                <w:rFonts w:hint="eastAsia"/>
                <w:color w:val="auto"/>
                <w:sz w:val="21"/>
                <w:szCs w:val="21"/>
              </w:rPr>
              <w:t>第45条</w:t>
            </w:r>
          </w:p>
        </w:tc>
        <w:tc>
          <w:tcPr>
            <w:tcW w:w="230" w:type="pct"/>
            <w:noWrap w:val="0"/>
            <w:vAlign w:val="center"/>
          </w:tcPr>
          <w:p w14:paraId="3AEAC7E6">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37842392">
            <w:pPr>
              <w:pStyle w:val="26"/>
              <w:bidi w:val="0"/>
              <w:snapToGrid w:val="0"/>
              <w:rPr>
                <w:rFonts w:hint="eastAsia"/>
                <w:color w:val="auto"/>
                <w:sz w:val="21"/>
                <w:szCs w:val="21"/>
              </w:rPr>
            </w:pPr>
            <w:r>
              <w:rPr>
                <w:rFonts w:hint="eastAsia"/>
                <w:color w:val="auto"/>
                <w:sz w:val="21"/>
                <w:szCs w:val="21"/>
              </w:rPr>
              <w:t>向职工发放了符合国家标准和行业标准的劳动防护用品，如防尘口罩、耳塞等，有劳动物品发放记录，并监督、教育从业人员按照使用规则佩戴、使用。</w:t>
            </w:r>
          </w:p>
        </w:tc>
        <w:tc>
          <w:tcPr>
            <w:tcW w:w="216" w:type="pct"/>
            <w:noWrap w:val="0"/>
            <w:vAlign w:val="center"/>
          </w:tcPr>
          <w:p w14:paraId="42C78351">
            <w:pPr>
              <w:pStyle w:val="26"/>
              <w:bidi w:val="0"/>
              <w:snapToGrid w:val="0"/>
              <w:rPr>
                <w:rFonts w:hint="eastAsia"/>
                <w:color w:val="auto"/>
                <w:sz w:val="21"/>
                <w:szCs w:val="21"/>
              </w:rPr>
            </w:pPr>
            <w:r>
              <w:rPr>
                <w:rFonts w:hint="eastAsia"/>
                <w:color w:val="auto"/>
                <w:sz w:val="21"/>
                <w:szCs w:val="21"/>
              </w:rPr>
              <w:t>符合要求</w:t>
            </w:r>
          </w:p>
        </w:tc>
      </w:tr>
      <w:tr w14:paraId="02245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78174B2A">
            <w:pPr>
              <w:pStyle w:val="26"/>
              <w:bidi w:val="0"/>
              <w:snapToGrid w:val="0"/>
              <w:rPr>
                <w:rFonts w:hint="eastAsia"/>
                <w:color w:val="auto"/>
                <w:sz w:val="21"/>
                <w:szCs w:val="21"/>
              </w:rPr>
            </w:pPr>
          </w:p>
        </w:tc>
        <w:tc>
          <w:tcPr>
            <w:tcW w:w="1509" w:type="pct"/>
            <w:noWrap w:val="0"/>
            <w:vAlign w:val="center"/>
          </w:tcPr>
          <w:p w14:paraId="707BAFCB">
            <w:pPr>
              <w:pStyle w:val="26"/>
              <w:bidi w:val="0"/>
              <w:snapToGrid w:val="0"/>
              <w:rPr>
                <w:rFonts w:hint="eastAsia"/>
                <w:color w:val="auto"/>
                <w:sz w:val="21"/>
                <w:szCs w:val="21"/>
              </w:rPr>
            </w:pPr>
            <w:r>
              <w:rPr>
                <w:rFonts w:hint="eastAsia"/>
                <w:color w:val="auto"/>
                <w:sz w:val="21"/>
                <w:szCs w:val="21"/>
              </w:rPr>
              <w:t>2.安全生产投入符合安全生产要求，按照有关规定提取安全技术措施专项经费。</w:t>
            </w:r>
          </w:p>
        </w:tc>
        <w:tc>
          <w:tcPr>
            <w:tcW w:w="1330" w:type="pct"/>
            <w:noWrap w:val="0"/>
            <w:vAlign w:val="center"/>
          </w:tcPr>
          <w:p w14:paraId="4735622A">
            <w:pPr>
              <w:pStyle w:val="26"/>
              <w:bidi w:val="0"/>
              <w:snapToGrid w:val="0"/>
              <w:rPr>
                <w:rFonts w:hint="eastAsia"/>
                <w:color w:val="auto"/>
                <w:sz w:val="21"/>
                <w:szCs w:val="21"/>
              </w:rPr>
            </w:pPr>
            <w:r>
              <w:rPr>
                <w:rFonts w:hint="eastAsia"/>
                <w:color w:val="auto"/>
                <w:sz w:val="21"/>
                <w:szCs w:val="21"/>
              </w:rPr>
              <w:t>《许可证实施办法》第二章第五条第二款</w:t>
            </w:r>
          </w:p>
        </w:tc>
        <w:tc>
          <w:tcPr>
            <w:tcW w:w="230" w:type="pct"/>
            <w:noWrap w:val="0"/>
            <w:vAlign w:val="center"/>
          </w:tcPr>
          <w:p w14:paraId="37662CE8">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7EE020C9">
            <w:pPr>
              <w:pStyle w:val="26"/>
              <w:bidi w:val="0"/>
              <w:snapToGrid w:val="0"/>
              <w:rPr>
                <w:rFonts w:hint="eastAsia"/>
                <w:color w:val="auto"/>
                <w:sz w:val="21"/>
                <w:szCs w:val="21"/>
              </w:rPr>
            </w:pPr>
            <w:r>
              <w:rPr>
                <w:rFonts w:hint="eastAsia"/>
                <w:color w:val="auto"/>
                <w:sz w:val="21"/>
                <w:szCs w:val="21"/>
              </w:rPr>
              <w:t>根据财资〔2022〕136号文件的要求，足额提取了安全技术措施专项经费，有本年度的提取计划及使用台账。</w:t>
            </w:r>
          </w:p>
        </w:tc>
        <w:tc>
          <w:tcPr>
            <w:tcW w:w="216" w:type="pct"/>
            <w:noWrap w:val="0"/>
            <w:vAlign w:val="center"/>
          </w:tcPr>
          <w:p w14:paraId="1CA5FDCD">
            <w:pPr>
              <w:pStyle w:val="26"/>
              <w:bidi w:val="0"/>
              <w:snapToGrid w:val="0"/>
              <w:rPr>
                <w:rFonts w:hint="eastAsia"/>
                <w:color w:val="auto"/>
                <w:sz w:val="21"/>
                <w:szCs w:val="21"/>
              </w:rPr>
            </w:pPr>
            <w:r>
              <w:rPr>
                <w:rFonts w:hint="eastAsia"/>
                <w:color w:val="auto"/>
                <w:sz w:val="21"/>
                <w:szCs w:val="21"/>
              </w:rPr>
              <w:t>符合要求</w:t>
            </w:r>
          </w:p>
        </w:tc>
      </w:tr>
      <w:tr w14:paraId="5FA66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524F9A87">
            <w:pPr>
              <w:pStyle w:val="26"/>
              <w:bidi w:val="0"/>
              <w:snapToGrid w:val="0"/>
              <w:rPr>
                <w:rFonts w:hint="eastAsia"/>
                <w:color w:val="auto"/>
                <w:sz w:val="21"/>
                <w:szCs w:val="21"/>
              </w:rPr>
            </w:pPr>
          </w:p>
        </w:tc>
        <w:tc>
          <w:tcPr>
            <w:tcW w:w="1509" w:type="pct"/>
            <w:noWrap w:val="0"/>
            <w:vAlign w:val="center"/>
          </w:tcPr>
          <w:p w14:paraId="69FA0D35">
            <w:pPr>
              <w:pStyle w:val="26"/>
              <w:bidi w:val="0"/>
              <w:snapToGrid w:val="0"/>
              <w:rPr>
                <w:rFonts w:hint="eastAsia"/>
                <w:color w:val="auto"/>
                <w:sz w:val="21"/>
                <w:szCs w:val="21"/>
              </w:rPr>
            </w:pPr>
            <w:r>
              <w:rPr>
                <w:rFonts w:hint="eastAsia"/>
                <w:color w:val="auto"/>
                <w:sz w:val="21"/>
                <w:szCs w:val="21"/>
              </w:rPr>
              <w:t>作业单位必须依法参加工伤社会保险，为从业人员缴纳工伤保险费。</w:t>
            </w:r>
          </w:p>
          <w:p w14:paraId="12C6A4B4">
            <w:pPr>
              <w:pStyle w:val="26"/>
              <w:bidi w:val="0"/>
              <w:snapToGrid w:val="0"/>
              <w:rPr>
                <w:rFonts w:hint="eastAsia"/>
                <w:color w:val="auto"/>
                <w:sz w:val="21"/>
                <w:szCs w:val="21"/>
              </w:rPr>
            </w:pPr>
            <w:r>
              <w:rPr>
                <w:rFonts w:hint="eastAsia"/>
                <w:color w:val="auto"/>
                <w:sz w:val="21"/>
                <w:szCs w:val="21"/>
              </w:rPr>
              <w:t>属于国家规定的高危行业、领域的生产经营单位，应当投保安全生产责任保险。</w:t>
            </w:r>
          </w:p>
        </w:tc>
        <w:tc>
          <w:tcPr>
            <w:tcW w:w="1330" w:type="pct"/>
            <w:noWrap w:val="0"/>
            <w:vAlign w:val="center"/>
          </w:tcPr>
          <w:p w14:paraId="7454FE40">
            <w:pPr>
              <w:pStyle w:val="26"/>
              <w:bidi w:val="0"/>
              <w:snapToGrid w:val="0"/>
              <w:rPr>
                <w:rFonts w:hint="eastAsia"/>
                <w:color w:val="auto"/>
                <w:sz w:val="21"/>
                <w:szCs w:val="21"/>
              </w:rPr>
            </w:pPr>
            <w:r>
              <w:rPr>
                <w:rFonts w:hint="eastAsia"/>
                <w:color w:val="auto"/>
                <w:sz w:val="21"/>
                <w:szCs w:val="21"/>
              </w:rPr>
              <w:t>《许可证实施办法》第二章第五条第七款、</w:t>
            </w:r>
          </w:p>
          <w:p w14:paraId="00531377">
            <w:pPr>
              <w:pStyle w:val="26"/>
              <w:bidi w:val="0"/>
              <w:snapToGrid w:val="0"/>
              <w:rPr>
                <w:rFonts w:hint="eastAsia"/>
                <w:color w:val="auto"/>
                <w:sz w:val="21"/>
                <w:szCs w:val="21"/>
              </w:rPr>
            </w:pPr>
            <w:r>
              <w:rPr>
                <w:rFonts w:hint="eastAsia"/>
                <w:color w:val="auto"/>
                <w:sz w:val="21"/>
                <w:szCs w:val="21"/>
              </w:rPr>
              <w:t>《安全生产法》</w:t>
            </w:r>
          </w:p>
          <w:p w14:paraId="7673AC90">
            <w:pPr>
              <w:pStyle w:val="26"/>
              <w:bidi w:val="0"/>
              <w:snapToGrid w:val="0"/>
              <w:rPr>
                <w:rFonts w:hint="eastAsia"/>
                <w:color w:val="auto"/>
                <w:sz w:val="21"/>
                <w:szCs w:val="21"/>
              </w:rPr>
            </w:pPr>
            <w:r>
              <w:rPr>
                <w:rFonts w:hint="eastAsia"/>
                <w:color w:val="auto"/>
                <w:sz w:val="21"/>
                <w:szCs w:val="21"/>
              </w:rPr>
              <w:t>第45条</w:t>
            </w:r>
          </w:p>
        </w:tc>
        <w:tc>
          <w:tcPr>
            <w:tcW w:w="230" w:type="pct"/>
            <w:noWrap w:val="0"/>
            <w:vAlign w:val="center"/>
          </w:tcPr>
          <w:p w14:paraId="4D2D5E5F">
            <w:pPr>
              <w:pStyle w:val="26"/>
              <w:bidi w:val="0"/>
              <w:snapToGrid w:val="0"/>
              <w:rPr>
                <w:rFonts w:hint="eastAsia"/>
                <w:color w:val="auto"/>
                <w:sz w:val="21"/>
                <w:szCs w:val="21"/>
              </w:rPr>
            </w:pPr>
            <w:r>
              <w:rPr>
                <w:rFonts w:hint="eastAsia"/>
                <w:color w:val="auto"/>
                <w:sz w:val="21"/>
                <w:szCs w:val="21"/>
              </w:rPr>
              <w:t>查看保险单</w:t>
            </w:r>
          </w:p>
        </w:tc>
        <w:tc>
          <w:tcPr>
            <w:tcW w:w="1396" w:type="pct"/>
            <w:noWrap w:val="0"/>
            <w:vAlign w:val="center"/>
          </w:tcPr>
          <w:p w14:paraId="7014BB9F">
            <w:pPr>
              <w:pStyle w:val="26"/>
              <w:bidi w:val="0"/>
              <w:snapToGrid w:val="0"/>
              <w:rPr>
                <w:rFonts w:hint="eastAsia"/>
                <w:color w:val="auto"/>
                <w:sz w:val="21"/>
                <w:szCs w:val="21"/>
              </w:rPr>
            </w:pPr>
            <w:r>
              <w:rPr>
                <w:rFonts w:hint="eastAsia"/>
                <w:color w:val="auto"/>
                <w:sz w:val="21"/>
                <w:szCs w:val="21"/>
              </w:rPr>
              <w:t>为职工交纳了安全生产责任险保险及工伤险，保额满足要求。</w:t>
            </w:r>
          </w:p>
        </w:tc>
        <w:tc>
          <w:tcPr>
            <w:tcW w:w="216" w:type="pct"/>
            <w:noWrap w:val="0"/>
            <w:vAlign w:val="center"/>
          </w:tcPr>
          <w:p w14:paraId="56389BD4">
            <w:pPr>
              <w:pStyle w:val="26"/>
              <w:bidi w:val="0"/>
              <w:snapToGrid w:val="0"/>
              <w:rPr>
                <w:rFonts w:hint="eastAsia"/>
                <w:color w:val="auto"/>
                <w:sz w:val="21"/>
                <w:szCs w:val="21"/>
              </w:rPr>
            </w:pPr>
            <w:r>
              <w:rPr>
                <w:rFonts w:hint="eastAsia"/>
                <w:color w:val="auto"/>
                <w:sz w:val="21"/>
                <w:szCs w:val="21"/>
              </w:rPr>
              <w:t>符合要求</w:t>
            </w:r>
          </w:p>
        </w:tc>
      </w:tr>
      <w:tr w14:paraId="0F40E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56A58198">
            <w:pPr>
              <w:pStyle w:val="26"/>
              <w:bidi w:val="0"/>
              <w:snapToGrid w:val="0"/>
              <w:rPr>
                <w:rFonts w:hint="eastAsia"/>
                <w:color w:val="auto"/>
                <w:sz w:val="21"/>
                <w:szCs w:val="21"/>
              </w:rPr>
            </w:pPr>
          </w:p>
        </w:tc>
        <w:tc>
          <w:tcPr>
            <w:tcW w:w="1509" w:type="pct"/>
            <w:noWrap w:val="0"/>
            <w:vAlign w:val="center"/>
          </w:tcPr>
          <w:p w14:paraId="765801D3">
            <w:pPr>
              <w:pStyle w:val="26"/>
              <w:bidi w:val="0"/>
              <w:snapToGrid w:val="0"/>
              <w:rPr>
                <w:rFonts w:hint="eastAsia"/>
                <w:color w:val="auto"/>
                <w:sz w:val="21"/>
                <w:szCs w:val="21"/>
              </w:rPr>
            </w:pPr>
            <w:r>
              <w:rPr>
                <w:rFonts w:hint="eastAsia"/>
                <w:color w:val="auto"/>
                <w:sz w:val="21"/>
                <w:szCs w:val="21"/>
              </w:rPr>
              <w:t>4．生产经营单位必须和从业人员签订劳动合同。</w:t>
            </w:r>
          </w:p>
        </w:tc>
        <w:tc>
          <w:tcPr>
            <w:tcW w:w="1330" w:type="pct"/>
            <w:noWrap w:val="0"/>
            <w:vAlign w:val="center"/>
          </w:tcPr>
          <w:p w14:paraId="16CC2926">
            <w:pPr>
              <w:pStyle w:val="26"/>
              <w:bidi w:val="0"/>
              <w:snapToGrid w:val="0"/>
              <w:rPr>
                <w:rFonts w:hint="eastAsia"/>
                <w:color w:val="auto"/>
                <w:sz w:val="21"/>
                <w:szCs w:val="21"/>
              </w:rPr>
            </w:pPr>
            <w:r>
              <w:rPr>
                <w:rFonts w:hint="eastAsia"/>
                <w:color w:val="auto"/>
                <w:sz w:val="21"/>
                <w:szCs w:val="21"/>
              </w:rPr>
              <w:t>《劳动法》</w:t>
            </w:r>
          </w:p>
        </w:tc>
        <w:tc>
          <w:tcPr>
            <w:tcW w:w="230" w:type="pct"/>
            <w:noWrap w:val="0"/>
            <w:vAlign w:val="center"/>
          </w:tcPr>
          <w:p w14:paraId="21D8ABAE">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50B3333F">
            <w:pPr>
              <w:pStyle w:val="26"/>
              <w:bidi w:val="0"/>
              <w:snapToGrid w:val="0"/>
              <w:rPr>
                <w:rFonts w:hint="eastAsia"/>
                <w:color w:val="auto"/>
                <w:sz w:val="21"/>
                <w:szCs w:val="21"/>
              </w:rPr>
            </w:pPr>
            <w:r>
              <w:rPr>
                <w:rFonts w:hint="eastAsia"/>
                <w:color w:val="auto"/>
                <w:sz w:val="21"/>
                <w:szCs w:val="21"/>
              </w:rPr>
              <w:t>与职工签订了劳动合同。</w:t>
            </w:r>
          </w:p>
        </w:tc>
        <w:tc>
          <w:tcPr>
            <w:tcW w:w="216" w:type="pct"/>
            <w:noWrap w:val="0"/>
            <w:vAlign w:val="center"/>
          </w:tcPr>
          <w:p w14:paraId="6E5A8155">
            <w:pPr>
              <w:pStyle w:val="26"/>
              <w:bidi w:val="0"/>
              <w:snapToGrid w:val="0"/>
              <w:rPr>
                <w:rFonts w:hint="eastAsia"/>
                <w:color w:val="auto"/>
                <w:sz w:val="21"/>
                <w:szCs w:val="21"/>
              </w:rPr>
            </w:pPr>
            <w:r>
              <w:rPr>
                <w:rFonts w:hint="eastAsia"/>
                <w:color w:val="auto"/>
                <w:sz w:val="21"/>
                <w:szCs w:val="21"/>
              </w:rPr>
              <w:t>符合要求</w:t>
            </w:r>
          </w:p>
        </w:tc>
      </w:tr>
      <w:tr w14:paraId="47A4D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207CBA55">
            <w:pPr>
              <w:pStyle w:val="26"/>
              <w:bidi w:val="0"/>
              <w:snapToGrid w:val="0"/>
              <w:rPr>
                <w:rFonts w:hint="eastAsia"/>
                <w:color w:val="auto"/>
                <w:sz w:val="21"/>
                <w:szCs w:val="21"/>
              </w:rPr>
            </w:pPr>
          </w:p>
        </w:tc>
        <w:tc>
          <w:tcPr>
            <w:tcW w:w="1509" w:type="pct"/>
            <w:noWrap w:val="0"/>
            <w:vAlign w:val="center"/>
          </w:tcPr>
          <w:p w14:paraId="4E68FB67">
            <w:pPr>
              <w:pStyle w:val="26"/>
              <w:bidi w:val="0"/>
              <w:snapToGrid w:val="0"/>
              <w:rPr>
                <w:rFonts w:hint="eastAsia"/>
                <w:color w:val="auto"/>
                <w:sz w:val="21"/>
                <w:szCs w:val="21"/>
              </w:rPr>
            </w:pPr>
            <w:r>
              <w:rPr>
                <w:rFonts w:hint="eastAsia"/>
                <w:color w:val="auto"/>
                <w:sz w:val="21"/>
                <w:szCs w:val="21"/>
              </w:rPr>
              <w:t>5.不良天气影响正常生产时，应立即停止作业；威胁人身安全时，人员应转移到安全地点。</w:t>
            </w:r>
          </w:p>
        </w:tc>
        <w:tc>
          <w:tcPr>
            <w:tcW w:w="1330" w:type="pct"/>
            <w:noWrap w:val="0"/>
            <w:vAlign w:val="center"/>
          </w:tcPr>
          <w:p w14:paraId="422FC933">
            <w:pPr>
              <w:pStyle w:val="26"/>
              <w:bidi w:val="0"/>
              <w:snapToGrid w:val="0"/>
              <w:rPr>
                <w:rFonts w:hint="eastAsia"/>
                <w:color w:val="auto"/>
                <w:sz w:val="21"/>
                <w:szCs w:val="21"/>
              </w:rPr>
            </w:pPr>
            <w:r>
              <w:rPr>
                <w:rFonts w:hint="eastAsia"/>
                <w:color w:val="auto"/>
                <w:sz w:val="21"/>
                <w:szCs w:val="21"/>
              </w:rPr>
              <w:t>《GB16423-2020》</w:t>
            </w:r>
          </w:p>
          <w:p w14:paraId="7C2C9F0E">
            <w:pPr>
              <w:pStyle w:val="26"/>
              <w:bidi w:val="0"/>
              <w:snapToGrid w:val="0"/>
              <w:rPr>
                <w:rFonts w:hint="eastAsia"/>
                <w:color w:val="auto"/>
                <w:sz w:val="21"/>
                <w:szCs w:val="21"/>
              </w:rPr>
            </w:pPr>
            <w:r>
              <w:rPr>
                <w:rFonts w:hint="eastAsia"/>
                <w:color w:val="auto"/>
                <w:sz w:val="21"/>
                <w:szCs w:val="21"/>
              </w:rPr>
              <w:t>之5.1.14条</w:t>
            </w:r>
          </w:p>
        </w:tc>
        <w:tc>
          <w:tcPr>
            <w:tcW w:w="230" w:type="pct"/>
            <w:noWrap w:val="0"/>
            <w:vAlign w:val="center"/>
          </w:tcPr>
          <w:p w14:paraId="7E07A526">
            <w:pPr>
              <w:pStyle w:val="26"/>
              <w:bidi w:val="0"/>
              <w:snapToGrid w:val="0"/>
              <w:rPr>
                <w:rFonts w:hint="eastAsia"/>
                <w:color w:val="auto"/>
                <w:sz w:val="21"/>
                <w:szCs w:val="21"/>
              </w:rPr>
            </w:pPr>
            <w:r>
              <w:rPr>
                <w:rFonts w:hint="eastAsia"/>
                <w:color w:val="auto"/>
                <w:sz w:val="21"/>
                <w:szCs w:val="21"/>
              </w:rPr>
              <w:t>现场勘查</w:t>
            </w:r>
          </w:p>
        </w:tc>
        <w:tc>
          <w:tcPr>
            <w:tcW w:w="1396" w:type="pct"/>
            <w:noWrap w:val="0"/>
            <w:vAlign w:val="center"/>
          </w:tcPr>
          <w:p w14:paraId="0A521AD8">
            <w:pPr>
              <w:pStyle w:val="26"/>
              <w:bidi w:val="0"/>
              <w:snapToGrid w:val="0"/>
              <w:rPr>
                <w:rFonts w:hint="eastAsia"/>
                <w:color w:val="auto"/>
                <w:sz w:val="21"/>
                <w:szCs w:val="21"/>
              </w:rPr>
            </w:pPr>
            <w:r>
              <w:rPr>
                <w:rFonts w:hint="eastAsia"/>
                <w:color w:val="auto"/>
                <w:sz w:val="21"/>
                <w:szCs w:val="21"/>
              </w:rPr>
              <w:t>遇到影响正常生产的不良天气能够做到停产，并将人员转移到安全地点。</w:t>
            </w:r>
          </w:p>
        </w:tc>
        <w:tc>
          <w:tcPr>
            <w:tcW w:w="216" w:type="pct"/>
            <w:noWrap w:val="0"/>
            <w:vAlign w:val="center"/>
          </w:tcPr>
          <w:p w14:paraId="58C92E79">
            <w:pPr>
              <w:pStyle w:val="26"/>
              <w:bidi w:val="0"/>
              <w:snapToGrid w:val="0"/>
              <w:rPr>
                <w:rFonts w:hint="eastAsia"/>
                <w:color w:val="auto"/>
                <w:sz w:val="21"/>
                <w:szCs w:val="21"/>
              </w:rPr>
            </w:pPr>
            <w:r>
              <w:rPr>
                <w:rFonts w:hint="eastAsia"/>
                <w:color w:val="auto"/>
                <w:sz w:val="21"/>
                <w:szCs w:val="21"/>
              </w:rPr>
              <w:t>符合要求</w:t>
            </w:r>
          </w:p>
        </w:tc>
      </w:tr>
      <w:tr w14:paraId="5F2A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0162E539">
            <w:pPr>
              <w:pStyle w:val="26"/>
              <w:bidi w:val="0"/>
              <w:snapToGrid w:val="0"/>
              <w:rPr>
                <w:rFonts w:hint="eastAsia"/>
                <w:color w:val="auto"/>
                <w:sz w:val="21"/>
                <w:szCs w:val="21"/>
              </w:rPr>
            </w:pPr>
          </w:p>
        </w:tc>
        <w:tc>
          <w:tcPr>
            <w:tcW w:w="1509" w:type="pct"/>
            <w:noWrap w:val="0"/>
            <w:vAlign w:val="center"/>
          </w:tcPr>
          <w:p w14:paraId="08BBF9EE">
            <w:pPr>
              <w:pStyle w:val="26"/>
              <w:bidi w:val="0"/>
              <w:snapToGrid w:val="0"/>
              <w:rPr>
                <w:rFonts w:hint="eastAsia"/>
                <w:color w:val="auto"/>
                <w:sz w:val="21"/>
                <w:szCs w:val="21"/>
              </w:rPr>
            </w:pPr>
            <w:r>
              <w:rPr>
                <w:rFonts w:hint="eastAsia"/>
                <w:color w:val="auto"/>
                <w:sz w:val="21"/>
                <w:szCs w:val="21"/>
              </w:rPr>
              <w:t>6．矿山从业人员的安全培训情况和考核结果，应记录存档。</w:t>
            </w:r>
          </w:p>
        </w:tc>
        <w:tc>
          <w:tcPr>
            <w:tcW w:w="1330" w:type="pct"/>
            <w:noWrap w:val="0"/>
            <w:vAlign w:val="center"/>
          </w:tcPr>
          <w:p w14:paraId="4C30F3B3">
            <w:pPr>
              <w:pStyle w:val="26"/>
              <w:bidi w:val="0"/>
              <w:snapToGrid w:val="0"/>
              <w:rPr>
                <w:rFonts w:hint="eastAsia"/>
                <w:color w:val="auto"/>
                <w:sz w:val="21"/>
                <w:szCs w:val="21"/>
              </w:rPr>
            </w:pPr>
            <w:r>
              <w:rPr>
                <w:rFonts w:hint="eastAsia"/>
                <w:color w:val="auto"/>
                <w:sz w:val="21"/>
                <w:szCs w:val="21"/>
              </w:rPr>
              <w:t>《GB16423-2020》</w:t>
            </w:r>
          </w:p>
          <w:p w14:paraId="1DDBE363">
            <w:pPr>
              <w:pStyle w:val="26"/>
              <w:bidi w:val="0"/>
              <w:snapToGrid w:val="0"/>
              <w:rPr>
                <w:rFonts w:hint="eastAsia"/>
                <w:color w:val="auto"/>
                <w:sz w:val="21"/>
                <w:szCs w:val="21"/>
              </w:rPr>
            </w:pPr>
            <w:r>
              <w:rPr>
                <w:rFonts w:hint="eastAsia"/>
                <w:color w:val="auto"/>
                <w:sz w:val="21"/>
                <w:szCs w:val="21"/>
              </w:rPr>
              <w:t>之4.5.8条</w:t>
            </w:r>
          </w:p>
        </w:tc>
        <w:tc>
          <w:tcPr>
            <w:tcW w:w="230" w:type="pct"/>
            <w:noWrap w:val="0"/>
            <w:vAlign w:val="center"/>
          </w:tcPr>
          <w:p w14:paraId="399CB132">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4342FEF6">
            <w:pPr>
              <w:pStyle w:val="26"/>
              <w:bidi w:val="0"/>
              <w:snapToGrid w:val="0"/>
              <w:rPr>
                <w:rFonts w:hint="eastAsia"/>
                <w:color w:val="auto"/>
                <w:sz w:val="21"/>
                <w:szCs w:val="21"/>
              </w:rPr>
            </w:pPr>
            <w:r>
              <w:rPr>
                <w:rFonts w:hint="eastAsia"/>
                <w:color w:val="auto"/>
                <w:sz w:val="21"/>
                <w:szCs w:val="21"/>
              </w:rPr>
              <w:t>矿山对从业人员的安全培训情况和考核结果留有记录，并存档。</w:t>
            </w:r>
          </w:p>
        </w:tc>
        <w:tc>
          <w:tcPr>
            <w:tcW w:w="216" w:type="pct"/>
            <w:noWrap w:val="0"/>
            <w:vAlign w:val="center"/>
          </w:tcPr>
          <w:p w14:paraId="5BCFC32B">
            <w:pPr>
              <w:pStyle w:val="26"/>
              <w:bidi w:val="0"/>
              <w:snapToGrid w:val="0"/>
              <w:rPr>
                <w:rFonts w:hint="eastAsia"/>
                <w:color w:val="auto"/>
                <w:sz w:val="21"/>
                <w:szCs w:val="21"/>
              </w:rPr>
            </w:pPr>
            <w:r>
              <w:rPr>
                <w:rFonts w:hint="eastAsia"/>
                <w:color w:val="auto"/>
                <w:sz w:val="21"/>
                <w:szCs w:val="21"/>
              </w:rPr>
              <w:t>符合要求</w:t>
            </w:r>
          </w:p>
        </w:tc>
      </w:tr>
      <w:tr w14:paraId="340F3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5C6B2CF1">
            <w:pPr>
              <w:pStyle w:val="26"/>
              <w:bidi w:val="0"/>
              <w:snapToGrid w:val="0"/>
              <w:rPr>
                <w:rFonts w:hint="eastAsia"/>
                <w:color w:val="auto"/>
                <w:sz w:val="21"/>
                <w:szCs w:val="21"/>
              </w:rPr>
            </w:pPr>
          </w:p>
        </w:tc>
        <w:tc>
          <w:tcPr>
            <w:tcW w:w="1509" w:type="pct"/>
            <w:noWrap w:val="0"/>
            <w:vAlign w:val="center"/>
          </w:tcPr>
          <w:p w14:paraId="6E85D315">
            <w:pPr>
              <w:pStyle w:val="26"/>
              <w:bidi w:val="0"/>
              <w:snapToGrid w:val="0"/>
              <w:rPr>
                <w:rFonts w:hint="eastAsia"/>
                <w:color w:val="auto"/>
                <w:sz w:val="21"/>
                <w:szCs w:val="21"/>
              </w:rPr>
            </w:pPr>
            <w:r>
              <w:rPr>
                <w:rFonts w:hint="eastAsia"/>
                <w:color w:val="auto"/>
                <w:sz w:val="21"/>
                <w:szCs w:val="21"/>
              </w:rPr>
              <w:t>7.露天矿山应有采场工程平面图、采场剖面图、开采现状图、开采终了境界平面图、排土场现状图。</w:t>
            </w:r>
          </w:p>
        </w:tc>
        <w:tc>
          <w:tcPr>
            <w:tcW w:w="1330" w:type="pct"/>
            <w:noWrap w:val="0"/>
            <w:vAlign w:val="center"/>
          </w:tcPr>
          <w:p w14:paraId="73CD1BBE">
            <w:pPr>
              <w:pStyle w:val="26"/>
              <w:bidi w:val="0"/>
              <w:snapToGrid w:val="0"/>
              <w:rPr>
                <w:rFonts w:hint="eastAsia"/>
                <w:color w:val="auto"/>
                <w:sz w:val="21"/>
                <w:szCs w:val="21"/>
              </w:rPr>
            </w:pPr>
            <w:r>
              <w:rPr>
                <w:rFonts w:hint="eastAsia"/>
                <w:color w:val="auto"/>
                <w:sz w:val="21"/>
                <w:szCs w:val="21"/>
              </w:rPr>
              <w:t>辽安监非煤〔2018〕29号</w:t>
            </w:r>
          </w:p>
        </w:tc>
        <w:tc>
          <w:tcPr>
            <w:tcW w:w="230" w:type="pct"/>
            <w:noWrap w:val="0"/>
            <w:vAlign w:val="center"/>
          </w:tcPr>
          <w:p w14:paraId="2A32C6FA">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5C031A30">
            <w:pPr>
              <w:pStyle w:val="26"/>
              <w:bidi w:val="0"/>
              <w:snapToGrid w:val="0"/>
              <w:rPr>
                <w:rFonts w:hint="eastAsia"/>
                <w:color w:val="auto"/>
                <w:sz w:val="21"/>
                <w:szCs w:val="21"/>
              </w:rPr>
            </w:pPr>
            <w:r>
              <w:rPr>
                <w:rFonts w:hint="eastAsia"/>
                <w:color w:val="auto"/>
                <w:sz w:val="21"/>
                <w:szCs w:val="21"/>
              </w:rPr>
              <w:t>矿山有总平面布置图、开采现状图、</w:t>
            </w:r>
            <w:r>
              <w:rPr>
                <w:rFonts w:hint="eastAsia"/>
                <w:color w:val="auto"/>
                <w:sz w:val="21"/>
                <w:szCs w:val="21"/>
                <w:lang w:val="en-US" w:eastAsia="zh-CN"/>
              </w:rPr>
              <w:t>采场剖面</w:t>
            </w:r>
            <w:r>
              <w:rPr>
                <w:rFonts w:hint="eastAsia"/>
                <w:color w:val="auto"/>
                <w:sz w:val="21"/>
                <w:szCs w:val="21"/>
              </w:rPr>
              <w:t>图</w:t>
            </w:r>
            <w:r>
              <w:rPr>
                <w:rFonts w:hint="eastAsia"/>
                <w:color w:val="auto"/>
                <w:sz w:val="21"/>
                <w:szCs w:val="21"/>
                <w:lang w:eastAsia="zh-CN"/>
              </w:rPr>
              <w:t>、开采终了境界平面图</w:t>
            </w:r>
            <w:r>
              <w:rPr>
                <w:rFonts w:hint="eastAsia"/>
                <w:color w:val="auto"/>
                <w:sz w:val="21"/>
                <w:szCs w:val="21"/>
              </w:rPr>
              <w:t>。</w:t>
            </w:r>
          </w:p>
        </w:tc>
        <w:tc>
          <w:tcPr>
            <w:tcW w:w="216" w:type="pct"/>
            <w:noWrap w:val="0"/>
            <w:vAlign w:val="center"/>
          </w:tcPr>
          <w:p w14:paraId="090D1996">
            <w:pPr>
              <w:pStyle w:val="26"/>
              <w:bidi w:val="0"/>
              <w:snapToGrid w:val="0"/>
              <w:rPr>
                <w:rFonts w:hint="eastAsia"/>
                <w:color w:val="auto"/>
                <w:sz w:val="21"/>
                <w:szCs w:val="21"/>
              </w:rPr>
            </w:pPr>
            <w:r>
              <w:rPr>
                <w:rFonts w:hint="eastAsia"/>
                <w:color w:val="auto"/>
                <w:sz w:val="21"/>
                <w:szCs w:val="21"/>
              </w:rPr>
              <w:t>符合要求</w:t>
            </w:r>
          </w:p>
        </w:tc>
      </w:tr>
      <w:tr w14:paraId="10AE7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26B52937">
            <w:pPr>
              <w:pStyle w:val="26"/>
              <w:bidi w:val="0"/>
              <w:snapToGrid w:val="0"/>
              <w:rPr>
                <w:rFonts w:hint="eastAsia"/>
                <w:color w:val="auto"/>
                <w:sz w:val="21"/>
                <w:szCs w:val="21"/>
              </w:rPr>
            </w:pPr>
          </w:p>
        </w:tc>
        <w:tc>
          <w:tcPr>
            <w:tcW w:w="1509" w:type="pct"/>
            <w:noWrap w:val="0"/>
            <w:vAlign w:val="center"/>
          </w:tcPr>
          <w:p w14:paraId="0DC25402">
            <w:pPr>
              <w:pStyle w:val="26"/>
              <w:bidi w:val="0"/>
              <w:snapToGrid w:val="0"/>
              <w:rPr>
                <w:rFonts w:hint="eastAsia" w:eastAsia="宋体"/>
                <w:color w:val="auto"/>
                <w:sz w:val="21"/>
                <w:szCs w:val="21"/>
                <w:lang w:eastAsia="zh-CN"/>
              </w:rPr>
            </w:pPr>
            <w:r>
              <w:rPr>
                <w:rFonts w:hint="eastAsia"/>
                <w:color w:val="auto"/>
                <w:sz w:val="21"/>
                <w:szCs w:val="21"/>
              </w:rPr>
              <w:t>金属非金属露天矿山应当</w:t>
            </w:r>
            <w:r>
              <w:rPr>
                <w:rFonts w:hint="eastAsia"/>
                <w:color w:val="auto"/>
                <w:sz w:val="21"/>
                <w:szCs w:val="21"/>
                <w:lang w:val="en-US" w:eastAsia="zh-CN"/>
              </w:rPr>
              <w:t>任命</w:t>
            </w:r>
            <w:r>
              <w:rPr>
                <w:rFonts w:hint="eastAsia"/>
                <w:color w:val="auto"/>
                <w:sz w:val="21"/>
                <w:szCs w:val="21"/>
                <w:lang w:eastAsia="zh-CN"/>
              </w:rPr>
              <w:t>“</w:t>
            </w:r>
            <w:r>
              <w:rPr>
                <w:rFonts w:hint="eastAsia"/>
                <w:color w:val="auto"/>
                <w:sz w:val="21"/>
                <w:szCs w:val="21"/>
                <w:lang w:val="en-US" w:eastAsia="zh-CN"/>
              </w:rPr>
              <w:t>五职</w:t>
            </w:r>
            <w:r>
              <w:rPr>
                <w:rFonts w:hint="eastAsia"/>
                <w:color w:val="auto"/>
                <w:sz w:val="21"/>
                <w:szCs w:val="21"/>
                <w:lang w:eastAsia="zh-CN"/>
              </w:rPr>
              <w:t>”</w:t>
            </w:r>
            <w:r>
              <w:rPr>
                <w:rFonts w:hint="eastAsia"/>
                <w:color w:val="auto"/>
                <w:sz w:val="21"/>
                <w:szCs w:val="21"/>
                <w:lang w:val="en-US" w:eastAsia="zh-CN"/>
              </w:rPr>
              <w:t>矿长与“五科”专业技术人员</w:t>
            </w:r>
            <w:r>
              <w:rPr>
                <w:rFonts w:hint="eastAsia"/>
                <w:color w:val="auto"/>
                <w:sz w:val="21"/>
                <w:szCs w:val="21"/>
              </w:rPr>
              <w:t>。</w:t>
            </w:r>
          </w:p>
        </w:tc>
        <w:tc>
          <w:tcPr>
            <w:tcW w:w="1330" w:type="pct"/>
            <w:noWrap w:val="0"/>
            <w:vAlign w:val="center"/>
          </w:tcPr>
          <w:p w14:paraId="198733CB">
            <w:pPr>
              <w:pStyle w:val="26"/>
              <w:bidi w:val="0"/>
              <w:snapToGrid w:val="0"/>
              <w:rPr>
                <w:rFonts w:hint="eastAsia"/>
                <w:color w:val="auto"/>
                <w:sz w:val="21"/>
                <w:szCs w:val="21"/>
              </w:rPr>
            </w:pPr>
            <w:r>
              <w:rPr>
                <w:rFonts w:hint="eastAsia"/>
                <w:color w:val="auto"/>
                <w:sz w:val="21"/>
                <w:szCs w:val="21"/>
              </w:rPr>
              <w:t>矿安综〔2025〕12号</w:t>
            </w:r>
          </w:p>
        </w:tc>
        <w:tc>
          <w:tcPr>
            <w:tcW w:w="230" w:type="pct"/>
            <w:noWrap w:val="0"/>
            <w:vAlign w:val="center"/>
          </w:tcPr>
          <w:p w14:paraId="748A614D">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405415BE">
            <w:pPr>
              <w:pStyle w:val="26"/>
              <w:bidi w:val="0"/>
              <w:snapToGrid w:val="0"/>
              <w:rPr>
                <w:rFonts w:hint="eastAsia"/>
                <w:color w:val="auto"/>
                <w:sz w:val="21"/>
                <w:szCs w:val="21"/>
              </w:rPr>
            </w:pPr>
            <w:r>
              <w:rPr>
                <w:rFonts w:hint="eastAsia"/>
                <w:color w:val="auto"/>
                <w:sz w:val="21"/>
                <w:szCs w:val="21"/>
              </w:rPr>
              <w:t>矿山已配备地质、采矿、</w:t>
            </w:r>
            <w:r>
              <w:rPr>
                <w:rFonts w:hint="eastAsia"/>
                <w:color w:val="auto"/>
                <w:sz w:val="21"/>
                <w:szCs w:val="21"/>
                <w:lang w:val="en-US" w:eastAsia="zh-CN"/>
              </w:rPr>
              <w:t>机电、地质技术员</w:t>
            </w:r>
            <w:r>
              <w:rPr>
                <w:rFonts w:hint="eastAsia"/>
                <w:color w:val="auto"/>
                <w:sz w:val="21"/>
                <w:szCs w:val="21"/>
              </w:rPr>
              <w:t>。</w:t>
            </w:r>
          </w:p>
        </w:tc>
        <w:tc>
          <w:tcPr>
            <w:tcW w:w="216" w:type="pct"/>
            <w:noWrap w:val="0"/>
            <w:vAlign w:val="center"/>
          </w:tcPr>
          <w:p w14:paraId="0B0ADAFB">
            <w:pPr>
              <w:pStyle w:val="26"/>
              <w:bidi w:val="0"/>
              <w:snapToGrid w:val="0"/>
              <w:rPr>
                <w:rFonts w:hint="eastAsia"/>
                <w:color w:val="auto"/>
                <w:sz w:val="21"/>
                <w:szCs w:val="21"/>
              </w:rPr>
            </w:pPr>
            <w:r>
              <w:rPr>
                <w:rFonts w:hint="eastAsia"/>
                <w:color w:val="auto"/>
                <w:sz w:val="21"/>
                <w:szCs w:val="21"/>
              </w:rPr>
              <w:t>符合要求</w:t>
            </w:r>
          </w:p>
        </w:tc>
      </w:tr>
      <w:tr w14:paraId="15E78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08DCF491">
            <w:pPr>
              <w:pStyle w:val="26"/>
              <w:bidi w:val="0"/>
              <w:snapToGrid w:val="0"/>
              <w:rPr>
                <w:rFonts w:hint="eastAsia"/>
                <w:color w:val="auto"/>
                <w:sz w:val="21"/>
                <w:szCs w:val="21"/>
              </w:rPr>
            </w:pPr>
          </w:p>
        </w:tc>
        <w:tc>
          <w:tcPr>
            <w:tcW w:w="1509" w:type="pct"/>
            <w:noWrap w:val="0"/>
            <w:vAlign w:val="center"/>
          </w:tcPr>
          <w:p w14:paraId="39B530E8">
            <w:pPr>
              <w:pStyle w:val="26"/>
              <w:bidi w:val="0"/>
              <w:snapToGrid w:val="0"/>
              <w:rPr>
                <w:rFonts w:hint="eastAsia"/>
                <w:color w:val="auto"/>
                <w:sz w:val="21"/>
                <w:szCs w:val="21"/>
              </w:rPr>
            </w:pPr>
            <w:r>
              <w:rPr>
                <w:rFonts w:hint="eastAsia"/>
                <w:color w:val="auto"/>
                <w:sz w:val="21"/>
                <w:szCs w:val="21"/>
              </w:rPr>
              <w:t>企业应当有注册安全工程师从事安全生产管理工作。</w:t>
            </w:r>
          </w:p>
        </w:tc>
        <w:tc>
          <w:tcPr>
            <w:tcW w:w="1330" w:type="pct"/>
            <w:noWrap w:val="0"/>
            <w:vAlign w:val="center"/>
          </w:tcPr>
          <w:p w14:paraId="474D6BF2">
            <w:pPr>
              <w:pStyle w:val="26"/>
              <w:bidi w:val="0"/>
              <w:snapToGrid w:val="0"/>
              <w:rPr>
                <w:rFonts w:hint="eastAsia"/>
                <w:color w:val="auto"/>
                <w:sz w:val="21"/>
                <w:szCs w:val="21"/>
              </w:rPr>
            </w:pPr>
            <w:r>
              <w:rPr>
                <w:rFonts w:hint="eastAsia"/>
                <w:color w:val="auto"/>
                <w:sz w:val="21"/>
                <w:szCs w:val="21"/>
              </w:rPr>
              <w:t>矿安〔2022〕4号</w:t>
            </w:r>
          </w:p>
        </w:tc>
        <w:tc>
          <w:tcPr>
            <w:tcW w:w="230" w:type="pct"/>
            <w:noWrap w:val="0"/>
            <w:vAlign w:val="center"/>
          </w:tcPr>
          <w:p w14:paraId="30E3B08E">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6D6095AD">
            <w:pPr>
              <w:pStyle w:val="26"/>
              <w:bidi w:val="0"/>
              <w:snapToGrid w:val="0"/>
              <w:rPr>
                <w:rFonts w:hint="eastAsia"/>
                <w:color w:val="auto"/>
                <w:sz w:val="21"/>
                <w:szCs w:val="21"/>
              </w:rPr>
            </w:pPr>
            <w:r>
              <w:rPr>
                <w:rFonts w:hint="eastAsia"/>
                <w:color w:val="auto"/>
                <w:sz w:val="21"/>
                <w:szCs w:val="21"/>
              </w:rPr>
              <w:t>矿山已配备注册安全工程师。</w:t>
            </w:r>
          </w:p>
        </w:tc>
        <w:tc>
          <w:tcPr>
            <w:tcW w:w="216" w:type="pct"/>
            <w:noWrap w:val="0"/>
            <w:vAlign w:val="center"/>
          </w:tcPr>
          <w:p w14:paraId="3207BCE7">
            <w:pPr>
              <w:pStyle w:val="26"/>
              <w:bidi w:val="0"/>
              <w:snapToGrid w:val="0"/>
              <w:rPr>
                <w:rFonts w:hint="eastAsia"/>
                <w:color w:val="auto"/>
                <w:sz w:val="21"/>
                <w:szCs w:val="21"/>
              </w:rPr>
            </w:pPr>
            <w:r>
              <w:rPr>
                <w:rFonts w:hint="eastAsia"/>
                <w:color w:val="auto"/>
                <w:sz w:val="21"/>
                <w:szCs w:val="21"/>
              </w:rPr>
              <w:t>符合要求</w:t>
            </w:r>
          </w:p>
        </w:tc>
      </w:tr>
      <w:tr w14:paraId="514B6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315" w:type="pct"/>
            <w:vMerge w:val="continue"/>
            <w:noWrap w:val="0"/>
            <w:vAlign w:val="center"/>
          </w:tcPr>
          <w:p w14:paraId="635EE8F6">
            <w:pPr>
              <w:pStyle w:val="26"/>
              <w:bidi w:val="0"/>
              <w:snapToGrid w:val="0"/>
              <w:rPr>
                <w:rFonts w:hint="eastAsia"/>
                <w:color w:val="auto"/>
                <w:sz w:val="21"/>
                <w:szCs w:val="21"/>
              </w:rPr>
            </w:pPr>
          </w:p>
        </w:tc>
        <w:tc>
          <w:tcPr>
            <w:tcW w:w="1509" w:type="pct"/>
            <w:noWrap w:val="0"/>
            <w:vAlign w:val="center"/>
          </w:tcPr>
          <w:p w14:paraId="300F8BA3">
            <w:pPr>
              <w:pStyle w:val="26"/>
              <w:bidi w:val="0"/>
              <w:snapToGrid w:val="0"/>
              <w:rPr>
                <w:rFonts w:hint="eastAsia"/>
                <w:color w:val="auto"/>
                <w:sz w:val="21"/>
                <w:szCs w:val="21"/>
              </w:rPr>
            </w:pPr>
            <w:r>
              <w:rPr>
                <w:rFonts w:hint="eastAsia"/>
                <w:color w:val="auto"/>
                <w:sz w:val="21"/>
                <w:szCs w:val="21"/>
              </w:rPr>
              <w:t>现状高度100米及以上的边坡，应当每年进行一次边坡稳定性分析。</w:t>
            </w:r>
          </w:p>
        </w:tc>
        <w:tc>
          <w:tcPr>
            <w:tcW w:w="1330" w:type="pct"/>
            <w:noWrap w:val="0"/>
            <w:vAlign w:val="center"/>
          </w:tcPr>
          <w:p w14:paraId="65E445BB">
            <w:pPr>
              <w:pStyle w:val="26"/>
              <w:bidi w:val="0"/>
              <w:snapToGrid w:val="0"/>
              <w:rPr>
                <w:rFonts w:hint="eastAsia"/>
                <w:color w:val="auto"/>
                <w:sz w:val="21"/>
                <w:szCs w:val="21"/>
              </w:rPr>
            </w:pPr>
            <w:r>
              <w:rPr>
                <w:rFonts w:hint="eastAsia"/>
                <w:color w:val="auto"/>
                <w:sz w:val="21"/>
                <w:szCs w:val="21"/>
              </w:rPr>
              <w:t>矿安〔2022〕4号</w:t>
            </w:r>
          </w:p>
        </w:tc>
        <w:tc>
          <w:tcPr>
            <w:tcW w:w="230" w:type="pct"/>
            <w:noWrap w:val="0"/>
            <w:vAlign w:val="center"/>
          </w:tcPr>
          <w:p w14:paraId="74E967D9">
            <w:pPr>
              <w:pStyle w:val="26"/>
              <w:bidi w:val="0"/>
              <w:snapToGrid w:val="0"/>
              <w:rPr>
                <w:rFonts w:hint="eastAsia"/>
                <w:color w:val="auto"/>
                <w:sz w:val="21"/>
                <w:szCs w:val="21"/>
              </w:rPr>
            </w:pPr>
            <w:r>
              <w:rPr>
                <w:rFonts w:hint="eastAsia"/>
                <w:color w:val="auto"/>
                <w:sz w:val="21"/>
                <w:szCs w:val="21"/>
              </w:rPr>
              <w:t>查阅</w:t>
            </w:r>
          </w:p>
        </w:tc>
        <w:tc>
          <w:tcPr>
            <w:tcW w:w="1396" w:type="pct"/>
            <w:noWrap w:val="0"/>
            <w:vAlign w:val="center"/>
          </w:tcPr>
          <w:p w14:paraId="7DE6C978">
            <w:pPr>
              <w:pStyle w:val="26"/>
              <w:bidi w:val="0"/>
              <w:snapToGrid w:val="0"/>
              <w:rPr>
                <w:rFonts w:hint="eastAsia"/>
                <w:color w:val="auto"/>
                <w:sz w:val="21"/>
                <w:szCs w:val="21"/>
              </w:rPr>
            </w:pPr>
            <w:r>
              <w:rPr>
                <w:rFonts w:hint="eastAsia"/>
                <w:color w:val="auto"/>
                <w:sz w:val="21"/>
                <w:szCs w:val="21"/>
                <w:lang w:val="en-US" w:eastAsia="zh-CN"/>
              </w:rPr>
              <w:t>矿山现状最大高度</w:t>
            </w:r>
            <w:r>
              <w:rPr>
                <w:rFonts w:hint="eastAsia"/>
                <w:color w:val="auto"/>
                <w:lang w:val="en-US" w:eastAsia="zh-CN"/>
              </w:rPr>
              <w:t>87.14</w:t>
            </w:r>
            <w:r>
              <w:rPr>
                <w:rFonts w:hint="eastAsia"/>
                <w:color w:val="auto"/>
                <w:sz w:val="21"/>
                <w:szCs w:val="21"/>
                <w:lang w:val="en-US" w:eastAsia="zh-CN"/>
              </w:rPr>
              <w:t>m</w:t>
            </w:r>
            <w:r>
              <w:rPr>
                <w:rFonts w:hint="eastAsia"/>
                <w:color w:val="auto"/>
                <w:sz w:val="21"/>
                <w:szCs w:val="21"/>
              </w:rPr>
              <w:t>。</w:t>
            </w:r>
          </w:p>
        </w:tc>
        <w:tc>
          <w:tcPr>
            <w:tcW w:w="216" w:type="pct"/>
            <w:noWrap w:val="0"/>
            <w:vAlign w:val="center"/>
          </w:tcPr>
          <w:p w14:paraId="15A08423">
            <w:pPr>
              <w:pStyle w:val="26"/>
              <w:bidi w:val="0"/>
              <w:snapToGrid w:val="0"/>
              <w:rPr>
                <w:rFonts w:hint="eastAsia" w:eastAsia="宋体"/>
                <w:color w:val="auto"/>
                <w:sz w:val="21"/>
                <w:szCs w:val="21"/>
                <w:lang w:eastAsia="zh-CN"/>
              </w:rPr>
            </w:pPr>
            <w:r>
              <w:rPr>
                <w:rFonts w:hint="eastAsia"/>
                <w:color w:val="auto"/>
                <w:sz w:val="21"/>
                <w:szCs w:val="21"/>
                <w:lang w:val="en-US" w:eastAsia="zh-CN"/>
              </w:rPr>
              <w:t>不涉及</w:t>
            </w:r>
          </w:p>
        </w:tc>
      </w:tr>
    </w:tbl>
    <w:p w14:paraId="39327633">
      <w:pPr>
        <w:pStyle w:val="25"/>
        <w:bidi w:val="0"/>
        <w:rPr>
          <w:rFonts w:hint="default"/>
          <w:color w:val="auto"/>
          <w:lang w:val="en-US" w:eastAsia="zh-CN"/>
        </w:rPr>
      </w:pPr>
    </w:p>
    <w:p w14:paraId="6EFEEF1E">
      <w:pPr>
        <w:pStyle w:val="16"/>
        <w:bidi w:val="0"/>
        <w:rPr>
          <w:rFonts w:hint="default"/>
          <w:color w:val="auto"/>
          <w:lang w:val="en-US" w:eastAsia="zh-CN"/>
        </w:rPr>
      </w:pPr>
      <w:r>
        <w:rPr>
          <w:rFonts w:hint="default"/>
          <w:color w:val="auto"/>
          <w:lang w:val="en-US" w:eastAsia="zh-CN"/>
        </w:rPr>
        <w:t>鞍山东盛源矿业有限公司露天矿山安全生产管理单元符合项为</w:t>
      </w:r>
      <w:r>
        <w:rPr>
          <w:rFonts w:hint="eastAsia"/>
          <w:color w:val="auto"/>
          <w:lang w:val="en-US" w:eastAsia="zh-CN"/>
        </w:rPr>
        <w:t>24</w:t>
      </w:r>
      <w:r>
        <w:rPr>
          <w:rFonts w:hint="default"/>
          <w:color w:val="auto"/>
          <w:lang w:val="en-US" w:eastAsia="zh-CN"/>
        </w:rPr>
        <w:t>项，不符合项为0项</w:t>
      </w:r>
      <w:r>
        <w:rPr>
          <w:rFonts w:hint="eastAsia"/>
          <w:color w:val="auto"/>
          <w:lang w:val="en-US" w:eastAsia="zh-CN"/>
        </w:rPr>
        <w:t>，不涉及1项</w:t>
      </w:r>
      <w:r>
        <w:rPr>
          <w:rFonts w:hint="default"/>
          <w:color w:val="auto"/>
          <w:lang w:val="en-US" w:eastAsia="zh-CN"/>
        </w:rPr>
        <w:t>。企业在安全生产管理方面做了大量的工作。矿山开采基础资料齐全；做到了持证生产与有照经营；主要负责人、安全管理人员及特种作业人员均能持证上岗，证书有效；设立了安全科负责日常安全生产工作；建立健全了安全生产责任制，制定了安全生产规章制度和岗位操作规程且健全；为职工足额的缴纳了安全生产责任险；编制了生产安全事故应急预案，并进行了备案；按时向职工发放劳动保护用品；按规定提取和使用了安全措施专项经费。</w:t>
      </w:r>
    </w:p>
    <w:p w14:paraId="6C59CCE2">
      <w:pPr>
        <w:pStyle w:val="16"/>
        <w:bidi w:val="0"/>
        <w:rPr>
          <w:rFonts w:hint="default"/>
          <w:color w:val="auto"/>
          <w:lang w:val="en-US" w:eastAsia="zh-CN"/>
        </w:rPr>
      </w:pPr>
      <w:r>
        <w:rPr>
          <w:rFonts w:hint="default"/>
          <w:color w:val="auto"/>
          <w:lang w:val="en-US" w:eastAsia="zh-CN"/>
        </w:rPr>
        <w:t>鞍山东盛源矿业有限公司露天矿山安全生产管理单元满足安全生产需求，符合法律法规标准的规定。</w:t>
      </w:r>
    </w:p>
    <w:p w14:paraId="009AC3A1">
      <w:pPr>
        <w:pStyle w:val="23"/>
        <w:bidi w:val="0"/>
        <w:rPr>
          <w:rFonts w:hint="default"/>
          <w:color w:val="auto"/>
          <w:lang w:val="en-US" w:eastAsia="zh-CN"/>
        </w:rPr>
      </w:pPr>
      <w:bookmarkStart w:id="42" w:name="_Toc21624"/>
      <w:r>
        <w:rPr>
          <w:rFonts w:hint="eastAsia"/>
          <w:color w:val="auto"/>
          <w:lang w:val="en-US" w:eastAsia="zh-CN"/>
        </w:rPr>
        <w:t>露天开采单元评价</w:t>
      </w:r>
      <w:bookmarkEnd w:id="42"/>
    </w:p>
    <w:p w14:paraId="02157005">
      <w:pPr>
        <w:pStyle w:val="16"/>
        <w:bidi w:val="0"/>
        <w:rPr>
          <w:rFonts w:hint="eastAsia"/>
          <w:color w:val="auto"/>
        </w:rPr>
      </w:pPr>
      <w:r>
        <w:rPr>
          <w:rFonts w:hint="eastAsia"/>
          <w:color w:val="auto"/>
        </w:rPr>
        <w:t>根据现场核查、依据国家相关法律、法规及规定，对该矿山的露天开采单元现场情况进行逐一检查。</w:t>
      </w:r>
    </w:p>
    <w:p w14:paraId="2DCDBABA">
      <w:pPr>
        <w:pStyle w:val="24"/>
        <w:bidi w:val="0"/>
        <w:rPr>
          <w:rFonts w:hint="eastAsia"/>
          <w:color w:val="auto"/>
        </w:rPr>
      </w:pPr>
      <w:r>
        <w:rPr>
          <w:rFonts w:hint="eastAsia"/>
          <w:color w:val="auto"/>
        </w:rPr>
        <w:t>露天采场子单元</w:t>
      </w:r>
    </w:p>
    <w:p w14:paraId="3114B31E">
      <w:pPr>
        <w:pStyle w:val="16"/>
        <w:bidi w:val="0"/>
        <w:rPr>
          <w:rFonts w:hint="default"/>
          <w:color w:val="auto"/>
          <w:lang w:val="en-US" w:eastAsia="zh-CN"/>
        </w:rPr>
      </w:pPr>
      <w:r>
        <w:rPr>
          <w:rFonts w:hint="default"/>
          <w:color w:val="auto"/>
          <w:lang w:val="en-US" w:eastAsia="zh-CN"/>
        </w:rPr>
        <w:t>采用安全检查表法对露天采场子单元进行检查，具体见下表。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0"/>
        <w:gridCol w:w="2463"/>
        <w:gridCol w:w="2120"/>
        <w:gridCol w:w="527"/>
        <w:gridCol w:w="3304"/>
        <w:gridCol w:w="527"/>
      </w:tblGrid>
      <w:tr w14:paraId="2F9DF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69B3EE1">
            <w:pPr>
              <w:pStyle w:val="26"/>
              <w:bidi w:val="0"/>
              <w:rPr>
                <w:rFonts w:hint="eastAsia"/>
                <w:color w:val="auto"/>
                <w:sz w:val="21"/>
                <w:szCs w:val="21"/>
              </w:rPr>
            </w:pPr>
            <w:r>
              <w:rPr>
                <w:rFonts w:hint="eastAsia"/>
                <w:color w:val="auto"/>
                <w:sz w:val="21"/>
                <w:szCs w:val="21"/>
              </w:rPr>
              <w:t>序号</w:t>
            </w:r>
          </w:p>
        </w:tc>
        <w:tc>
          <w:tcPr>
            <w:tcW w:w="0" w:type="auto"/>
            <w:noWrap w:val="0"/>
            <w:vAlign w:val="center"/>
          </w:tcPr>
          <w:p w14:paraId="160A40A3">
            <w:pPr>
              <w:pStyle w:val="26"/>
              <w:bidi w:val="0"/>
              <w:rPr>
                <w:rFonts w:hint="eastAsia"/>
                <w:color w:val="auto"/>
                <w:sz w:val="21"/>
                <w:szCs w:val="21"/>
              </w:rPr>
            </w:pPr>
            <w:r>
              <w:rPr>
                <w:rFonts w:hint="eastAsia"/>
                <w:color w:val="auto"/>
                <w:sz w:val="21"/>
                <w:szCs w:val="21"/>
              </w:rPr>
              <w:t>检  查  内  容</w:t>
            </w:r>
          </w:p>
        </w:tc>
        <w:tc>
          <w:tcPr>
            <w:tcW w:w="0" w:type="auto"/>
            <w:noWrap w:val="0"/>
            <w:vAlign w:val="center"/>
          </w:tcPr>
          <w:p w14:paraId="169DA49F">
            <w:pPr>
              <w:pStyle w:val="26"/>
              <w:bidi w:val="0"/>
              <w:rPr>
                <w:rFonts w:hint="eastAsia"/>
                <w:color w:val="auto"/>
                <w:sz w:val="21"/>
                <w:szCs w:val="21"/>
              </w:rPr>
            </w:pPr>
            <w:r>
              <w:rPr>
                <w:rFonts w:hint="eastAsia"/>
                <w:color w:val="auto"/>
                <w:sz w:val="21"/>
                <w:szCs w:val="21"/>
              </w:rPr>
              <w:t>检查依据</w:t>
            </w:r>
          </w:p>
        </w:tc>
        <w:tc>
          <w:tcPr>
            <w:tcW w:w="0" w:type="auto"/>
            <w:noWrap w:val="0"/>
            <w:vAlign w:val="center"/>
          </w:tcPr>
          <w:p w14:paraId="6EEB7AB5">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76FB77E7">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247B82BF">
            <w:pPr>
              <w:pStyle w:val="26"/>
              <w:bidi w:val="0"/>
              <w:rPr>
                <w:rFonts w:hint="eastAsia"/>
                <w:color w:val="auto"/>
                <w:sz w:val="21"/>
                <w:szCs w:val="21"/>
              </w:rPr>
            </w:pPr>
            <w:r>
              <w:rPr>
                <w:rFonts w:hint="eastAsia"/>
                <w:color w:val="auto"/>
                <w:sz w:val="21"/>
                <w:szCs w:val="21"/>
              </w:rPr>
              <w:t>结论</w:t>
            </w:r>
          </w:p>
        </w:tc>
      </w:tr>
      <w:tr w14:paraId="41A5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DC93B84">
            <w:pPr>
              <w:pStyle w:val="26"/>
              <w:bidi w:val="0"/>
              <w:rPr>
                <w:color w:val="auto"/>
                <w:sz w:val="21"/>
                <w:szCs w:val="21"/>
              </w:rPr>
            </w:pPr>
            <w:r>
              <w:rPr>
                <w:rFonts w:hint="eastAsia"/>
                <w:color w:val="auto"/>
                <w:sz w:val="21"/>
                <w:szCs w:val="21"/>
              </w:rPr>
              <w:t>1</w:t>
            </w:r>
          </w:p>
        </w:tc>
        <w:tc>
          <w:tcPr>
            <w:tcW w:w="0" w:type="auto"/>
            <w:noWrap w:val="0"/>
            <w:vAlign w:val="center"/>
          </w:tcPr>
          <w:p w14:paraId="4B4B079F">
            <w:pPr>
              <w:pStyle w:val="26"/>
              <w:bidi w:val="0"/>
              <w:rPr>
                <w:rFonts w:hint="eastAsia"/>
                <w:color w:val="auto"/>
                <w:sz w:val="21"/>
                <w:szCs w:val="21"/>
              </w:rPr>
            </w:pPr>
            <w:r>
              <w:rPr>
                <w:rFonts w:hint="eastAsia"/>
                <w:color w:val="auto"/>
                <w:sz w:val="21"/>
                <w:szCs w:val="21"/>
                <w:lang w:val="en-US" w:eastAsia="zh-CN"/>
              </w:rPr>
              <w:t>水平分层采矿方法</w:t>
            </w:r>
            <w:r>
              <w:rPr>
                <w:rFonts w:hint="eastAsia"/>
                <w:color w:val="auto"/>
                <w:sz w:val="21"/>
                <w:szCs w:val="21"/>
              </w:rPr>
              <w:t>。</w:t>
            </w:r>
          </w:p>
        </w:tc>
        <w:tc>
          <w:tcPr>
            <w:tcW w:w="0" w:type="auto"/>
            <w:noWrap w:val="0"/>
            <w:vAlign w:val="center"/>
          </w:tcPr>
          <w:p w14:paraId="4AF68EB0">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0" w:type="auto"/>
            <w:noWrap w:val="0"/>
            <w:vAlign w:val="center"/>
          </w:tcPr>
          <w:p w14:paraId="2D89A3BC">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4E41339">
            <w:pPr>
              <w:pStyle w:val="26"/>
              <w:bidi w:val="0"/>
              <w:rPr>
                <w:rFonts w:hint="eastAsia" w:eastAsia="宋体"/>
                <w:color w:val="auto"/>
                <w:sz w:val="21"/>
                <w:szCs w:val="21"/>
                <w:lang w:val="en-US" w:eastAsia="zh-CN"/>
              </w:rPr>
            </w:pPr>
            <w:r>
              <w:rPr>
                <w:rFonts w:hint="eastAsia"/>
                <w:color w:val="auto"/>
                <w:sz w:val="21"/>
                <w:szCs w:val="21"/>
              </w:rPr>
              <w:t>目前使用自上而下</w:t>
            </w:r>
            <w:r>
              <w:rPr>
                <w:rFonts w:hint="eastAsia"/>
                <w:color w:val="auto"/>
                <w:sz w:val="21"/>
                <w:szCs w:val="21"/>
                <w:lang w:eastAsia="zh-CN"/>
              </w:rPr>
              <w:t>，</w:t>
            </w:r>
            <w:r>
              <w:rPr>
                <w:rFonts w:hint="eastAsia"/>
                <w:color w:val="auto"/>
                <w:sz w:val="21"/>
                <w:szCs w:val="21"/>
                <w:lang w:val="en-US" w:eastAsia="zh-CN"/>
              </w:rPr>
              <w:t>分台阶</w:t>
            </w:r>
            <w:r>
              <w:rPr>
                <w:rFonts w:hint="eastAsia"/>
                <w:color w:val="auto"/>
                <w:sz w:val="21"/>
                <w:szCs w:val="21"/>
              </w:rPr>
              <w:t>开采。</w:t>
            </w:r>
            <w:r>
              <w:rPr>
                <w:rFonts w:hint="eastAsia"/>
                <w:color w:val="auto"/>
                <w:sz w:val="21"/>
                <w:szCs w:val="21"/>
                <w:lang w:val="en-US" w:eastAsia="zh-CN"/>
              </w:rPr>
              <w:t>依据矿安〔2022〕4号文件：金属非金属露天矿山必须按照自上而下开采顺序，采用台阶开采，严禁掏采或者“一面墙”开采。</w:t>
            </w:r>
          </w:p>
        </w:tc>
        <w:tc>
          <w:tcPr>
            <w:tcW w:w="0" w:type="auto"/>
            <w:noWrap w:val="0"/>
            <w:vAlign w:val="center"/>
          </w:tcPr>
          <w:p w14:paraId="65568BF7">
            <w:pPr>
              <w:pStyle w:val="26"/>
              <w:bidi w:val="0"/>
              <w:rPr>
                <w:rFonts w:hint="eastAsia"/>
                <w:color w:val="auto"/>
                <w:sz w:val="21"/>
                <w:szCs w:val="21"/>
              </w:rPr>
            </w:pPr>
            <w:r>
              <w:rPr>
                <w:rFonts w:hint="eastAsia"/>
                <w:color w:val="auto"/>
                <w:sz w:val="21"/>
                <w:szCs w:val="21"/>
              </w:rPr>
              <w:t>符合</w:t>
            </w:r>
          </w:p>
          <w:p w14:paraId="03284B7C">
            <w:pPr>
              <w:pStyle w:val="26"/>
              <w:bidi w:val="0"/>
              <w:rPr>
                <w:rFonts w:hint="eastAsia"/>
                <w:color w:val="auto"/>
                <w:sz w:val="21"/>
                <w:szCs w:val="21"/>
              </w:rPr>
            </w:pPr>
            <w:r>
              <w:rPr>
                <w:rFonts w:hint="eastAsia"/>
                <w:color w:val="auto"/>
                <w:sz w:val="21"/>
                <w:szCs w:val="21"/>
              </w:rPr>
              <w:t>要求</w:t>
            </w:r>
          </w:p>
        </w:tc>
      </w:tr>
      <w:tr w14:paraId="7689D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2A69024">
            <w:pPr>
              <w:pStyle w:val="26"/>
              <w:bidi w:val="0"/>
              <w:rPr>
                <w:rFonts w:hint="eastAsia" w:eastAsia="宋体"/>
                <w:color w:val="auto"/>
                <w:sz w:val="21"/>
                <w:szCs w:val="21"/>
                <w:lang w:eastAsia="zh-CN"/>
              </w:rPr>
            </w:pPr>
            <w:r>
              <w:rPr>
                <w:rFonts w:hint="eastAsia"/>
                <w:color w:val="auto"/>
                <w:sz w:val="21"/>
                <w:szCs w:val="21"/>
                <w:lang w:val="en-US" w:eastAsia="zh-CN"/>
              </w:rPr>
              <w:t>2</w:t>
            </w:r>
          </w:p>
        </w:tc>
        <w:tc>
          <w:tcPr>
            <w:tcW w:w="0" w:type="auto"/>
            <w:noWrap w:val="0"/>
            <w:vAlign w:val="center"/>
          </w:tcPr>
          <w:p w14:paraId="538AD16B">
            <w:pPr>
              <w:pStyle w:val="26"/>
              <w:bidi w:val="0"/>
              <w:rPr>
                <w:rFonts w:hint="eastAsia"/>
                <w:color w:val="auto"/>
                <w:sz w:val="21"/>
                <w:szCs w:val="21"/>
              </w:rPr>
            </w:pPr>
            <w:r>
              <w:rPr>
                <w:rFonts w:hint="eastAsia"/>
                <w:color w:val="auto"/>
                <w:sz w:val="21"/>
                <w:szCs w:val="21"/>
              </w:rPr>
              <w:t>设计工作台阶坡面角</w:t>
            </w:r>
            <w:r>
              <w:rPr>
                <w:rFonts w:hint="eastAsia"/>
                <w:color w:val="auto"/>
                <w:sz w:val="21"/>
                <w:szCs w:val="21"/>
                <w:lang w:val="en-US" w:eastAsia="zh-CN"/>
              </w:rPr>
              <w:t>70</w:t>
            </w:r>
            <w:r>
              <w:rPr>
                <w:rFonts w:hint="eastAsia"/>
                <w:color w:val="auto"/>
                <w:sz w:val="21"/>
                <w:szCs w:val="21"/>
              </w:rPr>
              <w:t>°。</w:t>
            </w:r>
          </w:p>
        </w:tc>
        <w:tc>
          <w:tcPr>
            <w:tcW w:w="0" w:type="auto"/>
            <w:noWrap w:val="0"/>
            <w:vAlign w:val="center"/>
          </w:tcPr>
          <w:p w14:paraId="0393813E">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0" w:type="auto"/>
            <w:noWrap w:val="0"/>
            <w:vAlign w:val="center"/>
          </w:tcPr>
          <w:p w14:paraId="1D4A7F22">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FD7429C">
            <w:pPr>
              <w:pStyle w:val="26"/>
              <w:bidi w:val="0"/>
              <w:rPr>
                <w:rFonts w:hint="eastAsia"/>
                <w:color w:val="auto"/>
                <w:sz w:val="21"/>
                <w:szCs w:val="21"/>
              </w:rPr>
            </w:pPr>
            <w:r>
              <w:rPr>
                <w:rFonts w:hint="eastAsia"/>
                <w:color w:val="auto"/>
                <w:sz w:val="21"/>
                <w:szCs w:val="21"/>
              </w:rPr>
              <w:t>经现场勘察和现状图实测，露天采场工作台阶坡面角</w:t>
            </w:r>
            <w:r>
              <w:rPr>
                <w:rFonts w:hint="eastAsia"/>
                <w:color w:val="auto"/>
                <w:sz w:val="21"/>
                <w:szCs w:val="21"/>
                <w:lang w:val="en-US" w:eastAsia="zh-CN"/>
              </w:rPr>
              <w:t>55</w:t>
            </w:r>
            <w:r>
              <w:rPr>
                <w:rFonts w:hint="eastAsia"/>
                <w:color w:val="auto"/>
                <w:sz w:val="21"/>
                <w:szCs w:val="21"/>
              </w:rPr>
              <w:t>°。</w:t>
            </w:r>
          </w:p>
        </w:tc>
        <w:tc>
          <w:tcPr>
            <w:tcW w:w="0" w:type="auto"/>
            <w:noWrap w:val="0"/>
            <w:vAlign w:val="center"/>
          </w:tcPr>
          <w:p w14:paraId="0B0E24CA">
            <w:pPr>
              <w:pStyle w:val="26"/>
              <w:bidi w:val="0"/>
              <w:rPr>
                <w:rFonts w:hint="eastAsia"/>
                <w:color w:val="auto"/>
                <w:sz w:val="21"/>
                <w:szCs w:val="21"/>
              </w:rPr>
            </w:pPr>
            <w:r>
              <w:rPr>
                <w:rFonts w:hint="eastAsia"/>
                <w:color w:val="auto"/>
                <w:sz w:val="21"/>
                <w:szCs w:val="21"/>
              </w:rPr>
              <w:t>符合要求</w:t>
            </w:r>
          </w:p>
        </w:tc>
      </w:tr>
      <w:tr w14:paraId="695F2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B90BD80">
            <w:pPr>
              <w:pStyle w:val="26"/>
              <w:bidi w:val="0"/>
              <w:rPr>
                <w:rFonts w:hint="eastAsia" w:eastAsia="宋体"/>
                <w:color w:val="auto"/>
                <w:sz w:val="21"/>
                <w:szCs w:val="21"/>
                <w:lang w:eastAsia="zh-CN"/>
              </w:rPr>
            </w:pPr>
            <w:r>
              <w:rPr>
                <w:rFonts w:hint="eastAsia"/>
                <w:color w:val="auto"/>
                <w:sz w:val="21"/>
                <w:szCs w:val="21"/>
                <w:lang w:val="en-US" w:eastAsia="zh-CN"/>
              </w:rPr>
              <w:t>3</w:t>
            </w:r>
          </w:p>
        </w:tc>
        <w:tc>
          <w:tcPr>
            <w:tcW w:w="0" w:type="auto"/>
            <w:noWrap w:val="0"/>
            <w:vAlign w:val="center"/>
          </w:tcPr>
          <w:p w14:paraId="5ADED37F">
            <w:pPr>
              <w:pStyle w:val="26"/>
              <w:bidi w:val="0"/>
              <w:rPr>
                <w:rFonts w:hint="eastAsia"/>
                <w:color w:val="auto"/>
                <w:sz w:val="21"/>
                <w:szCs w:val="21"/>
              </w:rPr>
            </w:pPr>
            <w:r>
              <w:rPr>
                <w:rFonts w:hint="eastAsia"/>
                <w:color w:val="auto"/>
                <w:sz w:val="21"/>
                <w:szCs w:val="21"/>
              </w:rPr>
              <w:t>不应采用没有捕尘装置的干式穿孔设备。</w:t>
            </w:r>
          </w:p>
        </w:tc>
        <w:tc>
          <w:tcPr>
            <w:tcW w:w="0" w:type="auto"/>
            <w:noWrap w:val="0"/>
            <w:vAlign w:val="center"/>
          </w:tcPr>
          <w:p w14:paraId="7F3B812A">
            <w:pPr>
              <w:pStyle w:val="26"/>
              <w:bidi w:val="0"/>
              <w:rPr>
                <w:rFonts w:hint="eastAsia"/>
                <w:color w:val="auto"/>
                <w:sz w:val="21"/>
                <w:szCs w:val="21"/>
              </w:rPr>
            </w:pPr>
            <w:r>
              <w:rPr>
                <w:rFonts w:hint="eastAsia"/>
                <w:color w:val="auto"/>
                <w:sz w:val="21"/>
                <w:szCs w:val="21"/>
              </w:rPr>
              <w:t>《GB16423-2020》</w:t>
            </w:r>
          </w:p>
          <w:p w14:paraId="77E02C3D">
            <w:pPr>
              <w:pStyle w:val="26"/>
              <w:bidi w:val="0"/>
              <w:rPr>
                <w:rFonts w:hint="eastAsia"/>
                <w:color w:val="auto"/>
                <w:sz w:val="21"/>
                <w:szCs w:val="21"/>
              </w:rPr>
            </w:pPr>
            <w:r>
              <w:rPr>
                <w:rFonts w:hint="eastAsia"/>
                <w:color w:val="auto"/>
                <w:sz w:val="21"/>
                <w:szCs w:val="21"/>
              </w:rPr>
              <w:t>之5.1.11条</w:t>
            </w:r>
          </w:p>
        </w:tc>
        <w:tc>
          <w:tcPr>
            <w:tcW w:w="0" w:type="auto"/>
            <w:noWrap w:val="0"/>
            <w:vAlign w:val="center"/>
          </w:tcPr>
          <w:p w14:paraId="579A9EEA">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76E19C4">
            <w:pPr>
              <w:pStyle w:val="26"/>
              <w:bidi w:val="0"/>
              <w:rPr>
                <w:rFonts w:hint="eastAsia"/>
                <w:color w:val="auto"/>
                <w:sz w:val="21"/>
                <w:szCs w:val="21"/>
              </w:rPr>
            </w:pPr>
            <w:r>
              <w:rPr>
                <w:rFonts w:hint="eastAsia"/>
                <w:color w:val="auto"/>
                <w:sz w:val="21"/>
                <w:szCs w:val="21"/>
              </w:rPr>
              <w:t>使用的潜孔钻自身配有干式除尘器。</w:t>
            </w:r>
          </w:p>
        </w:tc>
        <w:tc>
          <w:tcPr>
            <w:tcW w:w="0" w:type="auto"/>
            <w:noWrap w:val="0"/>
            <w:vAlign w:val="center"/>
          </w:tcPr>
          <w:p w14:paraId="399EE792">
            <w:pPr>
              <w:pStyle w:val="26"/>
              <w:bidi w:val="0"/>
              <w:rPr>
                <w:rFonts w:hint="eastAsia"/>
                <w:color w:val="auto"/>
                <w:sz w:val="21"/>
                <w:szCs w:val="21"/>
              </w:rPr>
            </w:pPr>
            <w:r>
              <w:rPr>
                <w:rFonts w:hint="eastAsia"/>
                <w:color w:val="auto"/>
                <w:sz w:val="21"/>
                <w:szCs w:val="21"/>
              </w:rPr>
              <w:t>符合要求</w:t>
            </w:r>
          </w:p>
        </w:tc>
      </w:tr>
      <w:tr w14:paraId="004CA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CCF7BCC">
            <w:pPr>
              <w:pStyle w:val="26"/>
              <w:bidi w:val="0"/>
              <w:rPr>
                <w:rFonts w:hint="eastAsia" w:eastAsia="宋体"/>
                <w:color w:val="auto"/>
                <w:sz w:val="21"/>
                <w:szCs w:val="21"/>
                <w:lang w:eastAsia="zh-CN"/>
              </w:rPr>
            </w:pPr>
            <w:r>
              <w:rPr>
                <w:rFonts w:hint="eastAsia"/>
                <w:color w:val="auto"/>
                <w:sz w:val="21"/>
                <w:szCs w:val="21"/>
                <w:lang w:val="en-US" w:eastAsia="zh-CN"/>
              </w:rPr>
              <w:t>4</w:t>
            </w:r>
          </w:p>
        </w:tc>
        <w:tc>
          <w:tcPr>
            <w:tcW w:w="0" w:type="auto"/>
            <w:noWrap w:val="0"/>
            <w:vAlign w:val="center"/>
          </w:tcPr>
          <w:p w14:paraId="40BA564C">
            <w:pPr>
              <w:pStyle w:val="26"/>
              <w:bidi w:val="0"/>
              <w:rPr>
                <w:rFonts w:hint="eastAsia"/>
                <w:color w:val="auto"/>
                <w:sz w:val="21"/>
                <w:szCs w:val="21"/>
              </w:rPr>
            </w:pPr>
            <w:r>
              <w:rPr>
                <w:rFonts w:hint="eastAsia"/>
                <w:color w:val="auto"/>
                <w:sz w:val="21"/>
                <w:szCs w:val="21"/>
              </w:rPr>
              <w:t>露天矿山应该采用机械方式进行开采。</w:t>
            </w:r>
          </w:p>
        </w:tc>
        <w:tc>
          <w:tcPr>
            <w:tcW w:w="0" w:type="auto"/>
            <w:noWrap w:val="0"/>
            <w:vAlign w:val="center"/>
          </w:tcPr>
          <w:p w14:paraId="07856A57">
            <w:pPr>
              <w:pStyle w:val="26"/>
              <w:bidi w:val="0"/>
              <w:rPr>
                <w:rFonts w:hint="eastAsia"/>
                <w:color w:val="auto"/>
                <w:sz w:val="21"/>
                <w:szCs w:val="21"/>
              </w:rPr>
            </w:pPr>
            <w:r>
              <w:rPr>
                <w:rFonts w:hint="eastAsia"/>
                <w:color w:val="auto"/>
                <w:sz w:val="21"/>
                <w:szCs w:val="21"/>
              </w:rPr>
              <w:t>《GB16423-2020》</w:t>
            </w:r>
          </w:p>
          <w:p w14:paraId="403EDAD7">
            <w:pPr>
              <w:pStyle w:val="26"/>
              <w:bidi w:val="0"/>
              <w:rPr>
                <w:rFonts w:hint="eastAsia"/>
                <w:color w:val="auto"/>
                <w:sz w:val="21"/>
                <w:szCs w:val="21"/>
              </w:rPr>
            </w:pPr>
            <w:r>
              <w:rPr>
                <w:rFonts w:hint="eastAsia"/>
                <w:color w:val="auto"/>
                <w:sz w:val="21"/>
                <w:szCs w:val="21"/>
              </w:rPr>
              <w:t>之5.2.1.2条</w:t>
            </w:r>
          </w:p>
        </w:tc>
        <w:tc>
          <w:tcPr>
            <w:tcW w:w="0" w:type="auto"/>
            <w:noWrap w:val="0"/>
            <w:vAlign w:val="center"/>
          </w:tcPr>
          <w:p w14:paraId="0583A90A">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DFAAC46">
            <w:pPr>
              <w:pStyle w:val="26"/>
              <w:bidi w:val="0"/>
              <w:rPr>
                <w:rFonts w:hint="eastAsia"/>
                <w:color w:val="auto"/>
                <w:sz w:val="21"/>
                <w:szCs w:val="21"/>
              </w:rPr>
            </w:pPr>
            <w:r>
              <w:rPr>
                <w:rFonts w:hint="eastAsia"/>
                <w:color w:val="auto"/>
                <w:sz w:val="21"/>
                <w:szCs w:val="21"/>
              </w:rPr>
              <w:t>矿山采用了机械方式开采。该矿为公路开拓、自卸汽车运输、挖机装矿、带捕尘装置潜孔钻机穿孔。</w:t>
            </w:r>
          </w:p>
        </w:tc>
        <w:tc>
          <w:tcPr>
            <w:tcW w:w="0" w:type="auto"/>
            <w:noWrap w:val="0"/>
            <w:vAlign w:val="center"/>
          </w:tcPr>
          <w:p w14:paraId="5B62521D">
            <w:pPr>
              <w:pStyle w:val="26"/>
              <w:bidi w:val="0"/>
              <w:rPr>
                <w:rFonts w:hint="eastAsia"/>
                <w:color w:val="auto"/>
                <w:sz w:val="21"/>
                <w:szCs w:val="21"/>
              </w:rPr>
            </w:pPr>
            <w:r>
              <w:rPr>
                <w:rFonts w:hint="eastAsia"/>
                <w:color w:val="auto"/>
                <w:sz w:val="21"/>
                <w:szCs w:val="21"/>
              </w:rPr>
              <w:t>符合</w:t>
            </w:r>
          </w:p>
          <w:p w14:paraId="08A81A6C">
            <w:pPr>
              <w:pStyle w:val="26"/>
              <w:bidi w:val="0"/>
              <w:rPr>
                <w:rFonts w:hint="eastAsia"/>
                <w:color w:val="auto"/>
                <w:sz w:val="21"/>
                <w:szCs w:val="21"/>
              </w:rPr>
            </w:pPr>
            <w:r>
              <w:rPr>
                <w:rFonts w:hint="eastAsia"/>
                <w:color w:val="auto"/>
                <w:sz w:val="21"/>
                <w:szCs w:val="21"/>
              </w:rPr>
              <w:t>要求</w:t>
            </w:r>
          </w:p>
        </w:tc>
      </w:tr>
      <w:tr w14:paraId="34CCC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B086146">
            <w:pPr>
              <w:pStyle w:val="26"/>
              <w:bidi w:val="0"/>
              <w:rPr>
                <w:rFonts w:hint="eastAsia" w:eastAsia="宋体"/>
                <w:color w:val="auto"/>
                <w:sz w:val="21"/>
                <w:szCs w:val="21"/>
                <w:lang w:eastAsia="zh-CN"/>
              </w:rPr>
            </w:pPr>
            <w:r>
              <w:rPr>
                <w:rFonts w:hint="eastAsia"/>
                <w:color w:val="auto"/>
                <w:sz w:val="21"/>
                <w:szCs w:val="21"/>
                <w:lang w:val="en-US" w:eastAsia="zh-CN"/>
              </w:rPr>
              <w:t>5</w:t>
            </w:r>
          </w:p>
        </w:tc>
        <w:tc>
          <w:tcPr>
            <w:tcW w:w="0" w:type="auto"/>
            <w:noWrap w:val="0"/>
            <w:vAlign w:val="center"/>
          </w:tcPr>
          <w:p w14:paraId="06A0C1CF">
            <w:pPr>
              <w:pStyle w:val="26"/>
              <w:bidi w:val="0"/>
              <w:rPr>
                <w:rFonts w:hint="eastAsia"/>
                <w:color w:val="auto"/>
                <w:sz w:val="21"/>
                <w:szCs w:val="21"/>
              </w:rPr>
            </w:pPr>
            <w:r>
              <w:rPr>
                <w:rFonts w:hint="eastAsia"/>
                <w:color w:val="auto"/>
                <w:sz w:val="21"/>
                <w:szCs w:val="21"/>
              </w:rPr>
              <w:t>边坡浮石清除完毕之前不应在边坡底部作业；人员和设备不应在边坡底部停留。</w:t>
            </w:r>
          </w:p>
        </w:tc>
        <w:tc>
          <w:tcPr>
            <w:tcW w:w="0" w:type="auto"/>
            <w:noWrap w:val="0"/>
            <w:vAlign w:val="center"/>
          </w:tcPr>
          <w:p w14:paraId="590F4F2D">
            <w:pPr>
              <w:pStyle w:val="26"/>
              <w:bidi w:val="0"/>
              <w:rPr>
                <w:rFonts w:hint="eastAsia"/>
                <w:color w:val="auto"/>
                <w:sz w:val="21"/>
                <w:szCs w:val="21"/>
              </w:rPr>
            </w:pPr>
            <w:r>
              <w:rPr>
                <w:rFonts w:hint="eastAsia"/>
                <w:color w:val="auto"/>
                <w:sz w:val="21"/>
                <w:szCs w:val="21"/>
              </w:rPr>
              <w:t>《GB16423-2020》之5.2.2.4条</w:t>
            </w:r>
          </w:p>
        </w:tc>
        <w:tc>
          <w:tcPr>
            <w:tcW w:w="0" w:type="auto"/>
            <w:noWrap w:val="0"/>
            <w:vAlign w:val="center"/>
          </w:tcPr>
          <w:p w14:paraId="2A04AB4D">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F0F1339">
            <w:pPr>
              <w:pStyle w:val="26"/>
              <w:bidi w:val="0"/>
              <w:rPr>
                <w:rFonts w:hint="eastAsia"/>
                <w:color w:val="auto"/>
                <w:sz w:val="21"/>
                <w:szCs w:val="21"/>
              </w:rPr>
            </w:pPr>
            <w:r>
              <w:rPr>
                <w:rFonts w:hint="eastAsia"/>
                <w:color w:val="auto"/>
                <w:sz w:val="21"/>
                <w:szCs w:val="21"/>
              </w:rPr>
              <w:t>边坡浮石清除完毕之前未在边坡底部作业；人员和设备未在边坡底部停留。</w:t>
            </w:r>
          </w:p>
        </w:tc>
        <w:tc>
          <w:tcPr>
            <w:tcW w:w="0" w:type="auto"/>
            <w:noWrap w:val="0"/>
            <w:vAlign w:val="center"/>
          </w:tcPr>
          <w:p w14:paraId="7548B707">
            <w:pPr>
              <w:pStyle w:val="26"/>
              <w:bidi w:val="0"/>
              <w:rPr>
                <w:rFonts w:hint="eastAsia"/>
                <w:color w:val="auto"/>
                <w:sz w:val="21"/>
                <w:szCs w:val="21"/>
              </w:rPr>
            </w:pPr>
            <w:r>
              <w:rPr>
                <w:rFonts w:hint="eastAsia"/>
                <w:color w:val="auto"/>
                <w:sz w:val="21"/>
                <w:szCs w:val="21"/>
              </w:rPr>
              <w:t>符合要求</w:t>
            </w:r>
          </w:p>
        </w:tc>
      </w:tr>
      <w:tr w14:paraId="6F05E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9384581">
            <w:pPr>
              <w:pStyle w:val="26"/>
              <w:bidi w:val="0"/>
              <w:rPr>
                <w:rFonts w:hint="eastAsia" w:eastAsia="宋体"/>
                <w:color w:val="auto"/>
                <w:sz w:val="21"/>
                <w:szCs w:val="21"/>
                <w:lang w:eastAsia="zh-CN"/>
              </w:rPr>
            </w:pPr>
            <w:r>
              <w:rPr>
                <w:rFonts w:hint="eastAsia"/>
                <w:color w:val="auto"/>
                <w:sz w:val="21"/>
                <w:szCs w:val="21"/>
                <w:lang w:val="en-US" w:eastAsia="zh-CN"/>
              </w:rPr>
              <w:t>6</w:t>
            </w:r>
          </w:p>
        </w:tc>
        <w:tc>
          <w:tcPr>
            <w:tcW w:w="0" w:type="auto"/>
            <w:noWrap w:val="0"/>
            <w:vAlign w:val="center"/>
          </w:tcPr>
          <w:p w14:paraId="5FFCAA0F">
            <w:pPr>
              <w:pStyle w:val="26"/>
              <w:bidi w:val="0"/>
              <w:rPr>
                <w:rFonts w:hint="eastAsia"/>
                <w:color w:val="auto"/>
                <w:sz w:val="21"/>
                <w:szCs w:val="21"/>
              </w:rPr>
            </w:pPr>
            <w:r>
              <w:rPr>
                <w:rFonts w:hint="eastAsia"/>
                <w:color w:val="auto"/>
                <w:sz w:val="21"/>
                <w:szCs w:val="21"/>
              </w:rPr>
              <w:t>矿山应建立健全边坡安全管理和检查制度。</w:t>
            </w:r>
          </w:p>
        </w:tc>
        <w:tc>
          <w:tcPr>
            <w:tcW w:w="0" w:type="auto"/>
            <w:noWrap w:val="0"/>
            <w:vAlign w:val="center"/>
          </w:tcPr>
          <w:p w14:paraId="441F2D71">
            <w:pPr>
              <w:pStyle w:val="26"/>
              <w:bidi w:val="0"/>
              <w:rPr>
                <w:rFonts w:hint="eastAsia"/>
                <w:color w:val="auto"/>
                <w:sz w:val="21"/>
                <w:szCs w:val="21"/>
              </w:rPr>
            </w:pPr>
            <w:r>
              <w:rPr>
                <w:rFonts w:hint="eastAsia"/>
                <w:color w:val="auto"/>
                <w:sz w:val="21"/>
                <w:szCs w:val="21"/>
              </w:rPr>
              <w:t>《GB16423-2020》之5.2.4.5条</w:t>
            </w:r>
          </w:p>
        </w:tc>
        <w:tc>
          <w:tcPr>
            <w:tcW w:w="0" w:type="auto"/>
            <w:noWrap w:val="0"/>
            <w:vAlign w:val="center"/>
          </w:tcPr>
          <w:p w14:paraId="314ADED4">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2BE86E8">
            <w:pPr>
              <w:pStyle w:val="26"/>
              <w:bidi w:val="0"/>
              <w:rPr>
                <w:rFonts w:hint="eastAsia"/>
                <w:color w:val="auto"/>
                <w:sz w:val="21"/>
                <w:szCs w:val="21"/>
              </w:rPr>
            </w:pPr>
            <w:r>
              <w:rPr>
                <w:rFonts w:hint="eastAsia"/>
                <w:color w:val="auto"/>
                <w:sz w:val="21"/>
                <w:szCs w:val="21"/>
              </w:rPr>
              <w:t>矿山建立健全了边坡安全管理和检查制度。</w:t>
            </w:r>
          </w:p>
        </w:tc>
        <w:tc>
          <w:tcPr>
            <w:tcW w:w="0" w:type="auto"/>
            <w:noWrap w:val="0"/>
            <w:vAlign w:val="center"/>
          </w:tcPr>
          <w:p w14:paraId="1C02C3A2">
            <w:pPr>
              <w:pStyle w:val="26"/>
              <w:bidi w:val="0"/>
              <w:rPr>
                <w:rFonts w:hint="eastAsia"/>
                <w:color w:val="auto"/>
                <w:sz w:val="21"/>
                <w:szCs w:val="21"/>
              </w:rPr>
            </w:pPr>
            <w:r>
              <w:rPr>
                <w:rFonts w:hint="eastAsia"/>
                <w:color w:val="auto"/>
                <w:sz w:val="21"/>
                <w:szCs w:val="21"/>
              </w:rPr>
              <w:t>符合要求</w:t>
            </w:r>
          </w:p>
        </w:tc>
      </w:tr>
      <w:tr w14:paraId="09AD3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1116FE4">
            <w:pPr>
              <w:pStyle w:val="26"/>
              <w:bidi w:val="0"/>
              <w:rPr>
                <w:rFonts w:hint="eastAsia" w:eastAsia="宋体"/>
                <w:color w:val="auto"/>
                <w:sz w:val="21"/>
                <w:szCs w:val="21"/>
                <w:lang w:eastAsia="zh-CN"/>
              </w:rPr>
            </w:pPr>
            <w:r>
              <w:rPr>
                <w:rFonts w:hint="eastAsia"/>
                <w:color w:val="auto"/>
                <w:sz w:val="21"/>
                <w:szCs w:val="21"/>
                <w:lang w:val="en-US" w:eastAsia="zh-CN"/>
              </w:rPr>
              <w:t>7</w:t>
            </w:r>
          </w:p>
        </w:tc>
        <w:tc>
          <w:tcPr>
            <w:tcW w:w="0" w:type="auto"/>
            <w:noWrap w:val="0"/>
            <w:vAlign w:val="center"/>
          </w:tcPr>
          <w:p w14:paraId="5AA1A2A8">
            <w:pPr>
              <w:pStyle w:val="26"/>
              <w:bidi w:val="0"/>
              <w:rPr>
                <w:rFonts w:hint="eastAsia"/>
                <w:color w:val="auto"/>
                <w:sz w:val="21"/>
                <w:szCs w:val="21"/>
              </w:rPr>
            </w:pPr>
            <w:r>
              <w:rPr>
                <w:rFonts w:hint="eastAsia"/>
                <w:color w:val="auto"/>
                <w:sz w:val="21"/>
                <w:szCs w:val="21"/>
              </w:rPr>
              <w:t>距坠落基准面2m及2m以上、有人员坠落危险的作业场所应设安全网等防护设施，作业人员应佩戴安全带。</w:t>
            </w:r>
          </w:p>
        </w:tc>
        <w:tc>
          <w:tcPr>
            <w:tcW w:w="0" w:type="auto"/>
            <w:noWrap w:val="0"/>
            <w:vAlign w:val="center"/>
          </w:tcPr>
          <w:p w14:paraId="127E95EE">
            <w:pPr>
              <w:pStyle w:val="26"/>
              <w:bidi w:val="0"/>
              <w:rPr>
                <w:rFonts w:hint="eastAsia"/>
                <w:color w:val="auto"/>
                <w:sz w:val="21"/>
                <w:szCs w:val="21"/>
              </w:rPr>
            </w:pPr>
            <w:r>
              <w:rPr>
                <w:rFonts w:hint="eastAsia"/>
                <w:color w:val="auto"/>
                <w:sz w:val="21"/>
                <w:szCs w:val="21"/>
              </w:rPr>
              <w:t>《GB16423-2020》之5.1.13条</w:t>
            </w:r>
          </w:p>
        </w:tc>
        <w:tc>
          <w:tcPr>
            <w:tcW w:w="0" w:type="auto"/>
            <w:noWrap w:val="0"/>
            <w:vAlign w:val="center"/>
          </w:tcPr>
          <w:p w14:paraId="259B2642">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551A30E1">
            <w:pPr>
              <w:pStyle w:val="26"/>
              <w:bidi w:val="0"/>
              <w:rPr>
                <w:rFonts w:hint="eastAsia"/>
                <w:color w:val="auto"/>
                <w:sz w:val="21"/>
                <w:szCs w:val="21"/>
              </w:rPr>
            </w:pPr>
            <w:r>
              <w:rPr>
                <w:rFonts w:hint="eastAsia"/>
                <w:color w:val="auto"/>
                <w:sz w:val="21"/>
                <w:szCs w:val="21"/>
              </w:rPr>
              <w:t>作业人员在2m以上地点作业时，均配备安全带。</w:t>
            </w:r>
          </w:p>
        </w:tc>
        <w:tc>
          <w:tcPr>
            <w:tcW w:w="0" w:type="auto"/>
            <w:noWrap w:val="0"/>
            <w:vAlign w:val="center"/>
          </w:tcPr>
          <w:p w14:paraId="47B16855">
            <w:pPr>
              <w:pStyle w:val="26"/>
              <w:bidi w:val="0"/>
              <w:rPr>
                <w:rFonts w:hint="eastAsia"/>
                <w:color w:val="auto"/>
                <w:sz w:val="21"/>
                <w:szCs w:val="21"/>
              </w:rPr>
            </w:pPr>
            <w:r>
              <w:rPr>
                <w:rFonts w:hint="eastAsia"/>
                <w:color w:val="auto"/>
                <w:sz w:val="21"/>
                <w:szCs w:val="21"/>
              </w:rPr>
              <w:t>符合要求</w:t>
            </w:r>
          </w:p>
        </w:tc>
      </w:tr>
      <w:tr w14:paraId="54F40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783BB46">
            <w:pPr>
              <w:pStyle w:val="26"/>
              <w:bidi w:val="0"/>
              <w:rPr>
                <w:rFonts w:hint="eastAsia" w:eastAsia="宋体"/>
                <w:color w:val="auto"/>
                <w:sz w:val="21"/>
                <w:szCs w:val="21"/>
                <w:lang w:eastAsia="zh-CN"/>
              </w:rPr>
            </w:pPr>
            <w:r>
              <w:rPr>
                <w:rFonts w:hint="eastAsia"/>
                <w:color w:val="auto"/>
                <w:sz w:val="21"/>
                <w:szCs w:val="21"/>
                <w:lang w:val="en-US" w:eastAsia="zh-CN"/>
              </w:rPr>
              <w:t>8</w:t>
            </w:r>
          </w:p>
        </w:tc>
        <w:tc>
          <w:tcPr>
            <w:tcW w:w="0" w:type="auto"/>
            <w:noWrap w:val="0"/>
            <w:vAlign w:val="center"/>
          </w:tcPr>
          <w:p w14:paraId="6F0B7065">
            <w:pPr>
              <w:pStyle w:val="26"/>
              <w:bidi w:val="0"/>
              <w:rPr>
                <w:rFonts w:hint="eastAsia"/>
                <w:color w:val="auto"/>
                <w:sz w:val="21"/>
                <w:szCs w:val="21"/>
              </w:rPr>
            </w:pPr>
            <w:r>
              <w:rPr>
                <w:rFonts w:hint="eastAsia"/>
                <w:color w:val="auto"/>
                <w:sz w:val="21"/>
                <w:szCs w:val="21"/>
              </w:rPr>
              <w:t>露天采场工作边坡应每季度检查1次，运输或者行人的非工作边坡每半年检查1次。</w:t>
            </w:r>
          </w:p>
        </w:tc>
        <w:tc>
          <w:tcPr>
            <w:tcW w:w="0" w:type="auto"/>
            <w:noWrap w:val="0"/>
            <w:vAlign w:val="center"/>
          </w:tcPr>
          <w:p w14:paraId="62F44613">
            <w:pPr>
              <w:pStyle w:val="26"/>
              <w:bidi w:val="0"/>
              <w:rPr>
                <w:rFonts w:hint="eastAsia"/>
                <w:color w:val="auto"/>
                <w:sz w:val="21"/>
                <w:szCs w:val="21"/>
              </w:rPr>
            </w:pPr>
            <w:r>
              <w:rPr>
                <w:rFonts w:hint="eastAsia"/>
                <w:color w:val="auto"/>
                <w:sz w:val="21"/>
                <w:szCs w:val="21"/>
              </w:rPr>
              <w:t>《GB16423-2020》之5.2.4.6条</w:t>
            </w:r>
          </w:p>
        </w:tc>
        <w:tc>
          <w:tcPr>
            <w:tcW w:w="0" w:type="auto"/>
            <w:noWrap w:val="0"/>
            <w:vAlign w:val="center"/>
          </w:tcPr>
          <w:p w14:paraId="3C804210">
            <w:pPr>
              <w:pStyle w:val="26"/>
              <w:bidi w:val="0"/>
              <w:rPr>
                <w:rFonts w:hint="eastAsia"/>
                <w:color w:val="auto"/>
                <w:sz w:val="21"/>
                <w:szCs w:val="21"/>
              </w:rPr>
            </w:pPr>
            <w:r>
              <w:rPr>
                <w:rFonts w:hint="eastAsia"/>
                <w:color w:val="auto"/>
                <w:sz w:val="21"/>
                <w:szCs w:val="21"/>
              </w:rPr>
              <w:t>查看记录</w:t>
            </w:r>
          </w:p>
        </w:tc>
        <w:tc>
          <w:tcPr>
            <w:tcW w:w="0" w:type="auto"/>
            <w:noWrap w:val="0"/>
            <w:vAlign w:val="center"/>
          </w:tcPr>
          <w:p w14:paraId="6FAA6C76">
            <w:pPr>
              <w:pStyle w:val="26"/>
              <w:bidi w:val="0"/>
              <w:rPr>
                <w:rFonts w:hint="eastAsia"/>
                <w:color w:val="auto"/>
                <w:sz w:val="21"/>
                <w:szCs w:val="21"/>
              </w:rPr>
            </w:pPr>
            <w:r>
              <w:rPr>
                <w:rFonts w:hint="eastAsia"/>
                <w:color w:val="auto"/>
                <w:sz w:val="21"/>
                <w:szCs w:val="21"/>
              </w:rPr>
              <w:t>露天采场在安全检查记录中明确了对采场工作边坡每季度检查1次，运输或者行人的非工作边坡每半年检查1次。</w:t>
            </w:r>
          </w:p>
        </w:tc>
        <w:tc>
          <w:tcPr>
            <w:tcW w:w="0" w:type="auto"/>
            <w:noWrap w:val="0"/>
            <w:vAlign w:val="center"/>
          </w:tcPr>
          <w:p w14:paraId="3680BCC7">
            <w:pPr>
              <w:pStyle w:val="26"/>
              <w:bidi w:val="0"/>
              <w:rPr>
                <w:rFonts w:hint="eastAsia"/>
                <w:color w:val="auto"/>
                <w:sz w:val="21"/>
                <w:szCs w:val="21"/>
              </w:rPr>
            </w:pPr>
            <w:r>
              <w:rPr>
                <w:rFonts w:hint="eastAsia"/>
                <w:color w:val="auto"/>
                <w:sz w:val="21"/>
                <w:szCs w:val="21"/>
              </w:rPr>
              <w:t>符合</w:t>
            </w:r>
          </w:p>
          <w:p w14:paraId="3B711081">
            <w:pPr>
              <w:pStyle w:val="26"/>
              <w:bidi w:val="0"/>
              <w:rPr>
                <w:rFonts w:hint="eastAsia"/>
                <w:color w:val="auto"/>
                <w:sz w:val="21"/>
                <w:szCs w:val="21"/>
              </w:rPr>
            </w:pPr>
            <w:r>
              <w:rPr>
                <w:rFonts w:hint="eastAsia"/>
                <w:color w:val="auto"/>
                <w:sz w:val="21"/>
                <w:szCs w:val="21"/>
              </w:rPr>
              <w:t>要求</w:t>
            </w:r>
          </w:p>
        </w:tc>
      </w:tr>
      <w:tr w14:paraId="7151C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6D1FA15">
            <w:pPr>
              <w:pStyle w:val="26"/>
              <w:bidi w:val="0"/>
              <w:rPr>
                <w:rFonts w:hint="eastAsia" w:eastAsia="宋体"/>
                <w:color w:val="auto"/>
                <w:sz w:val="21"/>
                <w:szCs w:val="21"/>
                <w:lang w:eastAsia="zh-CN"/>
              </w:rPr>
            </w:pPr>
            <w:r>
              <w:rPr>
                <w:rFonts w:hint="eastAsia"/>
                <w:color w:val="auto"/>
                <w:sz w:val="21"/>
                <w:szCs w:val="21"/>
                <w:lang w:val="en-US" w:eastAsia="zh-CN"/>
              </w:rPr>
              <w:t>9</w:t>
            </w:r>
          </w:p>
        </w:tc>
        <w:tc>
          <w:tcPr>
            <w:tcW w:w="0" w:type="auto"/>
            <w:noWrap w:val="0"/>
            <w:vAlign w:val="center"/>
          </w:tcPr>
          <w:p w14:paraId="3B56A46D">
            <w:pPr>
              <w:pStyle w:val="26"/>
              <w:bidi w:val="0"/>
              <w:rPr>
                <w:rFonts w:hint="eastAsia"/>
                <w:color w:val="auto"/>
                <w:sz w:val="21"/>
                <w:szCs w:val="21"/>
              </w:rPr>
            </w:pPr>
            <w:r>
              <w:rPr>
                <w:rFonts w:hint="eastAsia"/>
                <w:color w:val="auto"/>
                <w:sz w:val="21"/>
                <w:szCs w:val="21"/>
              </w:rPr>
              <w:t>矿山企业应为从业人员提供符合国家标准要求的劳动防护用品。进入矿山作业场所的人员，应按规定佩带防护用品。</w:t>
            </w:r>
          </w:p>
        </w:tc>
        <w:tc>
          <w:tcPr>
            <w:tcW w:w="0" w:type="auto"/>
            <w:noWrap w:val="0"/>
            <w:vAlign w:val="center"/>
          </w:tcPr>
          <w:p w14:paraId="4F274E70">
            <w:pPr>
              <w:pStyle w:val="26"/>
              <w:bidi w:val="0"/>
              <w:rPr>
                <w:rFonts w:hint="eastAsia"/>
                <w:color w:val="auto"/>
                <w:sz w:val="21"/>
                <w:szCs w:val="21"/>
              </w:rPr>
            </w:pPr>
            <w:r>
              <w:rPr>
                <w:rFonts w:hint="eastAsia"/>
                <w:color w:val="auto"/>
                <w:sz w:val="21"/>
                <w:szCs w:val="21"/>
              </w:rPr>
              <w:t>《GB16423-2020》之4.1.8条</w:t>
            </w:r>
          </w:p>
        </w:tc>
        <w:tc>
          <w:tcPr>
            <w:tcW w:w="0" w:type="auto"/>
            <w:noWrap w:val="0"/>
            <w:vAlign w:val="center"/>
          </w:tcPr>
          <w:p w14:paraId="73E32F18">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378D5E6">
            <w:pPr>
              <w:pStyle w:val="26"/>
              <w:bidi w:val="0"/>
              <w:rPr>
                <w:rFonts w:hint="eastAsia"/>
                <w:color w:val="auto"/>
                <w:sz w:val="21"/>
                <w:szCs w:val="21"/>
              </w:rPr>
            </w:pPr>
            <w:r>
              <w:rPr>
                <w:rFonts w:hint="eastAsia"/>
                <w:color w:val="auto"/>
                <w:sz w:val="21"/>
                <w:szCs w:val="21"/>
              </w:rPr>
              <w:t>企业为从业人员提供符合国家标准要求的劳动防护用品。进入采场作业的人员，按规定佩带了安全帽等防护用品。</w:t>
            </w:r>
          </w:p>
        </w:tc>
        <w:tc>
          <w:tcPr>
            <w:tcW w:w="0" w:type="auto"/>
            <w:noWrap w:val="0"/>
            <w:vAlign w:val="center"/>
          </w:tcPr>
          <w:p w14:paraId="6459A577">
            <w:pPr>
              <w:pStyle w:val="26"/>
              <w:bidi w:val="0"/>
              <w:rPr>
                <w:rFonts w:hint="eastAsia"/>
                <w:color w:val="auto"/>
                <w:sz w:val="21"/>
                <w:szCs w:val="21"/>
              </w:rPr>
            </w:pPr>
            <w:r>
              <w:rPr>
                <w:rFonts w:hint="eastAsia"/>
                <w:color w:val="auto"/>
                <w:sz w:val="21"/>
                <w:szCs w:val="21"/>
              </w:rPr>
              <w:t>符合</w:t>
            </w:r>
          </w:p>
          <w:p w14:paraId="0CD6DFB4">
            <w:pPr>
              <w:pStyle w:val="26"/>
              <w:bidi w:val="0"/>
              <w:rPr>
                <w:rFonts w:hint="eastAsia"/>
                <w:color w:val="auto"/>
                <w:sz w:val="21"/>
                <w:szCs w:val="21"/>
              </w:rPr>
            </w:pPr>
            <w:r>
              <w:rPr>
                <w:rFonts w:hint="eastAsia"/>
                <w:color w:val="auto"/>
                <w:sz w:val="21"/>
                <w:szCs w:val="21"/>
              </w:rPr>
              <w:t>要求</w:t>
            </w:r>
          </w:p>
        </w:tc>
      </w:tr>
      <w:tr w14:paraId="23D9A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E50B43C">
            <w:pPr>
              <w:pStyle w:val="26"/>
              <w:bidi w:val="0"/>
              <w:rPr>
                <w:rFonts w:hint="default" w:eastAsia="宋体"/>
                <w:color w:val="auto"/>
                <w:sz w:val="21"/>
                <w:szCs w:val="21"/>
                <w:lang w:val="en-US" w:eastAsia="zh-CN"/>
              </w:rPr>
            </w:pPr>
            <w:r>
              <w:rPr>
                <w:rFonts w:hint="eastAsia"/>
                <w:color w:val="auto"/>
                <w:sz w:val="21"/>
                <w:szCs w:val="21"/>
                <w:lang w:val="en-US" w:eastAsia="zh-CN"/>
              </w:rPr>
              <w:t>10</w:t>
            </w:r>
          </w:p>
        </w:tc>
        <w:tc>
          <w:tcPr>
            <w:tcW w:w="0" w:type="auto"/>
            <w:noWrap w:val="0"/>
            <w:vAlign w:val="center"/>
          </w:tcPr>
          <w:p w14:paraId="697B22DE">
            <w:pPr>
              <w:pStyle w:val="26"/>
              <w:bidi w:val="0"/>
              <w:rPr>
                <w:rFonts w:hint="eastAsia"/>
                <w:color w:val="auto"/>
                <w:sz w:val="21"/>
                <w:szCs w:val="21"/>
              </w:rPr>
            </w:pPr>
            <w:r>
              <w:rPr>
                <w:rFonts w:hint="eastAsia"/>
                <w:color w:val="auto"/>
                <w:sz w:val="21"/>
                <w:szCs w:val="21"/>
              </w:rPr>
              <w:t>金属非金属露天开采项目自2015年2月13日起立即禁止使用掏底崩落、掏挖开采、不分层的“一面墙”开采。</w:t>
            </w:r>
          </w:p>
        </w:tc>
        <w:tc>
          <w:tcPr>
            <w:tcW w:w="0" w:type="auto"/>
            <w:noWrap w:val="0"/>
            <w:vAlign w:val="center"/>
          </w:tcPr>
          <w:p w14:paraId="4D7C4364">
            <w:pPr>
              <w:pStyle w:val="26"/>
              <w:bidi w:val="0"/>
              <w:rPr>
                <w:rFonts w:hint="eastAsia"/>
                <w:color w:val="auto"/>
                <w:sz w:val="21"/>
                <w:szCs w:val="21"/>
              </w:rPr>
            </w:pPr>
            <w:r>
              <w:rPr>
                <w:rFonts w:hint="eastAsia"/>
                <w:color w:val="auto"/>
                <w:sz w:val="21"/>
                <w:szCs w:val="21"/>
              </w:rPr>
              <w:t>《安监总管一〔2015〕13号》</w:t>
            </w:r>
          </w:p>
        </w:tc>
        <w:tc>
          <w:tcPr>
            <w:tcW w:w="0" w:type="auto"/>
            <w:noWrap w:val="0"/>
            <w:vAlign w:val="center"/>
          </w:tcPr>
          <w:p w14:paraId="11A1CFA9">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7AB0B2E">
            <w:pPr>
              <w:pStyle w:val="26"/>
              <w:bidi w:val="0"/>
              <w:rPr>
                <w:rFonts w:hint="eastAsia"/>
                <w:color w:val="auto"/>
                <w:sz w:val="21"/>
                <w:szCs w:val="21"/>
              </w:rPr>
            </w:pPr>
            <w:r>
              <w:rPr>
                <w:rFonts w:hint="eastAsia"/>
                <w:color w:val="auto"/>
                <w:sz w:val="21"/>
                <w:szCs w:val="21"/>
              </w:rPr>
              <w:t>现生产采场未见掏底崩落、掏挖开采、不分层的“一面墙”开采。</w:t>
            </w:r>
          </w:p>
        </w:tc>
        <w:tc>
          <w:tcPr>
            <w:tcW w:w="0" w:type="auto"/>
            <w:noWrap w:val="0"/>
            <w:vAlign w:val="center"/>
          </w:tcPr>
          <w:p w14:paraId="0A4D51CD">
            <w:pPr>
              <w:pStyle w:val="26"/>
              <w:bidi w:val="0"/>
              <w:rPr>
                <w:rFonts w:hint="eastAsia"/>
                <w:color w:val="auto"/>
                <w:sz w:val="21"/>
                <w:szCs w:val="21"/>
              </w:rPr>
            </w:pPr>
            <w:r>
              <w:rPr>
                <w:rFonts w:hint="eastAsia"/>
                <w:color w:val="auto"/>
                <w:sz w:val="21"/>
                <w:szCs w:val="21"/>
              </w:rPr>
              <w:t>符合</w:t>
            </w:r>
          </w:p>
          <w:p w14:paraId="0B7244D7">
            <w:pPr>
              <w:pStyle w:val="26"/>
              <w:bidi w:val="0"/>
              <w:rPr>
                <w:rFonts w:hint="eastAsia"/>
                <w:color w:val="auto"/>
                <w:sz w:val="21"/>
                <w:szCs w:val="21"/>
              </w:rPr>
            </w:pPr>
            <w:r>
              <w:rPr>
                <w:rFonts w:hint="eastAsia"/>
                <w:color w:val="auto"/>
                <w:sz w:val="21"/>
                <w:szCs w:val="21"/>
              </w:rPr>
              <w:t>要求</w:t>
            </w:r>
          </w:p>
        </w:tc>
      </w:tr>
      <w:tr w14:paraId="4E1CD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0421B45">
            <w:pPr>
              <w:pStyle w:val="26"/>
              <w:bidi w:val="0"/>
              <w:rPr>
                <w:rFonts w:hint="default" w:eastAsia="宋体"/>
                <w:color w:val="auto"/>
                <w:sz w:val="21"/>
                <w:szCs w:val="21"/>
                <w:lang w:val="en-US" w:eastAsia="zh-CN"/>
              </w:rPr>
            </w:pPr>
            <w:r>
              <w:rPr>
                <w:rFonts w:hint="eastAsia"/>
                <w:color w:val="auto"/>
                <w:sz w:val="21"/>
                <w:szCs w:val="21"/>
                <w:lang w:val="en-US" w:eastAsia="zh-CN"/>
              </w:rPr>
              <w:t>11</w:t>
            </w:r>
          </w:p>
        </w:tc>
        <w:tc>
          <w:tcPr>
            <w:tcW w:w="0" w:type="auto"/>
            <w:noWrap w:val="0"/>
            <w:vAlign w:val="center"/>
          </w:tcPr>
          <w:p w14:paraId="1AD141C0">
            <w:pPr>
              <w:pStyle w:val="26"/>
              <w:bidi w:val="0"/>
              <w:rPr>
                <w:rFonts w:hint="eastAsia"/>
                <w:color w:val="auto"/>
                <w:sz w:val="21"/>
                <w:szCs w:val="21"/>
              </w:rPr>
            </w:pPr>
            <w:r>
              <w:rPr>
                <w:rFonts w:hint="eastAsia"/>
                <w:color w:val="auto"/>
                <w:sz w:val="21"/>
                <w:szCs w:val="21"/>
              </w:rPr>
              <w:t>矿山企业的要害岗位、重要设备和设施周围及危险区域，应设置醒目的安全警示标志，并在生产使用期间保持完好。</w:t>
            </w:r>
          </w:p>
        </w:tc>
        <w:tc>
          <w:tcPr>
            <w:tcW w:w="0" w:type="auto"/>
            <w:noWrap w:val="0"/>
            <w:vAlign w:val="center"/>
          </w:tcPr>
          <w:p w14:paraId="563C40FB">
            <w:pPr>
              <w:pStyle w:val="26"/>
              <w:bidi w:val="0"/>
              <w:rPr>
                <w:rFonts w:hint="eastAsia"/>
                <w:color w:val="auto"/>
                <w:sz w:val="21"/>
                <w:szCs w:val="21"/>
              </w:rPr>
            </w:pPr>
            <w:r>
              <w:rPr>
                <w:rFonts w:hint="eastAsia"/>
                <w:color w:val="auto"/>
                <w:sz w:val="21"/>
                <w:szCs w:val="21"/>
              </w:rPr>
              <w:t>《GB16423-2020》之4.7.3条</w:t>
            </w:r>
          </w:p>
        </w:tc>
        <w:tc>
          <w:tcPr>
            <w:tcW w:w="0" w:type="auto"/>
            <w:noWrap w:val="0"/>
            <w:vAlign w:val="center"/>
          </w:tcPr>
          <w:p w14:paraId="3A3D929D">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47E2C727">
            <w:pPr>
              <w:pStyle w:val="26"/>
              <w:bidi w:val="0"/>
              <w:rPr>
                <w:rFonts w:hint="eastAsia"/>
                <w:color w:val="auto"/>
                <w:sz w:val="21"/>
                <w:szCs w:val="21"/>
              </w:rPr>
            </w:pPr>
            <w:r>
              <w:rPr>
                <w:rFonts w:hint="eastAsia"/>
                <w:color w:val="auto"/>
                <w:sz w:val="21"/>
                <w:szCs w:val="21"/>
              </w:rPr>
              <w:t>企业要害岗位、重要设备和设施周围及危险区域均设有警示标志，并保持完好。</w:t>
            </w:r>
          </w:p>
        </w:tc>
        <w:tc>
          <w:tcPr>
            <w:tcW w:w="0" w:type="auto"/>
            <w:noWrap w:val="0"/>
            <w:vAlign w:val="center"/>
          </w:tcPr>
          <w:p w14:paraId="38206F20">
            <w:pPr>
              <w:pStyle w:val="26"/>
              <w:bidi w:val="0"/>
              <w:rPr>
                <w:rFonts w:hint="eastAsia"/>
                <w:color w:val="auto"/>
                <w:sz w:val="21"/>
                <w:szCs w:val="21"/>
              </w:rPr>
            </w:pPr>
            <w:r>
              <w:rPr>
                <w:rFonts w:hint="eastAsia"/>
                <w:color w:val="auto"/>
                <w:sz w:val="21"/>
                <w:szCs w:val="21"/>
              </w:rPr>
              <w:t>符合</w:t>
            </w:r>
          </w:p>
          <w:p w14:paraId="6BF973A4">
            <w:pPr>
              <w:pStyle w:val="26"/>
              <w:bidi w:val="0"/>
              <w:rPr>
                <w:rFonts w:hint="eastAsia"/>
                <w:color w:val="auto"/>
                <w:sz w:val="21"/>
                <w:szCs w:val="21"/>
              </w:rPr>
            </w:pPr>
            <w:r>
              <w:rPr>
                <w:rFonts w:hint="eastAsia"/>
                <w:color w:val="auto"/>
                <w:sz w:val="21"/>
                <w:szCs w:val="21"/>
              </w:rPr>
              <w:t>要求</w:t>
            </w:r>
          </w:p>
        </w:tc>
      </w:tr>
      <w:tr w14:paraId="10548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3E05493">
            <w:pPr>
              <w:pStyle w:val="26"/>
              <w:bidi w:val="0"/>
              <w:rPr>
                <w:rFonts w:hint="default" w:eastAsia="宋体"/>
                <w:color w:val="auto"/>
                <w:sz w:val="21"/>
                <w:szCs w:val="21"/>
                <w:lang w:val="en-US" w:eastAsia="zh-CN"/>
              </w:rPr>
            </w:pPr>
            <w:r>
              <w:rPr>
                <w:rFonts w:hint="eastAsia"/>
                <w:color w:val="auto"/>
                <w:sz w:val="21"/>
                <w:szCs w:val="21"/>
                <w:lang w:val="en-US" w:eastAsia="zh-CN"/>
              </w:rPr>
              <w:t>12</w:t>
            </w:r>
          </w:p>
        </w:tc>
        <w:tc>
          <w:tcPr>
            <w:tcW w:w="0" w:type="auto"/>
            <w:noWrap w:val="0"/>
            <w:vAlign w:val="center"/>
          </w:tcPr>
          <w:p w14:paraId="13E1A248">
            <w:pPr>
              <w:pStyle w:val="26"/>
              <w:bidi w:val="0"/>
              <w:rPr>
                <w:rFonts w:hint="eastAsia"/>
                <w:color w:val="auto"/>
                <w:sz w:val="21"/>
                <w:szCs w:val="21"/>
              </w:rPr>
            </w:pPr>
            <w:r>
              <w:rPr>
                <w:rFonts w:hint="eastAsia"/>
                <w:color w:val="auto"/>
                <w:sz w:val="21"/>
                <w:szCs w:val="21"/>
              </w:rPr>
              <w:t>采场运输道路以及供电、通信线路均应设置在稳定区域内。</w:t>
            </w:r>
          </w:p>
        </w:tc>
        <w:tc>
          <w:tcPr>
            <w:tcW w:w="0" w:type="auto"/>
            <w:noWrap w:val="0"/>
            <w:vAlign w:val="center"/>
          </w:tcPr>
          <w:p w14:paraId="58EEEB6E">
            <w:pPr>
              <w:pStyle w:val="26"/>
              <w:bidi w:val="0"/>
              <w:rPr>
                <w:rFonts w:hint="eastAsia"/>
                <w:color w:val="auto"/>
                <w:sz w:val="21"/>
                <w:szCs w:val="21"/>
              </w:rPr>
            </w:pPr>
            <w:r>
              <w:rPr>
                <w:rFonts w:hint="eastAsia"/>
                <w:color w:val="auto"/>
                <w:sz w:val="21"/>
                <w:szCs w:val="21"/>
              </w:rPr>
              <w:t>《GB16423-2020》之5.2.1.5条</w:t>
            </w:r>
          </w:p>
        </w:tc>
        <w:tc>
          <w:tcPr>
            <w:tcW w:w="0" w:type="auto"/>
            <w:noWrap w:val="0"/>
            <w:vAlign w:val="center"/>
          </w:tcPr>
          <w:p w14:paraId="7F9437EA">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B5EDCBC">
            <w:pPr>
              <w:pStyle w:val="26"/>
              <w:bidi w:val="0"/>
              <w:rPr>
                <w:rFonts w:hint="eastAsia"/>
                <w:color w:val="auto"/>
                <w:sz w:val="21"/>
                <w:szCs w:val="21"/>
              </w:rPr>
            </w:pPr>
            <w:r>
              <w:rPr>
                <w:rFonts w:hint="eastAsia"/>
                <w:color w:val="auto"/>
                <w:sz w:val="21"/>
                <w:szCs w:val="21"/>
              </w:rPr>
              <w:t>采场运输道路设置区域地质条件简单，为稳定区域。</w:t>
            </w:r>
          </w:p>
        </w:tc>
        <w:tc>
          <w:tcPr>
            <w:tcW w:w="0" w:type="auto"/>
            <w:noWrap w:val="0"/>
            <w:vAlign w:val="center"/>
          </w:tcPr>
          <w:p w14:paraId="076F49DF">
            <w:pPr>
              <w:pStyle w:val="26"/>
              <w:bidi w:val="0"/>
              <w:rPr>
                <w:rFonts w:hint="eastAsia"/>
                <w:color w:val="auto"/>
                <w:sz w:val="21"/>
                <w:szCs w:val="21"/>
              </w:rPr>
            </w:pPr>
            <w:r>
              <w:rPr>
                <w:rFonts w:hint="eastAsia"/>
                <w:color w:val="auto"/>
                <w:sz w:val="21"/>
                <w:szCs w:val="21"/>
              </w:rPr>
              <w:t>符合</w:t>
            </w:r>
          </w:p>
          <w:p w14:paraId="2C45BFC1">
            <w:pPr>
              <w:pStyle w:val="26"/>
              <w:bidi w:val="0"/>
              <w:rPr>
                <w:rFonts w:hint="eastAsia"/>
                <w:color w:val="auto"/>
                <w:sz w:val="21"/>
                <w:szCs w:val="21"/>
              </w:rPr>
            </w:pPr>
            <w:r>
              <w:rPr>
                <w:rFonts w:hint="eastAsia"/>
                <w:color w:val="auto"/>
                <w:sz w:val="21"/>
                <w:szCs w:val="21"/>
              </w:rPr>
              <w:t>要求</w:t>
            </w:r>
          </w:p>
        </w:tc>
      </w:tr>
      <w:tr w14:paraId="5DA7D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239BAED">
            <w:pPr>
              <w:pStyle w:val="26"/>
              <w:bidi w:val="0"/>
              <w:rPr>
                <w:rFonts w:hint="default" w:eastAsia="宋体"/>
                <w:color w:val="auto"/>
                <w:sz w:val="21"/>
                <w:szCs w:val="21"/>
                <w:lang w:val="en-US" w:eastAsia="zh-CN"/>
              </w:rPr>
            </w:pPr>
            <w:r>
              <w:rPr>
                <w:rFonts w:hint="eastAsia"/>
                <w:color w:val="auto"/>
                <w:sz w:val="21"/>
                <w:szCs w:val="21"/>
                <w:lang w:val="en-US" w:eastAsia="zh-CN"/>
              </w:rPr>
              <w:t>13</w:t>
            </w:r>
          </w:p>
        </w:tc>
        <w:tc>
          <w:tcPr>
            <w:tcW w:w="0" w:type="auto"/>
            <w:noWrap w:val="0"/>
            <w:vAlign w:val="center"/>
          </w:tcPr>
          <w:p w14:paraId="1EA735B8">
            <w:pPr>
              <w:pStyle w:val="26"/>
              <w:bidi w:val="0"/>
              <w:rPr>
                <w:rFonts w:hint="eastAsia"/>
                <w:color w:val="auto"/>
                <w:sz w:val="21"/>
                <w:szCs w:val="21"/>
              </w:rPr>
            </w:pPr>
            <w:r>
              <w:rPr>
                <w:rFonts w:hint="eastAsia"/>
                <w:color w:val="auto"/>
                <w:sz w:val="21"/>
                <w:szCs w:val="21"/>
              </w:rPr>
              <w:t>有六级以上强风时，不应进行高处作业和露天起重作业。</w:t>
            </w:r>
          </w:p>
        </w:tc>
        <w:tc>
          <w:tcPr>
            <w:tcW w:w="0" w:type="auto"/>
            <w:noWrap w:val="0"/>
            <w:vAlign w:val="center"/>
          </w:tcPr>
          <w:p w14:paraId="2A2F4228">
            <w:pPr>
              <w:pStyle w:val="26"/>
              <w:bidi w:val="0"/>
              <w:rPr>
                <w:rFonts w:hint="eastAsia"/>
                <w:color w:val="auto"/>
                <w:sz w:val="21"/>
                <w:szCs w:val="21"/>
              </w:rPr>
            </w:pPr>
            <w:r>
              <w:rPr>
                <w:rFonts w:hint="eastAsia"/>
                <w:color w:val="auto"/>
                <w:sz w:val="21"/>
                <w:szCs w:val="21"/>
              </w:rPr>
              <w:t>《GB16423-2020》之5.1.13条</w:t>
            </w:r>
          </w:p>
        </w:tc>
        <w:tc>
          <w:tcPr>
            <w:tcW w:w="0" w:type="auto"/>
            <w:noWrap w:val="0"/>
            <w:vAlign w:val="center"/>
          </w:tcPr>
          <w:p w14:paraId="33C0596C">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2682A66F">
            <w:pPr>
              <w:pStyle w:val="26"/>
              <w:bidi w:val="0"/>
              <w:rPr>
                <w:rFonts w:hint="eastAsia"/>
                <w:color w:val="auto"/>
                <w:sz w:val="21"/>
                <w:szCs w:val="21"/>
              </w:rPr>
            </w:pPr>
            <w:r>
              <w:rPr>
                <w:rFonts w:hint="eastAsia"/>
                <w:color w:val="auto"/>
                <w:sz w:val="21"/>
                <w:szCs w:val="21"/>
              </w:rPr>
              <w:t>六级以上强风时，未进行高处作业和露天起重作业。</w:t>
            </w:r>
          </w:p>
        </w:tc>
        <w:tc>
          <w:tcPr>
            <w:tcW w:w="0" w:type="auto"/>
            <w:noWrap w:val="0"/>
            <w:vAlign w:val="center"/>
          </w:tcPr>
          <w:p w14:paraId="3EA38C39">
            <w:pPr>
              <w:pStyle w:val="26"/>
              <w:bidi w:val="0"/>
              <w:rPr>
                <w:rFonts w:hint="eastAsia"/>
                <w:color w:val="auto"/>
                <w:sz w:val="21"/>
                <w:szCs w:val="21"/>
              </w:rPr>
            </w:pPr>
            <w:r>
              <w:rPr>
                <w:rFonts w:hint="eastAsia"/>
                <w:color w:val="auto"/>
                <w:sz w:val="21"/>
                <w:szCs w:val="21"/>
              </w:rPr>
              <w:t>符合</w:t>
            </w:r>
          </w:p>
          <w:p w14:paraId="4C7C2B2E">
            <w:pPr>
              <w:pStyle w:val="26"/>
              <w:bidi w:val="0"/>
              <w:rPr>
                <w:rFonts w:hint="eastAsia"/>
                <w:color w:val="auto"/>
                <w:sz w:val="21"/>
                <w:szCs w:val="21"/>
              </w:rPr>
            </w:pPr>
            <w:r>
              <w:rPr>
                <w:rFonts w:hint="eastAsia"/>
                <w:color w:val="auto"/>
                <w:sz w:val="21"/>
                <w:szCs w:val="21"/>
              </w:rPr>
              <w:t>要求</w:t>
            </w:r>
          </w:p>
        </w:tc>
      </w:tr>
      <w:tr w14:paraId="0D4AF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4BB5D64">
            <w:pPr>
              <w:pStyle w:val="26"/>
              <w:bidi w:val="0"/>
              <w:rPr>
                <w:rFonts w:hint="default" w:eastAsia="宋体"/>
                <w:color w:val="auto"/>
                <w:sz w:val="21"/>
                <w:szCs w:val="21"/>
                <w:lang w:val="en-US" w:eastAsia="zh-CN"/>
              </w:rPr>
            </w:pPr>
            <w:r>
              <w:rPr>
                <w:rFonts w:hint="eastAsia"/>
                <w:color w:val="auto"/>
                <w:sz w:val="21"/>
                <w:szCs w:val="21"/>
                <w:lang w:val="en-US" w:eastAsia="zh-CN"/>
              </w:rPr>
              <w:t>14</w:t>
            </w:r>
          </w:p>
        </w:tc>
        <w:tc>
          <w:tcPr>
            <w:tcW w:w="0" w:type="auto"/>
            <w:noWrap w:val="0"/>
            <w:vAlign w:val="center"/>
          </w:tcPr>
          <w:p w14:paraId="529C1764">
            <w:pPr>
              <w:pStyle w:val="26"/>
              <w:bidi w:val="0"/>
              <w:rPr>
                <w:rFonts w:hint="eastAsia"/>
                <w:color w:val="auto"/>
                <w:sz w:val="21"/>
                <w:szCs w:val="21"/>
              </w:rPr>
            </w:pPr>
            <w:r>
              <w:rPr>
                <w:rFonts w:hint="eastAsia"/>
                <w:color w:val="auto"/>
                <w:sz w:val="21"/>
                <w:szCs w:val="21"/>
              </w:rPr>
              <w:t>任何人不应酒后进入矿山作业场所，不应将酒类饮料带入矿山作业场所；紧急医疗除外。</w:t>
            </w:r>
          </w:p>
        </w:tc>
        <w:tc>
          <w:tcPr>
            <w:tcW w:w="0" w:type="auto"/>
            <w:noWrap w:val="0"/>
            <w:vAlign w:val="center"/>
          </w:tcPr>
          <w:p w14:paraId="5B5F72F7">
            <w:pPr>
              <w:pStyle w:val="26"/>
              <w:bidi w:val="0"/>
              <w:rPr>
                <w:rFonts w:hint="eastAsia"/>
                <w:color w:val="auto"/>
                <w:sz w:val="21"/>
                <w:szCs w:val="21"/>
              </w:rPr>
            </w:pPr>
            <w:r>
              <w:rPr>
                <w:rFonts w:hint="eastAsia"/>
                <w:color w:val="auto"/>
                <w:sz w:val="21"/>
                <w:szCs w:val="21"/>
              </w:rPr>
              <w:t>《GB16423-2020》之4.7.1条</w:t>
            </w:r>
          </w:p>
        </w:tc>
        <w:tc>
          <w:tcPr>
            <w:tcW w:w="0" w:type="auto"/>
            <w:noWrap w:val="0"/>
            <w:vAlign w:val="center"/>
          </w:tcPr>
          <w:p w14:paraId="1BAEC68E">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20F141C5">
            <w:pPr>
              <w:pStyle w:val="26"/>
              <w:bidi w:val="0"/>
              <w:rPr>
                <w:rFonts w:hint="eastAsia"/>
                <w:color w:val="auto"/>
                <w:sz w:val="21"/>
                <w:szCs w:val="21"/>
              </w:rPr>
            </w:pPr>
            <w:r>
              <w:rPr>
                <w:rFonts w:hint="eastAsia"/>
                <w:color w:val="auto"/>
                <w:sz w:val="21"/>
                <w:szCs w:val="21"/>
              </w:rPr>
              <w:t>企业制度明确规定，上班期间严禁饮酒，现场未发现酒后作业现象。</w:t>
            </w:r>
          </w:p>
        </w:tc>
        <w:tc>
          <w:tcPr>
            <w:tcW w:w="0" w:type="auto"/>
            <w:noWrap w:val="0"/>
            <w:vAlign w:val="center"/>
          </w:tcPr>
          <w:p w14:paraId="683D236A">
            <w:pPr>
              <w:pStyle w:val="26"/>
              <w:bidi w:val="0"/>
              <w:rPr>
                <w:rFonts w:hint="eastAsia"/>
                <w:color w:val="auto"/>
                <w:sz w:val="21"/>
                <w:szCs w:val="21"/>
              </w:rPr>
            </w:pPr>
            <w:r>
              <w:rPr>
                <w:rFonts w:hint="eastAsia"/>
                <w:color w:val="auto"/>
                <w:sz w:val="21"/>
                <w:szCs w:val="21"/>
              </w:rPr>
              <w:t>符合</w:t>
            </w:r>
          </w:p>
          <w:p w14:paraId="18535C92">
            <w:pPr>
              <w:pStyle w:val="26"/>
              <w:bidi w:val="0"/>
              <w:rPr>
                <w:rFonts w:hint="eastAsia"/>
                <w:color w:val="auto"/>
                <w:sz w:val="21"/>
                <w:szCs w:val="21"/>
              </w:rPr>
            </w:pPr>
            <w:r>
              <w:rPr>
                <w:rFonts w:hint="eastAsia"/>
                <w:color w:val="auto"/>
                <w:sz w:val="21"/>
                <w:szCs w:val="21"/>
              </w:rPr>
              <w:t>要求</w:t>
            </w:r>
          </w:p>
        </w:tc>
      </w:tr>
      <w:tr w14:paraId="417D4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4AF9FE9">
            <w:pPr>
              <w:pStyle w:val="26"/>
              <w:bidi w:val="0"/>
              <w:rPr>
                <w:rFonts w:hint="default" w:eastAsia="宋体"/>
                <w:color w:val="auto"/>
                <w:sz w:val="21"/>
                <w:szCs w:val="21"/>
                <w:lang w:val="en-US" w:eastAsia="zh-CN"/>
              </w:rPr>
            </w:pPr>
            <w:r>
              <w:rPr>
                <w:rFonts w:hint="eastAsia"/>
                <w:color w:val="auto"/>
                <w:sz w:val="21"/>
                <w:szCs w:val="21"/>
                <w:lang w:val="en-US" w:eastAsia="zh-CN"/>
              </w:rPr>
              <w:t>15</w:t>
            </w:r>
          </w:p>
        </w:tc>
        <w:tc>
          <w:tcPr>
            <w:tcW w:w="0" w:type="auto"/>
            <w:noWrap w:val="0"/>
            <w:vAlign w:val="center"/>
          </w:tcPr>
          <w:p w14:paraId="534F7862">
            <w:pPr>
              <w:pStyle w:val="26"/>
              <w:bidi w:val="0"/>
              <w:rPr>
                <w:rFonts w:hint="eastAsia"/>
                <w:color w:val="auto"/>
                <w:sz w:val="21"/>
                <w:szCs w:val="21"/>
              </w:rPr>
            </w:pPr>
            <w:r>
              <w:rPr>
                <w:rFonts w:hint="eastAsia"/>
                <w:color w:val="auto"/>
                <w:sz w:val="21"/>
                <w:szCs w:val="21"/>
              </w:rPr>
              <w:t>邻近最终边坡作业，应采用控制爆破减震。</w:t>
            </w:r>
          </w:p>
        </w:tc>
        <w:tc>
          <w:tcPr>
            <w:tcW w:w="0" w:type="auto"/>
            <w:noWrap w:val="0"/>
            <w:vAlign w:val="center"/>
          </w:tcPr>
          <w:p w14:paraId="42CA53AC">
            <w:pPr>
              <w:pStyle w:val="26"/>
              <w:bidi w:val="0"/>
              <w:rPr>
                <w:rFonts w:hint="eastAsia"/>
                <w:color w:val="auto"/>
                <w:sz w:val="21"/>
                <w:szCs w:val="21"/>
              </w:rPr>
            </w:pPr>
            <w:r>
              <w:rPr>
                <w:rFonts w:hint="eastAsia"/>
                <w:color w:val="auto"/>
                <w:sz w:val="21"/>
                <w:szCs w:val="21"/>
              </w:rPr>
              <w:t>《GB16423-2020》之5.2.4.2条</w:t>
            </w:r>
          </w:p>
        </w:tc>
        <w:tc>
          <w:tcPr>
            <w:tcW w:w="0" w:type="auto"/>
            <w:noWrap w:val="0"/>
            <w:vAlign w:val="center"/>
          </w:tcPr>
          <w:p w14:paraId="7FF99CA4">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25C23E9">
            <w:pPr>
              <w:pStyle w:val="26"/>
              <w:bidi w:val="0"/>
              <w:rPr>
                <w:rFonts w:hint="eastAsia"/>
                <w:color w:val="auto"/>
                <w:sz w:val="21"/>
                <w:szCs w:val="21"/>
              </w:rPr>
            </w:pPr>
            <w:r>
              <w:rPr>
                <w:rFonts w:hint="eastAsia"/>
                <w:color w:val="auto"/>
                <w:sz w:val="21"/>
                <w:szCs w:val="21"/>
              </w:rPr>
              <w:t>企业邻近最终边坡作业采用控制爆破减震。</w:t>
            </w:r>
          </w:p>
        </w:tc>
        <w:tc>
          <w:tcPr>
            <w:tcW w:w="0" w:type="auto"/>
            <w:noWrap w:val="0"/>
            <w:vAlign w:val="center"/>
          </w:tcPr>
          <w:p w14:paraId="753D1064">
            <w:pPr>
              <w:pStyle w:val="26"/>
              <w:bidi w:val="0"/>
              <w:rPr>
                <w:rFonts w:hint="eastAsia"/>
                <w:color w:val="auto"/>
                <w:sz w:val="21"/>
                <w:szCs w:val="21"/>
              </w:rPr>
            </w:pPr>
            <w:r>
              <w:rPr>
                <w:rFonts w:hint="eastAsia"/>
                <w:color w:val="auto"/>
                <w:sz w:val="21"/>
                <w:szCs w:val="21"/>
              </w:rPr>
              <w:t>符合</w:t>
            </w:r>
          </w:p>
          <w:p w14:paraId="7373A9BD">
            <w:pPr>
              <w:pStyle w:val="26"/>
              <w:bidi w:val="0"/>
              <w:rPr>
                <w:rFonts w:hint="eastAsia"/>
                <w:color w:val="auto"/>
                <w:sz w:val="21"/>
                <w:szCs w:val="21"/>
              </w:rPr>
            </w:pPr>
            <w:r>
              <w:rPr>
                <w:rFonts w:hint="eastAsia"/>
                <w:color w:val="auto"/>
                <w:sz w:val="21"/>
                <w:szCs w:val="21"/>
              </w:rPr>
              <w:t>要求</w:t>
            </w:r>
          </w:p>
        </w:tc>
      </w:tr>
      <w:tr w14:paraId="269EF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4D88882">
            <w:pPr>
              <w:pStyle w:val="26"/>
              <w:bidi w:val="0"/>
              <w:rPr>
                <w:rFonts w:hint="default" w:eastAsia="宋体"/>
                <w:color w:val="auto"/>
                <w:sz w:val="21"/>
                <w:szCs w:val="21"/>
                <w:lang w:val="en-US" w:eastAsia="zh-CN"/>
              </w:rPr>
            </w:pPr>
            <w:r>
              <w:rPr>
                <w:rFonts w:hint="eastAsia"/>
                <w:color w:val="auto"/>
                <w:sz w:val="21"/>
                <w:szCs w:val="21"/>
                <w:lang w:val="en-US" w:eastAsia="zh-CN"/>
              </w:rPr>
              <w:t>16</w:t>
            </w:r>
          </w:p>
        </w:tc>
        <w:tc>
          <w:tcPr>
            <w:tcW w:w="0" w:type="auto"/>
            <w:noWrap w:val="0"/>
            <w:vAlign w:val="center"/>
          </w:tcPr>
          <w:p w14:paraId="2E24BFAB">
            <w:pPr>
              <w:pStyle w:val="26"/>
              <w:bidi w:val="0"/>
              <w:rPr>
                <w:rFonts w:hint="eastAsia"/>
                <w:color w:val="auto"/>
                <w:sz w:val="21"/>
                <w:szCs w:val="21"/>
              </w:rPr>
            </w:pPr>
            <w:r>
              <w:rPr>
                <w:rFonts w:hint="eastAsia"/>
                <w:color w:val="auto"/>
                <w:sz w:val="21"/>
                <w:szCs w:val="21"/>
              </w:rPr>
              <w:t>邻近最终边坡作业，保持台阶的安全坡面角，不应超挖坡底。</w:t>
            </w:r>
          </w:p>
        </w:tc>
        <w:tc>
          <w:tcPr>
            <w:tcW w:w="0" w:type="auto"/>
            <w:noWrap w:val="0"/>
            <w:vAlign w:val="center"/>
          </w:tcPr>
          <w:p w14:paraId="73DD94CF">
            <w:pPr>
              <w:pStyle w:val="26"/>
              <w:bidi w:val="0"/>
              <w:rPr>
                <w:rFonts w:hint="eastAsia"/>
                <w:color w:val="auto"/>
                <w:sz w:val="21"/>
                <w:szCs w:val="21"/>
              </w:rPr>
            </w:pPr>
            <w:r>
              <w:rPr>
                <w:rFonts w:hint="eastAsia"/>
                <w:color w:val="auto"/>
                <w:sz w:val="21"/>
                <w:szCs w:val="21"/>
              </w:rPr>
              <w:t>《GB16423-2020》之5.2.4.2条</w:t>
            </w:r>
          </w:p>
        </w:tc>
        <w:tc>
          <w:tcPr>
            <w:tcW w:w="0" w:type="auto"/>
            <w:noWrap w:val="0"/>
            <w:vAlign w:val="center"/>
          </w:tcPr>
          <w:p w14:paraId="6A1C7254">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2C442E9">
            <w:pPr>
              <w:pStyle w:val="26"/>
              <w:bidi w:val="0"/>
              <w:rPr>
                <w:rFonts w:hint="eastAsia"/>
                <w:color w:val="auto"/>
                <w:sz w:val="21"/>
                <w:szCs w:val="21"/>
              </w:rPr>
            </w:pPr>
            <w:r>
              <w:rPr>
                <w:rFonts w:hint="eastAsia"/>
                <w:color w:val="auto"/>
                <w:sz w:val="21"/>
                <w:szCs w:val="21"/>
              </w:rPr>
              <w:t>未发现超挖坡底现象。</w:t>
            </w:r>
          </w:p>
        </w:tc>
        <w:tc>
          <w:tcPr>
            <w:tcW w:w="0" w:type="auto"/>
            <w:noWrap w:val="0"/>
            <w:vAlign w:val="center"/>
          </w:tcPr>
          <w:p w14:paraId="247E18B9">
            <w:pPr>
              <w:pStyle w:val="26"/>
              <w:bidi w:val="0"/>
              <w:rPr>
                <w:rFonts w:hint="eastAsia"/>
                <w:color w:val="auto"/>
                <w:sz w:val="21"/>
                <w:szCs w:val="21"/>
              </w:rPr>
            </w:pPr>
            <w:r>
              <w:rPr>
                <w:rFonts w:hint="eastAsia"/>
                <w:color w:val="auto"/>
                <w:sz w:val="21"/>
                <w:szCs w:val="21"/>
              </w:rPr>
              <w:t>符合</w:t>
            </w:r>
          </w:p>
          <w:p w14:paraId="0BB032B9">
            <w:pPr>
              <w:pStyle w:val="26"/>
              <w:bidi w:val="0"/>
              <w:rPr>
                <w:rFonts w:hint="eastAsia"/>
                <w:color w:val="auto"/>
                <w:sz w:val="21"/>
                <w:szCs w:val="21"/>
              </w:rPr>
            </w:pPr>
            <w:r>
              <w:rPr>
                <w:rFonts w:hint="eastAsia"/>
                <w:color w:val="auto"/>
                <w:sz w:val="21"/>
                <w:szCs w:val="21"/>
              </w:rPr>
              <w:t>要求</w:t>
            </w:r>
          </w:p>
        </w:tc>
      </w:tr>
      <w:tr w14:paraId="58AA1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C0B8BF3">
            <w:pPr>
              <w:pStyle w:val="26"/>
              <w:bidi w:val="0"/>
              <w:rPr>
                <w:rFonts w:hint="default" w:eastAsia="宋体"/>
                <w:color w:val="auto"/>
                <w:sz w:val="21"/>
                <w:szCs w:val="21"/>
                <w:lang w:val="en-US" w:eastAsia="zh-CN"/>
              </w:rPr>
            </w:pPr>
            <w:r>
              <w:rPr>
                <w:rFonts w:hint="eastAsia"/>
                <w:color w:val="auto"/>
                <w:sz w:val="21"/>
                <w:szCs w:val="21"/>
                <w:lang w:val="en-US" w:eastAsia="zh-CN"/>
              </w:rPr>
              <w:t>17</w:t>
            </w:r>
          </w:p>
        </w:tc>
        <w:tc>
          <w:tcPr>
            <w:tcW w:w="0" w:type="auto"/>
            <w:noWrap w:val="0"/>
            <w:vAlign w:val="center"/>
          </w:tcPr>
          <w:p w14:paraId="615FCF78">
            <w:pPr>
              <w:pStyle w:val="26"/>
              <w:bidi w:val="0"/>
              <w:rPr>
                <w:rFonts w:hint="eastAsia"/>
                <w:color w:val="auto"/>
                <w:sz w:val="21"/>
                <w:szCs w:val="21"/>
              </w:rPr>
            </w:pPr>
            <w:r>
              <w:rPr>
                <w:rFonts w:hint="eastAsia"/>
                <w:color w:val="auto"/>
                <w:sz w:val="21"/>
                <w:szCs w:val="21"/>
              </w:rPr>
              <w:t>高度超过200m的露天边坡应进行在线监测。</w:t>
            </w:r>
          </w:p>
        </w:tc>
        <w:tc>
          <w:tcPr>
            <w:tcW w:w="0" w:type="auto"/>
            <w:noWrap w:val="0"/>
            <w:vAlign w:val="center"/>
          </w:tcPr>
          <w:p w14:paraId="03D7C0AC">
            <w:pPr>
              <w:pStyle w:val="26"/>
              <w:bidi w:val="0"/>
              <w:rPr>
                <w:rFonts w:hint="eastAsia"/>
                <w:color w:val="auto"/>
                <w:sz w:val="21"/>
                <w:szCs w:val="21"/>
              </w:rPr>
            </w:pPr>
            <w:r>
              <w:rPr>
                <w:rFonts w:hint="eastAsia"/>
                <w:color w:val="auto"/>
                <w:sz w:val="21"/>
                <w:szCs w:val="21"/>
              </w:rPr>
              <w:t>《GB16423-2020》之5.2.4.6条</w:t>
            </w:r>
          </w:p>
        </w:tc>
        <w:tc>
          <w:tcPr>
            <w:tcW w:w="0" w:type="auto"/>
            <w:noWrap w:val="0"/>
            <w:vAlign w:val="center"/>
          </w:tcPr>
          <w:p w14:paraId="22573C8A">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F132B4A">
            <w:pPr>
              <w:pStyle w:val="26"/>
              <w:bidi w:val="0"/>
              <w:rPr>
                <w:rFonts w:hint="eastAsia"/>
                <w:color w:val="auto"/>
                <w:sz w:val="21"/>
                <w:szCs w:val="21"/>
              </w:rPr>
            </w:pPr>
            <w:r>
              <w:rPr>
                <w:rFonts w:hint="eastAsia"/>
                <w:color w:val="auto"/>
                <w:sz w:val="21"/>
                <w:szCs w:val="21"/>
              </w:rPr>
              <w:t>企业目前边坡未超过200m。</w:t>
            </w:r>
          </w:p>
        </w:tc>
        <w:tc>
          <w:tcPr>
            <w:tcW w:w="0" w:type="auto"/>
            <w:noWrap w:val="0"/>
            <w:vAlign w:val="center"/>
          </w:tcPr>
          <w:p w14:paraId="5264F79F">
            <w:pPr>
              <w:pStyle w:val="26"/>
              <w:bidi w:val="0"/>
              <w:rPr>
                <w:rFonts w:hint="eastAsia"/>
                <w:color w:val="auto"/>
                <w:sz w:val="21"/>
                <w:szCs w:val="21"/>
              </w:rPr>
            </w:pPr>
            <w:r>
              <w:rPr>
                <w:rFonts w:hint="eastAsia"/>
                <w:color w:val="auto"/>
                <w:sz w:val="21"/>
                <w:szCs w:val="21"/>
              </w:rPr>
              <w:t>符合</w:t>
            </w:r>
          </w:p>
          <w:p w14:paraId="6BC02617">
            <w:pPr>
              <w:pStyle w:val="26"/>
              <w:bidi w:val="0"/>
              <w:rPr>
                <w:rFonts w:hint="eastAsia"/>
                <w:color w:val="auto"/>
                <w:sz w:val="21"/>
                <w:szCs w:val="21"/>
              </w:rPr>
            </w:pPr>
            <w:r>
              <w:rPr>
                <w:rFonts w:hint="eastAsia"/>
                <w:color w:val="auto"/>
                <w:sz w:val="21"/>
                <w:szCs w:val="21"/>
              </w:rPr>
              <w:t>要求</w:t>
            </w:r>
          </w:p>
        </w:tc>
      </w:tr>
    </w:tbl>
    <w:p w14:paraId="593DE4A4">
      <w:pPr>
        <w:pStyle w:val="25"/>
        <w:bidi w:val="0"/>
        <w:rPr>
          <w:rFonts w:hint="default"/>
          <w:color w:val="auto"/>
          <w:lang w:val="en-US" w:eastAsia="zh-CN"/>
        </w:rPr>
      </w:pPr>
    </w:p>
    <w:p w14:paraId="45B9A708">
      <w:pPr>
        <w:pStyle w:val="16"/>
        <w:bidi w:val="0"/>
        <w:rPr>
          <w:rFonts w:hint="default"/>
          <w:color w:val="auto"/>
          <w:lang w:val="en-US" w:eastAsia="zh-CN"/>
        </w:rPr>
      </w:pPr>
      <w:r>
        <w:rPr>
          <w:rFonts w:hint="default"/>
          <w:color w:val="auto"/>
          <w:lang w:val="en-US" w:eastAsia="zh-CN"/>
        </w:rPr>
        <w:t>从露天采场子单元安全检查表可知：符合项为</w:t>
      </w:r>
      <w:r>
        <w:rPr>
          <w:rFonts w:hint="eastAsia"/>
          <w:color w:val="auto"/>
          <w:lang w:val="en-US" w:eastAsia="zh-CN"/>
        </w:rPr>
        <w:t>17</w:t>
      </w:r>
      <w:r>
        <w:rPr>
          <w:rFonts w:hint="default"/>
          <w:color w:val="auto"/>
          <w:lang w:val="en-US" w:eastAsia="zh-CN"/>
        </w:rPr>
        <w:t>项，不符合为0项。鞍山东盛源矿业有限公司露天采场条件良好，采用自上而下分台阶开采，工作台阶坡面角小于设计要求，能够保证露天采场的安全生产。</w:t>
      </w:r>
    </w:p>
    <w:p w14:paraId="4962B560">
      <w:pPr>
        <w:pStyle w:val="24"/>
        <w:bidi w:val="0"/>
        <w:rPr>
          <w:rFonts w:hint="default"/>
          <w:color w:val="auto"/>
          <w:lang w:val="en-US" w:eastAsia="zh-CN"/>
        </w:rPr>
      </w:pPr>
      <w:r>
        <w:rPr>
          <w:rFonts w:hint="default"/>
          <w:color w:val="auto"/>
          <w:lang w:val="en-US" w:eastAsia="zh-CN"/>
        </w:rPr>
        <w:t>穿孔爆破子单元</w:t>
      </w:r>
    </w:p>
    <w:p w14:paraId="6971B5C4">
      <w:pPr>
        <w:pStyle w:val="16"/>
        <w:rPr>
          <w:rFonts w:hint="default"/>
          <w:color w:val="auto"/>
          <w:lang w:val="en-US" w:eastAsia="zh-CN"/>
        </w:rPr>
      </w:pPr>
      <w:r>
        <w:rPr>
          <w:rFonts w:hint="default"/>
          <w:color w:val="auto"/>
          <w:lang w:val="en-US" w:eastAsia="zh-CN"/>
        </w:rPr>
        <w:t>采用安全检查表法对穿孔爆破子单元进行检查，具体见下表。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3"/>
        <w:gridCol w:w="2162"/>
        <w:gridCol w:w="2030"/>
        <w:gridCol w:w="476"/>
        <w:gridCol w:w="3814"/>
        <w:gridCol w:w="476"/>
      </w:tblGrid>
      <w:tr w14:paraId="09AC5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BF43FBC">
            <w:pPr>
              <w:snapToGrid w:val="0"/>
              <w:jc w:val="center"/>
              <w:rPr>
                <w:rFonts w:hint="eastAsia" w:ascii="Times New Roman" w:hAnsi="Times New Roman"/>
                <w:color w:val="auto"/>
                <w:szCs w:val="21"/>
              </w:rPr>
            </w:pPr>
            <w:r>
              <w:rPr>
                <w:rFonts w:hint="eastAsia" w:ascii="Times New Roman" w:hAnsi="Times New Roman"/>
                <w:color w:val="auto"/>
                <w:szCs w:val="21"/>
              </w:rPr>
              <w:t>序号</w:t>
            </w:r>
          </w:p>
        </w:tc>
        <w:tc>
          <w:tcPr>
            <w:tcW w:w="0" w:type="auto"/>
            <w:noWrap w:val="0"/>
            <w:vAlign w:val="center"/>
          </w:tcPr>
          <w:p w14:paraId="0D24E5AA">
            <w:pPr>
              <w:snapToGrid w:val="0"/>
              <w:jc w:val="center"/>
              <w:rPr>
                <w:rFonts w:hint="eastAsia" w:ascii="Times New Roman" w:hAnsi="Times New Roman"/>
                <w:color w:val="auto"/>
                <w:szCs w:val="21"/>
              </w:rPr>
            </w:pPr>
            <w:r>
              <w:rPr>
                <w:rFonts w:hint="eastAsia" w:ascii="Times New Roman" w:hAnsi="Times New Roman"/>
                <w:color w:val="auto"/>
                <w:szCs w:val="21"/>
              </w:rPr>
              <w:t>检查内容</w:t>
            </w:r>
          </w:p>
        </w:tc>
        <w:tc>
          <w:tcPr>
            <w:tcW w:w="0" w:type="auto"/>
            <w:noWrap w:val="0"/>
            <w:vAlign w:val="center"/>
          </w:tcPr>
          <w:p w14:paraId="576879F8">
            <w:pPr>
              <w:snapToGrid w:val="0"/>
              <w:jc w:val="center"/>
              <w:rPr>
                <w:rFonts w:hint="eastAsia" w:ascii="Times New Roman" w:hAnsi="Times New Roman"/>
                <w:color w:val="auto"/>
                <w:szCs w:val="21"/>
              </w:rPr>
            </w:pPr>
            <w:r>
              <w:rPr>
                <w:rFonts w:hint="eastAsia" w:ascii="Times New Roman" w:hAnsi="Times New Roman"/>
                <w:color w:val="auto"/>
                <w:szCs w:val="21"/>
              </w:rPr>
              <w:t>检查依据</w:t>
            </w:r>
          </w:p>
        </w:tc>
        <w:tc>
          <w:tcPr>
            <w:tcW w:w="0" w:type="auto"/>
            <w:noWrap w:val="0"/>
            <w:vAlign w:val="center"/>
          </w:tcPr>
          <w:p w14:paraId="6E82052E">
            <w:pPr>
              <w:snapToGrid w:val="0"/>
              <w:jc w:val="center"/>
              <w:rPr>
                <w:rFonts w:hint="eastAsia" w:ascii="Times New Roman" w:hAnsi="Times New Roman"/>
                <w:color w:val="auto"/>
                <w:szCs w:val="21"/>
              </w:rPr>
            </w:pPr>
            <w:r>
              <w:rPr>
                <w:rFonts w:hint="eastAsia" w:ascii="Times New Roman" w:hAnsi="Times New Roman"/>
                <w:color w:val="auto"/>
                <w:szCs w:val="21"/>
              </w:rPr>
              <w:t>检查方法</w:t>
            </w:r>
          </w:p>
        </w:tc>
        <w:tc>
          <w:tcPr>
            <w:tcW w:w="0" w:type="auto"/>
            <w:noWrap w:val="0"/>
            <w:vAlign w:val="center"/>
          </w:tcPr>
          <w:p w14:paraId="11FB156C">
            <w:pPr>
              <w:snapToGrid w:val="0"/>
              <w:jc w:val="center"/>
              <w:rPr>
                <w:rFonts w:hint="eastAsia" w:ascii="Times New Roman" w:hAnsi="Times New Roman"/>
                <w:color w:val="auto"/>
                <w:szCs w:val="21"/>
              </w:rPr>
            </w:pPr>
            <w:r>
              <w:rPr>
                <w:rFonts w:hint="eastAsia" w:ascii="Times New Roman" w:hAnsi="Times New Roman"/>
                <w:color w:val="auto"/>
                <w:szCs w:val="21"/>
              </w:rPr>
              <w:t>检查结果</w:t>
            </w:r>
          </w:p>
        </w:tc>
        <w:tc>
          <w:tcPr>
            <w:tcW w:w="0" w:type="auto"/>
            <w:noWrap w:val="0"/>
            <w:vAlign w:val="center"/>
          </w:tcPr>
          <w:p w14:paraId="7DC56149">
            <w:pPr>
              <w:snapToGrid w:val="0"/>
              <w:jc w:val="center"/>
              <w:rPr>
                <w:rFonts w:hint="eastAsia" w:ascii="Times New Roman" w:hAnsi="Times New Roman"/>
                <w:color w:val="auto"/>
                <w:szCs w:val="21"/>
              </w:rPr>
            </w:pPr>
            <w:r>
              <w:rPr>
                <w:rFonts w:hint="eastAsia" w:ascii="Times New Roman" w:hAnsi="Times New Roman"/>
                <w:color w:val="auto"/>
                <w:szCs w:val="21"/>
              </w:rPr>
              <w:t>结论</w:t>
            </w:r>
          </w:p>
        </w:tc>
      </w:tr>
      <w:tr w14:paraId="64BA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6D3F39A">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1</w:t>
            </w:r>
          </w:p>
        </w:tc>
        <w:tc>
          <w:tcPr>
            <w:tcW w:w="0" w:type="auto"/>
            <w:noWrap w:val="0"/>
            <w:vAlign w:val="center"/>
          </w:tcPr>
          <w:p w14:paraId="77DAAA65">
            <w:pPr>
              <w:snapToGrid w:val="0"/>
              <w:jc w:val="center"/>
              <w:rPr>
                <w:rFonts w:hint="eastAsia" w:ascii="Times New Roman" w:hAnsi="Times New Roman"/>
                <w:color w:val="auto"/>
                <w:szCs w:val="21"/>
              </w:rPr>
            </w:pPr>
            <w:r>
              <w:rPr>
                <w:rFonts w:hint="eastAsia" w:ascii="Times New Roman" w:hAnsi="Times New Roman"/>
                <w:color w:val="auto"/>
                <w:szCs w:val="21"/>
              </w:rPr>
              <w:t>钻机稳车时，应与台阶坡顶线保持足够的安全距离。</w:t>
            </w:r>
          </w:p>
        </w:tc>
        <w:tc>
          <w:tcPr>
            <w:tcW w:w="0" w:type="auto"/>
            <w:noWrap w:val="0"/>
            <w:vAlign w:val="center"/>
          </w:tcPr>
          <w:p w14:paraId="645B2C01">
            <w:pPr>
              <w:snapToGrid w:val="0"/>
              <w:jc w:val="center"/>
              <w:rPr>
                <w:rFonts w:hint="eastAsia" w:ascii="Times New Roman" w:hAnsi="Times New Roman"/>
                <w:color w:val="auto"/>
                <w:szCs w:val="21"/>
              </w:rPr>
            </w:pPr>
            <w:r>
              <w:rPr>
                <w:rFonts w:hint="eastAsia" w:ascii="Times New Roman" w:hAnsi="Times New Roman"/>
                <w:color w:val="auto"/>
                <w:szCs w:val="21"/>
              </w:rPr>
              <w:t>《GB16423-2020》之5.2.2.1条</w:t>
            </w:r>
          </w:p>
        </w:tc>
        <w:tc>
          <w:tcPr>
            <w:tcW w:w="0" w:type="auto"/>
            <w:noWrap w:val="0"/>
            <w:vAlign w:val="center"/>
          </w:tcPr>
          <w:p w14:paraId="576AA11E">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7431077E">
            <w:pPr>
              <w:snapToGrid w:val="0"/>
              <w:jc w:val="center"/>
              <w:rPr>
                <w:rFonts w:hint="eastAsia" w:ascii="Times New Roman" w:hAnsi="Times New Roman"/>
                <w:color w:val="auto"/>
                <w:szCs w:val="21"/>
              </w:rPr>
            </w:pPr>
            <w:r>
              <w:rPr>
                <w:rFonts w:hint="eastAsia" w:ascii="Times New Roman" w:hAnsi="Times New Roman"/>
                <w:color w:val="auto"/>
                <w:szCs w:val="21"/>
              </w:rPr>
              <w:t>钻机稳车时</w:t>
            </w:r>
            <w:r>
              <w:rPr>
                <w:rFonts w:hint="eastAsia" w:ascii="Times New Roman" w:hAnsi="Times New Roman"/>
                <w:color w:val="auto"/>
                <w:szCs w:val="21"/>
                <w:lang w:eastAsia="zh-CN"/>
              </w:rPr>
              <w:t>，</w:t>
            </w:r>
            <w:r>
              <w:rPr>
                <w:rFonts w:hint="eastAsia" w:ascii="Times New Roman" w:hAnsi="Times New Roman"/>
                <w:color w:val="auto"/>
                <w:szCs w:val="21"/>
              </w:rPr>
              <w:t>与台阶坡顶线保持了3m以上足够的安全距离。</w:t>
            </w:r>
          </w:p>
        </w:tc>
        <w:tc>
          <w:tcPr>
            <w:tcW w:w="0" w:type="auto"/>
            <w:noWrap w:val="0"/>
            <w:vAlign w:val="center"/>
          </w:tcPr>
          <w:p w14:paraId="51A5000A">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221C5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1BC651B">
            <w:pPr>
              <w:snapToGrid w:val="0"/>
              <w:jc w:val="center"/>
              <w:rPr>
                <w:rFonts w:hint="eastAsia"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2</w:t>
            </w:r>
          </w:p>
        </w:tc>
        <w:tc>
          <w:tcPr>
            <w:tcW w:w="0" w:type="auto"/>
            <w:noWrap w:val="0"/>
            <w:vAlign w:val="center"/>
          </w:tcPr>
          <w:p w14:paraId="01820B4E">
            <w:pPr>
              <w:snapToGrid w:val="0"/>
              <w:jc w:val="center"/>
              <w:rPr>
                <w:rFonts w:hint="eastAsia" w:ascii="Times New Roman" w:hAnsi="Times New Roman"/>
                <w:color w:val="auto"/>
                <w:szCs w:val="21"/>
              </w:rPr>
            </w:pPr>
            <w:r>
              <w:rPr>
                <w:rFonts w:hint="eastAsia" w:ascii="Times New Roman" w:hAnsi="Times New Roman"/>
                <w:color w:val="auto"/>
                <w:szCs w:val="21"/>
              </w:rPr>
              <w:t>穿凿第一排孔时，钻机的纵轴线与台阶坡顶线的夹角不应小于45°。</w:t>
            </w:r>
          </w:p>
        </w:tc>
        <w:tc>
          <w:tcPr>
            <w:tcW w:w="0" w:type="auto"/>
            <w:noWrap w:val="0"/>
            <w:vAlign w:val="center"/>
          </w:tcPr>
          <w:p w14:paraId="1A6F0D5A">
            <w:pPr>
              <w:snapToGrid w:val="0"/>
              <w:jc w:val="center"/>
              <w:rPr>
                <w:rFonts w:hint="eastAsia" w:ascii="Times New Roman" w:hAnsi="Times New Roman"/>
                <w:color w:val="auto"/>
                <w:szCs w:val="21"/>
              </w:rPr>
            </w:pPr>
            <w:r>
              <w:rPr>
                <w:rFonts w:hint="eastAsia" w:ascii="Times New Roman" w:hAnsi="Times New Roman"/>
                <w:color w:val="auto"/>
                <w:szCs w:val="21"/>
              </w:rPr>
              <w:t>《GB16423-2020》之5.2.2.1条</w:t>
            </w:r>
          </w:p>
        </w:tc>
        <w:tc>
          <w:tcPr>
            <w:tcW w:w="0" w:type="auto"/>
            <w:noWrap w:val="0"/>
            <w:vAlign w:val="center"/>
          </w:tcPr>
          <w:p w14:paraId="6EC6F81E">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4F741192">
            <w:pPr>
              <w:snapToGrid w:val="0"/>
              <w:jc w:val="center"/>
              <w:rPr>
                <w:rFonts w:hint="eastAsia" w:ascii="Times New Roman" w:hAnsi="Times New Roman"/>
                <w:color w:val="auto"/>
                <w:szCs w:val="21"/>
              </w:rPr>
            </w:pPr>
            <w:r>
              <w:rPr>
                <w:rFonts w:hint="eastAsia" w:ascii="Times New Roman" w:hAnsi="Times New Roman"/>
                <w:color w:val="auto"/>
                <w:szCs w:val="21"/>
              </w:rPr>
              <w:t>穿凿第一排孔时，钻机的纵轴线与台阶坡顶线的夹角大于45°。</w:t>
            </w:r>
          </w:p>
        </w:tc>
        <w:tc>
          <w:tcPr>
            <w:tcW w:w="0" w:type="auto"/>
            <w:noWrap w:val="0"/>
            <w:vAlign w:val="center"/>
          </w:tcPr>
          <w:p w14:paraId="4E6A213F">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3430B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191B66F">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3</w:t>
            </w:r>
          </w:p>
        </w:tc>
        <w:tc>
          <w:tcPr>
            <w:tcW w:w="0" w:type="auto"/>
            <w:noWrap w:val="0"/>
            <w:vAlign w:val="center"/>
          </w:tcPr>
          <w:p w14:paraId="4D99EAE4">
            <w:pPr>
              <w:snapToGrid w:val="0"/>
              <w:jc w:val="center"/>
              <w:rPr>
                <w:rFonts w:hint="eastAsia" w:ascii="Times New Roman" w:hAnsi="Times New Roman"/>
                <w:color w:val="auto"/>
                <w:szCs w:val="21"/>
              </w:rPr>
            </w:pPr>
            <w:r>
              <w:rPr>
                <w:rFonts w:hint="eastAsia" w:ascii="Times New Roman" w:hAnsi="Times New Roman"/>
                <w:color w:val="auto"/>
                <w:szCs w:val="21"/>
              </w:rPr>
              <w:t>钻机行走前司机应先鸣笛，确认履带前后无人。</w:t>
            </w:r>
          </w:p>
        </w:tc>
        <w:tc>
          <w:tcPr>
            <w:tcW w:w="0" w:type="auto"/>
            <w:noWrap w:val="0"/>
            <w:vAlign w:val="center"/>
          </w:tcPr>
          <w:p w14:paraId="64AB5F3B">
            <w:pPr>
              <w:snapToGrid w:val="0"/>
              <w:jc w:val="center"/>
              <w:rPr>
                <w:rFonts w:hint="eastAsia" w:ascii="Times New Roman" w:hAnsi="Times New Roman"/>
                <w:color w:val="auto"/>
                <w:szCs w:val="21"/>
              </w:rPr>
            </w:pPr>
            <w:r>
              <w:rPr>
                <w:rFonts w:hint="eastAsia" w:ascii="Times New Roman" w:hAnsi="Times New Roman"/>
                <w:color w:val="auto"/>
                <w:szCs w:val="21"/>
              </w:rPr>
              <w:t>《GB16423-2020》之5.2.2.2条</w:t>
            </w:r>
          </w:p>
        </w:tc>
        <w:tc>
          <w:tcPr>
            <w:tcW w:w="0" w:type="auto"/>
            <w:noWrap w:val="0"/>
            <w:vAlign w:val="center"/>
          </w:tcPr>
          <w:p w14:paraId="373A44B2">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008D6256">
            <w:pPr>
              <w:snapToGrid w:val="0"/>
              <w:jc w:val="center"/>
              <w:rPr>
                <w:rFonts w:hint="eastAsia" w:ascii="Times New Roman" w:hAnsi="Times New Roman"/>
                <w:color w:val="auto"/>
                <w:szCs w:val="21"/>
              </w:rPr>
            </w:pPr>
            <w:r>
              <w:rPr>
                <w:rFonts w:hint="eastAsia" w:ascii="Times New Roman" w:hAnsi="Times New Roman"/>
                <w:color w:val="auto"/>
                <w:szCs w:val="21"/>
              </w:rPr>
              <w:t>移动钻机时，司机能做到先鸣笛，确认履带前后无人后在移动。</w:t>
            </w:r>
          </w:p>
        </w:tc>
        <w:tc>
          <w:tcPr>
            <w:tcW w:w="0" w:type="auto"/>
            <w:noWrap w:val="0"/>
            <w:vAlign w:val="center"/>
          </w:tcPr>
          <w:p w14:paraId="6643F7C8">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2E4DD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634EBBD">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4</w:t>
            </w:r>
          </w:p>
        </w:tc>
        <w:tc>
          <w:tcPr>
            <w:tcW w:w="0" w:type="auto"/>
            <w:noWrap w:val="0"/>
            <w:vAlign w:val="center"/>
          </w:tcPr>
          <w:p w14:paraId="103D8472">
            <w:pPr>
              <w:snapToGrid w:val="0"/>
              <w:jc w:val="center"/>
              <w:rPr>
                <w:rFonts w:hint="eastAsia" w:ascii="Times New Roman" w:hAnsi="Times New Roman"/>
                <w:color w:val="auto"/>
                <w:szCs w:val="21"/>
              </w:rPr>
            </w:pPr>
            <w:r>
              <w:rPr>
                <w:rFonts w:hint="eastAsia" w:ascii="Times New Roman" w:hAnsi="Times New Roman"/>
                <w:color w:val="auto"/>
                <w:szCs w:val="21"/>
              </w:rPr>
              <w:t>钻机不应在松软地面或者倾角超过15°的坡面上行走。</w:t>
            </w:r>
          </w:p>
        </w:tc>
        <w:tc>
          <w:tcPr>
            <w:tcW w:w="0" w:type="auto"/>
            <w:noWrap w:val="0"/>
            <w:vAlign w:val="center"/>
          </w:tcPr>
          <w:p w14:paraId="5E58071C">
            <w:pPr>
              <w:snapToGrid w:val="0"/>
              <w:jc w:val="center"/>
              <w:rPr>
                <w:rFonts w:hint="eastAsia" w:ascii="Times New Roman" w:hAnsi="Times New Roman"/>
                <w:color w:val="auto"/>
                <w:szCs w:val="21"/>
              </w:rPr>
            </w:pPr>
            <w:r>
              <w:rPr>
                <w:rFonts w:hint="eastAsia" w:ascii="Times New Roman" w:hAnsi="Times New Roman"/>
                <w:color w:val="auto"/>
                <w:szCs w:val="21"/>
              </w:rPr>
              <w:t>《GB16423-2020》之5.2.2.2条</w:t>
            </w:r>
          </w:p>
        </w:tc>
        <w:tc>
          <w:tcPr>
            <w:tcW w:w="0" w:type="auto"/>
            <w:noWrap w:val="0"/>
            <w:vAlign w:val="center"/>
          </w:tcPr>
          <w:p w14:paraId="61EA98C7">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5DCC00E1">
            <w:pPr>
              <w:snapToGrid w:val="0"/>
              <w:jc w:val="center"/>
              <w:rPr>
                <w:rFonts w:hint="eastAsia" w:ascii="Times New Roman" w:hAnsi="Times New Roman"/>
                <w:color w:val="auto"/>
                <w:szCs w:val="21"/>
              </w:rPr>
            </w:pPr>
            <w:r>
              <w:rPr>
                <w:rFonts w:hint="eastAsia" w:ascii="Times New Roman" w:hAnsi="Times New Roman"/>
                <w:color w:val="auto"/>
                <w:szCs w:val="21"/>
              </w:rPr>
              <w:t>未发现钻机在松软地面或者倾角超过15°的坡面上行走。</w:t>
            </w:r>
          </w:p>
        </w:tc>
        <w:tc>
          <w:tcPr>
            <w:tcW w:w="0" w:type="auto"/>
            <w:noWrap w:val="0"/>
            <w:vAlign w:val="center"/>
          </w:tcPr>
          <w:p w14:paraId="6353F2E9">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07C0D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B6FA5B5">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5</w:t>
            </w:r>
          </w:p>
        </w:tc>
        <w:tc>
          <w:tcPr>
            <w:tcW w:w="0" w:type="auto"/>
            <w:noWrap w:val="0"/>
            <w:vAlign w:val="center"/>
          </w:tcPr>
          <w:p w14:paraId="37C73055">
            <w:pPr>
              <w:snapToGrid w:val="0"/>
              <w:jc w:val="center"/>
              <w:rPr>
                <w:rFonts w:hint="eastAsia" w:ascii="Times New Roman" w:hAnsi="Times New Roman"/>
                <w:color w:val="auto"/>
                <w:szCs w:val="21"/>
              </w:rPr>
            </w:pPr>
            <w:r>
              <w:rPr>
                <w:rFonts w:hint="eastAsia" w:ascii="Times New Roman" w:hAnsi="Times New Roman"/>
                <w:color w:val="auto"/>
                <w:szCs w:val="21"/>
              </w:rPr>
              <w:t>钻机不应90°急转弯</w:t>
            </w:r>
          </w:p>
        </w:tc>
        <w:tc>
          <w:tcPr>
            <w:tcW w:w="0" w:type="auto"/>
            <w:noWrap w:val="0"/>
            <w:vAlign w:val="center"/>
          </w:tcPr>
          <w:p w14:paraId="596882DD">
            <w:pPr>
              <w:snapToGrid w:val="0"/>
              <w:jc w:val="center"/>
              <w:rPr>
                <w:rFonts w:hint="eastAsia" w:ascii="Times New Roman" w:hAnsi="Times New Roman"/>
                <w:color w:val="auto"/>
                <w:szCs w:val="21"/>
              </w:rPr>
            </w:pPr>
            <w:r>
              <w:rPr>
                <w:rFonts w:hint="eastAsia" w:ascii="Times New Roman" w:hAnsi="Times New Roman"/>
                <w:color w:val="auto"/>
                <w:szCs w:val="21"/>
              </w:rPr>
              <w:t>《GB16423-2020》之5.2.2.2条</w:t>
            </w:r>
          </w:p>
        </w:tc>
        <w:tc>
          <w:tcPr>
            <w:tcW w:w="0" w:type="auto"/>
            <w:noWrap w:val="0"/>
            <w:vAlign w:val="center"/>
          </w:tcPr>
          <w:p w14:paraId="762E886F">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546A1D74">
            <w:pPr>
              <w:snapToGrid w:val="0"/>
              <w:jc w:val="center"/>
              <w:rPr>
                <w:rFonts w:hint="eastAsia" w:ascii="Times New Roman" w:hAnsi="Times New Roman"/>
                <w:color w:val="auto"/>
                <w:szCs w:val="21"/>
              </w:rPr>
            </w:pPr>
            <w:r>
              <w:rPr>
                <w:rFonts w:hint="eastAsia" w:ascii="Times New Roman" w:hAnsi="Times New Roman"/>
                <w:color w:val="auto"/>
                <w:szCs w:val="21"/>
              </w:rPr>
              <w:t>未发现钻机90°急转弯。</w:t>
            </w:r>
          </w:p>
        </w:tc>
        <w:tc>
          <w:tcPr>
            <w:tcW w:w="0" w:type="auto"/>
            <w:noWrap w:val="0"/>
            <w:vAlign w:val="center"/>
          </w:tcPr>
          <w:p w14:paraId="779A320D">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2046F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317F72C">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6</w:t>
            </w:r>
          </w:p>
        </w:tc>
        <w:tc>
          <w:tcPr>
            <w:tcW w:w="0" w:type="auto"/>
            <w:noWrap w:val="0"/>
            <w:vAlign w:val="center"/>
          </w:tcPr>
          <w:p w14:paraId="21C3736F">
            <w:pPr>
              <w:snapToGrid w:val="0"/>
              <w:jc w:val="center"/>
              <w:rPr>
                <w:rFonts w:hint="eastAsia" w:ascii="Times New Roman" w:hAnsi="Times New Roman"/>
                <w:color w:val="auto"/>
                <w:szCs w:val="21"/>
              </w:rPr>
            </w:pPr>
            <w:r>
              <w:rPr>
                <w:rFonts w:hint="eastAsia" w:ascii="Times New Roman" w:hAnsi="Times New Roman"/>
                <w:color w:val="auto"/>
                <w:szCs w:val="21"/>
              </w:rPr>
              <w:t>移动钻机时：钻机不应在斜坡上长时间停留。</w:t>
            </w:r>
          </w:p>
        </w:tc>
        <w:tc>
          <w:tcPr>
            <w:tcW w:w="0" w:type="auto"/>
            <w:noWrap w:val="0"/>
            <w:vAlign w:val="center"/>
          </w:tcPr>
          <w:p w14:paraId="1D212B8F">
            <w:pPr>
              <w:snapToGrid w:val="0"/>
              <w:jc w:val="center"/>
              <w:rPr>
                <w:rFonts w:hint="eastAsia" w:ascii="Times New Roman" w:hAnsi="Times New Roman"/>
                <w:color w:val="auto"/>
                <w:szCs w:val="21"/>
              </w:rPr>
            </w:pPr>
            <w:r>
              <w:rPr>
                <w:rFonts w:hint="eastAsia" w:ascii="Times New Roman" w:hAnsi="Times New Roman"/>
                <w:color w:val="auto"/>
                <w:szCs w:val="21"/>
              </w:rPr>
              <w:t>《GB16423-2020》之5.2.2.2条</w:t>
            </w:r>
          </w:p>
        </w:tc>
        <w:tc>
          <w:tcPr>
            <w:tcW w:w="0" w:type="auto"/>
            <w:noWrap w:val="0"/>
            <w:vAlign w:val="center"/>
          </w:tcPr>
          <w:p w14:paraId="41A34888">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54190985">
            <w:pPr>
              <w:snapToGrid w:val="0"/>
              <w:jc w:val="center"/>
              <w:rPr>
                <w:rFonts w:hint="eastAsia" w:ascii="Times New Roman" w:hAnsi="Times New Roman"/>
                <w:color w:val="auto"/>
                <w:szCs w:val="21"/>
              </w:rPr>
            </w:pPr>
            <w:r>
              <w:rPr>
                <w:rFonts w:hint="eastAsia" w:ascii="Times New Roman" w:hAnsi="Times New Roman"/>
                <w:color w:val="auto"/>
                <w:szCs w:val="21"/>
              </w:rPr>
              <w:t>钻机在移动时未在斜坡上长时间停留。</w:t>
            </w:r>
          </w:p>
        </w:tc>
        <w:tc>
          <w:tcPr>
            <w:tcW w:w="0" w:type="auto"/>
            <w:noWrap w:val="0"/>
            <w:vAlign w:val="center"/>
          </w:tcPr>
          <w:p w14:paraId="6704C70B">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3B889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BCC1E18">
            <w:pPr>
              <w:snapToGrid w:val="0"/>
              <w:jc w:val="center"/>
              <w:rPr>
                <w:rFonts w:hint="eastAsia"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7</w:t>
            </w:r>
          </w:p>
        </w:tc>
        <w:tc>
          <w:tcPr>
            <w:tcW w:w="0" w:type="auto"/>
            <w:noWrap w:val="0"/>
            <w:vAlign w:val="center"/>
          </w:tcPr>
          <w:p w14:paraId="169CD064">
            <w:pPr>
              <w:snapToGrid w:val="0"/>
              <w:jc w:val="center"/>
              <w:rPr>
                <w:rFonts w:hint="eastAsia" w:ascii="Times New Roman" w:hAnsi="Times New Roman"/>
                <w:color w:val="auto"/>
                <w:szCs w:val="21"/>
              </w:rPr>
            </w:pPr>
            <w:r>
              <w:rPr>
                <w:rFonts w:hint="eastAsia" w:ascii="Times New Roman" w:hAnsi="Times New Roman"/>
                <w:color w:val="auto"/>
                <w:szCs w:val="21"/>
              </w:rPr>
              <w:t>遇到影响安全的恶劣天气时不应上钻架顶作业。</w:t>
            </w:r>
          </w:p>
        </w:tc>
        <w:tc>
          <w:tcPr>
            <w:tcW w:w="0" w:type="auto"/>
            <w:noWrap w:val="0"/>
            <w:vAlign w:val="center"/>
          </w:tcPr>
          <w:p w14:paraId="6FC46988">
            <w:pPr>
              <w:snapToGrid w:val="0"/>
              <w:jc w:val="center"/>
              <w:rPr>
                <w:rFonts w:hint="eastAsia" w:ascii="Times New Roman" w:hAnsi="Times New Roman"/>
                <w:color w:val="auto"/>
                <w:szCs w:val="21"/>
              </w:rPr>
            </w:pPr>
            <w:r>
              <w:rPr>
                <w:rFonts w:hint="eastAsia" w:ascii="Times New Roman" w:hAnsi="Times New Roman"/>
                <w:color w:val="auto"/>
                <w:szCs w:val="21"/>
              </w:rPr>
              <w:t>《GB16423-2020》之5.2.2.3条</w:t>
            </w:r>
          </w:p>
        </w:tc>
        <w:tc>
          <w:tcPr>
            <w:tcW w:w="0" w:type="auto"/>
            <w:noWrap w:val="0"/>
            <w:vAlign w:val="center"/>
          </w:tcPr>
          <w:p w14:paraId="1C8F5C84">
            <w:pPr>
              <w:snapToGrid w:val="0"/>
              <w:jc w:val="center"/>
              <w:rPr>
                <w:rFonts w:hint="eastAsia" w:ascii="Times New Roman" w:hAnsi="Times New Roman"/>
                <w:color w:val="auto"/>
                <w:szCs w:val="21"/>
              </w:rPr>
            </w:pPr>
            <w:r>
              <w:rPr>
                <w:rFonts w:hint="eastAsia" w:ascii="Times New Roman" w:hAnsi="Times New Roman"/>
                <w:color w:val="auto"/>
                <w:szCs w:val="21"/>
              </w:rPr>
              <w:t>现场勘查</w:t>
            </w:r>
          </w:p>
        </w:tc>
        <w:tc>
          <w:tcPr>
            <w:tcW w:w="0" w:type="auto"/>
            <w:noWrap w:val="0"/>
            <w:vAlign w:val="center"/>
          </w:tcPr>
          <w:p w14:paraId="76254C41">
            <w:pPr>
              <w:snapToGrid w:val="0"/>
              <w:jc w:val="center"/>
              <w:rPr>
                <w:rFonts w:hint="eastAsia" w:ascii="Times New Roman" w:hAnsi="Times New Roman"/>
                <w:color w:val="auto"/>
                <w:szCs w:val="21"/>
              </w:rPr>
            </w:pPr>
            <w:r>
              <w:rPr>
                <w:rFonts w:hint="eastAsia" w:ascii="Times New Roman" w:hAnsi="Times New Roman"/>
                <w:color w:val="auto"/>
                <w:szCs w:val="21"/>
              </w:rPr>
              <w:t>遇到影响安全的恶劣天气时作业人员未上钻架顶作业。</w:t>
            </w:r>
          </w:p>
        </w:tc>
        <w:tc>
          <w:tcPr>
            <w:tcW w:w="0" w:type="auto"/>
            <w:noWrap w:val="0"/>
            <w:vAlign w:val="center"/>
          </w:tcPr>
          <w:p w14:paraId="6496E4FB">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3B53F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B744368">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8</w:t>
            </w:r>
          </w:p>
        </w:tc>
        <w:tc>
          <w:tcPr>
            <w:tcW w:w="0" w:type="auto"/>
            <w:noWrap w:val="0"/>
            <w:vAlign w:val="center"/>
          </w:tcPr>
          <w:p w14:paraId="1B6EC65E">
            <w:pPr>
              <w:snapToGrid w:val="0"/>
              <w:jc w:val="center"/>
              <w:rPr>
                <w:rFonts w:hint="eastAsia" w:ascii="Times New Roman" w:hAnsi="Times New Roman"/>
                <w:color w:val="auto"/>
                <w:szCs w:val="21"/>
              </w:rPr>
            </w:pPr>
            <w:r>
              <w:rPr>
                <w:rFonts w:hint="eastAsia" w:ascii="Times New Roman" w:hAnsi="Times New Roman"/>
                <w:color w:val="auto"/>
                <w:szCs w:val="21"/>
              </w:rPr>
              <w:t>金属非金属露天开采项目自2015年2月13日起半年后禁止采用未安装捕尘装置的干式凿岩作业。</w:t>
            </w:r>
          </w:p>
        </w:tc>
        <w:tc>
          <w:tcPr>
            <w:tcW w:w="0" w:type="auto"/>
            <w:noWrap w:val="0"/>
            <w:vAlign w:val="center"/>
          </w:tcPr>
          <w:p w14:paraId="5CF822E2">
            <w:pPr>
              <w:snapToGrid w:val="0"/>
              <w:jc w:val="center"/>
              <w:rPr>
                <w:rFonts w:hint="eastAsia" w:ascii="Times New Roman" w:hAnsi="Times New Roman"/>
                <w:color w:val="auto"/>
                <w:szCs w:val="21"/>
              </w:rPr>
            </w:pPr>
            <w:r>
              <w:rPr>
                <w:rFonts w:hint="eastAsia" w:ascii="Times New Roman" w:hAnsi="Times New Roman"/>
                <w:color w:val="auto"/>
                <w:szCs w:val="21"/>
              </w:rPr>
              <w:t>《安监总管一〔2015〕13号》</w:t>
            </w:r>
          </w:p>
        </w:tc>
        <w:tc>
          <w:tcPr>
            <w:tcW w:w="0" w:type="auto"/>
            <w:noWrap w:val="0"/>
            <w:vAlign w:val="center"/>
          </w:tcPr>
          <w:p w14:paraId="3941AFC9">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58BAA6BB">
            <w:pPr>
              <w:snapToGrid w:val="0"/>
              <w:jc w:val="center"/>
              <w:rPr>
                <w:rFonts w:hint="eastAsia" w:ascii="Times New Roman" w:hAnsi="Times New Roman"/>
                <w:color w:val="auto"/>
                <w:szCs w:val="21"/>
              </w:rPr>
            </w:pPr>
            <w:r>
              <w:rPr>
                <w:rFonts w:hint="eastAsia" w:ascii="Times New Roman" w:hAnsi="Times New Roman"/>
                <w:color w:val="auto"/>
                <w:szCs w:val="21"/>
              </w:rPr>
              <w:t>潜孔钻自带捕尘装置。</w:t>
            </w:r>
          </w:p>
        </w:tc>
        <w:tc>
          <w:tcPr>
            <w:tcW w:w="0" w:type="auto"/>
            <w:noWrap w:val="0"/>
            <w:vAlign w:val="center"/>
          </w:tcPr>
          <w:p w14:paraId="3C08D675">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69237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3978110">
            <w:pPr>
              <w:snapToGrid w:val="0"/>
              <w:jc w:val="center"/>
              <w:rPr>
                <w:rFonts w:hint="eastAsia" w:ascii="Times New Roman" w:hAnsi="Times New Roman" w:eastAsiaTheme="minorEastAsia"/>
                <w:color w:val="auto"/>
                <w:szCs w:val="21"/>
                <w:lang w:eastAsia="zh-CN"/>
              </w:rPr>
            </w:pPr>
            <w:r>
              <w:rPr>
                <w:rFonts w:hint="eastAsia" w:ascii="Times New Roman" w:hAnsi="Times New Roman"/>
                <w:color w:val="auto"/>
                <w:szCs w:val="21"/>
                <w:lang w:val="en-US" w:eastAsia="zh-CN"/>
              </w:rPr>
              <w:t>9</w:t>
            </w:r>
          </w:p>
        </w:tc>
        <w:tc>
          <w:tcPr>
            <w:tcW w:w="0" w:type="auto"/>
            <w:noWrap w:val="0"/>
            <w:vAlign w:val="center"/>
          </w:tcPr>
          <w:p w14:paraId="178198C5">
            <w:pPr>
              <w:snapToGrid w:val="0"/>
              <w:jc w:val="center"/>
              <w:rPr>
                <w:rFonts w:hint="eastAsia" w:ascii="Times New Roman" w:hAnsi="Times New Roman"/>
                <w:color w:val="auto"/>
                <w:szCs w:val="21"/>
              </w:rPr>
            </w:pPr>
            <w:r>
              <w:rPr>
                <w:rFonts w:hint="eastAsia" w:ascii="Times New Roman" w:hAnsi="Times New Roman"/>
                <w:color w:val="auto"/>
                <w:szCs w:val="21"/>
              </w:rPr>
              <w:t>钻机移动时，前方应有人引导和监护。</w:t>
            </w:r>
          </w:p>
        </w:tc>
        <w:tc>
          <w:tcPr>
            <w:tcW w:w="0" w:type="auto"/>
            <w:noWrap w:val="0"/>
            <w:vAlign w:val="center"/>
          </w:tcPr>
          <w:p w14:paraId="159400B3">
            <w:pPr>
              <w:snapToGrid w:val="0"/>
              <w:jc w:val="center"/>
              <w:rPr>
                <w:rFonts w:hint="eastAsia" w:ascii="Times New Roman" w:hAnsi="Times New Roman"/>
                <w:color w:val="auto"/>
                <w:szCs w:val="21"/>
              </w:rPr>
            </w:pPr>
            <w:r>
              <w:rPr>
                <w:rFonts w:hint="eastAsia" w:ascii="Times New Roman" w:hAnsi="Times New Roman"/>
                <w:color w:val="auto"/>
                <w:szCs w:val="21"/>
              </w:rPr>
              <w:t>《GB16423-2020》之5.2.2.2条</w:t>
            </w:r>
          </w:p>
        </w:tc>
        <w:tc>
          <w:tcPr>
            <w:tcW w:w="0" w:type="auto"/>
            <w:noWrap w:val="0"/>
            <w:vAlign w:val="center"/>
          </w:tcPr>
          <w:p w14:paraId="057FE443">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1278349B">
            <w:pPr>
              <w:snapToGrid w:val="0"/>
              <w:jc w:val="center"/>
              <w:rPr>
                <w:rFonts w:hint="eastAsia" w:ascii="Times New Roman" w:hAnsi="Times New Roman"/>
                <w:color w:val="auto"/>
                <w:szCs w:val="21"/>
              </w:rPr>
            </w:pPr>
            <w:r>
              <w:rPr>
                <w:rFonts w:hint="eastAsia" w:ascii="Times New Roman" w:hAnsi="Times New Roman"/>
                <w:color w:val="auto"/>
                <w:szCs w:val="21"/>
              </w:rPr>
              <w:t>钻机移动时，钻机周围专人进行引导和监护。</w:t>
            </w:r>
          </w:p>
        </w:tc>
        <w:tc>
          <w:tcPr>
            <w:tcW w:w="0" w:type="auto"/>
            <w:noWrap w:val="0"/>
            <w:vAlign w:val="center"/>
          </w:tcPr>
          <w:p w14:paraId="304E2F76">
            <w:pPr>
              <w:snapToGrid w:val="0"/>
              <w:jc w:val="center"/>
              <w:rPr>
                <w:rFonts w:hint="eastAsia" w:ascii="Times New Roman" w:hAnsi="Times New Roman"/>
                <w:color w:val="auto"/>
                <w:szCs w:val="21"/>
              </w:rPr>
            </w:pPr>
            <w:r>
              <w:rPr>
                <w:rFonts w:hint="eastAsia" w:ascii="Times New Roman" w:hAnsi="Times New Roman"/>
                <w:color w:val="auto"/>
                <w:szCs w:val="21"/>
              </w:rPr>
              <w:t>符合</w:t>
            </w:r>
          </w:p>
          <w:p w14:paraId="2FC83C5C">
            <w:pPr>
              <w:snapToGrid w:val="0"/>
              <w:jc w:val="center"/>
              <w:rPr>
                <w:rFonts w:hint="eastAsia" w:ascii="Times New Roman" w:hAnsi="Times New Roman"/>
                <w:color w:val="auto"/>
                <w:szCs w:val="21"/>
              </w:rPr>
            </w:pPr>
            <w:r>
              <w:rPr>
                <w:rFonts w:hint="eastAsia" w:ascii="Times New Roman" w:hAnsi="Times New Roman"/>
                <w:color w:val="auto"/>
                <w:szCs w:val="21"/>
              </w:rPr>
              <w:t>要求</w:t>
            </w:r>
          </w:p>
        </w:tc>
      </w:tr>
      <w:tr w14:paraId="2C0C6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C79F1C6">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10</w:t>
            </w:r>
          </w:p>
        </w:tc>
        <w:tc>
          <w:tcPr>
            <w:tcW w:w="0" w:type="auto"/>
            <w:noWrap w:val="0"/>
            <w:vAlign w:val="center"/>
          </w:tcPr>
          <w:p w14:paraId="0835686D">
            <w:pPr>
              <w:snapToGrid w:val="0"/>
              <w:jc w:val="center"/>
              <w:rPr>
                <w:rFonts w:hint="eastAsia" w:ascii="Times New Roman" w:hAnsi="Times New Roman"/>
                <w:color w:val="auto"/>
                <w:szCs w:val="21"/>
              </w:rPr>
            </w:pPr>
            <w:r>
              <w:rPr>
                <w:rFonts w:hint="eastAsia" w:ascii="Times New Roman" w:hAnsi="Times New Roman"/>
                <w:color w:val="auto"/>
                <w:szCs w:val="21"/>
              </w:rPr>
              <w:t>从炸药运入采场开始，应划定运输警戒区，警戒区内应禁止烟火；搬运爆破器材应轻拿轻放，不应冲撞起爆药包。</w:t>
            </w:r>
          </w:p>
        </w:tc>
        <w:tc>
          <w:tcPr>
            <w:tcW w:w="0" w:type="auto"/>
            <w:noWrap w:val="0"/>
            <w:vAlign w:val="center"/>
          </w:tcPr>
          <w:p w14:paraId="4BA1691A">
            <w:pPr>
              <w:snapToGrid w:val="0"/>
              <w:jc w:val="center"/>
              <w:rPr>
                <w:rFonts w:hint="eastAsia" w:ascii="Times New Roman" w:hAnsi="Times New Roman"/>
                <w:color w:val="auto"/>
                <w:szCs w:val="21"/>
              </w:rPr>
            </w:pPr>
            <w:r>
              <w:rPr>
                <w:rFonts w:hint="eastAsia" w:ascii="Times New Roman" w:hAnsi="Times New Roman"/>
                <w:color w:val="auto"/>
                <w:szCs w:val="21"/>
              </w:rPr>
              <w:t>《GB6722-2014》之4.10.2条</w:t>
            </w:r>
          </w:p>
        </w:tc>
        <w:tc>
          <w:tcPr>
            <w:tcW w:w="0" w:type="auto"/>
            <w:noWrap w:val="0"/>
            <w:vAlign w:val="center"/>
          </w:tcPr>
          <w:p w14:paraId="2630709C">
            <w:pPr>
              <w:snapToGrid w:val="0"/>
              <w:jc w:val="center"/>
              <w:rPr>
                <w:rFonts w:hint="eastAsia" w:ascii="Times New Roman" w:hAnsi="Times New Roman"/>
                <w:color w:val="auto"/>
                <w:szCs w:val="21"/>
              </w:rPr>
            </w:pPr>
            <w:r>
              <w:rPr>
                <w:rFonts w:hint="eastAsia" w:ascii="Times New Roman" w:hAnsi="Times New Roman"/>
                <w:color w:val="auto"/>
                <w:szCs w:val="21"/>
              </w:rPr>
              <w:t>现场勘查</w:t>
            </w:r>
          </w:p>
        </w:tc>
        <w:tc>
          <w:tcPr>
            <w:tcW w:w="0" w:type="auto"/>
            <w:noWrap w:val="0"/>
            <w:vAlign w:val="center"/>
          </w:tcPr>
          <w:p w14:paraId="07BFBDCD">
            <w:pPr>
              <w:snapToGrid w:val="0"/>
              <w:jc w:val="center"/>
              <w:rPr>
                <w:rFonts w:hint="eastAsia" w:ascii="Times New Roman" w:hAnsi="Times New Roman"/>
                <w:color w:val="auto"/>
                <w:szCs w:val="21"/>
              </w:rPr>
            </w:pPr>
            <w:r>
              <w:rPr>
                <w:rFonts w:hint="eastAsia" w:ascii="Times New Roman" w:hAnsi="Times New Roman"/>
                <w:color w:val="auto"/>
                <w:szCs w:val="21"/>
              </w:rPr>
              <w:t>爆破作业人员能够按照有关规程运输、搬运爆破器材。</w:t>
            </w:r>
          </w:p>
        </w:tc>
        <w:tc>
          <w:tcPr>
            <w:tcW w:w="0" w:type="auto"/>
            <w:noWrap w:val="0"/>
            <w:vAlign w:val="center"/>
          </w:tcPr>
          <w:p w14:paraId="0C15F284">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413E4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A5EE5CC">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11</w:t>
            </w:r>
          </w:p>
        </w:tc>
        <w:tc>
          <w:tcPr>
            <w:tcW w:w="0" w:type="auto"/>
            <w:noWrap w:val="0"/>
            <w:vAlign w:val="center"/>
          </w:tcPr>
          <w:p w14:paraId="3B7C1121">
            <w:pPr>
              <w:snapToGrid w:val="0"/>
              <w:jc w:val="center"/>
              <w:rPr>
                <w:rFonts w:hint="eastAsia" w:ascii="Times New Roman" w:hAnsi="Times New Roman"/>
                <w:color w:val="auto"/>
                <w:szCs w:val="21"/>
              </w:rPr>
            </w:pPr>
            <w:r>
              <w:rPr>
                <w:rFonts w:hint="eastAsia" w:ascii="Times New Roman" w:hAnsi="Times New Roman"/>
                <w:color w:val="auto"/>
                <w:szCs w:val="21"/>
              </w:rPr>
              <w:t>不应用翻斗车、自卸汽车、拖车、自行车、摩托车和畜力车运输爆破器材。</w:t>
            </w:r>
          </w:p>
        </w:tc>
        <w:tc>
          <w:tcPr>
            <w:tcW w:w="0" w:type="auto"/>
            <w:noWrap w:val="0"/>
            <w:vAlign w:val="center"/>
          </w:tcPr>
          <w:p w14:paraId="496998DD">
            <w:pPr>
              <w:snapToGrid w:val="0"/>
              <w:jc w:val="center"/>
              <w:rPr>
                <w:rFonts w:hint="eastAsia" w:ascii="Times New Roman" w:hAnsi="Times New Roman"/>
                <w:color w:val="auto"/>
                <w:szCs w:val="21"/>
              </w:rPr>
            </w:pPr>
            <w:r>
              <w:rPr>
                <w:rFonts w:hint="eastAsia" w:ascii="Times New Roman" w:hAnsi="Times New Roman"/>
                <w:color w:val="auto"/>
                <w:szCs w:val="21"/>
              </w:rPr>
              <w:t>《GB6722-2014》之7.3.1.4条</w:t>
            </w:r>
          </w:p>
        </w:tc>
        <w:tc>
          <w:tcPr>
            <w:tcW w:w="0" w:type="auto"/>
            <w:noWrap w:val="0"/>
            <w:vAlign w:val="center"/>
          </w:tcPr>
          <w:p w14:paraId="27DF6EB0">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205F10EA">
            <w:pPr>
              <w:snapToGrid w:val="0"/>
              <w:jc w:val="center"/>
              <w:rPr>
                <w:rFonts w:hint="eastAsia" w:ascii="Times New Roman" w:hAnsi="Times New Roman"/>
                <w:color w:val="auto"/>
                <w:szCs w:val="21"/>
              </w:rPr>
            </w:pPr>
            <w:r>
              <w:rPr>
                <w:rFonts w:hint="eastAsia" w:ascii="Times New Roman" w:hAnsi="Times New Roman"/>
                <w:color w:val="auto"/>
                <w:szCs w:val="21"/>
              </w:rPr>
              <w:t>爆破器材由专用运送车进行配送。</w:t>
            </w:r>
          </w:p>
        </w:tc>
        <w:tc>
          <w:tcPr>
            <w:tcW w:w="0" w:type="auto"/>
            <w:noWrap w:val="0"/>
            <w:vAlign w:val="center"/>
          </w:tcPr>
          <w:p w14:paraId="5ED8807B">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11CE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B32E618">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12</w:t>
            </w:r>
          </w:p>
        </w:tc>
        <w:tc>
          <w:tcPr>
            <w:tcW w:w="0" w:type="auto"/>
            <w:noWrap w:val="0"/>
            <w:vAlign w:val="center"/>
          </w:tcPr>
          <w:p w14:paraId="135047FB">
            <w:pPr>
              <w:snapToGrid w:val="0"/>
              <w:jc w:val="center"/>
              <w:rPr>
                <w:rFonts w:hint="eastAsia" w:ascii="Times New Roman" w:hAnsi="Times New Roman"/>
                <w:color w:val="auto"/>
                <w:szCs w:val="21"/>
              </w:rPr>
            </w:pPr>
            <w:r>
              <w:rPr>
                <w:rFonts w:hint="eastAsia" w:ascii="Times New Roman" w:hAnsi="Times New Roman"/>
                <w:color w:val="auto"/>
                <w:szCs w:val="21"/>
              </w:rPr>
              <w:t>贮存爆破器材的单位设置爆破器材库，应报主管部门批准，并报当地县（市）公安机关审查同意，方可建库；库房建成并经验收合格发给“爆破器材贮存许可证”后，方准贮存爆破器材。</w:t>
            </w:r>
          </w:p>
        </w:tc>
        <w:tc>
          <w:tcPr>
            <w:tcW w:w="0" w:type="auto"/>
            <w:noWrap w:val="0"/>
            <w:vAlign w:val="center"/>
          </w:tcPr>
          <w:p w14:paraId="2B91F109">
            <w:pPr>
              <w:snapToGrid w:val="0"/>
              <w:jc w:val="center"/>
              <w:rPr>
                <w:rFonts w:hint="eastAsia" w:ascii="Times New Roman" w:hAnsi="Times New Roman"/>
                <w:color w:val="auto"/>
                <w:szCs w:val="21"/>
              </w:rPr>
            </w:pPr>
            <w:r>
              <w:rPr>
                <w:rFonts w:hint="eastAsia" w:ascii="Times New Roman" w:hAnsi="Times New Roman"/>
                <w:color w:val="auto"/>
                <w:szCs w:val="21"/>
              </w:rPr>
              <w:t>《GB6722-2014》之7.4.1.2条</w:t>
            </w:r>
          </w:p>
        </w:tc>
        <w:tc>
          <w:tcPr>
            <w:tcW w:w="0" w:type="auto"/>
            <w:noWrap w:val="0"/>
            <w:vAlign w:val="center"/>
          </w:tcPr>
          <w:p w14:paraId="04382DFC">
            <w:pPr>
              <w:snapToGrid w:val="0"/>
              <w:jc w:val="center"/>
              <w:rPr>
                <w:rFonts w:hint="eastAsia" w:ascii="Times New Roman" w:hAnsi="Times New Roman"/>
                <w:color w:val="auto"/>
                <w:szCs w:val="21"/>
              </w:rPr>
            </w:pPr>
            <w:r>
              <w:rPr>
                <w:rFonts w:hint="eastAsia" w:ascii="Times New Roman" w:hAnsi="Times New Roman"/>
                <w:color w:val="auto"/>
                <w:szCs w:val="21"/>
              </w:rPr>
              <w:t>查阅</w:t>
            </w:r>
          </w:p>
        </w:tc>
        <w:tc>
          <w:tcPr>
            <w:tcW w:w="0" w:type="auto"/>
            <w:noWrap w:val="0"/>
            <w:vAlign w:val="center"/>
          </w:tcPr>
          <w:p w14:paraId="2DB3E8EF">
            <w:pPr>
              <w:snapToGrid w:val="0"/>
              <w:jc w:val="center"/>
              <w:rPr>
                <w:rFonts w:hint="eastAsia" w:ascii="Times New Roman" w:hAnsi="Times New Roman"/>
                <w:color w:val="auto"/>
                <w:szCs w:val="21"/>
              </w:rPr>
            </w:pPr>
            <w:r>
              <w:rPr>
                <w:rFonts w:hint="eastAsia" w:ascii="Times New Roman" w:hAnsi="Times New Roman"/>
                <w:color w:val="auto"/>
                <w:szCs w:val="21"/>
              </w:rPr>
              <w:t>鞍山东盛源矿业有限公司露天矿山爆破作业由</w:t>
            </w:r>
            <w:r>
              <w:rPr>
                <w:rFonts w:hint="eastAsia" w:ascii="Times New Roman" w:hAnsi="Times New Roman"/>
                <w:color w:val="auto"/>
                <w:szCs w:val="21"/>
                <w:lang w:val="en-US" w:eastAsia="zh-CN"/>
              </w:rPr>
              <w:t>岫岩满族自治县广财爆破工程有限公司</w:t>
            </w:r>
            <w:r>
              <w:rPr>
                <w:rFonts w:hint="eastAsia" w:ascii="Times New Roman" w:hAnsi="Times New Roman"/>
                <w:color w:val="auto"/>
                <w:szCs w:val="21"/>
              </w:rPr>
              <w:t>负责，该公司取得了爆破作业许可证，证号：</w:t>
            </w:r>
            <w:r>
              <w:rPr>
                <w:rFonts w:hint="eastAsia" w:ascii="Times New Roman" w:hAnsi="Times New Roman"/>
                <w:color w:val="auto"/>
                <w:szCs w:val="21"/>
                <w:lang w:val="en-US" w:eastAsia="zh-CN"/>
              </w:rPr>
              <w:t>2100001300237</w:t>
            </w:r>
            <w:r>
              <w:rPr>
                <w:rFonts w:hint="eastAsia" w:ascii="Times New Roman" w:hAnsi="Times New Roman"/>
                <w:color w:val="auto"/>
                <w:szCs w:val="21"/>
              </w:rPr>
              <w:t>，有效期至</w:t>
            </w:r>
            <w:r>
              <w:rPr>
                <w:rFonts w:hint="eastAsia" w:ascii="Times New Roman" w:hAnsi="Times New Roman"/>
                <w:color w:val="auto"/>
                <w:szCs w:val="21"/>
                <w:lang w:val="en-US" w:eastAsia="zh-CN"/>
              </w:rPr>
              <w:t>2030</w:t>
            </w:r>
            <w:r>
              <w:rPr>
                <w:rFonts w:hint="eastAsia" w:ascii="Times New Roman" w:hAnsi="Times New Roman"/>
                <w:color w:val="auto"/>
                <w:szCs w:val="21"/>
              </w:rPr>
              <w:t>年</w:t>
            </w:r>
            <w:r>
              <w:rPr>
                <w:rFonts w:hint="eastAsia" w:ascii="Times New Roman" w:hAnsi="Times New Roman"/>
                <w:color w:val="auto"/>
                <w:szCs w:val="21"/>
                <w:lang w:val="en-US" w:eastAsia="zh-CN"/>
              </w:rPr>
              <w:t>7</w:t>
            </w:r>
            <w:r>
              <w:rPr>
                <w:rFonts w:hint="eastAsia" w:ascii="Times New Roman" w:hAnsi="Times New Roman"/>
                <w:color w:val="auto"/>
                <w:szCs w:val="21"/>
              </w:rPr>
              <w:t>月</w:t>
            </w:r>
            <w:r>
              <w:rPr>
                <w:rFonts w:hint="eastAsia" w:ascii="Times New Roman" w:hAnsi="Times New Roman"/>
                <w:color w:val="auto"/>
                <w:szCs w:val="21"/>
                <w:lang w:val="en-US" w:eastAsia="zh-CN"/>
              </w:rPr>
              <w:t>8</w:t>
            </w:r>
            <w:r>
              <w:rPr>
                <w:rFonts w:hint="eastAsia" w:ascii="Times New Roman" w:hAnsi="Times New Roman"/>
                <w:color w:val="auto"/>
                <w:szCs w:val="21"/>
              </w:rPr>
              <w:t>日。鞍山东盛源矿业有限公司露天矿山所用爆破器材由爆破公司进行“一体化”服务。爆破公司爆破员持有爆破资格证书。</w:t>
            </w:r>
          </w:p>
        </w:tc>
        <w:tc>
          <w:tcPr>
            <w:tcW w:w="0" w:type="auto"/>
            <w:noWrap w:val="0"/>
            <w:vAlign w:val="center"/>
          </w:tcPr>
          <w:p w14:paraId="3327D6A4">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7A0FB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2BEFFE2">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13</w:t>
            </w:r>
          </w:p>
        </w:tc>
        <w:tc>
          <w:tcPr>
            <w:tcW w:w="0" w:type="auto"/>
            <w:noWrap w:val="0"/>
            <w:vAlign w:val="center"/>
          </w:tcPr>
          <w:p w14:paraId="61FAEEF8">
            <w:pPr>
              <w:snapToGrid w:val="0"/>
              <w:jc w:val="center"/>
              <w:rPr>
                <w:rFonts w:hint="eastAsia" w:ascii="Times New Roman" w:hAnsi="Times New Roman"/>
                <w:color w:val="auto"/>
                <w:szCs w:val="21"/>
              </w:rPr>
            </w:pPr>
            <w:r>
              <w:rPr>
                <w:rFonts w:hint="eastAsia" w:ascii="Times New Roman" w:hAnsi="Times New Roman"/>
                <w:color w:val="auto"/>
                <w:szCs w:val="21"/>
              </w:rPr>
              <w:t>爆破前应对爆区周围的自然条件和环境状况进行调查，了解危及安全的不利环境因素，采取必要的安全防范措施。</w:t>
            </w:r>
          </w:p>
        </w:tc>
        <w:tc>
          <w:tcPr>
            <w:tcW w:w="0" w:type="auto"/>
            <w:noWrap w:val="0"/>
            <w:vAlign w:val="center"/>
          </w:tcPr>
          <w:p w14:paraId="075B00F6">
            <w:pPr>
              <w:snapToGrid w:val="0"/>
              <w:jc w:val="center"/>
              <w:rPr>
                <w:rFonts w:hint="eastAsia" w:ascii="Times New Roman" w:hAnsi="Times New Roman"/>
                <w:color w:val="auto"/>
                <w:szCs w:val="21"/>
              </w:rPr>
            </w:pPr>
            <w:r>
              <w:rPr>
                <w:rFonts w:hint="eastAsia" w:ascii="Times New Roman" w:hAnsi="Times New Roman"/>
                <w:color w:val="auto"/>
                <w:szCs w:val="21"/>
              </w:rPr>
              <w:t>《GB6722-2014》之4.7.1条</w:t>
            </w:r>
          </w:p>
        </w:tc>
        <w:tc>
          <w:tcPr>
            <w:tcW w:w="0" w:type="auto"/>
            <w:noWrap w:val="0"/>
            <w:vAlign w:val="center"/>
          </w:tcPr>
          <w:p w14:paraId="4B50FB8B">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23EBDEC5">
            <w:pPr>
              <w:snapToGrid w:val="0"/>
              <w:jc w:val="center"/>
              <w:rPr>
                <w:rFonts w:hint="eastAsia" w:ascii="Times New Roman" w:hAnsi="Times New Roman"/>
                <w:color w:val="auto"/>
                <w:szCs w:val="21"/>
              </w:rPr>
            </w:pPr>
            <w:r>
              <w:rPr>
                <w:rFonts w:hint="eastAsia" w:ascii="Times New Roman" w:hAnsi="Times New Roman"/>
                <w:color w:val="auto"/>
                <w:szCs w:val="21"/>
              </w:rPr>
              <w:t>能够按规程要求采取必要的安全防护措施。</w:t>
            </w:r>
          </w:p>
        </w:tc>
        <w:tc>
          <w:tcPr>
            <w:tcW w:w="0" w:type="auto"/>
            <w:noWrap w:val="0"/>
            <w:vAlign w:val="center"/>
          </w:tcPr>
          <w:p w14:paraId="00BCDEB5">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2096E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88E1050">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14</w:t>
            </w:r>
          </w:p>
        </w:tc>
        <w:tc>
          <w:tcPr>
            <w:tcW w:w="0" w:type="auto"/>
            <w:noWrap w:val="0"/>
            <w:vAlign w:val="center"/>
          </w:tcPr>
          <w:p w14:paraId="7122694F">
            <w:pPr>
              <w:snapToGrid w:val="0"/>
              <w:jc w:val="center"/>
              <w:rPr>
                <w:rFonts w:hint="eastAsia" w:ascii="Times New Roman" w:hAnsi="Times New Roman"/>
                <w:color w:val="auto"/>
                <w:szCs w:val="21"/>
              </w:rPr>
            </w:pPr>
            <w:r>
              <w:rPr>
                <w:rFonts w:hint="eastAsia" w:ascii="Times New Roman" w:hAnsi="Times New Roman"/>
                <w:color w:val="auto"/>
                <w:szCs w:val="21"/>
              </w:rPr>
              <w:t>起爆站应设在避炮掩体内或设在警戒区外的安全地点。</w:t>
            </w:r>
          </w:p>
        </w:tc>
        <w:tc>
          <w:tcPr>
            <w:tcW w:w="0" w:type="auto"/>
            <w:noWrap w:val="0"/>
            <w:vAlign w:val="center"/>
          </w:tcPr>
          <w:p w14:paraId="21CAC04E">
            <w:pPr>
              <w:snapToGrid w:val="0"/>
              <w:jc w:val="center"/>
              <w:rPr>
                <w:rFonts w:hint="eastAsia" w:ascii="Times New Roman" w:hAnsi="Times New Roman"/>
                <w:color w:val="auto"/>
                <w:szCs w:val="21"/>
              </w:rPr>
            </w:pPr>
            <w:r>
              <w:rPr>
                <w:rFonts w:hint="eastAsia" w:ascii="Times New Roman" w:hAnsi="Times New Roman"/>
                <w:color w:val="auto"/>
                <w:szCs w:val="21"/>
              </w:rPr>
              <w:t>《GB6722-2014》之7.1.2条</w:t>
            </w:r>
          </w:p>
        </w:tc>
        <w:tc>
          <w:tcPr>
            <w:tcW w:w="0" w:type="auto"/>
            <w:noWrap w:val="0"/>
            <w:vAlign w:val="center"/>
          </w:tcPr>
          <w:p w14:paraId="2386989F">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174CE39F">
            <w:pPr>
              <w:snapToGrid w:val="0"/>
              <w:jc w:val="center"/>
              <w:rPr>
                <w:rFonts w:hint="eastAsia" w:ascii="Times New Roman" w:hAnsi="Times New Roman"/>
                <w:color w:val="auto"/>
                <w:szCs w:val="21"/>
              </w:rPr>
            </w:pPr>
            <w:r>
              <w:rPr>
                <w:rFonts w:hint="eastAsia" w:ascii="Times New Roman" w:hAnsi="Times New Roman"/>
                <w:color w:val="auto"/>
                <w:szCs w:val="21"/>
              </w:rPr>
              <w:t>企业爆破作业起爆站设在警戒区外的安全地点，并确定爆破警戒范围内无人后起爆。</w:t>
            </w:r>
          </w:p>
        </w:tc>
        <w:tc>
          <w:tcPr>
            <w:tcW w:w="0" w:type="auto"/>
            <w:noWrap w:val="0"/>
            <w:vAlign w:val="center"/>
          </w:tcPr>
          <w:p w14:paraId="5C5AB717">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6B8CA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215436A">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15</w:t>
            </w:r>
          </w:p>
        </w:tc>
        <w:tc>
          <w:tcPr>
            <w:tcW w:w="0" w:type="auto"/>
            <w:noWrap w:val="0"/>
            <w:vAlign w:val="center"/>
          </w:tcPr>
          <w:p w14:paraId="4A7DB882">
            <w:pPr>
              <w:snapToGrid w:val="0"/>
              <w:jc w:val="center"/>
              <w:rPr>
                <w:rFonts w:hint="eastAsia" w:ascii="Times New Roman" w:hAnsi="Times New Roman"/>
                <w:color w:val="auto"/>
                <w:szCs w:val="21"/>
              </w:rPr>
            </w:pPr>
            <w:r>
              <w:rPr>
                <w:rFonts w:hint="eastAsia" w:ascii="Times New Roman" w:hAnsi="Times New Roman"/>
                <w:color w:val="auto"/>
                <w:szCs w:val="21"/>
              </w:rPr>
              <w:t>爆破前，应将钻机、挖掘机等移动设备开到安全地点，并切断电源。</w:t>
            </w:r>
          </w:p>
        </w:tc>
        <w:tc>
          <w:tcPr>
            <w:tcW w:w="0" w:type="auto"/>
            <w:noWrap w:val="0"/>
            <w:vAlign w:val="center"/>
          </w:tcPr>
          <w:p w14:paraId="5555AFEF">
            <w:pPr>
              <w:snapToGrid w:val="0"/>
              <w:jc w:val="center"/>
              <w:rPr>
                <w:rFonts w:hint="eastAsia" w:ascii="Times New Roman" w:hAnsi="Times New Roman"/>
                <w:color w:val="auto"/>
                <w:szCs w:val="21"/>
              </w:rPr>
            </w:pPr>
            <w:r>
              <w:rPr>
                <w:rFonts w:hint="eastAsia" w:ascii="Times New Roman" w:hAnsi="Times New Roman"/>
                <w:color w:val="auto"/>
                <w:szCs w:val="21"/>
              </w:rPr>
              <w:t>《GB6722-2014》之5.1.22条</w:t>
            </w:r>
          </w:p>
        </w:tc>
        <w:tc>
          <w:tcPr>
            <w:tcW w:w="0" w:type="auto"/>
            <w:noWrap w:val="0"/>
            <w:vAlign w:val="center"/>
          </w:tcPr>
          <w:p w14:paraId="4C62F3AA">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7A1D9373">
            <w:pPr>
              <w:snapToGrid w:val="0"/>
              <w:jc w:val="center"/>
              <w:rPr>
                <w:rFonts w:hint="eastAsia" w:ascii="Times New Roman" w:hAnsi="Times New Roman"/>
                <w:color w:val="auto"/>
                <w:szCs w:val="21"/>
              </w:rPr>
            </w:pPr>
            <w:r>
              <w:rPr>
                <w:rFonts w:hint="eastAsia" w:ascii="Times New Roman" w:hAnsi="Times New Roman"/>
                <w:color w:val="auto"/>
                <w:szCs w:val="21"/>
              </w:rPr>
              <w:t>爆破前将钻机、挖掘机等移动设备开到了安全地点。</w:t>
            </w:r>
          </w:p>
        </w:tc>
        <w:tc>
          <w:tcPr>
            <w:tcW w:w="0" w:type="auto"/>
            <w:noWrap w:val="0"/>
            <w:vAlign w:val="center"/>
          </w:tcPr>
          <w:p w14:paraId="544965DE">
            <w:pPr>
              <w:snapToGrid w:val="0"/>
              <w:jc w:val="center"/>
              <w:rPr>
                <w:rFonts w:hint="eastAsia" w:ascii="Times New Roman" w:hAnsi="Times New Roman"/>
                <w:color w:val="auto"/>
                <w:szCs w:val="21"/>
              </w:rPr>
            </w:pPr>
            <w:r>
              <w:rPr>
                <w:rFonts w:hint="eastAsia" w:ascii="Times New Roman" w:hAnsi="Times New Roman"/>
                <w:color w:val="auto"/>
                <w:szCs w:val="21"/>
              </w:rPr>
              <w:t>符合</w:t>
            </w:r>
          </w:p>
          <w:p w14:paraId="67158E42">
            <w:pPr>
              <w:snapToGrid w:val="0"/>
              <w:jc w:val="center"/>
              <w:rPr>
                <w:rFonts w:hint="eastAsia" w:ascii="Times New Roman" w:hAnsi="Times New Roman"/>
                <w:color w:val="auto"/>
                <w:szCs w:val="21"/>
              </w:rPr>
            </w:pPr>
            <w:r>
              <w:rPr>
                <w:rFonts w:hint="eastAsia" w:ascii="Times New Roman" w:hAnsi="Times New Roman"/>
                <w:color w:val="auto"/>
                <w:szCs w:val="21"/>
              </w:rPr>
              <w:t>要求</w:t>
            </w:r>
          </w:p>
        </w:tc>
      </w:tr>
      <w:tr w14:paraId="295A8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3D48E2F">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16</w:t>
            </w:r>
          </w:p>
        </w:tc>
        <w:tc>
          <w:tcPr>
            <w:tcW w:w="0" w:type="auto"/>
            <w:noWrap w:val="0"/>
            <w:vAlign w:val="center"/>
          </w:tcPr>
          <w:p w14:paraId="4D7E193B">
            <w:pPr>
              <w:snapToGrid w:val="0"/>
              <w:jc w:val="center"/>
              <w:rPr>
                <w:rFonts w:hint="eastAsia" w:ascii="Times New Roman" w:hAnsi="Times New Roman"/>
                <w:color w:val="auto"/>
                <w:szCs w:val="21"/>
              </w:rPr>
            </w:pPr>
            <w:r>
              <w:rPr>
                <w:rFonts w:hint="eastAsia" w:ascii="Times New Roman" w:hAnsi="Times New Roman"/>
                <w:color w:val="auto"/>
                <w:szCs w:val="21"/>
              </w:rPr>
              <w:t>爆破警戒范围由设计确定。在危险区边界，应设有明显标志，并派出岗哨。</w:t>
            </w:r>
          </w:p>
        </w:tc>
        <w:tc>
          <w:tcPr>
            <w:tcW w:w="0" w:type="auto"/>
            <w:noWrap w:val="0"/>
            <w:vAlign w:val="center"/>
          </w:tcPr>
          <w:p w14:paraId="3330E654">
            <w:pPr>
              <w:snapToGrid w:val="0"/>
              <w:jc w:val="center"/>
              <w:rPr>
                <w:rFonts w:hint="eastAsia" w:ascii="Times New Roman" w:hAnsi="Times New Roman"/>
                <w:color w:val="auto"/>
                <w:szCs w:val="21"/>
              </w:rPr>
            </w:pPr>
            <w:r>
              <w:rPr>
                <w:rFonts w:hint="eastAsia" w:ascii="Times New Roman" w:hAnsi="Times New Roman"/>
                <w:color w:val="auto"/>
                <w:szCs w:val="21"/>
              </w:rPr>
              <w:t>《GB6722-2014》</w:t>
            </w:r>
          </w:p>
          <w:p w14:paraId="500EEDE6">
            <w:pPr>
              <w:snapToGrid w:val="0"/>
              <w:jc w:val="center"/>
              <w:rPr>
                <w:rFonts w:hint="eastAsia" w:ascii="Times New Roman" w:hAnsi="Times New Roman"/>
                <w:color w:val="auto"/>
                <w:szCs w:val="21"/>
              </w:rPr>
            </w:pPr>
            <w:r>
              <w:rPr>
                <w:rFonts w:hint="eastAsia" w:ascii="Times New Roman" w:hAnsi="Times New Roman"/>
                <w:color w:val="auto"/>
                <w:szCs w:val="21"/>
              </w:rPr>
              <w:t>之6.7.1.2条</w:t>
            </w:r>
          </w:p>
        </w:tc>
        <w:tc>
          <w:tcPr>
            <w:tcW w:w="0" w:type="auto"/>
            <w:noWrap w:val="0"/>
            <w:vAlign w:val="center"/>
          </w:tcPr>
          <w:p w14:paraId="3B0CD455">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0D53DD83">
            <w:pPr>
              <w:snapToGrid w:val="0"/>
              <w:jc w:val="center"/>
              <w:rPr>
                <w:rFonts w:hint="eastAsia" w:ascii="Times New Roman" w:hAnsi="Times New Roman"/>
                <w:color w:val="auto"/>
                <w:szCs w:val="21"/>
              </w:rPr>
            </w:pPr>
            <w:r>
              <w:rPr>
                <w:rFonts w:hint="eastAsia" w:ascii="Times New Roman" w:hAnsi="Times New Roman"/>
                <w:color w:val="auto"/>
                <w:szCs w:val="21"/>
              </w:rPr>
              <w:t>矿山爆破警戒距离为300m，设有明显的警戒标志；危险区域专设岗哨。</w:t>
            </w:r>
          </w:p>
        </w:tc>
        <w:tc>
          <w:tcPr>
            <w:tcW w:w="0" w:type="auto"/>
            <w:noWrap w:val="0"/>
            <w:vAlign w:val="center"/>
          </w:tcPr>
          <w:p w14:paraId="311372E5">
            <w:pPr>
              <w:snapToGrid w:val="0"/>
              <w:jc w:val="center"/>
              <w:rPr>
                <w:rFonts w:hint="eastAsia" w:ascii="Times New Roman" w:hAnsi="Times New Roman"/>
                <w:color w:val="auto"/>
                <w:szCs w:val="21"/>
              </w:rPr>
            </w:pPr>
            <w:r>
              <w:rPr>
                <w:rFonts w:hint="eastAsia" w:ascii="Times New Roman" w:hAnsi="Times New Roman"/>
                <w:color w:val="auto"/>
                <w:szCs w:val="21"/>
              </w:rPr>
              <w:t>符合</w:t>
            </w:r>
          </w:p>
          <w:p w14:paraId="25D1C18D">
            <w:pPr>
              <w:snapToGrid w:val="0"/>
              <w:jc w:val="center"/>
              <w:rPr>
                <w:rFonts w:hint="eastAsia" w:ascii="Times New Roman" w:hAnsi="Times New Roman"/>
                <w:color w:val="auto"/>
                <w:szCs w:val="21"/>
              </w:rPr>
            </w:pPr>
            <w:r>
              <w:rPr>
                <w:rFonts w:hint="eastAsia" w:ascii="Times New Roman" w:hAnsi="Times New Roman"/>
                <w:color w:val="auto"/>
                <w:szCs w:val="21"/>
              </w:rPr>
              <w:t>要求</w:t>
            </w:r>
          </w:p>
        </w:tc>
      </w:tr>
      <w:tr w14:paraId="3E02B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C45DA13">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17</w:t>
            </w:r>
          </w:p>
        </w:tc>
        <w:tc>
          <w:tcPr>
            <w:tcW w:w="0" w:type="auto"/>
            <w:noWrap w:val="0"/>
            <w:vAlign w:val="center"/>
          </w:tcPr>
          <w:p w14:paraId="148E2C02">
            <w:pPr>
              <w:snapToGrid w:val="0"/>
              <w:jc w:val="center"/>
              <w:rPr>
                <w:rFonts w:hint="eastAsia" w:ascii="Times New Roman" w:hAnsi="Times New Roman"/>
                <w:color w:val="auto"/>
                <w:szCs w:val="21"/>
              </w:rPr>
            </w:pPr>
            <w:r>
              <w:rPr>
                <w:rFonts w:hint="eastAsia" w:ascii="Times New Roman" w:hAnsi="Times New Roman"/>
                <w:color w:val="auto"/>
                <w:szCs w:val="21"/>
              </w:rPr>
              <w:t>应按200m确定爆破安全距离，下坡方向应按300m确定爆破安全距离。</w:t>
            </w:r>
          </w:p>
        </w:tc>
        <w:tc>
          <w:tcPr>
            <w:tcW w:w="0" w:type="auto"/>
            <w:noWrap w:val="0"/>
            <w:vAlign w:val="center"/>
          </w:tcPr>
          <w:p w14:paraId="2F39E1DD">
            <w:pPr>
              <w:snapToGrid w:val="0"/>
              <w:jc w:val="center"/>
              <w:rPr>
                <w:rFonts w:hint="eastAsia" w:ascii="Times New Roman" w:hAnsi="Times New Roman"/>
                <w:color w:val="auto"/>
                <w:szCs w:val="21"/>
              </w:rPr>
            </w:pPr>
            <w:r>
              <w:rPr>
                <w:rFonts w:hint="eastAsia" w:ascii="Times New Roman" w:hAnsi="Times New Roman"/>
                <w:color w:val="auto"/>
                <w:szCs w:val="21"/>
              </w:rPr>
              <w:t>《GB6722-2014》之6.4条</w:t>
            </w:r>
          </w:p>
        </w:tc>
        <w:tc>
          <w:tcPr>
            <w:tcW w:w="0" w:type="auto"/>
            <w:noWrap w:val="0"/>
            <w:vAlign w:val="center"/>
          </w:tcPr>
          <w:p w14:paraId="73C57545">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0A5A1F37">
            <w:pPr>
              <w:snapToGrid w:val="0"/>
              <w:jc w:val="center"/>
              <w:rPr>
                <w:rFonts w:hint="eastAsia" w:ascii="Times New Roman" w:hAnsi="Times New Roman"/>
                <w:color w:val="auto"/>
                <w:szCs w:val="21"/>
              </w:rPr>
            </w:pPr>
            <w:r>
              <w:rPr>
                <w:rFonts w:hint="eastAsia" w:ascii="Times New Roman" w:hAnsi="Times New Roman"/>
                <w:color w:val="auto"/>
                <w:szCs w:val="21"/>
              </w:rPr>
              <w:t>爆破警戒线的划定取200m，下坡方向增加50%，取300m。矿山为山坡露天开采，按照</w:t>
            </w:r>
            <w:r>
              <w:rPr>
                <w:rFonts w:hint="eastAsia" w:ascii="Times New Roman" w:hAnsi="Times New Roman"/>
                <w:color w:val="auto"/>
                <w:szCs w:val="21"/>
                <w:lang w:val="en-US" w:eastAsia="zh-CN"/>
              </w:rPr>
              <w:t>3</w:t>
            </w:r>
            <w:r>
              <w:rPr>
                <w:rFonts w:hint="eastAsia" w:ascii="Times New Roman" w:hAnsi="Times New Roman"/>
                <w:color w:val="auto"/>
                <w:szCs w:val="21"/>
              </w:rPr>
              <w:t>00m设置爆破警戒范围。</w:t>
            </w:r>
          </w:p>
        </w:tc>
        <w:tc>
          <w:tcPr>
            <w:tcW w:w="0" w:type="auto"/>
            <w:noWrap w:val="0"/>
            <w:vAlign w:val="center"/>
          </w:tcPr>
          <w:p w14:paraId="0A8AAFDF">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4CDF6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2E9BABF">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18</w:t>
            </w:r>
          </w:p>
        </w:tc>
        <w:tc>
          <w:tcPr>
            <w:tcW w:w="0" w:type="auto"/>
            <w:noWrap w:val="0"/>
            <w:vAlign w:val="center"/>
          </w:tcPr>
          <w:p w14:paraId="7E982951">
            <w:pPr>
              <w:snapToGrid w:val="0"/>
              <w:jc w:val="center"/>
              <w:rPr>
                <w:rFonts w:hint="eastAsia" w:ascii="Times New Roman" w:hAnsi="Times New Roman"/>
                <w:color w:val="auto"/>
                <w:szCs w:val="21"/>
              </w:rPr>
            </w:pPr>
            <w:r>
              <w:rPr>
                <w:rFonts w:hint="eastAsia" w:ascii="Times New Roman" w:hAnsi="Times New Roman"/>
                <w:color w:val="auto"/>
                <w:szCs w:val="21"/>
              </w:rPr>
              <w:t>金属非金属露天开采项目自2015年2月13日起立即禁止使用扩壶爆破。</w:t>
            </w:r>
          </w:p>
        </w:tc>
        <w:tc>
          <w:tcPr>
            <w:tcW w:w="0" w:type="auto"/>
            <w:noWrap w:val="0"/>
            <w:vAlign w:val="center"/>
          </w:tcPr>
          <w:p w14:paraId="39CD0D53">
            <w:pPr>
              <w:snapToGrid w:val="0"/>
              <w:jc w:val="center"/>
              <w:rPr>
                <w:rFonts w:hint="eastAsia" w:ascii="Times New Roman" w:hAnsi="Times New Roman"/>
                <w:color w:val="auto"/>
                <w:szCs w:val="21"/>
              </w:rPr>
            </w:pPr>
            <w:r>
              <w:rPr>
                <w:rFonts w:hint="eastAsia" w:ascii="Times New Roman" w:hAnsi="Times New Roman"/>
                <w:color w:val="auto"/>
                <w:szCs w:val="21"/>
              </w:rPr>
              <w:t>《安监总管一〔2015〕13号》</w:t>
            </w:r>
          </w:p>
        </w:tc>
        <w:tc>
          <w:tcPr>
            <w:tcW w:w="0" w:type="auto"/>
            <w:noWrap w:val="0"/>
            <w:vAlign w:val="center"/>
          </w:tcPr>
          <w:p w14:paraId="2431A506">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0FE07940">
            <w:pPr>
              <w:snapToGrid w:val="0"/>
              <w:jc w:val="center"/>
              <w:rPr>
                <w:rFonts w:hint="eastAsia" w:ascii="Times New Roman" w:hAnsi="Times New Roman"/>
                <w:color w:val="auto"/>
                <w:szCs w:val="21"/>
              </w:rPr>
            </w:pPr>
            <w:r>
              <w:rPr>
                <w:rFonts w:hint="eastAsia" w:ascii="Times New Roman" w:hAnsi="Times New Roman"/>
                <w:color w:val="auto"/>
                <w:szCs w:val="21"/>
              </w:rPr>
              <w:t>无扩壶爆破。</w:t>
            </w:r>
          </w:p>
        </w:tc>
        <w:tc>
          <w:tcPr>
            <w:tcW w:w="0" w:type="auto"/>
            <w:noWrap w:val="0"/>
            <w:vAlign w:val="center"/>
          </w:tcPr>
          <w:p w14:paraId="3180674B">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r w14:paraId="13A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32B07FF">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19</w:t>
            </w:r>
          </w:p>
        </w:tc>
        <w:tc>
          <w:tcPr>
            <w:tcW w:w="0" w:type="auto"/>
            <w:noWrap w:val="0"/>
            <w:vAlign w:val="center"/>
          </w:tcPr>
          <w:p w14:paraId="5440BF0A">
            <w:pPr>
              <w:snapToGrid w:val="0"/>
              <w:jc w:val="center"/>
              <w:rPr>
                <w:rFonts w:hint="eastAsia" w:ascii="Times New Roman" w:hAnsi="Times New Roman"/>
                <w:color w:val="auto"/>
                <w:szCs w:val="21"/>
              </w:rPr>
            </w:pPr>
            <w:r>
              <w:rPr>
                <w:rFonts w:hint="eastAsia" w:ascii="Times New Roman" w:hAnsi="Times New Roman"/>
                <w:color w:val="auto"/>
                <w:szCs w:val="21"/>
              </w:rPr>
              <w:t>露天浅孔、深孔、特种爆破，爆后应超过5min方准许检查人员进入爆破作业地点；如不能确认有无盲炮，应经15min后才能进入爆区检查。</w:t>
            </w:r>
          </w:p>
        </w:tc>
        <w:tc>
          <w:tcPr>
            <w:tcW w:w="0" w:type="auto"/>
            <w:noWrap w:val="0"/>
            <w:vAlign w:val="center"/>
          </w:tcPr>
          <w:p w14:paraId="426302AC">
            <w:pPr>
              <w:snapToGrid w:val="0"/>
              <w:jc w:val="center"/>
              <w:rPr>
                <w:rFonts w:hint="eastAsia" w:ascii="Times New Roman" w:hAnsi="Times New Roman"/>
                <w:color w:val="auto"/>
                <w:szCs w:val="21"/>
              </w:rPr>
            </w:pPr>
            <w:r>
              <w:rPr>
                <w:rFonts w:hint="eastAsia" w:ascii="Times New Roman" w:hAnsi="Times New Roman"/>
                <w:color w:val="auto"/>
                <w:szCs w:val="21"/>
              </w:rPr>
              <w:t>《GB6722-2014》之6.8.1.1条</w:t>
            </w:r>
          </w:p>
        </w:tc>
        <w:tc>
          <w:tcPr>
            <w:tcW w:w="0" w:type="auto"/>
            <w:noWrap w:val="0"/>
            <w:vAlign w:val="center"/>
          </w:tcPr>
          <w:p w14:paraId="38E4887C">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1752E327">
            <w:pPr>
              <w:snapToGrid w:val="0"/>
              <w:jc w:val="center"/>
              <w:rPr>
                <w:rFonts w:hint="eastAsia" w:ascii="Times New Roman" w:hAnsi="Times New Roman"/>
                <w:color w:val="auto"/>
                <w:szCs w:val="21"/>
              </w:rPr>
            </w:pPr>
            <w:r>
              <w:rPr>
                <w:rFonts w:hint="eastAsia" w:ascii="Times New Roman" w:hAnsi="Times New Roman"/>
                <w:color w:val="auto"/>
                <w:szCs w:val="21"/>
              </w:rPr>
              <w:t>鞍山东盛源矿业有限公司露天矿山规定爆破后超过15min方能进入爆区。</w:t>
            </w:r>
          </w:p>
        </w:tc>
        <w:tc>
          <w:tcPr>
            <w:tcW w:w="0" w:type="auto"/>
            <w:noWrap w:val="0"/>
            <w:vAlign w:val="center"/>
          </w:tcPr>
          <w:p w14:paraId="41B87753">
            <w:pPr>
              <w:snapToGrid w:val="0"/>
              <w:jc w:val="center"/>
              <w:rPr>
                <w:rFonts w:hint="eastAsia" w:ascii="Times New Roman" w:hAnsi="Times New Roman"/>
                <w:color w:val="auto"/>
                <w:szCs w:val="21"/>
              </w:rPr>
            </w:pPr>
            <w:r>
              <w:rPr>
                <w:rFonts w:hint="eastAsia" w:ascii="Times New Roman" w:hAnsi="Times New Roman"/>
                <w:color w:val="auto"/>
                <w:szCs w:val="21"/>
              </w:rPr>
              <w:t>符合</w:t>
            </w:r>
          </w:p>
          <w:p w14:paraId="163EAF80">
            <w:pPr>
              <w:snapToGrid w:val="0"/>
              <w:jc w:val="center"/>
              <w:rPr>
                <w:rFonts w:hint="eastAsia" w:ascii="Times New Roman" w:hAnsi="Times New Roman"/>
                <w:color w:val="auto"/>
                <w:szCs w:val="21"/>
              </w:rPr>
            </w:pPr>
            <w:r>
              <w:rPr>
                <w:rFonts w:hint="eastAsia" w:ascii="Times New Roman" w:hAnsi="Times New Roman"/>
                <w:color w:val="auto"/>
                <w:szCs w:val="21"/>
              </w:rPr>
              <w:t>要求</w:t>
            </w:r>
          </w:p>
        </w:tc>
      </w:tr>
      <w:tr w14:paraId="2D590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689F88F">
            <w:pPr>
              <w:snapToGrid w:val="0"/>
              <w:jc w:val="center"/>
              <w:rPr>
                <w:rFonts w:hint="default" w:ascii="Times New Roman" w:hAnsi="Times New Roman" w:eastAsiaTheme="minorEastAsia"/>
                <w:color w:val="auto"/>
                <w:szCs w:val="21"/>
                <w:lang w:val="en-US" w:eastAsia="zh-CN"/>
              </w:rPr>
            </w:pPr>
            <w:r>
              <w:rPr>
                <w:rFonts w:hint="eastAsia" w:ascii="Times New Roman" w:hAnsi="Times New Roman"/>
                <w:color w:val="auto"/>
                <w:szCs w:val="21"/>
                <w:lang w:val="en-US" w:eastAsia="zh-CN"/>
              </w:rPr>
              <w:t>20</w:t>
            </w:r>
          </w:p>
        </w:tc>
        <w:tc>
          <w:tcPr>
            <w:tcW w:w="0" w:type="auto"/>
            <w:noWrap w:val="0"/>
            <w:vAlign w:val="center"/>
          </w:tcPr>
          <w:p w14:paraId="45CE47CB">
            <w:pPr>
              <w:snapToGrid w:val="0"/>
              <w:jc w:val="center"/>
              <w:rPr>
                <w:rFonts w:hint="eastAsia" w:ascii="Times New Roman" w:hAnsi="Times New Roman"/>
                <w:color w:val="auto"/>
                <w:szCs w:val="21"/>
              </w:rPr>
            </w:pPr>
            <w:r>
              <w:rPr>
                <w:rFonts w:hint="eastAsia" w:ascii="Times New Roman" w:hAnsi="Times New Roman"/>
                <w:color w:val="auto"/>
                <w:szCs w:val="21"/>
              </w:rPr>
              <w:t>金属非金属露天开采项目自2015年2月13日起立即禁止使用爆破方式对大块矿岩进行二次破碎。</w:t>
            </w:r>
          </w:p>
        </w:tc>
        <w:tc>
          <w:tcPr>
            <w:tcW w:w="0" w:type="auto"/>
            <w:noWrap w:val="0"/>
            <w:vAlign w:val="center"/>
          </w:tcPr>
          <w:p w14:paraId="13F3E56F">
            <w:pPr>
              <w:snapToGrid w:val="0"/>
              <w:jc w:val="center"/>
              <w:rPr>
                <w:rFonts w:hint="eastAsia" w:ascii="Times New Roman" w:hAnsi="Times New Roman"/>
                <w:color w:val="auto"/>
                <w:szCs w:val="21"/>
              </w:rPr>
            </w:pPr>
            <w:r>
              <w:rPr>
                <w:rFonts w:hint="eastAsia" w:ascii="Times New Roman" w:hAnsi="Times New Roman"/>
                <w:color w:val="auto"/>
                <w:szCs w:val="21"/>
              </w:rPr>
              <w:t>《安监总管一〔2015〕13号》</w:t>
            </w:r>
          </w:p>
        </w:tc>
        <w:tc>
          <w:tcPr>
            <w:tcW w:w="0" w:type="auto"/>
            <w:noWrap w:val="0"/>
            <w:vAlign w:val="center"/>
          </w:tcPr>
          <w:p w14:paraId="67E2F796">
            <w:pPr>
              <w:snapToGrid w:val="0"/>
              <w:jc w:val="center"/>
              <w:rPr>
                <w:rFonts w:hint="eastAsia" w:ascii="Times New Roman" w:hAnsi="Times New Roman"/>
                <w:color w:val="auto"/>
                <w:szCs w:val="21"/>
              </w:rPr>
            </w:pPr>
            <w:r>
              <w:rPr>
                <w:rFonts w:hint="eastAsia" w:ascii="Times New Roman" w:hAnsi="Times New Roman"/>
                <w:color w:val="auto"/>
                <w:szCs w:val="21"/>
              </w:rPr>
              <w:t>现场勘察</w:t>
            </w:r>
          </w:p>
        </w:tc>
        <w:tc>
          <w:tcPr>
            <w:tcW w:w="0" w:type="auto"/>
            <w:noWrap w:val="0"/>
            <w:vAlign w:val="center"/>
          </w:tcPr>
          <w:p w14:paraId="561AC019">
            <w:pPr>
              <w:snapToGrid w:val="0"/>
              <w:jc w:val="center"/>
              <w:rPr>
                <w:rFonts w:hint="eastAsia" w:ascii="Times New Roman" w:hAnsi="Times New Roman"/>
                <w:color w:val="auto"/>
                <w:szCs w:val="21"/>
              </w:rPr>
            </w:pPr>
            <w:r>
              <w:rPr>
                <w:rFonts w:hint="eastAsia" w:ascii="Times New Roman" w:hAnsi="Times New Roman"/>
                <w:color w:val="auto"/>
                <w:szCs w:val="21"/>
              </w:rPr>
              <w:t>二次破碎采用液压挖掘机配破碎锤。</w:t>
            </w:r>
          </w:p>
        </w:tc>
        <w:tc>
          <w:tcPr>
            <w:tcW w:w="0" w:type="auto"/>
            <w:noWrap w:val="0"/>
            <w:vAlign w:val="center"/>
          </w:tcPr>
          <w:p w14:paraId="7B53C37E">
            <w:pPr>
              <w:snapToGrid w:val="0"/>
              <w:jc w:val="center"/>
              <w:rPr>
                <w:rFonts w:hint="eastAsia" w:ascii="Times New Roman" w:hAnsi="Times New Roman"/>
                <w:color w:val="auto"/>
                <w:szCs w:val="21"/>
              </w:rPr>
            </w:pPr>
            <w:r>
              <w:rPr>
                <w:rFonts w:hint="eastAsia" w:ascii="Times New Roman" w:hAnsi="Times New Roman"/>
                <w:color w:val="auto"/>
                <w:szCs w:val="21"/>
              </w:rPr>
              <w:t>符合要求</w:t>
            </w:r>
          </w:p>
        </w:tc>
      </w:tr>
    </w:tbl>
    <w:p w14:paraId="51E5705B">
      <w:pPr>
        <w:pStyle w:val="25"/>
        <w:bidi w:val="0"/>
        <w:rPr>
          <w:rFonts w:hint="eastAsia"/>
          <w:color w:val="auto"/>
        </w:rPr>
      </w:pPr>
    </w:p>
    <w:p w14:paraId="17C9A3E4">
      <w:pPr>
        <w:pStyle w:val="16"/>
        <w:rPr>
          <w:rFonts w:hint="eastAsia" w:ascii="宋体" w:hAnsi="宋体" w:cs="宋体"/>
          <w:color w:val="auto"/>
          <w:sz w:val="28"/>
          <w:szCs w:val="28"/>
        </w:rPr>
      </w:pPr>
      <w:r>
        <w:rPr>
          <w:rFonts w:hint="eastAsia" w:ascii="宋体" w:hAnsi="宋体" w:cs="宋体"/>
          <w:color w:val="auto"/>
          <w:sz w:val="28"/>
          <w:szCs w:val="28"/>
        </w:rPr>
        <w:t>从穿孔爆破子单元安全检查表可知：共检查</w:t>
      </w:r>
      <w:r>
        <w:rPr>
          <w:rFonts w:hint="eastAsia" w:ascii="宋体" w:hAnsi="宋体" w:cs="宋体"/>
          <w:color w:val="auto"/>
          <w:sz w:val="28"/>
          <w:szCs w:val="28"/>
          <w:lang w:val="en-US" w:eastAsia="zh-CN"/>
        </w:rPr>
        <w:t>20</w:t>
      </w:r>
      <w:r>
        <w:rPr>
          <w:rFonts w:hint="eastAsia" w:ascii="宋体" w:hAnsi="宋体" w:cs="宋体"/>
          <w:color w:val="auto"/>
          <w:sz w:val="28"/>
          <w:szCs w:val="28"/>
        </w:rPr>
        <w:t>项，符合项为</w:t>
      </w:r>
      <w:r>
        <w:rPr>
          <w:rFonts w:hint="eastAsia" w:ascii="宋体" w:hAnsi="宋体" w:cs="宋体"/>
          <w:color w:val="auto"/>
          <w:sz w:val="28"/>
          <w:szCs w:val="28"/>
          <w:lang w:val="en-US" w:eastAsia="zh-CN"/>
        </w:rPr>
        <w:t>20</w:t>
      </w:r>
      <w:r>
        <w:rPr>
          <w:rFonts w:hint="eastAsia" w:ascii="宋体" w:hAnsi="宋体" w:cs="宋体"/>
          <w:color w:val="auto"/>
          <w:sz w:val="28"/>
          <w:szCs w:val="28"/>
        </w:rPr>
        <w:t>项，不符合项为0项。</w:t>
      </w:r>
      <w:r>
        <w:rPr>
          <w:rFonts w:hint="eastAsia" w:ascii="Times New Roman" w:hAnsi="Times New Roman"/>
          <w:color w:val="auto"/>
          <w:szCs w:val="21"/>
        </w:rPr>
        <w:t>鞍山东盛源矿业有限公司</w:t>
      </w:r>
      <w:r>
        <w:rPr>
          <w:rFonts w:hint="eastAsia" w:ascii="宋体" w:hAnsi="宋体" w:cs="宋体"/>
          <w:color w:val="auto"/>
          <w:sz w:val="28"/>
          <w:szCs w:val="28"/>
        </w:rPr>
        <w:t>露天矿山较好的落实了有关的安全措施，并且爆破作业由取得资质的人员进行，能较好的保证穿孔爆破作业的安全。</w:t>
      </w:r>
    </w:p>
    <w:p w14:paraId="049DCD4C">
      <w:pPr>
        <w:pStyle w:val="24"/>
        <w:bidi w:val="0"/>
        <w:rPr>
          <w:rFonts w:hint="default"/>
          <w:color w:val="auto"/>
          <w:lang w:val="en-US" w:eastAsia="zh-CN"/>
        </w:rPr>
      </w:pPr>
      <w:r>
        <w:rPr>
          <w:rFonts w:hint="default"/>
          <w:color w:val="auto"/>
          <w:lang w:val="en-US" w:eastAsia="zh-CN"/>
        </w:rPr>
        <w:t>采装与运输子单元</w:t>
      </w:r>
    </w:p>
    <w:p w14:paraId="349FFF58">
      <w:pPr>
        <w:pStyle w:val="16"/>
        <w:rPr>
          <w:rFonts w:hint="default"/>
          <w:color w:val="auto"/>
          <w:lang w:val="en-US" w:eastAsia="zh-CN"/>
        </w:rPr>
      </w:pPr>
      <w:r>
        <w:rPr>
          <w:rFonts w:hint="default"/>
          <w:color w:val="auto"/>
          <w:lang w:val="en-US" w:eastAsia="zh-CN"/>
        </w:rPr>
        <w:t>采用安全检查表法对采装与运输子单元进行检查，具体见下表。</w:t>
      </w:r>
    </w:p>
    <w:p w14:paraId="7EBE671E">
      <w:pPr>
        <w:pStyle w:val="25"/>
        <w:bidi w:val="0"/>
        <w:rPr>
          <w:rFonts w:hint="eastAsia"/>
          <w:color w:val="auto"/>
        </w:rPr>
      </w:pPr>
      <w:r>
        <w:rPr>
          <w:rFonts w:hint="eastAsia"/>
          <w:color w:val="auto"/>
        </w:rPr>
        <w:t>表5.2-3  采装与运输子单元安全检查表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
        <w:gridCol w:w="2113"/>
        <w:gridCol w:w="2117"/>
        <w:gridCol w:w="517"/>
        <w:gridCol w:w="3702"/>
        <w:gridCol w:w="501"/>
      </w:tblGrid>
      <w:tr w14:paraId="34BE3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0" w:type="auto"/>
            <w:noWrap w:val="0"/>
            <w:vAlign w:val="center"/>
          </w:tcPr>
          <w:p w14:paraId="25082C2A">
            <w:pPr>
              <w:pStyle w:val="26"/>
              <w:bidi w:val="0"/>
              <w:rPr>
                <w:rFonts w:hint="eastAsia"/>
                <w:color w:val="auto"/>
                <w:sz w:val="21"/>
                <w:szCs w:val="21"/>
              </w:rPr>
            </w:pPr>
            <w:r>
              <w:rPr>
                <w:rFonts w:hint="eastAsia"/>
                <w:color w:val="auto"/>
                <w:sz w:val="21"/>
                <w:szCs w:val="21"/>
              </w:rPr>
              <w:t>序号</w:t>
            </w:r>
          </w:p>
        </w:tc>
        <w:tc>
          <w:tcPr>
            <w:tcW w:w="0" w:type="auto"/>
            <w:noWrap w:val="0"/>
            <w:vAlign w:val="center"/>
          </w:tcPr>
          <w:p w14:paraId="053B7B77">
            <w:pPr>
              <w:pStyle w:val="26"/>
              <w:bidi w:val="0"/>
              <w:rPr>
                <w:rFonts w:hint="eastAsia"/>
                <w:color w:val="auto"/>
                <w:sz w:val="21"/>
                <w:szCs w:val="21"/>
              </w:rPr>
            </w:pPr>
            <w:r>
              <w:rPr>
                <w:rFonts w:hint="eastAsia"/>
                <w:color w:val="auto"/>
                <w:sz w:val="21"/>
                <w:szCs w:val="21"/>
              </w:rPr>
              <w:t>检查内容</w:t>
            </w:r>
          </w:p>
        </w:tc>
        <w:tc>
          <w:tcPr>
            <w:tcW w:w="2117" w:type="dxa"/>
            <w:noWrap w:val="0"/>
            <w:vAlign w:val="center"/>
          </w:tcPr>
          <w:p w14:paraId="2A16235F">
            <w:pPr>
              <w:pStyle w:val="26"/>
              <w:bidi w:val="0"/>
              <w:rPr>
                <w:rFonts w:hint="eastAsia"/>
                <w:color w:val="auto"/>
                <w:sz w:val="21"/>
                <w:szCs w:val="21"/>
              </w:rPr>
            </w:pPr>
            <w:r>
              <w:rPr>
                <w:rFonts w:hint="eastAsia"/>
                <w:color w:val="auto"/>
                <w:sz w:val="21"/>
                <w:szCs w:val="21"/>
              </w:rPr>
              <w:t>检查依据</w:t>
            </w:r>
          </w:p>
        </w:tc>
        <w:tc>
          <w:tcPr>
            <w:tcW w:w="517" w:type="dxa"/>
            <w:noWrap w:val="0"/>
            <w:vAlign w:val="center"/>
          </w:tcPr>
          <w:p w14:paraId="58BE7245">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4BBC77B2">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3BFA4A87">
            <w:pPr>
              <w:pStyle w:val="26"/>
              <w:bidi w:val="0"/>
              <w:rPr>
                <w:rFonts w:hint="eastAsia"/>
                <w:color w:val="auto"/>
                <w:sz w:val="21"/>
                <w:szCs w:val="21"/>
              </w:rPr>
            </w:pPr>
            <w:r>
              <w:rPr>
                <w:rFonts w:hint="eastAsia"/>
                <w:color w:val="auto"/>
                <w:sz w:val="21"/>
                <w:szCs w:val="21"/>
              </w:rPr>
              <w:t>结论</w:t>
            </w:r>
          </w:p>
        </w:tc>
      </w:tr>
      <w:tr w14:paraId="3046D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CC56F9B">
            <w:pPr>
              <w:pStyle w:val="26"/>
              <w:bidi w:val="0"/>
              <w:rPr>
                <w:color w:val="auto"/>
                <w:sz w:val="21"/>
                <w:szCs w:val="21"/>
              </w:rPr>
            </w:pPr>
            <w:r>
              <w:rPr>
                <w:rFonts w:hint="eastAsia"/>
                <w:color w:val="auto"/>
                <w:sz w:val="21"/>
                <w:szCs w:val="21"/>
              </w:rPr>
              <w:t>1</w:t>
            </w:r>
          </w:p>
        </w:tc>
        <w:tc>
          <w:tcPr>
            <w:tcW w:w="0" w:type="auto"/>
            <w:noWrap w:val="0"/>
            <w:vAlign w:val="center"/>
          </w:tcPr>
          <w:p w14:paraId="789AE635">
            <w:pPr>
              <w:pStyle w:val="26"/>
              <w:bidi w:val="0"/>
              <w:rPr>
                <w:rFonts w:hint="eastAsia"/>
                <w:color w:val="auto"/>
                <w:sz w:val="21"/>
                <w:szCs w:val="21"/>
              </w:rPr>
            </w:pPr>
            <w:r>
              <w:rPr>
                <w:rFonts w:hint="eastAsia"/>
                <w:color w:val="auto"/>
                <w:sz w:val="21"/>
                <w:szCs w:val="21"/>
              </w:rPr>
              <w:t>设计运矿公路</w:t>
            </w:r>
            <w:r>
              <w:rPr>
                <w:rFonts w:hint="eastAsia"/>
                <w:color w:val="auto"/>
                <w:sz w:val="21"/>
                <w:szCs w:val="21"/>
                <w:lang w:val="en-US" w:eastAsia="zh-CN"/>
              </w:rPr>
              <w:t>为</w:t>
            </w:r>
            <w:r>
              <w:rPr>
                <w:rFonts w:hint="eastAsia"/>
                <w:color w:val="auto"/>
                <w:sz w:val="21"/>
                <w:szCs w:val="21"/>
              </w:rPr>
              <w:t>单车道，路面宽5m</w:t>
            </w:r>
            <w:r>
              <w:rPr>
                <w:rFonts w:hint="eastAsia"/>
                <w:color w:val="auto"/>
                <w:sz w:val="21"/>
                <w:szCs w:val="21"/>
                <w:lang w:eastAsia="zh-CN"/>
              </w:rPr>
              <w:t>，</w:t>
            </w:r>
            <w:r>
              <w:rPr>
                <w:rFonts w:hint="eastAsia"/>
                <w:color w:val="auto"/>
                <w:sz w:val="21"/>
                <w:szCs w:val="21"/>
              </w:rPr>
              <w:t>限制坡度8%</w:t>
            </w:r>
            <w:r>
              <w:rPr>
                <w:rFonts w:hint="eastAsia"/>
                <w:color w:val="auto"/>
                <w:sz w:val="21"/>
                <w:szCs w:val="21"/>
                <w:lang w:eastAsia="zh-CN"/>
              </w:rPr>
              <w:t>，</w:t>
            </w:r>
            <w:r>
              <w:rPr>
                <w:rFonts w:hint="eastAsia"/>
                <w:color w:val="auto"/>
                <w:sz w:val="21"/>
                <w:szCs w:val="21"/>
              </w:rPr>
              <w:t>最小转弯半径15m。</w:t>
            </w:r>
          </w:p>
        </w:tc>
        <w:tc>
          <w:tcPr>
            <w:tcW w:w="2117" w:type="dxa"/>
            <w:noWrap w:val="0"/>
            <w:vAlign w:val="center"/>
          </w:tcPr>
          <w:p w14:paraId="28DD218A">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517" w:type="dxa"/>
            <w:noWrap w:val="0"/>
            <w:vAlign w:val="center"/>
          </w:tcPr>
          <w:p w14:paraId="35454D8D">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5B0FE7DB">
            <w:pPr>
              <w:pStyle w:val="26"/>
              <w:bidi w:val="0"/>
              <w:rPr>
                <w:rFonts w:hint="eastAsia"/>
                <w:color w:val="auto"/>
                <w:sz w:val="21"/>
                <w:szCs w:val="21"/>
              </w:rPr>
            </w:pPr>
            <w:r>
              <w:rPr>
                <w:rFonts w:hint="eastAsia"/>
                <w:color w:val="auto"/>
                <w:sz w:val="21"/>
                <w:szCs w:val="21"/>
              </w:rPr>
              <w:t>经现场勘察，矿区道路等级为Ⅲ级，宽度为4m，道路纵坡不超过8%，最小转弯半径为15m，缓坡段长度40m，宽度8m，坡度不大于3%，道路为碎石路面简易道路。在运输道路外侧已设置了车挡设施，车挡设施轮廓为梯形，高度1m，宽度0.8m。</w:t>
            </w:r>
          </w:p>
        </w:tc>
        <w:tc>
          <w:tcPr>
            <w:tcW w:w="0" w:type="auto"/>
            <w:noWrap w:val="0"/>
            <w:vAlign w:val="center"/>
          </w:tcPr>
          <w:p w14:paraId="74E3581F">
            <w:pPr>
              <w:pStyle w:val="26"/>
              <w:bidi w:val="0"/>
              <w:rPr>
                <w:rFonts w:hint="eastAsia"/>
                <w:color w:val="auto"/>
                <w:sz w:val="21"/>
                <w:szCs w:val="21"/>
              </w:rPr>
            </w:pPr>
            <w:r>
              <w:rPr>
                <w:rFonts w:hint="eastAsia"/>
                <w:color w:val="auto"/>
                <w:sz w:val="21"/>
                <w:szCs w:val="21"/>
              </w:rPr>
              <w:t>符合要求</w:t>
            </w:r>
          </w:p>
        </w:tc>
      </w:tr>
      <w:tr w14:paraId="031E9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1F7E4AA">
            <w:pPr>
              <w:pStyle w:val="26"/>
              <w:bidi w:val="0"/>
              <w:rPr>
                <w:color w:val="auto"/>
                <w:sz w:val="21"/>
                <w:szCs w:val="21"/>
              </w:rPr>
            </w:pPr>
            <w:r>
              <w:rPr>
                <w:rFonts w:hint="eastAsia"/>
                <w:color w:val="auto"/>
                <w:sz w:val="21"/>
                <w:szCs w:val="21"/>
              </w:rPr>
              <w:t>2</w:t>
            </w:r>
          </w:p>
        </w:tc>
        <w:tc>
          <w:tcPr>
            <w:tcW w:w="0" w:type="auto"/>
            <w:noWrap w:val="0"/>
            <w:vAlign w:val="center"/>
          </w:tcPr>
          <w:p w14:paraId="16785596">
            <w:pPr>
              <w:pStyle w:val="26"/>
              <w:bidi w:val="0"/>
              <w:rPr>
                <w:rFonts w:hint="eastAsia"/>
                <w:color w:val="auto"/>
                <w:sz w:val="21"/>
                <w:szCs w:val="21"/>
              </w:rPr>
            </w:pPr>
            <w:r>
              <w:rPr>
                <w:rFonts w:hint="eastAsia"/>
                <w:color w:val="auto"/>
                <w:sz w:val="21"/>
                <w:szCs w:val="21"/>
              </w:rPr>
              <w:t>设计采用设计选用</w:t>
            </w:r>
            <w:r>
              <w:rPr>
                <w:rFonts w:hint="eastAsia"/>
                <w:color w:val="auto"/>
                <w:sz w:val="21"/>
                <w:szCs w:val="21"/>
                <w:lang w:val="en-US" w:eastAsia="zh-CN"/>
              </w:rPr>
              <w:t>1</w:t>
            </w:r>
            <w:r>
              <w:rPr>
                <w:rFonts w:hint="eastAsia"/>
                <w:color w:val="auto"/>
                <w:sz w:val="21"/>
                <w:szCs w:val="21"/>
              </w:rPr>
              <w:t>台斗容为</w:t>
            </w:r>
            <w:r>
              <w:rPr>
                <w:rFonts w:hint="eastAsia"/>
                <w:color w:val="auto"/>
                <w:sz w:val="21"/>
                <w:szCs w:val="21"/>
                <w:lang w:val="en-US" w:eastAsia="zh-CN"/>
              </w:rPr>
              <w:t>1.8</w:t>
            </w:r>
            <w:r>
              <w:rPr>
                <w:rFonts w:hint="eastAsia"/>
                <w:color w:val="auto"/>
                <w:sz w:val="21"/>
                <w:szCs w:val="21"/>
              </w:rPr>
              <w:t>m</w:t>
            </w:r>
            <w:r>
              <w:rPr>
                <w:rFonts w:hint="default" w:ascii="Times New Roman" w:hAnsi="Times New Roman" w:cs="Times New Roman"/>
                <w:color w:val="auto"/>
                <w:sz w:val="21"/>
                <w:szCs w:val="21"/>
              </w:rPr>
              <w:t>³</w:t>
            </w:r>
            <w:r>
              <w:rPr>
                <w:rFonts w:hint="eastAsia"/>
                <w:color w:val="auto"/>
                <w:sz w:val="21"/>
                <w:szCs w:val="21"/>
              </w:rPr>
              <w:t>型挖掘机进行装车，运输设备选用6台</w:t>
            </w:r>
            <w:r>
              <w:rPr>
                <w:rFonts w:hint="eastAsia"/>
                <w:color w:val="auto"/>
                <w:sz w:val="21"/>
                <w:szCs w:val="21"/>
                <w:lang w:val="en-US" w:eastAsia="zh-CN"/>
              </w:rPr>
              <w:t>10</w:t>
            </w:r>
            <w:r>
              <w:rPr>
                <w:rFonts w:hint="eastAsia"/>
                <w:color w:val="auto"/>
                <w:sz w:val="21"/>
                <w:szCs w:val="21"/>
              </w:rPr>
              <w:t>t自卸汽车铲装运输工作。</w:t>
            </w:r>
          </w:p>
        </w:tc>
        <w:tc>
          <w:tcPr>
            <w:tcW w:w="2117" w:type="dxa"/>
            <w:noWrap w:val="0"/>
            <w:vAlign w:val="center"/>
          </w:tcPr>
          <w:p w14:paraId="1BD6F236">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517" w:type="dxa"/>
            <w:noWrap w:val="0"/>
            <w:vAlign w:val="center"/>
          </w:tcPr>
          <w:p w14:paraId="6B58ED56">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30823A66">
            <w:pPr>
              <w:pStyle w:val="26"/>
              <w:bidi w:val="0"/>
              <w:rPr>
                <w:color w:val="auto"/>
                <w:sz w:val="21"/>
                <w:szCs w:val="21"/>
              </w:rPr>
            </w:pPr>
            <w:r>
              <w:rPr>
                <w:rFonts w:hint="eastAsia"/>
                <w:color w:val="auto"/>
                <w:sz w:val="21"/>
                <w:szCs w:val="21"/>
              </w:rPr>
              <w:t>经现场勘察，矿山采用1台SANY SY4151H型挖掘机（斗容</w:t>
            </w:r>
            <w:r>
              <w:rPr>
                <w:rFonts w:hint="eastAsia"/>
                <w:color w:val="auto"/>
                <w:sz w:val="21"/>
                <w:szCs w:val="21"/>
                <w:lang w:val="en-US" w:eastAsia="zh-CN"/>
              </w:rPr>
              <w:t>2</w:t>
            </w:r>
            <w:r>
              <w:rPr>
                <w:rFonts w:hint="eastAsia"/>
                <w:color w:val="auto"/>
                <w:sz w:val="21"/>
                <w:szCs w:val="21"/>
              </w:rPr>
              <w:t>m</w:t>
            </w:r>
            <w:r>
              <w:rPr>
                <w:rFonts w:hint="default" w:ascii="Times New Roman" w:hAnsi="Times New Roman" w:cs="Times New Roman"/>
                <w:color w:val="auto"/>
                <w:sz w:val="21"/>
                <w:szCs w:val="21"/>
              </w:rPr>
              <w:t>³</w:t>
            </w:r>
            <w:r>
              <w:rPr>
                <w:rFonts w:hint="eastAsia"/>
                <w:color w:val="auto"/>
                <w:sz w:val="21"/>
                <w:szCs w:val="21"/>
              </w:rPr>
              <w:t>）装矿，采用6台</w:t>
            </w:r>
            <w:r>
              <w:rPr>
                <w:rFonts w:hint="eastAsia"/>
                <w:color w:val="auto"/>
                <w:sz w:val="21"/>
                <w:szCs w:val="21"/>
                <w:lang w:val="en-US" w:eastAsia="zh-CN"/>
              </w:rPr>
              <w:t>10</w:t>
            </w:r>
            <w:r>
              <w:rPr>
                <w:rFonts w:hint="eastAsia"/>
                <w:color w:val="auto"/>
                <w:sz w:val="21"/>
                <w:szCs w:val="21"/>
              </w:rPr>
              <w:t>t自卸</w:t>
            </w:r>
            <w:r>
              <w:rPr>
                <w:rFonts w:hint="eastAsia"/>
                <w:color w:val="auto"/>
                <w:sz w:val="21"/>
                <w:szCs w:val="21"/>
                <w:lang w:val="en-US" w:eastAsia="zh-CN"/>
              </w:rPr>
              <w:t>汽</w:t>
            </w:r>
            <w:r>
              <w:rPr>
                <w:rFonts w:hint="eastAsia"/>
                <w:color w:val="auto"/>
                <w:sz w:val="21"/>
                <w:szCs w:val="21"/>
              </w:rPr>
              <w:t>车运输矿石。</w:t>
            </w:r>
          </w:p>
        </w:tc>
        <w:tc>
          <w:tcPr>
            <w:tcW w:w="0" w:type="auto"/>
            <w:noWrap w:val="0"/>
            <w:vAlign w:val="center"/>
          </w:tcPr>
          <w:p w14:paraId="5B527E54">
            <w:pPr>
              <w:pStyle w:val="26"/>
              <w:bidi w:val="0"/>
              <w:rPr>
                <w:rFonts w:hint="eastAsia"/>
                <w:color w:val="auto"/>
                <w:sz w:val="21"/>
                <w:szCs w:val="21"/>
              </w:rPr>
            </w:pPr>
            <w:r>
              <w:rPr>
                <w:rFonts w:hint="eastAsia"/>
                <w:color w:val="auto"/>
                <w:sz w:val="21"/>
                <w:szCs w:val="21"/>
              </w:rPr>
              <w:t>符合要求</w:t>
            </w:r>
          </w:p>
        </w:tc>
      </w:tr>
      <w:tr w14:paraId="06387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237F2F9">
            <w:pPr>
              <w:pStyle w:val="26"/>
              <w:bidi w:val="0"/>
              <w:rPr>
                <w:color w:val="auto"/>
                <w:sz w:val="21"/>
                <w:szCs w:val="21"/>
              </w:rPr>
            </w:pPr>
            <w:r>
              <w:rPr>
                <w:rFonts w:hint="eastAsia"/>
                <w:color w:val="auto"/>
                <w:sz w:val="21"/>
                <w:szCs w:val="21"/>
              </w:rPr>
              <w:t>3</w:t>
            </w:r>
          </w:p>
        </w:tc>
        <w:tc>
          <w:tcPr>
            <w:tcW w:w="0" w:type="auto"/>
            <w:noWrap w:val="0"/>
            <w:vAlign w:val="center"/>
          </w:tcPr>
          <w:p w14:paraId="6665F1A9">
            <w:pPr>
              <w:pStyle w:val="26"/>
              <w:bidi w:val="0"/>
              <w:rPr>
                <w:rFonts w:hint="eastAsia"/>
                <w:color w:val="auto"/>
                <w:sz w:val="21"/>
                <w:szCs w:val="21"/>
              </w:rPr>
            </w:pPr>
            <w:r>
              <w:rPr>
                <w:rFonts w:hint="eastAsia"/>
                <w:color w:val="auto"/>
                <w:sz w:val="21"/>
                <w:szCs w:val="21"/>
              </w:rPr>
              <w:t>金属非金属露天开采项目自2015年2月13日起立即禁止采用人工集中铲装装卸矿岩。</w:t>
            </w:r>
          </w:p>
        </w:tc>
        <w:tc>
          <w:tcPr>
            <w:tcW w:w="2117" w:type="dxa"/>
            <w:noWrap w:val="0"/>
            <w:vAlign w:val="center"/>
          </w:tcPr>
          <w:p w14:paraId="1D8319DB">
            <w:pPr>
              <w:pStyle w:val="26"/>
              <w:bidi w:val="0"/>
              <w:rPr>
                <w:rFonts w:hint="eastAsia"/>
                <w:color w:val="auto"/>
                <w:sz w:val="21"/>
                <w:szCs w:val="21"/>
              </w:rPr>
            </w:pPr>
            <w:r>
              <w:rPr>
                <w:rFonts w:hint="eastAsia"/>
                <w:color w:val="auto"/>
                <w:sz w:val="21"/>
                <w:szCs w:val="21"/>
              </w:rPr>
              <w:t>《安监总管一〔2015〕13号》</w:t>
            </w:r>
          </w:p>
        </w:tc>
        <w:tc>
          <w:tcPr>
            <w:tcW w:w="517" w:type="dxa"/>
            <w:noWrap w:val="0"/>
            <w:vAlign w:val="center"/>
          </w:tcPr>
          <w:p w14:paraId="6F688969">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5D78E524">
            <w:pPr>
              <w:pStyle w:val="26"/>
              <w:bidi w:val="0"/>
              <w:rPr>
                <w:rFonts w:hint="eastAsia"/>
                <w:color w:val="auto"/>
                <w:sz w:val="21"/>
                <w:szCs w:val="21"/>
              </w:rPr>
            </w:pPr>
            <w:r>
              <w:rPr>
                <w:rFonts w:hint="eastAsia"/>
                <w:color w:val="auto"/>
                <w:sz w:val="21"/>
                <w:szCs w:val="21"/>
              </w:rPr>
              <w:t>露天采场采用</w:t>
            </w:r>
            <w:r>
              <w:rPr>
                <w:rFonts w:hint="eastAsia"/>
                <w:color w:val="auto"/>
                <w:sz w:val="21"/>
                <w:szCs w:val="21"/>
                <w:lang w:val="en-US" w:eastAsia="zh-CN"/>
              </w:rPr>
              <w:t>铲装机</w:t>
            </w:r>
            <w:r>
              <w:rPr>
                <w:rFonts w:hint="eastAsia"/>
                <w:color w:val="auto"/>
                <w:sz w:val="21"/>
                <w:szCs w:val="21"/>
              </w:rPr>
              <w:t>进行铲装作业，液压挖掘机辅助装载。</w:t>
            </w:r>
          </w:p>
        </w:tc>
        <w:tc>
          <w:tcPr>
            <w:tcW w:w="0" w:type="auto"/>
            <w:noWrap w:val="0"/>
            <w:vAlign w:val="center"/>
          </w:tcPr>
          <w:p w14:paraId="0DE75E59">
            <w:pPr>
              <w:pStyle w:val="26"/>
              <w:bidi w:val="0"/>
              <w:rPr>
                <w:rFonts w:hint="eastAsia"/>
                <w:color w:val="auto"/>
                <w:sz w:val="21"/>
                <w:szCs w:val="21"/>
              </w:rPr>
            </w:pPr>
            <w:r>
              <w:rPr>
                <w:rFonts w:hint="eastAsia"/>
                <w:color w:val="auto"/>
                <w:sz w:val="21"/>
                <w:szCs w:val="21"/>
              </w:rPr>
              <w:t>符合要求</w:t>
            </w:r>
          </w:p>
        </w:tc>
      </w:tr>
      <w:tr w14:paraId="75B4E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5A99AAA">
            <w:pPr>
              <w:pStyle w:val="26"/>
              <w:bidi w:val="0"/>
              <w:rPr>
                <w:color w:val="auto"/>
                <w:sz w:val="21"/>
                <w:szCs w:val="21"/>
              </w:rPr>
            </w:pPr>
            <w:r>
              <w:rPr>
                <w:rFonts w:hint="eastAsia"/>
                <w:color w:val="auto"/>
                <w:sz w:val="21"/>
                <w:szCs w:val="21"/>
              </w:rPr>
              <w:t>4</w:t>
            </w:r>
          </w:p>
        </w:tc>
        <w:tc>
          <w:tcPr>
            <w:tcW w:w="0" w:type="auto"/>
            <w:noWrap w:val="0"/>
            <w:vAlign w:val="center"/>
          </w:tcPr>
          <w:p w14:paraId="529CB585">
            <w:pPr>
              <w:pStyle w:val="26"/>
              <w:bidi w:val="0"/>
              <w:rPr>
                <w:rFonts w:hint="eastAsia"/>
                <w:color w:val="auto"/>
                <w:sz w:val="21"/>
                <w:szCs w:val="21"/>
              </w:rPr>
            </w:pPr>
            <w:r>
              <w:rPr>
                <w:rFonts w:hint="eastAsia"/>
                <w:color w:val="auto"/>
                <w:sz w:val="21"/>
                <w:szCs w:val="21"/>
              </w:rPr>
              <w:t>应使用机械化铲装作业，严格控制、减少装运作业人员；定期对挖掘设备和运输车辆进行维护、检修，保证正常运行。</w:t>
            </w:r>
          </w:p>
        </w:tc>
        <w:tc>
          <w:tcPr>
            <w:tcW w:w="2117" w:type="dxa"/>
            <w:noWrap w:val="0"/>
            <w:vAlign w:val="center"/>
          </w:tcPr>
          <w:p w14:paraId="77B50C85">
            <w:pPr>
              <w:pStyle w:val="26"/>
              <w:bidi w:val="0"/>
              <w:rPr>
                <w:rFonts w:hint="eastAsia"/>
                <w:color w:val="auto"/>
                <w:sz w:val="21"/>
                <w:szCs w:val="21"/>
              </w:rPr>
            </w:pPr>
            <w:r>
              <w:rPr>
                <w:rFonts w:hint="eastAsia"/>
                <w:color w:val="auto"/>
                <w:sz w:val="21"/>
                <w:szCs w:val="21"/>
              </w:rPr>
              <w:t>《安监总管一〔2009〕44号》</w:t>
            </w:r>
          </w:p>
        </w:tc>
        <w:tc>
          <w:tcPr>
            <w:tcW w:w="517" w:type="dxa"/>
            <w:noWrap w:val="0"/>
            <w:vAlign w:val="center"/>
          </w:tcPr>
          <w:p w14:paraId="6990B88C">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1B890F1">
            <w:pPr>
              <w:pStyle w:val="26"/>
              <w:bidi w:val="0"/>
              <w:rPr>
                <w:rFonts w:hint="eastAsia"/>
                <w:color w:val="auto"/>
                <w:sz w:val="21"/>
                <w:szCs w:val="21"/>
              </w:rPr>
            </w:pPr>
            <w:r>
              <w:rPr>
                <w:rFonts w:hint="eastAsia"/>
                <w:color w:val="auto"/>
                <w:sz w:val="21"/>
                <w:szCs w:val="21"/>
              </w:rPr>
              <w:t>现场采用</w:t>
            </w:r>
            <w:r>
              <w:rPr>
                <w:rFonts w:hint="eastAsia"/>
                <w:color w:val="auto"/>
                <w:sz w:val="21"/>
                <w:szCs w:val="21"/>
                <w:lang w:val="en-US" w:eastAsia="zh-CN"/>
              </w:rPr>
              <w:t>铲装机</w:t>
            </w:r>
            <w:r>
              <w:rPr>
                <w:rFonts w:hint="eastAsia"/>
                <w:color w:val="auto"/>
                <w:sz w:val="21"/>
                <w:szCs w:val="21"/>
              </w:rPr>
              <w:t>和液压挖掘机进行装载作业，能够做到定期对</w:t>
            </w:r>
            <w:r>
              <w:rPr>
                <w:rFonts w:hint="eastAsia"/>
                <w:color w:val="auto"/>
                <w:sz w:val="21"/>
                <w:szCs w:val="21"/>
                <w:lang w:val="en-US" w:eastAsia="zh-CN"/>
              </w:rPr>
              <w:t>铲装机</w:t>
            </w:r>
            <w:r>
              <w:rPr>
                <w:rFonts w:hint="eastAsia"/>
                <w:color w:val="auto"/>
                <w:sz w:val="21"/>
                <w:szCs w:val="21"/>
              </w:rPr>
              <w:t>和液压挖掘机和运输车辆进行维护、检修。</w:t>
            </w:r>
          </w:p>
        </w:tc>
        <w:tc>
          <w:tcPr>
            <w:tcW w:w="0" w:type="auto"/>
            <w:noWrap w:val="0"/>
            <w:vAlign w:val="center"/>
          </w:tcPr>
          <w:p w14:paraId="4B3BAFE1">
            <w:pPr>
              <w:pStyle w:val="26"/>
              <w:bidi w:val="0"/>
              <w:rPr>
                <w:rFonts w:hint="eastAsia"/>
                <w:color w:val="auto"/>
                <w:sz w:val="21"/>
                <w:szCs w:val="21"/>
              </w:rPr>
            </w:pPr>
            <w:r>
              <w:rPr>
                <w:rFonts w:hint="eastAsia"/>
                <w:color w:val="auto"/>
                <w:sz w:val="21"/>
                <w:szCs w:val="21"/>
              </w:rPr>
              <w:t>符合要求</w:t>
            </w:r>
          </w:p>
        </w:tc>
      </w:tr>
      <w:tr w14:paraId="40D7C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CF185DE">
            <w:pPr>
              <w:pStyle w:val="26"/>
              <w:bidi w:val="0"/>
              <w:rPr>
                <w:color w:val="auto"/>
                <w:sz w:val="21"/>
                <w:szCs w:val="21"/>
              </w:rPr>
            </w:pPr>
            <w:r>
              <w:rPr>
                <w:rFonts w:hint="eastAsia"/>
                <w:color w:val="auto"/>
                <w:sz w:val="21"/>
                <w:szCs w:val="21"/>
              </w:rPr>
              <w:t>5</w:t>
            </w:r>
          </w:p>
        </w:tc>
        <w:tc>
          <w:tcPr>
            <w:tcW w:w="0" w:type="auto"/>
            <w:noWrap w:val="0"/>
            <w:vAlign w:val="center"/>
          </w:tcPr>
          <w:p w14:paraId="69C5CB50">
            <w:pPr>
              <w:pStyle w:val="26"/>
              <w:bidi w:val="0"/>
              <w:rPr>
                <w:rFonts w:hint="eastAsia"/>
                <w:color w:val="auto"/>
                <w:sz w:val="21"/>
                <w:szCs w:val="21"/>
              </w:rPr>
            </w:pPr>
            <w:r>
              <w:rPr>
                <w:rFonts w:hint="eastAsia"/>
                <w:color w:val="auto"/>
                <w:sz w:val="21"/>
                <w:szCs w:val="21"/>
              </w:rPr>
              <w:t>铲装工作开始前应确认作业环境安全。</w:t>
            </w:r>
          </w:p>
        </w:tc>
        <w:tc>
          <w:tcPr>
            <w:tcW w:w="2117" w:type="dxa"/>
            <w:noWrap w:val="0"/>
            <w:vAlign w:val="center"/>
          </w:tcPr>
          <w:p w14:paraId="3806F9B1">
            <w:pPr>
              <w:pStyle w:val="26"/>
              <w:bidi w:val="0"/>
              <w:rPr>
                <w:rFonts w:hint="eastAsia"/>
                <w:color w:val="auto"/>
                <w:sz w:val="21"/>
                <w:szCs w:val="21"/>
              </w:rPr>
            </w:pPr>
            <w:r>
              <w:rPr>
                <w:rFonts w:hint="eastAsia"/>
                <w:color w:val="auto"/>
                <w:sz w:val="21"/>
                <w:szCs w:val="21"/>
              </w:rPr>
              <w:t>《GB16423-2020》之5.2.3.1条</w:t>
            </w:r>
          </w:p>
        </w:tc>
        <w:tc>
          <w:tcPr>
            <w:tcW w:w="517" w:type="dxa"/>
            <w:noWrap w:val="0"/>
            <w:vAlign w:val="center"/>
          </w:tcPr>
          <w:p w14:paraId="097E6E0F">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C3FB08A">
            <w:pPr>
              <w:pStyle w:val="26"/>
              <w:bidi w:val="0"/>
              <w:rPr>
                <w:rFonts w:hint="eastAsia"/>
                <w:color w:val="auto"/>
                <w:sz w:val="21"/>
                <w:szCs w:val="21"/>
              </w:rPr>
            </w:pPr>
            <w:r>
              <w:rPr>
                <w:rFonts w:hint="eastAsia"/>
                <w:color w:val="auto"/>
                <w:sz w:val="21"/>
                <w:szCs w:val="21"/>
              </w:rPr>
              <w:t>铲装工作开始前，作业人员确定了作业环境安全后，在进行作业。</w:t>
            </w:r>
          </w:p>
        </w:tc>
        <w:tc>
          <w:tcPr>
            <w:tcW w:w="0" w:type="auto"/>
            <w:noWrap w:val="0"/>
            <w:vAlign w:val="center"/>
          </w:tcPr>
          <w:p w14:paraId="342732C9">
            <w:pPr>
              <w:pStyle w:val="26"/>
              <w:bidi w:val="0"/>
              <w:rPr>
                <w:rFonts w:hint="eastAsia"/>
                <w:color w:val="auto"/>
                <w:sz w:val="21"/>
                <w:szCs w:val="21"/>
              </w:rPr>
            </w:pPr>
            <w:r>
              <w:rPr>
                <w:rFonts w:hint="eastAsia"/>
                <w:color w:val="auto"/>
                <w:sz w:val="21"/>
                <w:szCs w:val="21"/>
              </w:rPr>
              <w:t>符合要求</w:t>
            </w:r>
          </w:p>
        </w:tc>
      </w:tr>
      <w:tr w14:paraId="3E13B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2336D49">
            <w:pPr>
              <w:pStyle w:val="26"/>
              <w:bidi w:val="0"/>
              <w:rPr>
                <w:color w:val="auto"/>
                <w:sz w:val="21"/>
                <w:szCs w:val="21"/>
              </w:rPr>
            </w:pPr>
            <w:r>
              <w:rPr>
                <w:rFonts w:hint="eastAsia"/>
                <w:color w:val="auto"/>
                <w:sz w:val="21"/>
                <w:szCs w:val="21"/>
              </w:rPr>
              <w:t>6</w:t>
            </w:r>
          </w:p>
        </w:tc>
        <w:tc>
          <w:tcPr>
            <w:tcW w:w="0" w:type="auto"/>
            <w:noWrap w:val="0"/>
            <w:vAlign w:val="center"/>
          </w:tcPr>
          <w:p w14:paraId="1A2D3662">
            <w:pPr>
              <w:pStyle w:val="26"/>
              <w:bidi w:val="0"/>
              <w:rPr>
                <w:rFonts w:hint="eastAsia"/>
                <w:color w:val="auto"/>
                <w:sz w:val="21"/>
                <w:szCs w:val="21"/>
              </w:rPr>
            </w:pPr>
            <w:r>
              <w:rPr>
                <w:rFonts w:hint="eastAsia"/>
                <w:color w:val="auto"/>
                <w:sz w:val="21"/>
                <w:szCs w:val="21"/>
              </w:rPr>
              <w:t>铲装设备工作前应发出警告信号，无关人员应远离设备。</w:t>
            </w:r>
          </w:p>
        </w:tc>
        <w:tc>
          <w:tcPr>
            <w:tcW w:w="2117" w:type="dxa"/>
            <w:noWrap w:val="0"/>
            <w:vAlign w:val="center"/>
          </w:tcPr>
          <w:p w14:paraId="74801E24">
            <w:pPr>
              <w:pStyle w:val="26"/>
              <w:bidi w:val="0"/>
              <w:rPr>
                <w:rFonts w:hint="eastAsia"/>
                <w:color w:val="auto"/>
                <w:sz w:val="21"/>
                <w:szCs w:val="21"/>
              </w:rPr>
            </w:pPr>
            <w:r>
              <w:rPr>
                <w:rFonts w:hint="eastAsia"/>
                <w:color w:val="auto"/>
                <w:sz w:val="21"/>
                <w:szCs w:val="21"/>
              </w:rPr>
              <w:t>《GB16423-2020》之5.2.3.2条</w:t>
            </w:r>
          </w:p>
        </w:tc>
        <w:tc>
          <w:tcPr>
            <w:tcW w:w="517" w:type="dxa"/>
            <w:noWrap w:val="0"/>
            <w:vAlign w:val="center"/>
          </w:tcPr>
          <w:p w14:paraId="2BE07B43">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F1D8C01">
            <w:pPr>
              <w:pStyle w:val="26"/>
              <w:bidi w:val="0"/>
              <w:rPr>
                <w:rFonts w:hint="eastAsia"/>
                <w:color w:val="auto"/>
                <w:sz w:val="21"/>
                <w:szCs w:val="21"/>
              </w:rPr>
            </w:pPr>
            <w:r>
              <w:rPr>
                <w:rFonts w:hint="eastAsia"/>
                <w:color w:val="auto"/>
                <w:sz w:val="21"/>
                <w:szCs w:val="21"/>
              </w:rPr>
              <w:t>铲装设备汽笛或警报器完好，进行各种操作时，均能发出警告信号，无关人员均远离设备。</w:t>
            </w:r>
          </w:p>
        </w:tc>
        <w:tc>
          <w:tcPr>
            <w:tcW w:w="0" w:type="auto"/>
            <w:noWrap w:val="0"/>
            <w:vAlign w:val="center"/>
          </w:tcPr>
          <w:p w14:paraId="04BB9212">
            <w:pPr>
              <w:pStyle w:val="26"/>
              <w:bidi w:val="0"/>
              <w:rPr>
                <w:rFonts w:hint="eastAsia"/>
                <w:color w:val="auto"/>
                <w:sz w:val="21"/>
                <w:szCs w:val="21"/>
              </w:rPr>
            </w:pPr>
            <w:r>
              <w:rPr>
                <w:rFonts w:hint="eastAsia"/>
                <w:color w:val="auto"/>
                <w:sz w:val="21"/>
                <w:szCs w:val="21"/>
              </w:rPr>
              <w:t>符合要求</w:t>
            </w:r>
          </w:p>
        </w:tc>
      </w:tr>
      <w:tr w14:paraId="3421D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1F3080A">
            <w:pPr>
              <w:pStyle w:val="26"/>
              <w:bidi w:val="0"/>
              <w:rPr>
                <w:color w:val="auto"/>
                <w:sz w:val="21"/>
                <w:szCs w:val="21"/>
              </w:rPr>
            </w:pPr>
            <w:r>
              <w:rPr>
                <w:rFonts w:hint="eastAsia"/>
                <w:color w:val="auto"/>
                <w:sz w:val="21"/>
                <w:szCs w:val="21"/>
              </w:rPr>
              <w:t>7</w:t>
            </w:r>
          </w:p>
        </w:tc>
        <w:tc>
          <w:tcPr>
            <w:tcW w:w="0" w:type="auto"/>
            <w:noWrap w:val="0"/>
            <w:vAlign w:val="center"/>
          </w:tcPr>
          <w:p w14:paraId="4FD9314A">
            <w:pPr>
              <w:pStyle w:val="26"/>
              <w:bidi w:val="0"/>
              <w:rPr>
                <w:rFonts w:hint="eastAsia"/>
                <w:color w:val="auto"/>
                <w:sz w:val="21"/>
                <w:szCs w:val="21"/>
              </w:rPr>
            </w:pPr>
            <w:r>
              <w:rPr>
                <w:rFonts w:hint="eastAsia"/>
                <w:color w:val="auto"/>
                <w:sz w:val="21"/>
                <w:szCs w:val="21"/>
              </w:rPr>
              <w:t>铲装设备工作应遵守：悬臂和铲斗及工作面附近不应有人员停留。</w:t>
            </w:r>
          </w:p>
        </w:tc>
        <w:tc>
          <w:tcPr>
            <w:tcW w:w="2117" w:type="dxa"/>
            <w:noWrap w:val="0"/>
            <w:vAlign w:val="center"/>
          </w:tcPr>
          <w:p w14:paraId="75333FF1">
            <w:pPr>
              <w:pStyle w:val="26"/>
              <w:bidi w:val="0"/>
              <w:rPr>
                <w:rFonts w:hint="eastAsia"/>
                <w:color w:val="auto"/>
                <w:sz w:val="21"/>
                <w:szCs w:val="21"/>
              </w:rPr>
            </w:pPr>
            <w:r>
              <w:rPr>
                <w:rFonts w:hint="eastAsia"/>
                <w:color w:val="auto"/>
                <w:sz w:val="21"/>
                <w:szCs w:val="21"/>
              </w:rPr>
              <w:t>《GB16423-2020》之5.2.3.4条</w:t>
            </w:r>
          </w:p>
        </w:tc>
        <w:tc>
          <w:tcPr>
            <w:tcW w:w="517" w:type="dxa"/>
            <w:noWrap w:val="0"/>
            <w:vAlign w:val="center"/>
          </w:tcPr>
          <w:p w14:paraId="4916CDC1">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57E6118">
            <w:pPr>
              <w:pStyle w:val="26"/>
              <w:bidi w:val="0"/>
              <w:rPr>
                <w:rFonts w:hint="eastAsia"/>
                <w:color w:val="auto"/>
                <w:sz w:val="21"/>
                <w:szCs w:val="21"/>
              </w:rPr>
            </w:pPr>
            <w:r>
              <w:rPr>
                <w:rFonts w:hint="eastAsia"/>
                <w:color w:val="auto"/>
                <w:sz w:val="21"/>
                <w:szCs w:val="21"/>
              </w:rPr>
              <w:t>悬臂和铲斗及工作面附近没有人员停留。</w:t>
            </w:r>
          </w:p>
        </w:tc>
        <w:tc>
          <w:tcPr>
            <w:tcW w:w="0" w:type="auto"/>
            <w:noWrap w:val="0"/>
            <w:vAlign w:val="center"/>
          </w:tcPr>
          <w:p w14:paraId="73046ECE">
            <w:pPr>
              <w:pStyle w:val="26"/>
              <w:bidi w:val="0"/>
              <w:rPr>
                <w:rFonts w:hint="eastAsia"/>
                <w:color w:val="auto"/>
                <w:sz w:val="21"/>
                <w:szCs w:val="21"/>
              </w:rPr>
            </w:pPr>
            <w:r>
              <w:rPr>
                <w:rFonts w:hint="eastAsia"/>
                <w:color w:val="auto"/>
                <w:sz w:val="21"/>
                <w:szCs w:val="21"/>
              </w:rPr>
              <w:t>符合要求</w:t>
            </w:r>
          </w:p>
        </w:tc>
      </w:tr>
      <w:tr w14:paraId="0823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7364283">
            <w:pPr>
              <w:pStyle w:val="26"/>
              <w:bidi w:val="0"/>
              <w:rPr>
                <w:color w:val="auto"/>
                <w:sz w:val="21"/>
                <w:szCs w:val="21"/>
              </w:rPr>
            </w:pPr>
            <w:r>
              <w:rPr>
                <w:rFonts w:hint="eastAsia"/>
                <w:color w:val="auto"/>
                <w:sz w:val="21"/>
                <w:szCs w:val="21"/>
              </w:rPr>
              <w:t>8</w:t>
            </w:r>
          </w:p>
        </w:tc>
        <w:tc>
          <w:tcPr>
            <w:tcW w:w="0" w:type="auto"/>
            <w:noWrap w:val="0"/>
            <w:vAlign w:val="center"/>
          </w:tcPr>
          <w:p w14:paraId="3582F52D">
            <w:pPr>
              <w:pStyle w:val="26"/>
              <w:bidi w:val="0"/>
              <w:rPr>
                <w:rFonts w:hint="eastAsia"/>
                <w:color w:val="auto"/>
                <w:sz w:val="21"/>
                <w:szCs w:val="21"/>
              </w:rPr>
            </w:pPr>
            <w:r>
              <w:rPr>
                <w:rFonts w:hint="eastAsia"/>
                <w:color w:val="auto"/>
                <w:sz w:val="21"/>
                <w:szCs w:val="21"/>
              </w:rPr>
              <w:t>铲装设备工作应遵守：铲斗不应从车辆驾驶室上方通过。</w:t>
            </w:r>
          </w:p>
        </w:tc>
        <w:tc>
          <w:tcPr>
            <w:tcW w:w="2117" w:type="dxa"/>
            <w:noWrap w:val="0"/>
            <w:vAlign w:val="center"/>
          </w:tcPr>
          <w:p w14:paraId="2B2EC433">
            <w:pPr>
              <w:pStyle w:val="26"/>
              <w:bidi w:val="0"/>
              <w:rPr>
                <w:rFonts w:hint="eastAsia"/>
                <w:color w:val="auto"/>
                <w:sz w:val="21"/>
                <w:szCs w:val="21"/>
              </w:rPr>
            </w:pPr>
            <w:r>
              <w:rPr>
                <w:rFonts w:hint="eastAsia"/>
                <w:color w:val="auto"/>
                <w:sz w:val="21"/>
                <w:szCs w:val="21"/>
              </w:rPr>
              <w:t>《GB16423-2020》之5.2.3.4条</w:t>
            </w:r>
          </w:p>
        </w:tc>
        <w:tc>
          <w:tcPr>
            <w:tcW w:w="517" w:type="dxa"/>
            <w:noWrap w:val="0"/>
            <w:vAlign w:val="center"/>
          </w:tcPr>
          <w:p w14:paraId="1151CAD5">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5F376619">
            <w:pPr>
              <w:pStyle w:val="26"/>
              <w:bidi w:val="0"/>
              <w:rPr>
                <w:rFonts w:hint="eastAsia"/>
                <w:color w:val="auto"/>
                <w:sz w:val="21"/>
                <w:szCs w:val="21"/>
              </w:rPr>
            </w:pPr>
            <w:r>
              <w:rPr>
                <w:rFonts w:hint="eastAsia"/>
                <w:color w:val="auto"/>
                <w:sz w:val="21"/>
                <w:szCs w:val="21"/>
              </w:rPr>
              <w:t>铲斗未从车辆驾驶室上方通过。</w:t>
            </w:r>
          </w:p>
        </w:tc>
        <w:tc>
          <w:tcPr>
            <w:tcW w:w="0" w:type="auto"/>
            <w:noWrap w:val="0"/>
            <w:vAlign w:val="center"/>
          </w:tcPr>
          <w:p w14:paraId="5F1EF041">
            <w:pPr>
              <w:pStyle w:val="26"/>
              <w:bidi w:val="0"/>
              <w:rPr>
                <w:rFonts w:hint="eastAsia"/>
                <w:color w:val="auto"/>
                <w:sz w:val="21"/>
                <w:szCs w:val="21"/>
              </w:rPr>
            </w:pPr>
            <w:r>
              <w:rPr>
                <w:rFonts w:hint="eastAsia"/>
                <w:color w:val="auto"/>
                <w:sz w:val="21"/>
                <w:szCs w:val="21"/>
              </w:rPr>
              <w:t>符合要求</w:t>
            </w:r>
          </w:p>
        </w:tc>
      </w:tr>
      <w:tr w14:paraId="20A16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6082917">
            <w:pPr>
              <w:pStyle w:val="26"/>
              <w:bidi w:val="0"/>
              <w:rPr>
                <w:color w:val="auto"/>
                <w:sz w:val="21"/>
                <w:szCs w:val="21"/>
              </w:rPr>
            </w:pPr>
            <w:r>
              <w:rPr>
                <w:rFonts w:hint="eastAsia"/>
                <w:color w:val="auto"/>
                <w:sz w:val="21"/>
                <w:szCs w:val="21"/>
              </w:rPr>
              <w:t>9</w:t>
            </w:r>
          </w:p>
        </w:tc>
        <w:tc>
          <w:tcPr>
            <w:tcW w:w="0" w:type="auto"/>
            <w:noWrap w:val="0"/>
            <w:vAlign w:val="center"/>
          </w:tcPr>
          <w:p w14:paraId="759DCFD5">
            <w:pPr>
              <w:pStyle w:val="26"/>
              <w:bidi w:val="0"/>
              <w:rPr>
                <w:rFonts w:hint="eastAsia"/>
                <w:color w:val="auto"/>
                <w:sz w:val="21"/>
                <w:szCs w:val="21"/>
              </w:rPr>
            </w:pPr>
            <w:r>
              <w:rPr>
                <w:rFonts w:hint="eastAsia"/>
                <w:color w:val="auto"/>
                <w:sz w:val="21"/>
                <w:szCs w:val="21"/>
              </w:rPr>
              <w:t>铲装设备工作应遵守：人员不应在司机室踏板上或有落石危险的地方停留。</w:t>
            </w:r>
          </w:p>
        </w:tc>
        <w:tc>
          <w:tcPr>
            <w:tcW w:w="2117" w:type="dxa"/>
            <w:noWrap w:val="0"/>
            <w:vAlign w:val="center"/>
          </w:tcPr>
          <w:p w14:paraId="3309E68A">
            <w:pPr>
              <w:pStyle w:val="26"/>
              <w:bidi w:val="0"/>
              <w:rPr>
                <w:rFonts w:hint="eastAsia"/>
                <w:color w:val="auto"/>
                <w:sz w:val="21"/>
                <w:szCs w:val="21"/>
              </w:rPr>
            </w:pPr>
            <w:r>
              <w:rPr>
                <w:rFonts w:hint="eastAsia"/>
                <w:color w:val="auto"/>
                <w:sz w:val="21"/>
                <w:szCs w:val="21"/>
              </w:rPr>
              <w:t>《GB16423-2020》之5.2.3.4条</w:t>
            </w:r>
          </w:p>
        </w:tc>
        <w:tc>
          <w:tcPr>
            <w:tcW w:w="517" w:type="dxa"/>
            <w:noWrap w:val="0"/>
            <w:vAlign w:val="center"/>
          </w:tcPr>
          <w:p w14:paraId="2153C0DB">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DE7DBD8">
            <w:pPr>
              <w:pStyle w:val="26"/>
              <w:bidi w:val="0"/>
              <w:rPr>
                <w:rFonts w:hint="eastAsia"/>
                <w:color w:val="auto"/>
                <w:sz w:val="21"/>
                <w:szCs w:val="21"/>
              </w:rPr>
            </w:pPr>
            <w:r>
              <w:rPr>
                <w:rFonts w:hint="eastAsia"/>
                <w:color w:val="auto"/>
                <w:sz w:val="21"/>
                <w:szCs w:val="21"/>
              </w:rPr>
              <w:t>人员未在司机室踏板上或有落石危险的地方停留。</w:t>
            </w:r>
          </w:p>
        </w:tc>
        <w:tc>
          <w:tcPr>
            <w:tcW w:w="0" w:type="auto"/>
            <w:noWrap w:val="0"/>
            <w:vAlign w:val="center"/>
          </w:tcPr>
          <w:p w14:paraId="22B182C2">
            <w:pPr>
              <w:pStyle w:val="26"/>
              <w:bidi w:val="0"/>
              <w:rPr>
                <w:rFonts w:hint="eastAsia"/>
                <w:color w:val="auto"/>
                <w:sz w:val="21"/>
                <w:szCs w:val="21"/>
              </w:rPr>
            </w:pPr>
            <w:r>
              <w:rPr>
                <w:rFonts w:hint="eastAsia"/>
                <w:color w:val="auto"/>
                <w:sz w:val="21"/>
                <w:szCs w:val="21"/>
              </w:rPr>
              <w:t>符合要求</w:t>
            </w:r>
          </w:p>
        </w:tc>
      </w:tr>
      <w:tr w14:paraId="0E9AB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1FDC08D">
            <w:pPr>
              <w:pStyle w:val="26"/>
              <w:bidi w:val="0"/>
              <w:rPr>
                <w:color w:val="auto"/>
                <w:sz w:val="21"/>
                <w:szCs w:val="21"/>
              </w:rPr>
            </w:pPr>
            <w:r>
              <w:rPr>
                <w:rFonts w:hint="eastAsia"/>
                <w:color w:val="auto"/>
                <w:sz w:val="21"/>
                <w:szCs w:val="21"/>
              </w:rPr>
              <w:t>10</w:t>
            </w:r>
          </w:p>
        </w:tc>
        <w:tc>
          <w:tcPr>
            <w:tcW w:w="0" w:type="auto"/>
            <w:noWrap w:val="0"/>
            <w:vAlign w:val="center"/>
          </w:tcPr>
          <w:p w14:paraId="2328D8BB">
            <w:pPr>
              <w:pStyle w:val="26"/>
              <w:bidi w:val="0"/>
              <w:rPr>
                <w:rFonts w:hint="eastAsia"/>
                <w:color w:val="auto"/>
                <w:sz w:val="21"/>
                <w:szCs w:val="21"/>
              </w:rPr>
            </w:pPr>
            <w:r>
              <w:rPr>
                <w:rFonts w:hint="eastAsia"/>
                <w:color w:val="auto"/>
                <w:sz w:val="21"/>
                <w:szCs w:val="21"/>
              </w:rPr>
              <w:t>铲装时铲斗不应压、碰运输设备。</w:t>
            </w:r>
          </w:p>
        </w:tc>
        <w:tc>
          <w:tcPr>
            <w:tcW w:w="2117" w:type="dxa"/>
            <w:noWrap w:val="0"/>
            <w:vAlign w:val="center"/>
          </w:tcPr>
          <w:p w14:paraId="45B89BC4">
            <w:pPr>
              <w:pStyle w:val="26"/>
              <w:bidi w:val="0"/>
              <w:rPr>
                <w:rFonts w:hint="eastAsia"/>
                <w:color w:val="auto"/>
                <w:sz w:val="21"/>
                <w:szCs w:val="21"/>
              </w:rPr>
            </w:pPr>
            <w:r>
              <w:rPr>
                <w:rFonts w:hint="eastAsia"/>
                <w:color w:val="auto"/>
                <w:sz w:val="21"/>
                <w:szCs w:val="21"/>
              </w:rPr>
              <w:t>《GB16423-2020》之5.2.3.7条</w:t>
            </w:r>
          </w:p>
        </w:tc>
        <w:tc>
          <w:tcPr>
            <w:tcW w:w="517" w:type="dxa"/>
            <w:noWrap w:val="0"/>
            <w:vAlign w:val="center"/>
          </w:tcPr>
          <w:p w14:paraId="7141629E">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A7378AF">
            <w:pPr>
              <w:pStyle w:val="26"/>
              <w:bidi w:val="0"/>
              <w:rPr>
                <w:rFonts w:hint="eastAsia"/>
                <w:color w:val="auto"/>
                <w:sz w:val="21"/>
                <w:szCs w:val="21"/>
              </w:rPr>
            </w:pPr>
            <w:r>
              <w:rPr>
                <w:rFonts w:hint="eastAsia"/>
                <w:color w:val="auto"/>
                <w:sz w:val="21"/>
                <w:szCs w:val="21"/>
              </w:rPr>
              <w:t>铲装时铲斗没有压、碰运输自卸汽车。</w:t>
            </w:r>
          </w:p>
        </w:tc>
        <w:tc>
          <w:tcPr>
            <w:tcW w:w="0" w:type="auto"/>
            <w:noWrap w:val="0"/>
            <w:vAlign w:val="center"/>
          </w:tcPr>
          <w:p w14:paraId="317B8E62">
            <w:pPr>
              <w:pStyle w:val="26"/>
              <w:bidi w:val="0"/>
              <w:rPr>
                <w:rFonts w:hint="eastAsia"/>
                <w:color w:val="auto"/>
                <w:sz w:val="21"/>
                <w:szCs w:val="21"/>
              </w:rPr>
            </w:pPr>
            <w:r>
              <w:rPr>
                <w:rFonts w:hint="eastAsia"/>
                <w:color w:val="auto"/>
                <w:sz w:val="21"/>
                <w:szCs w:val="21"/>
              </w:rPr>
              <w:t>符合要求</w:t>
            </w:r>
          </w:p>
        </w:tc>
      </w:tr>
      <w:tr w14:paraId="59885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7D8E8E9">
            <w:pPr>
              <w:pStyle w:val="26"/>
              <w:bidi w:val="0"/>
              <w:rPr>
                <w:color w:val="auto"/>
                <w:sz w:val="21"/>
                <w:szCs w:val="21"/>
              </w:rPr>
            </w:pPr>
            <w:r>
              <w:rPr>
                <w:rFonts w:hint="eastAsia"/>
                <w:color w:val="auto"/>
                <w:sz w:val="21"/>
                <w:szCs w:val="21"/>
              </w:rPr>
              <w:t>11</w:t>
            </w:r>
          </w:p>
        </w:tc>
        <w:tc>
          <w:tcPr>
            <w:tcW w:w="0" w:type="auto"/>
            <w:noWrap w:val="0"/>
            <w:vAlign w:val="center"/>
          </w:tcPr>
          <w:p w14:paraId="16D402B9">
            <w:pPr>
              <w:pStyle w:val="26"/>
              <w:bidi w:val="0"/>
              <w:rPr>
                <w:rFonts w:hint="eastAsia"/>
                <w:color w:val="auto"/>
                <w:sz w:val="21"/>
                <w:szCs w:val="21"/>
              </w:rPr>
            </w:pPr>
            <w:r>
              <w:rPr>
                <w:rFonts w:hint="eastAsia"/>
                <w:color w:val="auto"/>
                <w:sz w:val="21"/>
                <w:szCs w:val="21"/>
              </w:rPr>
              <w:t>铲斗卸载时，铲斗下沿与运输设备上沿高差不大于0.5m。</w:t>
            </w:r>
          </w:p>
        </w:tc>
        <w:tc>
          <w:tcPr>
            <w:tcW w:w="2117" w:type="dxa"/>
            <w:noWrap w:val="0"/>
            <w:vAlign w:val="center"/>
          </w:tcPr>
          <w:p w14:paraId="28EC2815">
            <w:pPr>
              <w:pStyle w:val="26"/>
              <w:bidi w:val="0"/>
              <w:rPr>
                <w:rFonts w:hint="eastAsia"/>
                <w:color w:val="auto"/>
                <w:sz w:val="21"/>
                <w:szCs w:val="21"/>
              </w:rPr>
            </w:pPr>
            <w:r>
              <w:rPr>
                <w:rFonts w:hint="eastAsia"/>
                <w:color w:val="auto"/>
                <w:sz w:val="21"/>
                <w:szCs w:val="21"/>
              </w:rPr>
              <w:t>《GB16423-2020》之5.2.3.7条</w:t>
            </w:r>
          </w:p>
        </w:tc>
        <w:tc>
          <w:tcPr>
            <w:tcW w:w="517" w:type="dxa"/>
            <w:noWrap w:val="0"/>
            <w:vAlign w:val="center"/>
          </w:tcPr>
          <w:p w14:paraId="151CE84B">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E9ACD91">
            <w:pPr>
              <w:pStyle w:val="26"/>
              <w:bidi w:val="0"/>
              <w:rPr>
                <w:rFonts w:hint="eastAsia"/>
                <w:color w:val="auto"/>
                <w:sz w:val="21"/>
                <w:szCs w:val="21"/>
              </w:rPr>
            </w:pPr>
            <w:r>
              <w:rPr>
                <w:rFonts w:hint="eastAsia"/>
                <w:color w:val="auto"/>
                <w:sz w:val="21"/>
                <w:szCs w:val="21"/>
              </w:rPr>
              <w:t>铲斗卸载时，铲斗下沿与运输设备上沿高差未超过0.5m。</w:t>
            </w:r>
          </w:p>
        </w:tc>
        <w:tc>
          <w:tcPr>
            <w:tcW w:w="0" w:type="auto"/>
            <w:noWrap w:val="0"/>
            <w:vAlign w:val="center"/>
          </w:tcPr>
          <w:p w14:paraId="00AD37DD">
            <w:pPr>
              <w:pStyle w:val="26"/>
              <w:bidi w:val="0"/>
              <w:rPr>
                <w:rFonts w:hint="eastAsia"/>
                <w:color w:val="auto"/>
                <w:sz w:val="21"/>
                <w:szCs w:val="21"/>
              </w:rPr>
            </w:pPr>
            <w:r>
              <w:rPr>
                <w:rFonts w:hint="eastAsia"/>
                <w:color w:val="auto"/>
                <w:sz w:val="21"/>
                <w:szCs w:val="21"/>
              </w:rPr>
              <w:t>符合要求</w:t>
            </w:r>
          </w:p>
        </w:tc>
      </w:tr>
      <w:tr w14:paraId="0E684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100245CA">
            <w:pPr>
              <w:pStyle w:val="26"/>
              <w:bidi w:val="0"/>
              <w:rPr>
                <w:color w:val="auto"/>
                <w:sz w:val="21"/>
                <w:szCs w:val="21"/>
              </w:rPr>
            </w:pPr>
            <w:r>
              <w:rPr>
                <w:rFonts w:hint="eastAsia"/>
                <w:color w:val="auto"/>
                <w:sz w:val="21"/>
                <w:szCs w:val="21"/>
              </w:rPr>
              <w:t>12</w:t>
            </w:r>
          </w:p>
        </w:tc>
        <w:tc>
          <w:tcPr>
            <w:tcW w:w="0" w:type="auto"/>
            <w:noWrap w:val="0"/>
            <w:vAlign w:val="center"/>
          </w:tcPr>
          <w:p w14:paraId="1264A17F">
            <w:pPr>
              <w:pStyle w:val="26"/>
              <w:bidi w:val="0"/>
              <w:rPr>
                <w:rFonts w:hint="eastAsia"/>
                <w:color w:val="auto"/>
                <w:sz w:val="21"/>
                <w:szCs w:val="21"/>
              </w:rPr>
            </w:pPr>
            <w:r>
              <w:rPr>
                <w:rFonts w:hint="eastAsia"/>
                <w:color w:val="auto"/>
                <w:sz w:val="21"/>
                <w:szCs w:val="21"/>
              </w:rPr>
              <w:t>不应用铲斗处理车箱粘结物。</w:t>
            </w:r>
          </w:p>
        </w:tc>
        <w:tc>
          <w:tcPr>
            <w:tcW w:w="2117" w:type="dxa"/>
            <w:noWrap w:val="0"/>
            <w:vAlign w:val="center"/>
          </w:tcPr>
          <w:p w14:paraId="53D1799E">
            <w:pPr>
              <w:pStyle w:val="26"/>
              <w:bidi w:val="0"/>
              <w:rPr>
                <w:rFonts w:hint="eastAsia"/>
                <w:color w:val="auto"/>
                <w:sz w:val="21"/>
                <w:szCs w:val="21"/>
              </w:rPr>
            </w:pPr>
            <w:r>
              <w:rPr>
                <w:rFonts w:hint="eastAsia"/>
                <w:color w:val="auto"/>
                <w:sz w:val="21"/>
                <w:szCs w:val="21"/>
              </w:rPr>
              <w:t>《GB16423-2020》之5.2.3.7条</w:t>
            </w:r>
          </w:p>
        </w:tc>
        <w:tc>
          <w:tcPr>
            <w:tcW w:w="517" w:type="dxa"/>
            <w:noWrap w:val="0"/>
            <w:vAlign w:val="center"/>
          </w:tcPr>
          <w:p w14:paraId="18A0605D">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D0A29E7">
            <w:pPr>
              <w:pStyle w:val="26"/>
              <w:bidi w:val="0"/>
              <w:rPr>
                <w:rFonts w:hint="eastAsia"/>
                <w:color w:val="auto"/>
                <w:sz w:val="21"/>
                <w:szCs w:val="21"/>
              </w:rPr>
            </w:pPr>
            <w:r>
              <w:rPr>
                <w:rFonts w:hint="eastAsia"/>
                <w:color w:val="auto"/>
                <w:sz w:val="21"/>
                <w:szCs w:val="21"/>
              </w:rPr>
              <w:t>未使用铲斗处理车厢粘结物。</w:t>
            </w:r>
          </w:p>
        </w:tc>
        <w:tc>
          <w:tcPr>
            <w:tcW w:w="0" w:type="auto"/>
            <w:noWrap w:val="0"/>
            <w:vAlign w:val="center"/>
          </w:tcPr>
          <w:p w14:paraId="3C58400B">
            <w:pPr>
              <w:pStyle w:val="26"/>
              <w:bidi w:val="0"/>
              <w:rPr>
                <w:rFonts w:hint="eastAsia"/>
                <w:color w:val="auto"/>
                <w:sz w:val="21"/>
                <w:szCs w:val="21"/>
              </w:rPr>
            </w:pPr>
            <w:r>
              <w:rPr>
                <w:rFonts w:hint="eastAsia"/>
                <w:color w:val="auto"/>
                <w:sz w:val="21"/>
                <w:szCs w:val="21"/>
              </w:rPr>
              <w:t>符合要求</w:t>
            </w:r>
          </w:p>
        </w:tc>
      </w:tr>
      <w:tr w14:paraId="4CD51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ED7E058">
            <w:pPr>
              <w:pStyle w:val="26"/>
              <w:bidi w:val="0"/>
              <w:rPr>
                <w:color w:val="auto"/>
                <w:sz w:val="21"/>
                <w:szCs w:val="21"/>
              </w:rPr>
            </w:pPr>
            <w:r>
              <w:rPr>
                <w:rFonts w:hint="eastAsia"/>
                <w:color w:val="auto"/>
                <w:sz w:val="21"/>
                <w:szCs w:val="21"/>
              </w:rPr>
              <w:t>13</w:t>
            </w:r>
          </w:p>
        </w:tc>
        <w:tc>
          <w:tcPr>
            <w:tcW w:w="0" w:type="auto"/>
            <w:noWrap w:val="0"/>
            <w:vAlign w:val="center"/>
          </w:tcPr>
          <w:p w14:paraId="53A01B51">
            <w:pPr>
              <w:pStyle w:val="26"/>
              <w:bidi w:val="0"/>
              <w:rPr>
                <w:rFonts w:hint="eastAsia"/>
                <w:color w:val="auto"/>
                <w:sz w:val="21"/>
                <w:szCs w:val="21"/>
              </w:rPr>
            </w:pPr>
            <w:r>
              <w:rPr>
                <w:rFonts w:hint="eastAsia"/>
                <w:color w:val="auto"/>
                <w:sz w:val="21"/>
                <w:szCs w:val="21"/>
              </w:rPr>
              <w:t>铲装设备行走应遵守：应在作业平台的稳定范围内行走。</w:t>
            </w:r>
          </w:p>
        </w:tc>
        <w:tc>
          <w:tcPr>
            <w:tcW w:w="2117" w:type="dxa"/>
            <w:noWrap w:val="0"/>
            <w:vAlign w:val="center"/>
          </w:tcPr>
          <w:p w14:paraId="16BE2C4F">
            <w:pPr>
              <w:pStyle w:val="26"/>
              <w:bidi w:val="0"/>
              <w:rPr>
                <w:rFonts w:hint="eastAsia"/>
                <w:color w:val="auto"/>
                <w:sz w:val="21"/>
                <w:szCs w:val="21"/>
              </w:rPr>
            </w:pPr>
            <w:r>
              <w:rPr>
                <w:rFonts w:hint="eastAsia"/>
                <w:color w:val="auto"/>
                <w:sz w:val="21"/>
                <w:szCs w:val="21"/>
              </w:rPr>
              <w:t>《GB16423-2020》之5.2.3.10条</w:t>
            </w:r>
          </w:p>
        </w:tc>
        <w:tc>
          <w:tcPr>
            <w:tcW w:w="517" w:type="dxa"/>
            <w:noWrap w:val="0"/>
            <w:vAlign w:val="center"/>
          </w:tcPr>
          <w:p w14:paraId="775EF7F1">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63DDF459">
            <w:pPr>
              <w:pStyle w:val="26"/>
              <w:bidi w:val="0"/>
              <w:rPr>
                <w:rFonts w:hint="eastAsia"/>
                <w:color w:val="auto"/>
                <w:sz w:val="21"/>
                <w:szCs w:val="21"/>
              </w:rPr>
            </w:pPr>
            <w:r>
              <w:rPr>
                <w:rFonts w:hint="eastAsia"/>
                <w:color w:val="auto"/>
                <w:sz w:val="21"/>
                <w:szCs w:val="21"/>
              </w:rPr>
              <w:t>前装机和液压挖掘机在作业平台稳定的范围内行走。</w:t>
            </w:r>
          </w:p>
        </w:tc>
        <w:tc>
          <w:tcPr>
            <w:tcW w:w="0" w:type="auto"/>
            <w:noWrap w:val="0"/>
            <w:vAlign w:val="center"/>
          </w:tcPr>
          <w:p w14:paraId="454CE1A3">
            <w:pPr>
              <w:pStyle w:val="26"/>
              <w:bidi w:val="0"/>
              <w:rPr>
                <w:rFonts w:hint="eastAsia"/>
                <w:color w:val="auto"/>
                <w:sz w:val="21"/>
                <w:szCs w:val="21"/>
              </w:rPr>
            </w:pPr>
            <w:r>
              <w:rPr>
                <w:rFonts w:hint="eastAsia"/>
                <w:color w:val="auto"/>
                <w:sz w:val="21"/>
                <w:szCs w:val="21"/>
              </w:rPr>
              <w:t>符合要求</w:t>
            </w:r>
          </w:p>
        </w:tc>
      </w:tr>
      <w:tr w14:paraId="28AA9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9C2A8A3">
            <w:pPr>
              <w:pStyle w:val="26"/>
              <w:bidi w:val="0"/>
              <w:rPr>
                <w:color w:val="auto"/>
                <w:sz w:val="21"/>
                <w:szCs w:val="21"/>
              </w:rPr>
            </w:pPr>
            <w:r>
              <w:rPr>
                <w:rFonts w:hint="eastAsia"/>
                <w:color w:val="auto"/>
                <w:sz w:val="21"/>
                <w:szCs w:val="21"/>
              </w:rPr>
              <w:t>14</w:t>
            </w:r>
          </w:p>
        </w:tc>
        <w:tc>
          <w:tcPr>
            <w:tcW w:w="0" w:type="auto"/>
            <w:noWrap w:val="0"/>
            <w:vAlign w:val="center"/>
          </w:tcPr>
          <w:p w14:paraId="7CB8377A">
            <w:pPr>
              <w:pStyle w:val="26"/>
              <w:bidi w:val="0"/>
              <w:rPr>
                <w:rFonts w:hint="eastAsia"/>
                <w:color w:val="auto"/>
                <w:sz w:val="21"/>
                <w:szCs w:val="21"/>
              </w:rPr>
            </w:pPr>
            <w:r>
              <w:rPr>
                <w:rFonts w:hint="eastAsia"/>
                <w:color w:val="auto"/>
                <w:sz w:val="21"/>
                <w:szCs w:val="21"/>
              </w:rPr>
              <w:t>铲装设备行走应遵守：上、下坡时铲斗应下放并与地面保持适当距离。</w:t>
            </w:r>
          </w:p>
        </w:tc>
        <w:tc>
          <w:tcPr>
            <w:tcW w:w="2117" w:type="dxa"/>
            <w:noWrap w:val="0"/>
            <w:vAlign w:val="center"/>
          </w:tcPr>
          <w:p w14:paraId="4014EDBB">
            <w:pPr>
              <w:pStyle w:val="26"/>
              <w:bidi w:val="0"/>
              <w:rPr>
                <w:rFonts w:hint="eastAsia"/>
                <w:color w:val="auto"/>
                <w:sz w:val="21"/>
                <w:szCs w:val="21"/>
              </w:rPr>
            </w:pPr>
            <w:r>
              <w:rPr>
                <w:rFonts w:hint="eastAsia"/>
                <w:color w:val="auto"/>
                <w:sz w:val="21"/>
                <w:szCs w:val="21"/>
              </w:rPr>
              <w:t>《GB16423-2020》之5.2.3.10条</w:t>
            </w:r>
          </w:p>
        </w:tc>
        <w:tc>
          <w:tcPr>
            <w:tcW w:w="517" w:type="dxa"/>
            <w:noWrap w:val="0"/>
            <w:vAlign w:val="center"/>
          </w:tcPr>
          <w:p w14:paraId="68032543">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97A2DB9">
            <w:pPr>
              <w:pStyle w:val="26"/>
              <w:bidi w:val="0"/>
              <w:rPr>
                <w:rFonts w:hint="eastAsia"/>
                <w:color w:val="auto"/>
                <w:sz w:val="21"/>
                <w:szCs w:val="21"/>
              </w:rPr>
            </w:pPr>
            <w:r>
              <w:rPr>
                <w:rFonts w:hint="eastAsia"/>
                <w:color w:val="auto"/>
                <w:sz w:val="21"/>
                <w:szCs w:val="21"/>
              </w:rPr>
              <w:t>前装机和液压挖掘机上、下坡时铲斗下放并与地面保持了适当距离。</w:t>
            </w:r>
          </w:p>
        </w:tc>
        <w:tc>
          <w:tcPr>
            <w:tcW w:w="0" w:type="auto"/>
            <w:noWrap w:val="0"/>
            <w:vAlign w:val="center"/>
          </w:tcPr>
          <w:p w14:paraId="071DDA6F">
            <w:pPr>
              <w:pStyle w:val="26"/>
              <w:bidi w:val="0"/>
              <w:rPr>
                <w:rFonts w:hint="eastAsia"/>
                <w:color w:val="auto"/>
                <w:sz w:val="21"/>
                <w:szCs w:val="21"/>
              </w:rPr>
            </w:pPr>
            <w:r>
              <w:rPr>
                <w:rFonts w:hint="eastAsia"/>
                <w:color w:val="auto"/>
                <w:sz w:val="21"/>
                <w:szCs w:val="21"/>
              </w:rPr>
              <w:t>符合</w:t>
            </w:r>
          </w:p>
          <w:p w14:paraId="4B5C3EA9">
            <w:pPr>
              <w:pStyle w:val="26"/>
              <w:bidi w:val="0"/>
              <w:rPr>
                <w:rFonts w:hint="eastAsia"/>
                <w:color w:val="auto"/>
                <w:sz w:val="21"/>
                <w:szCs w:val="21"/>
              </w:rPr>
            </w:pPr>
            <w:r>
              <w:rPr>
                <w:rFonts w:hint="eastAsia"/>
                <w:color w:val="auto"/>
                <w:sz w:val="21"/>
                <w:szCs w:val="21"/>
              </w:rPr>
              <w:t>要求</w:t>
            </w:r>
          </w:p>
        </w:tc>
      </w:tr>
      <w:tr w14:paraId="3E91F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C0345F2">
            <w:pPr>
              <w:pStyle w:val="26"/>
              <w:bidi w:val="0"/>
              <w:rPr>
                <w:color w:val="auto"/>
                <w:sz w:val="21"/>
                <w:szCs w:val="21"/>
              </w:rPr>
            </w:pPr>
            <w:r>
              <w:rPr>
                <w:rFonts w:hint="eastAsia"/>
                <w:color w:val="auto"/>
                <w:sz w:val="21"/>
                <w:szCs w:val="21"/>
              </w:rPr>
              <w:t>15</w:t>
            </w:r>
          </w:p>
        </w:tc>
        <w:tc>
          <w:tcPr>
            <w:tcW w:w="0" w:type="auto"/>
            <w:noWrap w:val="0"/>
            <w:vAlign w:val="center"/>
          </w:tcPr>
          <w:p w14:paraId="1AA54B6D">
            <w:pPr>
              <w:pStyle w:val="26"/>
              <w:bidi w:val="0"/>
              <w:rPr>
                <w:rFonts w:hint="eastAsia"/>
                <w:color w:val="auto"/>
                <w:sz w:val="21"/>
                <w:szCs w:val="21"/>
              </w:rPr>
            </w:pPr>
            <w:r>
              <w:rPr>
                <w:rFonts w:hint="eastAsia"/>
                <w:color w:val="auto"/>
                <w:sz w:val="21"/>
                <w:szCs w:val="21"/>
              </w:rPr>
              <w:t>主要运输道路的急弯、陡坡、危险地段应设置警示标志。</w:t>
            </w:r>
          </w:p>
        </w:tc>
        <w:tc>
          <w:tcPr>
            <w:tcW w:w="2117" w:type="dxa"/>
            <w:noWrap w:val="0"/>
            <w:vAlign w:val="center"/>
          </w:tcPr>
          <w:p w14:paraId="3374DCC2">
            <w:pPr>
              <w:pStyle w:val="26"/>
              <w:bidi w:val="0"/>
              <w:rPr>
                <w:rFonts w:hint="eastAsia"/>
                <w:color w:val="auto"/>
                <w:sz w:val="21"/>
                <w:szCs w:val="21"/>
              </w:rPr>
            </w:pPr>
            <w:r>
              <w:rPr>
                <w:rFonts w:hint="eastAsia"/>
                <w:color w:val="auto"/>
                <w:sz w:val="21"/>
                <w:szCs w:val="21"/>
              </w:rPr>
              <w:t>《GB16423-2020》之5.4.2.3条</w:t>
            </w:r>
          </w:p>
        </w:tc>
        <w:tc>
          <w:tcPr>
            <w:tcW w:w="517" w:type="dxa"/>
            <w:noWrap w:val="0"/>
            <w:vAlign w:val="center"/>
          </w:tcPr>
          <w:p w14:paraId="1447C7B5">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CB3566D">
            <w:pPr>
              <w:pStyle w:val="26"/>
              <w:bidi w:val="0"/>
              <w:rPr>
                <w:rFonts w:hint="eastAsia"/>
                <w:color w:val="auto"/>
                <w:sz w:val="21"/>
                <w:szCs w:val="21"/>
              </w:rPr>
            </w:pPr>
            <w:r>
              <w:rPr>
                <w:rFonts w:hint="eastAsia"/>
                <w:color w:val="auto"/>
                <w:sz w:val="21"/>
                <w:szCs w:val="21"/>
              </w:rPr>
              <w:t>主要运输道路急弯、陡坡、危险地段设有警示标志及限速牌。</w:t>
            </w:r>
          </w:p>
        </w:tc>
        <w:tc>
          <w:tcPr>
            <w:tcW w:w="0" w:type="auto"/>
            <w:noWrap w:val="0"/>
            <w:vAlign w:val="center"/>
          </w:tcPr>
          <w:p w14:paraId="0AD6DA54">
            <w:pPr>
              <w:pStyle w:val="26"/>
              <w:bidi w:val="0"/>
              <w:rPr>
                <w:rFonts w:hint="eastAsia"/>
                <w:color w:val="auto"/>
                <w:sz w:val="21"/>
                <w:szCs w:val="21"/>
              </w:rPr>
            </w:pPr>
            <w:r>
              <w:rPr>
                <w:rFonts w:hint="eastAsia"/>
                <w:color w:val="auto"/>
                <w:sz w:val="21"/>
                <w:szCs w:val="21"/>
              </w:rPr>
              <w:t>符合</w:t>
            </w:r>
          </w:p>
          <w:p w14:paraId="66C5115F">
            <w:pPr>
              <w:pStyle w:val="26"/>
              <w:bidi w:val="0"/>
              <w:rPr>
                <w:rFonts w:hint="eastAsia"/>
                <w:color w:val="auto"/>
                <w:sz w:val="21"/>
                <w:szCs w:val="21"/>
              </w:rPr>
            </w:pPr>
            <w:r>
              <w:rPr>
                <w:rFonts w:hint="eastAsia"/>
                <w:color w:val="auto"/>
                <w:sz w:val="21"/>
                <w:szCs w:val="21"/>
              </w:rPr>
              <w:t>要求</w:t>
            </w:r>
          </w:p>
        </w:tc>
      </w:tr>
      <w:tr w14:paraId="512D3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D9EE43E">
            <w:pPr>
              <w:pStyle w:val="26"/>
              <w:bidi w:val="0"/>
              <w:rPr>
                <w:color w:val="auto"/>
                <w:sz w:val="21"/>
                <w:szCs w:val="21"/>
              </w:rPr>
            </w:pPr>
            <w:r>
              <w:rPr>
                <w:rFonts w:hint="eastAsia"/>
                <w:color w:val="auto"/>
                <w:sz w:val="21"/>
                <w:szCs w:val="21"/>
              </w:rPr>
              <w:t>16</w:t>
            </w:r>
          </w:p>
        </w:tc>
        <w:tc>
          <w:tcPr>
            <w:tcW w:w="0" w:type="auto"/>
            <w:noWrap w:val="0"/>
            <w:vAlign w:val="center"/>
          </w:tcPr>
          <w:p w14:paraId="072C18C8">
            <w:pPr>
              <w:pStyle w:val="26"/>
              <w:bidi w:val="0"/>
              <w:rPr>
                <w:rFonts w:hint="eastAsia"/>
                <w:color w:val="auto"/>
                <w:sz w:val="21"/>
                <w:szCs w:val="21"/>
              </w:rPr>
            </w:pPr>
            <w:r>
              <w:rPr>
                <w:rFonts w:hint="eastAsia"/>
                <w:color w:val="auto"/>
                <w:sz w:val="21"/>
                <w:szCs w:val="21"/>
              </w:rPr>
              <w:t>雾霾或烟尘影响能见度时，应开启警示灯，靠右侧减速行驶，前后车间距应不小于30m，视距不足30m时，应靠右停车。</w:t>
            </w:r>
          </w:p>
        </w:tc>
        <w:tc>
          <w:tcPr>
            <w:tcW w:w="2117" w:type="dxa"/>
            <w:noWrap w:val="0"/>
            <w:vAlign w:val="center"/>
          </w:tcPr>
          <w:p w14:paraId="37D9A950">
            <w:pPr>
              <w:pStyle w:val="26"/>
              <w:bidi w:val="0"/>
              <w:rPr>
                <w:rFonts w:hint="eastAsia"/>
                <w:color w:val="auto"/>
                <w:sz w:val="21"/>
                <w:szCs w:val="21"/>
              </w:rPr>
            </w:pPr>
            <w:r>
              <w:rPr>
                <w:rFonts w:hint="eastAsia"/>
                <w:color w:val="auto"/>
                <w:sz w:val="21"/>
                <w:szCs w:val="21"/>
              </w:rPr>
              <w:t>《GB16423-2020》之5.4.2.9条</w:t>
            </w:r>
          </w:p>
        </w:tc>
        <w:tc>
          <w:tcPr>
            <w:tcW w:w="517" w:type="dxa"/>
            <w:noWrap w:val="0"/>
            <w:vAlign w:val="center"/>
          </w:tcPr>
          <w:p w14:paraId="22E7D38D">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78EA1DA8">
            <w:pPr>
              <w:pStyle w:val="26"/>
              <w:bidi w:val="0"/>
              <w:rPr>
                <w:rFonts w:hint="eastAsia"/>
                <w:color w:val="auto"/>
                <w:sz w:val="21"/>
                <w:szCs w:val="21"/>
              </w:rPr>
            </w:pPr>
            <w:r>
              <w:rPr>
                <w:rFonts w:hint="eastAsia"/>
                <w:color w:val="auto"/>
                <w:sz w:val="21"/>
                <w:szCs w:val="21"/>
              </w:rPr>
              <w:t>雾天或烟尘时，开启警示灯，靠右侧减速行驶，前后车间距应不小于30m。</w:t>
            </w:r>
          </w:p>
        </w:tc>
        <w:tc>
          <w:tcPr>
            <w:tcW w:w="0" w:type="auto"/>
            <w:noWrap w:val="0"/>
            <w:vAlign w:val="center"/>
          </w:tcPr>
          <w:p w14:paraId="1700D6A8">
            <w:pPr>
              <w:pStyle w:val="26"/>
              <w:bidi w:val="0"/>
              <w:rPr>
                <w:rFonts w:hint="eastAsia"/>
                <w:color w:val="auto"/>
                <w:sz w:val="21"/>
                <w:szCs w:val="21"/>
              </w:rPr>
            </w:pPr>
            <w:r>
              <w:rPr>
                <w:rFonts w:hint="eastAsia"/>
                <w:color w:val="auto"/>
                <w:sz w:val="21"/>
                <w:szCs w:val="21"/>
              </w:rPr>
              <w:t>符合</w:t>
            </w:r>
          </w:p>
          <w:p w14:paraId="53E70E65">
            <w:pPr>
              <w:pStyle w:val="26"/>
              <w:bidi w:val="0"/>
              <w:rPr>
                <w:rFonts w:hint="eastAsia"/>
                <w:color w:val="auto"/>
                <w:sz w:val="21"/>
                <w:szCs w:val="21"/>
              </w:rPr>
            </w:pPr>
            <w:r>
              <w:rPr>
                <w:rFonts w:hint="eastAsia"/>
                <w:color w:val="auto"/>
                <w:sz w:val="21"/>
                <w:szCs w:val="21"/>
              </w:rPr>
              <w:t>要求</w:t>
            </w:r>
          </w:p>
        </w:tc>
      </w:tr>
      <w:tr w14:paraId="0EB4F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64E0138">
            <w:pPr>
              <w:pStyle w:val="26"/>
              <w:bidi w:val="0"/>
              <w:rPr>
                <w:color w:val="auto"/>
                <w:sz w:val="21"/>
                <w:szCs w:val="21"/>
              </w:rPr>
            </w:pPr>
            <w:r>
              <w:rPr>
                <w:rFonts w:hint="eastAsia"/>
                <w:color w:val="auto"/>
                <w:sz w:val="21"/>
                <w:szCs w:val="21"/>
              </w:rPr>
              <w:t>17</w:t>
            </w:r>
          </w:p>
        </w:tc>
        <w:tc>
          <w:tcPr>
            <w:tcW w:w="0" w:type="auto"/>
            <w:noWrap w:val="0"/>
            <w:vAlign w:val="center"/>
          </w:tcPr>
          <w:p w14:paraId="378B5F4E">
            <w:pPr>
              <w:pStyle w:val="26"/>
              <w:bidi w:val="0"/>
              <w:rPr>
                <w:rFonts w:hint="eastAsia"/>
                <w:color w:val="auto"/>
                <w:sz w:val="21"/>
                <w:szCs w:val="21"/>
              </w:rPr>
            </w:pPr>
            <w:r>
              <w:rPr>
                <w:rFonts w:hint="eastAsia"/>
                <w:color w:val="auto"/>
                <w:sz w:val="21"/>
                <w:szCs w:val="21"/>
              </w:rPr>
              <w:t>冰雪或多雨季节，道路湿滑时，应有防滑措施并减速行驶，前后车距应不小于40m。</w:t>
            </w:r>
          </w:p>
        </w:tc>
        <w:tc>
          <w:tcPr>
            <w:tcW w:w="2117" w:type="dxa"/>
            <w:noWrap w:val="0"/>
            <w:vAlign w:val="center"/>
          </w:tcPr>
          <w:p w14:paraId="5C53BB66">
            <w:pPr>
              <w:pStyle w:val="26"/>
              <w:bidi w:val="0"/>
              <w:rPr>
                <w:rFonts w:hint="eastAsia"/>
                <w:color w:val="auto"/>
                <w:sz w:val="21"/>
                <w:szCs w:val="21"/>
              </w:rPr>
            </w:pPr>
            <w:r>
              <w:rPr>
                <w:rFonts w:hint="eastAsia"/>
                <w:color w:val="auto"/>
                <w:sz w:val="21"/>
                <w:szCs w:val="21"/>
              </w:rPr>
              <w:t>《GB16423-2020》之5.4.2.9条</w:t>
            </w:r>
          </w:p>
        </w:tc>
        <w:tc>
          <w:tcPr>
            <w:tcW w:w="517" w:type="dxa"/>
            <w:noWrap w:val="0"/>
            <w:vAlign w:val="center"/>
          </w:tcPr>
          <w:p w14:paraId="0C78DEBE">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22CC659">
            <w:pPr>
              <w:pStyle w:val="26"/>
              <w:bidi w:val="0"/>
              <w:rPr>
                <w:rFonts w:hint="eastAsia"/>
                <w:color w:val="auto"/>
                <w:sz w:val="21"/>
                <w:szCs w:val="21"/>
              </w:rPr>
            </w:pPr>
            <w:r>
              <w:rPr>
                <w:rFonts w:hint="eastAsia"/>
                <w:color w:val="auto"/>
                <w:sz w:val="21"/>
                <w:szCs w:val="21"/>
              </w:rPr>
              <w:t>冰雪或多雨季节道路较滑时采取了防滑措施并减速行驶，且前后车距大于40m。</w:t>
            </w:r>
          </w:p>
        </w:tc>
        <w:tc>
          <w:tcPr>
            <w:tcW w:w="0" w:type="auto"/>
            <w:noWrap w:val="0"/>
            <w:vAlign w:val="center"/>
          </w:tcPr>
          <w:p w14:paraId="7DBD9927">
            <w:pPr>
              <w:pStyle w:val="26"/>
              <w:bidi w:val="0"/>
              <w:rPr>
                <w:rFonts w:hint="eastAsia"/>
                <w:color w:val="auto"/>
                <w:sz w:val="21"/>
                <w:szCs w:val="21"/>
              </w:rPr>
            </w:pPr>
            <w:r>
              <w:rPr>
                <w:rFonts w:hint="eastAsia"/>
                <w:color w:val="auto"/>
                <w:sz w:val="21"/>
                <w:szCs w:val="21"/>
              </w:rPr>
              <w:t>符合</w:t>
            </w:r>
          </w:p>
          <w:p w14:paraId="4CCA9147">
            <w:pPr>
              <w:pStyle w:val="26"/>
              <w:bidi w:val="0"/>
              <w:rPr>
                <w:rFonts w:hint="eastAsia"/>
                <w:color w:val="auto"/>
                <w:sz w:val="21"/>
                <w:szCs w:val="21"/>
              </w:rPr>
            </w:pPr>
            <w:r>
              <w:rPr>
                <w:rFonts w:hint="eastAsia"/>
                <w:color w:val="auto"/>
                <w:sz w:val="21"/>
                <w:szCs w:val="21"/>
              </w:rPr>
              <w:t>要求</w:t>
            </w:r>
          </w:p>
        </w:tc>
      </w:tr>
      <w:tr w14:paraId="000E1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FC1A261">
            <w:pPr>
              <w:pStyle w:val="26"/>
              <w:bidi w:val="0"/>
              <w:rPr>
                <w:color w:val="auto"/>
                <w:sz w:val="21"/>
                <w:szCs w:val="21"/>
              </w:rPr>
            </w:pPr>
            <w:r>
              <w:rPr>
                <w:rFonts w:hint="eastAsia"/>
                <w:color w:val="auto"/>
                <w:sz w:val="21"/>
                <w:szCs w:val="21"/>
              </w:rPr>
              <w:t>18</w:t>
            </w:r>
          </w:p>
        </w:tc>
        <w:tc>
          <w:tcPr>
            <w:tcW w:w="0" w:type="auto"/>
            <w:noWrap w:val="0"/>
            <w:vAlign w:val="center"/>
          </w:tcPr>
          <w:p w14:paraId="61770213">
            <w:pPr>
              <w:pStyle w:val="26"/>
              <w:bidi w:val="0"/>
              <w:rPr>
                <w:rFonts w:hint="eastAsia"/>
                <w:color w:val="auto"/>
                <w:sz w:val="21"/>
                <w:szCs w:val="21"/>
              </w:rPr>
            </w:pPr>
            <w:r>
              <w:rPr>
                <w:rFonts w:hint="eastAsia"/>
                <w:color w:val="auto"/>
                <w:sz w:val="21"/>
                <w:szCs w:val="21"/>
              </w:rPr>
              <w:t>不应用自卸汽车运载易燃、易爆物品。</w:t>
            </w:r>
          </w:p>
        </w:tc>
        <w:tc>
          <w:tcPr>
            <w:tcW w:w="2117" w:type="dxa"/>
            <w:noWrap w:val="0"/>
            <w:vAlign w:val="center"/>
          </w:tcPr>
          <w:p w14:paraId="15D88906">
            <w:pPr>
              <w:pStyle w:val="26"/>
              <w:bidi w:val="0"/>
              <w:rPr>
                <w:rFonts w:hint="eastAsia"/>
                <w:color w:val="auto"/>
                <w:sz w:val="21"/>
                <w:szCs w:val="21"/>
              </w:rPr>
            </w:pPr>
            <w:r>
              <w:rPr>
                <w:rFonts w:hint="eastAsia"/>
                <w:color w:val="auto"/>
                <w:sz w:val="21"/>
                <w:szCs w:val="21"/>
              </w:rPr>
              <w:t>《GB16423-2020》之5.4.2.1条</w:t>
            </w:r>
          </w:p>
        </w:tc>
        <w:tc>
          <w:tcPr>
            <w:tcW w:w="517" w:type="dxa"/>
            <w:noWrap w:val="0"/>
            <w:vAlign w:val="center"/>
          </w:tcPr>
          <w:p w14:paraId="5C2FDA84">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537C2A33">
            <w:pPr>
              <w:pStyle w:val="26"/>
              <w:bidi w:val="0"/>
              <w:rPr>
                <w:rFonts w:hint="eastAsia"/>
                <w:color w:val="auto"/>
                <w:sz w:val="21"/>
                <w:szCs w:val="21"/>
              </w:rPr>
            </w:pPr>
            <w:r>
              <w:rPr>
                <w:rFonts w:hint="eastAsia"/>
                <w:color w:val="auto"/>
                <w:sz w:val="21"/>
                <w:szCs w:val="21"/>
              </w:rPr>
              <w:t>未使用自卸汽车运载易燃、易爆物品。</w:t>
            </w:r>
          </w:p>
        </w:tc>
        <w:tc>
          <w:tcPr>
            <w:tcW w:w="0" w:type="auto"/>
            <w:noWrap w:val="0"/>
            <w:vAlign w:val="center"/>
          </w:tcPr>
          <w:p w14:paraId="261FD08B">
            <w:pPr>
              <w:pStyle w:val="26"/>
              <w:bidi w:val="0"/>
              <w:rPr>
                <w:rFonts w:hint="eastAsia"/>
                <w:color w:val="auto"/>
                <w:sz w:val="21"/>
                <w:szCs w:val="21"/>
              </w:rPr>
            </w:pPr>
            <w:r>
              <w:rPr>
                <w:rFonts w:hint="eastAsia"/>
                <w:color w:val="auto"/>
                <w:sz w:val="21"/>
                <w:szCs w:val="21"/>
              </w:rPr>
              <w:t>符合</w:t>
            </w:r>
          </w:p>
          <w:p w14:paraId="185AA447">
            <w:pPr>
              <w:pStyle w:val="26"/>
              <w:bidi w:val="0"/>
              <w:rPr>
                <w:rFonts w:hint="eastAsia"/>
                <w:color w:val="auto"/>
                <w:sz w:val="21"/>
                <w:szCs w:val="21"/>
              </w:rPr>
            </w:pPr>
            <w:r>
              <w:rPr>
                <w:rFonts w:hint="eastAsia"/>
                <w:color w:val="auto"/>
                <w:sz w:val="21"/>
                <w:szCs w:val="21"/>
              </w:rPr>
              <w:t>要求</w:t>
            </w:r>
          </w:p>
        </w:tc>
      </w:tr>
      <w:tr w14:paraId="6C14F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A762C02">
            <w:pPr>
              <w:pStyle w:val="26"/>
              <w:bidi w:val="0"/>
              <w:rPr>
                <w:color w:val="auto"/>
                <w:sz w:val="21"/>
                <w:szCs w:val="21"/>
              </w:rPr>
            </w:pPr>
            <w:r>
              <w:rPr>
                <w:rFonts w:hint="eastAsia"/>
                <w:color w:val="auto"/>
                <w:sz w:val="21"/>
                <w:szCs w:val="21"/>
              </w:rPr>
              <w:t>19</w:t>
            </w:r>
          </w:p>
        </w:tc>
        <w:tc>
          <w:tcPr>
            <w:tcW w:w="0" w:type="auto"/>
            <w:noWrap w:val="0"/>
            <w:vAlign w:val="center"/>
          </w:tcPr>
          <w:p w14:paraId="1D0F40D3">
            <w:pPr>
              <w:pStyle w:val="26"/>
              <w:bidi w:val="0"/>
              <w:rPr>
                <w:rFonts w:hint="eastAsia"/>
                <w:color w:val="auto"/>
                <w:sz w:val="21"/>
                <w:szCs w:val="21"/>
              </w:rPr>
            </w:pPr>
            <w:r>
              <w:rPr>
                <w:rFonts w:hint="eastAsia"/>
                <w:color w:val="auto"/>
                <w:sz w:val="21"/>
                <w:szCs w:val="21"/>
              </w:rPr>
              <w:t>自卸汽车装载应停在铲装设备回转范围0.5m以外；</w:t>
            </w:r>
          </w:p>
        </w:tc>
        <w:tc>
          <w:tcPr>
            <w:tcW w:w="2117" w:type="dxa"/>
            <w:noWrap w:val="0"/>
            <w:vAlign w:val="center"/>
          </w:tcPr>
          <w:p w14:paraId="572C834D">
            <w:pPr>
              <w:pStyle w:val="26"/>
              <w:bidi w:val="0"/>
              <w:rPr>
                <w:rFonts w:hint="eastAsia"/>
                <w:color w:val="auto"/>
                <w:sz w:val="21"/>
                <w:szCs w:val="21"/>
              </w:rPr>
            </w:pPr>
            <w:r>
              <w:rPr>
                <w:rFonts w:hint="eastAsia"/>
                <w:color w:val="auto"/>
                <w:sz w:val="21"/>
                <w:szCs w:val="21"/>
              </w:rPr>
              <w:t>《GB16423-2020》之5.4.2.2条</w:t>
            </w:r>
          </w:p>
        </w:tc>
        <w:tc>
          <w:tcPr>
            <w:tcW w:w="517" w:type="dxa"/>
            <w:noWrap w:val="0"/>
            <w:vAlign w:val="center"/>
          </w:tcPr>
          <w:p w14:paraId="07E1DCD4">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55D75DA7">
            <w:pPr>
              <w:pStyle w:val="26"/>
              <w:bidi w:val="0"/>
              <w:rPr>
                <w:rFonts w:hint="eastAsia"/>
                <w:color w:val="auto"/>
                <w:sz w:val="21"/>
                <w:szCs w:val="21"/>
              </w:rPr>
            </w:pPr>
            <w:r>
              <w:rPr>
                <w:rFonts w:hint="eastAsia"/>
                <w:color w:val="auto"/>
                <w:sz w:val="21"/>
                <w:szCs w:val="21"/>
              </w:rPr>
              <w:t>自卸汽车装载时，停在了铲装设备回转范围0.5m以外。</w:t>
            </w:r>
          </w:p>
        </w:tc>
        <w:tc>
          <w:tcPr>
            <w:tcW w:w="0" w:type="auto"/>
            <w:noWrap w:val="0"/>
            <w:vAlign w:val="center"/>
          </w:tcPr>
          <w:p w14:paraId="5DA297CC">
            <w:pPr>
              <w:pStyle w:val="26"/>
              <w:bidi w:val="0"/>
              <w:rPr>
                <w:rFonts w:hint="eastAsia"/>
                <w:color w:val="auto"/>
                <w:sz w:val="21"/>
                <w:szCs w:val="21"/>
              </w:rPr>
            </w:pPr>
            <w:r>
              <w:rPr>
                <w:rFonts w:hint="eastAsia"/>
                <w:color w:val="auto"/>
                <w:sz w:val="21"/>
                <w:szCs w:val="21"/>
              </w:rPr>
              <w:t>符合</w:t>
            </w:r>
          </w:p>
          <w:p w14:paraId="2E7D1048">
            <w:pPr>
              <w:pStyle w:val="26"/>
              <w:bidi w:val="0"/>
              <w:rPr>
                <w:rFonts w:hint="eastAsia"/>
                <w:color w:val="auto"/>
                <w:sz w:val="21"/>
                <w:szCs w:val="21"/>
              </w:rPr>
            </w:pPr>
            <w:r>
              <w:rPr>
                <w:rFonts w:hint="eastAsia"/>
                <w:color w:val="auto"/>
                <w:sz w:val="21"/>
                <w:szCs w:val="21"/>
              </w:rPr>
              <w:t>要求</w:t>
            </w:r>
          </w:p>
        </w:tc>
      </w:tr>
      <w:tr w14:paraId="0C19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BE8867E">
            <w:pPr>
              <w:pStyle w:val="26"/>
              <w:bidi w:val="0"/>
              <w:rPr>
                <w:color w:val="auto"/>
                <w:sz w:val="21"/>
                <w:szCs w:val="21"/>
              </w:rPr>
            </w:pPr>
            <w:r>
              <w:rPr>
                <w:rFonts w:hint="eastAsia"/>
                <w:color w:val="auto"/>
                <w:sz w:val="21"/>
                <w:szCs w:val="21"/>
              </w:rPr>
              <w:t>20</w:t>
            </w:r>
          </w:p>
        </w:tc>
        <w:tc>
          <w:tcPr>
            <w:tcW w:w="0" w:type="auto"/>
            <w:noWrap w:val="0"/>
            <w:vAlign w:val="center"/>
          </w:tcPr>
          <w:p w14:paraId="267E8FD2">
            <w:pPr>
              <w:pStyle w:val="26"/>
              <w:bidi w:val="0"/>
              <w:rPr>
                <w:rFonts w:hint="eastAsia"/>
                <w:color w:val="auto"/>
                <w:sz w:val="21"/>
                <w:szCs w:val="21"/>
              </w:rPr>
            </w:pPr>
            <w:r>
              <w:rPr>
                <w:rFonts w:hint="eastAsia"/>
                <w:color w:val="auto"/>
                <w:sz w:val="21"/>
                <w:szCs w:val="21"/>
              </w:rPr>
              <w:t>自卸汽车装载驶员不离开驾驶室，不将身体任何部位伸出驾驶室外；</w:t>
            </w:r>
          </w:p>
        </w:tc>
        <w:tc>
          <w:tcPr>
            <w:tcW w:w="2117" w:type="dxa"/>
            <w:noWrap w:val="0"/>
            <w:vAlign w:val="center"/>
          </w:tcPr>
          <w:p w14:paraId="2FFE89D4">
            <w:pPr>
              <w:pStyle w:val="26"/>
              <w:bidi w:val="0"/>
              <w:rPr>
                <w:rFonts w:hint="eastAsia"/>
                <w:color w:val="auto"/>
                <w:sz w:val="21"/>
                <w:szCs w:val="21"/>
              </w:rPr>
            </w:pPr>
            <w:r>
              <w:rPr>
                <w:rFonts w:hint="eastAsia"/>
                <w:color w:val="auto"/>
                <w:sz w:val="21"/>
                <w:szCs w:val="21"/>
              </w:rPr>
              <w:t>《GB16423-2020》之5.4.2.2条</w:t>
            </w:r>
          </w:p>
        </w:tc>
        <w:tc>
          <w:tcPr>
            <w:tcW w:w="517" w:type="dxa"/>
            <w:noWrap w:val="0"/>
            <w:vAlign w:val="center"/>
          </w:tcPr>
          <w:p w14:paraId="7BCF8A45">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7D1A11D7">
            <w:pPr>
              <w:pStyle w:val="26"/>
              <w:bidi w:val="0"/>
              <w:rPr>
                <w:rFonts w:hint="eastAsia"/>
                <w:color w:val="auto"/>
                <w:sz w:val="21"/>
                <w:szCs w:val="21"/>
              </w:rPr>
            </w:pPr>
            <w:r>
              <w:rPr>
                <w:rFonts w:hint="eastAsia"/>
                <w:color w:val="auto"/>
                <w:sz w:val="21"/>
                <w:szCs w:val="21"/>
              </w:rPr>
              <w:t>自卸汽车装载时，载驶员没有离开驾驶室，未将身体任何部位伸出驾驶室外。</w:t>
            </w:r>
          </w:p>
        </w:tc>
        <w:tc>
          <w:tcPr>
            <w:tcW w:w="0" w:type="auto"/>
            <w:noWrap w:val="0"/>
            <w:vAlign w:val="center"/>
          </w:tcPr>
          <w:p w14:paraId="220A84A6">
            <w:pPr>
              <w:pStyle w:val="26"/>
              <w:bidi w:val="0"/>
              <w:rPr>
                <w:rFonts w:hint="eastAsia"/>
                <w:color w:val="auto"/>
                <w:sz w:val="21"/>
                <w:szCs w:val="21"/>
              </w:rPr>
            </w:pPr>
            <w:r>
              <w:rPr>
                <w:rFonts w:hint="eastAsia"/>
                <w:color w:val="auto"/>
                <w:sz w:val="21"/>
                <w:szCs w:val="21"/>
              </w:rPr>
              <w:t>符合</w:t>
            </w:r>
          </w:p>
          <w:p w14:paraId="2014F002">
            <w:pPr>
              <w:pStyle w:val="26"/>
              <w:bidi w:val="0"/>
              <w:rPr>
                <w:rFonts w:hint="eastAsia"/>
                <w:color w:val="auto"/>
                <w:sz w:val="21"/>
                <w:szCs w:val="21"/>
              </w:rPr>
            </w:pPr>
            <w:r>
              <w:rPr>
                <w:rFonts w:hint="eastAsia"/>
                <w:color w:val="auto"/>
                <w:sz w:val="21"/>
                <w:szCs w:val="21"/>
              </w:rPr>
              <w:t>要求</w:t>
            </w:r>
          </w:p>
        </w:tc>
      </w:tr>
      <w:tr w14:paraId="36A57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CE2E672">
            <w:pPr>
              <w:pStyle w:val="26"/>
              <w:bidi w:val="0"/>
              <w:rPr>
                <w:color w:val="auto"/>
                <w:sz w:val="21"/>
                <w:szCs w:val="21"/>
              </w:rPr>
            </w:pPr>
            <w:r>
              <w:rPr>
                <w:rFonts w:hint="eastAsia"/>
                <w:color w:val="auto"/>
                <w:sz w:val="21"/>
                <w:szCs w:val="21"/>
              </w:rPr>
              <w:t>21</w:t>
            </w:r>
          </w:p>
        </w:tc>
        <w:tc>
          <w:tcPr>
            <w:tcW w:w="0" w:type="auto"/>
            <w:noWrap w:val="0"/>
            <w:vAlign w:val="center"/>
          </w:tcPr>
          <w:p w14:paraId="7C8B473C">
            <w:pPr>
              <w:pStyle w:val="26"/>
              <w:bidi w:val="0"/>
              <w:rPr>
                <w:rFonts w:hint="eastAsia"/>
                <w:color w:val="auto"/>
                <w:sz w:val="21"/>
                <w:szCs w:val="21"/>
              </w:rPr>
            </w:pPr>
            <w:r>
              <w:rPr>
                <w:rFonts w:hint="eastAsia"/>
                <w:color w:val="auto"/>
                <w:sz w:val="21"/>
                <w:szCs w:val="21"/>
              </w:rPr>
              <w:t>不在装载时检查、维护车辆。</w:t>
            </w:r>
          </w:p>
        </w:tc>
        <w:tc>
          <w:tcPr>
            <w:tcW w:w="2117" w:type="dxa"/>
            <w:noWrap w:val="0"/>
            <w:vAlign w:val="center"/>
          </w:tcPr>
          <w:p w14:paraId="1C974609">
            <w:pPr>
              <w:pStyle w:val="26"/>
              <w:bidi w:val="0"/>
              <w:rPr>
                <w:rFonts w:hint="eastAsia"/>
                <w:color w:val="auto"/>
                <w:sz w:val="21"/>
                <w:szCs w:val="21"/>
              </w:rPr>
            </w:pPr>
            <w:r>
              <w:rPr>
                <w:rFonts w:hint="eastAsia"/>
                <w:color w:val="auto"/>
                <w:sz w:val="21"/>
                <w:szCs w:val="21"/>
              </w:rPr>
              <w:t>《GB16423-2020》之5.4.2.2条</w:t>
            </w:r>
          </w:p>
        </w:tc>
        <w:tc>
          <w:tcPr>
            <w:tcW w:w="517" w:type="dxa"/>
            <w:noWrap w:val="0"/>
            <w:vAlign w:val="center"/>
          </w:tcPr>
          <w:p w14:paraId="4F156913">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0AFE67CC">
            <w:pPr>
              <w:pStyle w:val="26"/>
              <w:bidi w:val="0"/>
              <w:rPr>
                <w:rFonts w:hint="eastAsia"/>
                <w:color w:val="auto"/>
                <w:sz w:val="21"/>
                <w:szCs w:val="21"/>
              </w:rPr>
            </w:pPr>
            <w:r>
              <w:rPr>
                <w:rFonts w:hint="eastAsia"/>
                <w:color w:val="auto"/>
                <w:sz w:val="21"/>
                <w:szCs w:val="21"/>
              </w:rPr>
              <w:t>未在装载时检查、维护车辆。</w:t>
            </w:r>
          </w:p>
        </w:tc>
        <w:tc>
          <w:tcPr>
            <w:tcW w:w="0" w:type="auto"/>
            <w:noWrap w:val="0"/>
            <w:vAlign w:val="center"/>
          </w:tcPr>
          <w:p w14:paraId="440A6958">
            <w:pPr>
              <w:pStyle w:val="26"/>
              <w:bidi w:val="0"/>
              <w:rPr>
                <w:rFonts w:hint="eastAsia"/>
                <w:color w:val="auto"/>
                <w:sz w:val="21"/>
                <w:szCs w:val="21"/>
              </w:rPr>
            </w:pPr>
            <w:r>
              <w:rPr>
                <w:rFonts w:hint="eastAsia"/>
                <w:color w:val="auto"/>
                <w:sz w:val="21"/>
                <w:szCs w:val="21"/>
              </w:rPr>
              <w:t>符合</w:t>
            </w:r>
          </w:p>
          <w:p w14:paraId="2B85F20B">
            <w:pPr>
              <w:pStyle w:val="26"/>
              <w:bidi w:val="0"/>
              <w:rPr>
                <w:rFonts w:hint="eastAsia"/>
                <w:color w:val="auto"/>
                <w:sz w:val="21"/>
                <w:szCs w:val="21"/>
              </w:rPr>
            </w:pPr>
            <w:r>
              <w:rPr>
                <w:rFonts w:hint="eastAsia"/>
                <w:color w:val="auto"/>
                <w:sz w:val="21"/>
                <w:szCs w:val="21"/>
              </w:rPr>
              <w:t>要求</w:t>
            </w:r>
          </w:p>
        </w:tc>
      </w:tr>
      <w:tr w14:paraId="5FC07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F9ED5E1">
            <w:pPr>
              <w:pStyle w:val="26"/>
              <w:bidi w:val="0"/>
              <w:rPr>
                <w:color w:val="auto"/>
                <w:sz w:val="21"/>
                <w:szCs w:val="21"/>
              </w:rPr>
            </w:pPr>
            <w:r>
              <w:rPr>
                <w:rFonts w:hint="eastAsia"/>
                <w:color w:val="auto"/>
                <w:sz w:val="21"/>
                <w:szCs w:val="21"/>
              </w:rPr>
              <w:t>22</w:t>
            </w:r>
          </w:p>
        </w:tc>
        <w:tc>
          <w:tcPr>
            <w:tcW w:w="0" w:type="auto"/>
            <w:noWrap w:val="0"/>
            <w:vAlign w:val="center"/>
          </w:tcPr>
          <w:p w14:paraId="4829BF76">
            <w:pPr>
              <w:pStyle w:val="26"/>
              <w:bidi w:val="0"/>
              <w:rPr>
                <w:rFonts w:hint="eastAsia"/>
                <w:color w:val="auto"/>
                <w:sz w:val="21"/>
                <w:szCs w:val="21"/>
              </w:rPr>
            </w:pPr>
            <w:r>
              <w:rPr>
                <w:rFonts w:hint="eastAsia"/>
                <w:color w:val="auto"/>
                <w:sz w:val="21"/>
                <w:szCs w:val="21"/>
              </w:rPr>
              <w:t>汽车运行应遵守，驾驶室外禁止乘人。</w:t>
            </w:r>
          </w:p>
        </w:tc>
        <w:tc>
          <w:tcPr>
            <w:tcW w:w="2117" w:type="dxa"/>
            <w:noWrap w:val="0"/>
            <w:vAlign w:val="center"/>
          </w:tcPr>
          <w:p w14:paraId="33FE10C6">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10BB16CA">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02AD1BC7">
            <w:pPr>
              <w:pStyle w:val="26"/>
              <w:bidi w:val="0"/>
              <w:rPr>
                <w:rFonts w:hint="eastAsia"/>
                <w:color w:val="auto"/>
                <w:sz w:val="21"/>
                <w:szCs w:val="21"/>
              </w:rPr>
            </w:pPr>
            <w:r>
              <w:rPr>
                <w:rFonts w:hint="eastAsia"/>
                <w:color w:val="auto"/>
                <w:sz w:val="21"/>
                <w:szCs w:val="21"/>
              </w:rPr>
              <w:t>自卸汽车运行时，驾驶室外没有乘人。</w:t>
            </w:r>
          </w:p>
        </w:tc>
        <w:tc>
          <w:tcPr>
            <w:tcW w:w="0" w:type="auto"/>
            <w:noWrap w:val="0"/>
            <w:vAlign w:val="center"/>
          </w:tcPr>
          <w:p w14:paraId="64070756">
            <w:pPr>
              <w:pStyle w:val="26"/>
              <w:bidi w:val="0"/>
              <w:rPr>
                <w:rFonts w:hint="eastAsia"/>
                <w:color w:val="auto"/>
                <w:sz w:val="21"/>
                <w:szCs w:val="21"/>
              </w:rPr>
            </w:pPr>
            <w:r>
              <w:rPr>
                <w:rFonts w:hint="eastAsia"/>
                <w:color w:val="auto"/>
                <w:sz w:val="21"/>
                <w:szCs w:val="21"/>
              </w:rPr>
              <w:t>符合</w:t>
            </w:r>
          </w:p>
          <w:p w14:paraId="1EB7713B">
            <w:pPr>
              <w:pStyle w:val="26"/>
              <w:bidi w:val="0"/>
              <w:rPr>
                <w:rFonts w:hint="eastAsia"/>
                <w:color w:val="auto"/>
                <w:sz w:val="21"/>
                <w:szCs w:val="21"/>
              </w:rPr>
            </w:pPr>
            <w:r>
              <w:rPr>
                <w:rFonts w:hint="eastAsia"/>
                <w:color w:val="auto"/>
                <w:sz w:val="21"/>
                <w:szCs w:val="21"/>
              </w:rPr>
              <w:t>要求</w:t>
            </w:r>
          </w:p>
        </w:tc>
      </w:tr>
      <w:tr w14:paraId="296A0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995037E">
            <w:pPr>
              <w:pStyle w:val="26"/>
              <w:bidi w:val="0"/>
              <w:rPr>
                <w:color w:val="auto"/>
                <w:sz w:val="21"/>
                <w:szCs w:val="21"/>
              </w:rPr>
            </w:pPr>
            <w:r>
              <w:rPr>
                <w:rFonts w:hint="eastAsia"/>
                <w:color w:val="auto"/>
                <w:sz w:val="21"/>
                <w:szCs w:val="21"/>
              </w:rPr>
              <w:t>23</w:t>
            </w:r>
          </w:p>
        </w:tc>
        <w:tc>
          <w:tcPr>
            <w:tcW w:w="0" w:type="auto"/>
            <w:noWrap w:val="0"/>
            <w:vAlign w:val="center"/>
          </w:tcPr>
          <w:p w14:paraId="49DFB06D">
            <w:pPr>
              <w:pStyle w:val="26"/>
              <w:bidi w:val="0"/>
              <w:rPr>
                <w:rFonts w:hint="eastAsia"/>
                <w:color w:val="auto"/>
                <w:sz w:val="21"/>
                <w:szCs w:val="21"/>
              </w:rPr>
            </w:pPr>
            <w:r>
              <w:rPr>
                <w:rFonts w:hint="eastAsia"/>
                <w:color w:val="auto"/>
                <w:sz w:val="21"/>
                <w:szCs w:val="21"/>
              </w:rPr>
              <w:t>汽车运行应遵守，运行时不升降车斗。</w:t>
            </w:r>
          </w:p>
        </w:tc>
        <w:tc>
          <w:tcPr>
            <w:tcW w:w="2117" w:type="dxa"/>
            <w:noWrap w:val="0"/>
            <w:vAlign w:val="center"/>
          </w:tcPr>
          <w:p w14:paraId="51E5CDCD">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01D2CF17">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FA5509E">
            <w:pPr>
              <w:pStyle w:val="26"/>
              <w:bidi w:val="0"/>
              <w:rPr>
                <w:rFonts w:hint="eastAsia"/>
                <w:color w:val="auto"/>
                <w:sz w:val="21"/>
                <w:szCs w:val="21"/>
              </w:rPr>
            </w:pPr>
            <w:r>
              <w:rPr>
                <w:rFonts w:hint="eastAsia"/>
                <w:color w:val="auto"/>
                <w:sz w:val="21"/>
                <w:szCs w:val="21"/>
              </w:rPr>
              <w:t>自卸汽车运行时，没有升降车斗。</w:t>
            </w:r>
          </w:p>
        </w:tc>
        <w:tc>
          <w:tcPr>
            <w:tcW w:w="0" w:type="auto"/>
            <w:noWrap w:val="0"/>
            <w:vAlign w:val="center"/>
          </w:tcPr>
          <w:p w14:paraId="762E6AA3">
            <w:pPr>
              <w:pStyle w:val="26"/>
              <w:bidi w:val="0"/>
              <w:rPr>
                <w:rFonts w:hint="eastAsia"/>
                <w:color w:val="auto"/>
                <w:sz w:val="21"/>
                <w:szCs w:val="21"/>
              </w:rPr>
            </w:pPr>
            <w:r>
              <w:rPr>
                <w:rFonts w:hint="eastAsia"/>
                <w:color w:val="auto"/>
                <w:sz w:val="21"/>
                <w:szCs w:val="21"/>
              </w:rPr>
              <w:t>符合</w:t>
            </w:r>
          </w:p>
          <w:p w14:paraId="3969A9B9">
            <w:pPr>
              <w:pStyle w:val="26"/>
              <w:bidi w:val="0"/>
              <w:rPr>
                <w:rFonts w:hint="eastAsia"/>
                <w:color w:val="auto"/>
                <w:sz w:val="21"/>
                <w:szCs w:val="21"/>
              </w:rPr>
            </w:pPr>
            <w:r>
              <w:rPr>
                <w:rFonts w:hint="eastAsia"/>
                <w:color w:val="auto"/>
                <w:sz w:val="21"/>
                <w:szCs w:val="21"/>
              </w:rPr>
              <w:t>要求</w:t>
            </w:r>
          </w:p>
        </w:tc>
      </w:tr>
      <w:tr w14:paraId="6A533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0B44907">
            <w:pPr>
              <w:pStyle w:val="26"/>
              <w:bidi w:val="0"/>
              <w:rPr>
                <w:color w:val="auto"/>
                <w:sz w:val="21"/>
                <w:szCs w:val="21"/>
              </w:rPr>
            </w:pPr>
            <w:r>
              <w:rPr>
                <w:rFonts w:hint="eastAsia"/>
                <w:color w:val="auto"/>
                <w:sz w:val="21"/>
                <w:szCs w:val="21"/>
              </w:rPr>
              <w:t>24</w:t>
            </w:r>
          </w:p>
        </w:tc>
        <w:tc>
          <w:tcPr>
            <w:tcW w:w="0" w:type="auto"/>
            <w:noWrap w:val="0"/>
            <w:vAlign w:val="center"/>
          </w:tcPr>
          <w:p w14:paraId="6C6CFD2C">
            <w:pPr>
              <w:pStyle w:val="26"/>
              <w:bidi w:val="0"/>
              <w:rPr>
                <w:rFonts w:hint="eastAsia"/>
                <w:color w:val="auto"/>
                <w:sz w:val="21"/>
                <w:szCs w:val="21"/>
              </w:rPr>
            </w:pPr>
            <w:r>
              <w:rPr>
                <w:rFonts w:hint="eastAsia"/>
                <w:color w:val="auto"/>
                <w:sz w:val="21"/>
                <w:szCs w:val="21"/>
              </w:rPr>
              <w:t>汽车运行应遵守，不采用溜车方式发动车辆。</w:t>
            </w:r>
          </w:p>
        </w:tc>
        <w:tc>
          <w:tcPr>
            <w:tcW w:w="2117" w:type="dxa"/>
            <w:noWrap w:val="0"/>
            <w:vAlign w:val="center"/>
          </w:tcPr>
          <w:p w14:paraId="699C2914">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1DB348B6">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1ED106AF">
            <w:pPr>
              <w:pStyle w:val="26"/>
              <w:bidi w:val="0"/>
              <w:rPr>
                <w:rFonts w:hint="eastAsia"/>
                <w:color w:val="auto"/>
                <w:sz w:val="21"/>
                <w:szCs w:val="21"/>
              </w:rPr>
            </w:pPr>
            <w:r>
              <w:rPr>
                <w:rFonts w:hint="eastAsia"/>
                <w:color w:val="auto"/>
                <w:sz w:val="21"/>
                <w:szCs w:val="21"/>
              </w:rPr>
              <w:t>没有采用溜车发动车辆。</w:t>
            </w:r>
          </w:p>
        </w:tc>
        <w:tc>
          <w:tcPr>
            <w:tcW w:w="0" w:type="auto"/>
            <w:noWrap w:val="0"/>
            <w:vAlign w:val="center"/>
          </w:tcPr>
          <w:p w14:paraId="54FF50A0">
            <w:pPr>
              <w:pStyle w:val="26"/>
              <w:bidi w:val="0"/>
              <w:rPr>
                <w:rFonts w:hint="eastAsia"/>
                <w:color w:val="auto"/>
                <w:sz w:val="21"/>
                <w:szCs w:val="21"/>
              </w:rPr>
            </w:pPr>
            <w:r>
              <w:rPr>
                <w:rFonts w:hint="eastAsia"/>
                <w:color w:val="auto"/>
                <w:sz w:val="21"/>
                <w:szCs w:val="21"/>
              </w:rPr>
              <w:t>符合</w:t>
            </w:r>
          </w:p>
          <w:p w14:paraId="62C48929">
            <w:pPr>
              <w:pStyle w:val="26"/>
              <w:bidi w:val="0"/>
              <w:rPr>
                <w:rFonts w:hint="eastAsia"/>
                <w:color w:val="auto"/>
                <w:sz w:val="21"/>
                <w:szCs w:val="21"/>
              </w:rPr>
            </w:pPr>
            <w:r>
              <w:rPr>
                <w:rFonts w:hint="eastAsia"/>
                <w:color w:val="auto"/>
                <w:sz w:val="21"/>
                <w:szCs w:val="21"/>
              </w:rPr>
              <w:t>要求</w:t>
            </w:r>
          </w:p>
        </w:tc>
      </w:tr>
      <w:tr w14:paraId="06612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718759F">
            <w:pPr>
              <w:pStyle w:val="26"/>
              <w:bidi w:val="0"/>
              <w:rPr>
                <w:color w:val="auto"/>
                <w:sz w:val="21"/>
                <w:szCs w:val="21"/>
              </w:rPr>
            </w:pPr>
            <w:r>
              <w:rPr>
                <w:rFonts w:hint="eastAsia"/>
                <w:color w:val="auto"/>
                <w:sz w:val="21"/>
                <w:szCs w:val="21"/>
              </w:rPr>
              <w:t>25</w:t>
            </w:r>
          </w:p>
        </w:tc>
        <w:tc>
          <w:tcPr>
            <w:tcW w:w="0" w:type="auto"/>
            <w:noWrap w:val="0"/>
            <w:vAlign w:val="center"/>
          </w:tcPr>
          <w:p w14:paraId="284571C4">
            <w:pPr>
              <w:pStyle w:val="26"/>
              <w:bidi w:val="0"/>
              <w:rPr>
                <w:rFonts w:hint="eastAsia"/>
                <w:color w:val="auto"/>
                <w:sz w:val="21"/>
                <w:szCs w:val="21"/>
              </w:rPr>
            </w:pPr>
            <w:r>
              <w:rPr>
                <w:rFonts w:hint="eastAsia"/>
                <w:color w:val="auto"/>
                <w:sz w:val="21"/>
                <w:szCs w:val="21"/>
              </w:rPr>
              <w:t>汽车运行应遵守，不空挡滑行。</w:t>
            </w:r>
          </w:p>
        </w:tc>
        <w:tc>
          <w:tcPr>
            <w:tcW w:w="2117" w:type="dxa"/>
            <w:noWrap w:val="0"/>
            <w:vAlign w:val="center"/>
          </w:tcPr>
          <w:p w14:paraId="4E06CA28">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580046E7">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0C31B239">
            <w:pPr>
              <w:pStyle w:val="26"/>
              <w:bidi w:val="0"/>
              <w:rPr>
                <w:rFonts w:hint="eastAsia"/>
                <w:color w:val="auto"/>
                <w:sz w:val="21"/>
                <w:szCs w:val="21"/>
              </w:rPr>
            </w:pPr>
            <w:r>
              <w:rPr>
                <w:rFonts w:hint="eastAsia"/>
                <w:color w:val="auto"/>
                <w:sz w:val="21"/>
                <w:szCs w:val="21"/>
              </w:rPr>
              <w:t>没有发现自卸汽车空挡滑行。</w:t>
            </w:r>
          </w:p>
        </w:tc>
        <w:tc>
          <w:tcPr>
            <w:tcW w:w="0" w:type="auto"/>
            <w:noWrap w:val="0"/>
            <w:vAlign w:val="center"/>
          </w:tcPr>
          <w:p w14:paraId="1EE2373A">
            <w:pPr>
              <w:pStyle w:val="26"/>
              <w:bidi w:val="0"/>
              <w:rPr>
                <w:rFonts w:hint="eastAsia"/>
                <w:color w:val="auto"/>
                <w:sz w:val="21"/>
                <w:szCs w:val="21"/>
              </w:rPr>
            </w:pPr>
            <w:r>
              <w:rPr>
                <w:rFonts w:hint="eastAsia"/>
                <w:color w:val="auto"/>
                <w:sz w:val="21"/>
                <w:szCs w:val="21"/>
              </w:rPr>
              <w:t>符合</w:t>
            </w:r>
          </w:p>
          <w:p w14:paraId="2E5050A6">
            <w:pPr>
              <w:pStyle w:val="26"/>
              <w:bidi w:val="0"/>
              <w:rPr>
                <w:rFonts w:hint="eastAsia"/>
                <w:color w:val="auto"/>
                <w:sz w:val="21"/>
                <w:szCs w:val="21"/>
              </w:rPr>
            </w:pPr>
            <w:r>
              <w:rPr>
                <w:rFonts w:hint="eastAsia"/>
                <w:color w:val="auto"/>
                <w:sz w:val="21"/>
                <w:szCs w:val="21"/>
              </w:rPr>
              <w:t>要求</w:t>
            </w:r>
          </w:p>
        </w:tc>
      </w:tr>
      <w:tr w14:paraId="433A0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23541505">
            <w:pPr>
              <w:pStyle w:val="26"/>
              <w:bidi w:val="0"/>
              <w:rPr>
                <w:color w:val="auto"/>
                <w:sz w:val="21"/>
                <w:szCs w:val="21"/>
              </w:rPr>
            </w:pPr>
            <w:r>
              <w:rPr>
                <w:rFonts w:hint="eastAsia"/>
                <w:color w:val="auto"/>
                <w:sz w:val="21"/>
                <w:szCs w:val="21"/>
              </w:rPr>
              <w:t>26</w:t>
            </w:r>
          </w:p>
        </w:tc>
        <w:tc>
          <w:tcPr>
            <w:tcW w:w="0" w:type="auto"/>
            <w:noWrap w:val="0"/>
            <w:vAlign w:val="center"/>
          </w:tcPr>
          <w:p w14:paraId="4949414B">
            <w:pPr>
              <w:pStyle w:val="26"/>
              <w:bidi w:val="0"/>
              <w:rPr>
                <w:rFonts w:hint="eastAsia"/>
                <w:color w:val="auto"/>
                <w:sz w:val="21"/>
                <w:szCs w:val="21"/>
              </w:rPr>
            </w:pPr>
            <w:r>
              <w:rPr>
                <w:rFonts w:hint="eastAsia"/>
                <w:color w:val="auto"/>
                <w:sz w:val="21"/>
                <w:szCs w:val="21"/>
              </w:rPr>
              <w:t>汽车运行应遵守，不弯道超车。</w:t>
            </w:r>
          </w:p>
        </w:tc>
        <w:tc>
          <w:tcPr>
            <w:tcW w:w="2117" w:type="dxa"/>
            <w:noWrap w:val="0"/>
            <w:vAlign w:val="center"/>
          </w:tcPr>
          <w:p w14:paraId="24CD6925">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4AC4A8D8">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02AECB8C">
            <w:pPr>
              <w:pStyle w:val="26"/>
              <w:bidi w:val="0"/>
              <w:rPr>
                <w:rFonts w:hint="eastAsia"/>
                <w:color w:val="auto"/>
                <w:sz w:val="21"/>
                <w:szCs w:val="21"/>
              </w:rPr>
            </w:pPr>
            <w:r>
              <w:rPr>
                <w:rFonts w:hint="eastAsia"/>
                <w:color w:val="auto"/>
                <w:sz w:val="21"/>
                <w:szCs w:val="21"/>
              </w:rPr>
              <w:t>没有发现自卸汽车弯道超车现象。</w:t>
            </w:r>
          </w:p>
        </w:tc>
        <w:tc>
          <w:tcPr>
            <w:tcW w:w="0" w:type="auto"/>
            <w:noWrap w:val="0"/>
            <w:vAlign w:val="center"/>
          </w:tcPr>
          <w:p w14:paraId="72A113CC">
            <w:pPr>
              <w:pStyle w:val="26"/>
              <w:bidi w:val="0"/>
              <w:rPr>
                <w:rFonts w:hint="eastAsia"/>
                <w:color w:val="auto"/>
                <w:sz w:val="21"/>
                <w:szCs w:val="21"/>
              </w:rPr>
            </w:pPr>
            <w:r>
              <w:rPr>
                <w:rFonts w:hint="eastAsia"/>
                <w:color w:val="auto"/>
                <w:sz w:val="21"/>
                <w:szCs w:val="21"/>
              </w:rPr>
              <w:t>符合</w:t>
            </w:r>
          </w:p>
          <w:p w14:paraId="189397B2">
            <w:pPr>
              <w:pStyle w:val="26"/>
              <w:bidi w:val="0"/>
              <w:rPr>
                <w:rFonts w:hint="eastAsia"/>
                <w:color w:val="auto"/>
                <w:sz w:val="21"/>
                <w:szCs w:val="21"/>
              </w:rPr>
            </w:pPr>
            <w:r>
              <w:rPr>
                <w:rFonts w:hint="eastAsia"/>
                <w:color w:val="auto"/>
                <w:sz w:val="21"/>
                <w:szCs w:val="21"/>
              </w:rPr>
              <w:t>要求</w:t>
            </w:r>
          </w:p>
        </w:tc>
      </w:tr>
      <w:tr w14:paraId="2DAC7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62B8935">
            <w:pPr>
              <w:pStyle w:val="26"/>
              <w:bidi w:val="0"/>
              <w:rPr>
                <w:color w:val="auto"/>
                <w:sz w:val="21"/>
                <w:szCs w:val="21"/>
              </w:rPr>
            </w:pPr>
            <w:r>
              <w:rPr>
                <w:rFonts w:hint="eastAsia"/>
                <w:color w:val="auto"/>
                <w:sz w:val="21"/>
                <w:szCs w:val="21"/>
              </w:rPr>
              <w:t>27</w:t>
            </w:r>
          </w:p>
        </w:tc>
        <w:tc>
          <w:tcPr>
            <w:tcW w:w="0" w:type="auto"/>
            <w:noWrap w:val="0"/>
            <w:vAlign w:val="center"/>
          </w:tcPr>
          <w:p w14:paraId="362B9DB3">
            <w:pPr>
              <w:pStyle w:val="26"/>
              <w:bidi w:val="0"/>
              <w:rPr>
                <w:rFonts w:hint="eastAsia"/>
                <w:color w:val="auto"/>
                <w:sz w:val="21"/>
                <w:szCs w:val="21"/>
              </w:rPr>
            </w:pPr>
            <w:r>
              <w:rPr>
                <w:rFonts w:hint="eastAsia"/>
                <w:color w:val="auto"/>
                <w:sz w:val="21"/>
                <w:szCs w:val="21"/>
              </w:rPr>
              <w:t>汽车运行应遵守，下坡车速不超过25km／h。</w:t>
            </w:r>
          </w:p>
        </w:tc>
        <w:tc>
          <w:tcPr>
            <w:tcW w:w="2117" w:type="dxa"/>
            <w:noWrap w:val="0"/>
            <w:vAlign w:val="center"/>
          </w:tcPr>
          <w:p w14:paraId="621BAE12">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0705814E">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11E393E">
            <w:pPr>
              <w:pStyle w:val="26"/>
              <w:bidi w:val="0"/>
              <w:rPr>
                <w:rFonts w:hint="eastAsia"/>
                <w:color w:val="auto"/>
                <w:sz w:val="21"/>
                <w:szCs w:val="21"/>
              </w:rPr>
            </w:pPr>
            <w:r>
              <w:rPr>
                <w:rFonts w:hint="eastAsia"/>
                <w:color w:val="auto"/>
                <w:sz w:val="21"/>
                <w:szCs w:val="21"/>
              </w:rPr>
              <w:t>矿区内自卸汽车下坡行驶速度为15km/h。</w:t>
            </w:r>
          </w:p>
        </w:tc>
        <w:tc>
          <w:tcPr>
            <w:tcW w:w="0" w:type="auto"/>
            <w:noWrap w:val="0"/>
            <w:vAlign w:val="center"/>
          </w:tcPr>
          <w:p w14:paraId="06C3CCF3">
            <w:pPr>
              <w:pStyle w:val="26"/>
              <w:bidi w:val="0"/>
              <w:rPr>
                <w:rFonts w:hint="eastAsia"/>
                <w:color w:val="auto"/>
                <w:sz w:val="21"/>
                <w:szCs w:val="21"/>
              </w:rPr>
            </w:pPr>
            <w:r>
              <w:rPr>
                <w:rFonts w:hint="eastAsia"/>
                <w:color w:val="auto"/>
                <w:sz w:val="21"/>
                <w:szCs w:val="21"/>
              </w:rPr>
              <w:t>符合</w:t>
            </w:r>
          </w:p>
          <w:p w14:paraId="12ADF855">
            <w:pPr>
              <w:pStyle w:val="26"/>
              <w:bidi w:val="0"/>
              <w:rPr>
                <w:rFonts w:hint="eastAsia"/>
                <w:color w:val="auto"/>
                <w:sz w:val="21"/>
                <w:szCs w:val="21"/>
              </w:rPr>
            </w:pPr>
            <w:r>
              <w:rPr>
                <w:rFonts w:hint="eastAsia"/>
                <w:color w:val="auto"/>
                <w:sz w:val="21"/>
                <w:szCs w:val="21"/>
              </w:rPr>
              <w:t>要求</w:t>
            </w:r>
          </w:p>
        </w:tc>
      </w:tr>
      <w:tr w14:paraId="665CD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05E4CFD">
            <w:pPr>
              <w:pStyle w:val="26"/>
              <w:bidi w:val="0"/>
              <w:rPr>
                <w:color w:val="auto"/>
                <w:sz w:val="21"/>
                <w:szCs w:val="21"/>
              </w:rPr>
            </w:pPr>
            <w:r>
              <w:rPr>
                <w:rFonts w:hint="eastAsia"/>
                <w:color w:val="auto"/>
                <w:sz w:val="21"/>
                <w:szCs w:val="21"/>
              </w:rPr>
              <w:t>28</w:t>
            </w:r>
          </w:p>
        </w:tc>
        <w:tc>
          <w:tcPr>
            <w:tcW w:w="0" w:type="auto"/>
            <w:noWrap w:val="0"/>
            <w:vAlign w:val="center"/>
          </w:tcPr>
          <w:p w14:paraId="001E5894">
            <w:pPr>
              <w:pStyle w:val="26"/>
              <w:bidi w:val="0"/>
              <w:rPr>
                <w:rFonts w:hint="eastAsia"/>
                <w:color w:val="auto"/>
                <w:sz w:val="21"/>
                <w:szCs w:val="21"/>
              </w:rPr>
            </w:pPr>
            <w:r>
              <w:rPr>
                <w:rFonts w:hint="eastAsia"/>
                <w:color w:val="auto"/>
                <w:sz w:val="21"/>
                <w:szCs w:val="21"/>
              </w:rPr>
              <w:t>不在主运输道路和坡道上停车。</w:t>
            </w:r>
          </w:p>
        </w:tc>
        <w:tc>
          <w:tcPr>
            <w:tcW w:w="2117" w:type="dxa"/>
            <w:noWrap w:val="0"/>
            <w:vAlign w:val="center"/>
          </w:tcPr>
          <w:p w14:paraId="1605AF11">
            <w:pPr>
              <w:pStyle w:val="26"/>
              <w:bidi w:val="0"/>
              <w:rPr>
                <w:rFonts w:hint="eastAsia"/>
                <w:color w:val="auto"/>
                <w:sz w:val="21"/>
                <w:szCs w:val="21"/>
              </w:rPr>
            </w:pPr>
            <w:r>
              <w:rPr>
                <w:rFonts w:hint="eastAsia"/>
                <w:color w:val="auto"/>
                <w:sz w:val="21"/>
                <w:szCs w:val="21"/>
              </w:rPr>
              <w:t>《GB16423-2020》之5.4.2.6条</w:t>
            </w:r>
          </w:p>
        </w:tc>
        <w:tc>
          <w:tcPr>
            <w:tcW w:w="517" w:type="dxa"/>
            <w:noWrap w:val="0"/>
            <w:vAlign w:val="center"/>
          </w:tcPr>
          <w:p w14:paraId="38F54968">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5730E50E">
            <w:pPr>
              <w:pStyle w:val="26"/>
              <w:bidi w:val="0"/>
              <w:rPr>
                <w:rFonts w:hint="eastAsia"/>
                <w:color w:val="auto"/>
                <w:sz w:val="21"/>
                <w:szCs w:val="21"/>
              </w:rPr>
            </w:pPr>
            <w:r>
              <w:rPr>
                <w:rFonts w:hint="eastAsia"/>
                <w:color w:val="auto"/>
                <w:sz w:val="21"/>
                <w:szCs w:val="21"/>
              </w:rPr>
              <w:t>运输车辆没有在主运输道路和坡道上停车。</w:t>
            </w:r>
          </w:p>
        </w:tc>
        <w:tc>
          <w:tcPr>
            <w:tcW w:w="0" w:type="auto"/>
            <w:noWrap w:val="0"/>
            <w:vAlign w:val="center"/>
          </w:tcPr>
          <w:p w14:paraId="7288B6F1">
            <w:pPr>
              <w:pStyle w:val="26"/>
              <w:bidi w:val="0"/>
              <w:rPr>
                <w:rFonts w:hint="eastAsia"/>
                <w:color w:val="auto"/>
                <w:sz w:val="21"/>
                <w:szCs w:val="21"/>
              </w:rPr>
            </w:pPr>
            <w:r>
              <w:rPr>
                <w:rFonts w:hint="eastAsia"/>
                <w:color w:val="auto"/>
                <w:sz w:val="21"/>
                <w:szCs w:val="21"/>
              </w:rPr>
              <w:t>符合</w:t>
            </w:r>
          </w:p>
          <w:p w14:paraId="5C07758C">
            <w:pPr>
              <w:pStyle w:val="26"/>
              <w:bidi w:val="0"/>
              <w:rPr>
                <w:rFonts w:hint="eastAsia"/>
                <w:color w:val="auto"/>
                <w:sz w:val="21"/>
                <w:szCs w:val="21"/>
              </w:rPr>
            </w:pPr>
            <w:r>
              <w:rPr>
                <w:rFonts w:hint="eastAsia"/>
                <w:color w:val="auto"/>
                <w:sz w:val="21"/>
                <w:szCs w:val="21"/>
              </w:rPr>
              <w:t>要求</w:t>
            </w:r>
          </w:p>
        </w:tc>
      </w:tr>
      <w:tr w14:paraId="0C1CA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CF46CDF">
            <w:pPr>
              <w:pStyle w:val="26"/>
              <w:bidi w:val="0"/>
              <w:rPr>
                <w:color w:val="auto"/>
                <w:sz w:val="21"/>
                <w:szCs w:val="21"/>
              </w:rPr>
            </w:pPr>
            <w:r>
              <w:rPr>
                <w:rFonts w:hint="eastAsia"/>
                <w:color w:val="auto"/>
                <w:sz w:val="21"/>
                <w:szCs w:val="21"/>
              </w:rPr>
              <w:t>29</w:t>
            </w:r>
          </w:p>
        </w:tc>
        <w:tc>
          <w:tcPr>
            <w:tcW w:w="0" w:type="auto"/>
            <w:noWrap w:val="0"/>
            <w:vAlign w:val="center"/>
          </w:tcPr>
          <w:p w14:paraId="3A04CCC4">
            <w:pPr>
              <w:pStyle w:val="26"/>
              <w:bidi w:val="0"/>
              <w:rPr>
                <w:rFonts w:hint="eastAsia"/>
                <w:color w:val="auto"/>
                <w:sz w:val="21"/>
                <w:szCs w:val="21"/>
              </w:rPr>
            </w:pPr>
            <w:r>
              <w:rPr>
                <w:rFonts w:hint="eastAsia"/>
                <w:color w:val="auto"/>
                <w:sz w:val="21"/>
                <w:szCs w:val="21"/>
              </w:rPr>
              <w:t>现场检修车辆时，应采取可靠的安全措施。</w:t>
            </w:r>
          </w:p>
        </w:tc>
        <w:tc>
          <w:tcPr>
            <w:tcW w:w="2117" w:type="dxa"/>
            <w:noWrap w:val="0"/>
            <w:vAlign w:val="center"/>
          </w:tcPr>
          <w:p w14:paraId="5C4C89C3">
            <w:pPr>
              <w:pStyle w:val="26"/>
              <w:bidi w:val="0"/>
              <w:rPr>
                <w:rFonts w:hint="eastAsia"/>
                <w:color w:val="auto"/>
                <w:sz w:val="21"/>
                <w:szCs w:val="21"/>
              </w:rPr>
            </w:pPr>
            <w:r>
              <w:rPr>
                <w:rFonts w:hint="eastAsia"/>
                <w:color w:val="auto"/>
                <w:sz w:val="21"/>
                <w:szCs w:val="21"/>
              </w:rPr>
              <w:t>《GB16423-2020》之5.4.2.7条</w:t>
            </w:r>
          </w:p>
        </w:tc>
        <w:tc>
          <w:tcPr>
            <w:tcW w:w="517" w:type="dxa"/>
            <w:noWrap w:val="0"/>
            <w:vAlign w:val="center"/>
          </w:tcPr>
          <w:p w14:paraId="3E70F591">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1E6A3172">
            <w:pPr>
              <w:pStyle w:val="26"/>
              <w:bidi w:val="0"/>
              <w:rPr>
                <w:rFonts w:hint="eastAsia"/>
                <w:color w:val="auto"/>
                <w:sz w:val="21"/>
                <w:szCs w:val="21"/>
              </w:rPr>
            </w:pPr>
            <w:r>
              <w:rPr>
                <w:rFonts w:hint="eastAsia"/>
                <w:color w:val="auto"/>
                <w:sz w:val="21"/>
                <w:szCs w:val="21"/>
              </w:rPr>
              <w:t>现场检修车辆时，采取了警戒线、警示牌等可靠的安全措施。</w:t>
            </w:r>
          </w:p>
        </w:tc>
        <w:tc>
          <w:tcPr>
            <w:tcW w:w="0" w:type="auto"/>
            <w:noWrap w:val="0"/>
            <w:vAlign w:val="center"/>
          </w:tcPr>
          <w:p w14:paraId="0BE6E985">
            <w:pPr>
              <w:pStyle w:val="26"/>
              <w:bidi w:val="0"/>
              <w:rPr>
                <w:rFonts w:hint="eastAsia"/>
                <w:color w:val="auto"/>
                <w:sz w:val="21"/>
                <w:szCs w:val="21"/>
              </w:rPr>
            </w:pPr>
            <w:r>
              <w:rPr>
                <w:rFonts w:hint="eastAsia"/>
                <w:color w:val="auto"/>
                <w:sz w:val="21"/>
                <w:szCs w:val="21"/>
              </w:rPr>
              <w:t>符合</w:t>
            </w:r>
          </w:p>
          <w:p w14:paraId="364FEE66">
            <w:pPr>
              <w:pStyle w:val="26"/>
              <w:bidi w:val="0"/>
              <w:rPr>
                <w:rFonts w:hint="eastAsia"/>
                <w:color w:val="auto"/>
                <w:sz w:val="21"/>
                <w:szCs w:val="21"/>
              </w:rPr>
            </w:pPr>
            <w:r>
              <w:rPr>
                <w:rFonts w:hint="eastAsia"/>
                <w:color w:val="auto"/>
                <w:sz w:val="21"/>
                <w:szCs w:val="21"/>
              </w:rPr>
              <w:t>要求</w:t>
            </w:r>
          </w:p>
        </w:tc>
      </w:tr>
    </w:tbl>
    <w:p w14:paraId="7D7FC889">
      <w:pPr>
        <w:pStyle w:val="25"/>
        <w:bidi w:val="0"/>
        <w:rPr>
          <w:rFonts w:hint="eastAsia"/>
          <w:color w:val="auto"/>
        </w:rPr>
      </w:pPr>
    </w:p>
    <w:p w14:paraId="3B059E7F">
      <w:pPr>
        <w:pStyle w:val="16"/>
        <w:bidi w:val="0"/>
        <w:rPr>
          <w:rFonts w:hint="eastAsia"/>
          <w:color w:val="auto"/>
        </w:rPr>
      </w:pPr>
      <w:r>
        <w:rPr>
          <w:rFonts w:hint="eastAsia"/>
          <w:color w:val="auto"/>
        </w:rPr>
        <w:t>从采装与运输子单元安全检查表可知：符合项为29项，不符合项为0项。鞍山东盛源矿业有限公司露天矿山的采装运输工艺条件良好，配备了较全面的安全设施，能较好的保证采装和运输作业的安全。</w:t>
      </w:r>
    </w:p>
    <w:p w14:paraId="20225375">
      <w:pPr>
        <w:pStyle w:val="24"/>
        <w:bidi w:val="0"/>
        <w:rPr>
          <w:rFonts w:hint="default"/>
          <w:color w:val="auto"/>
          <w:lang w:val="en-US" w:eastAsia="zh-CN"/>
        </w:rPr>
      </w:pPr>
      <w:r>
        <w:rPr>
          <w:rFonts w:hint="default"/>
          <w:color w:val="auto"/>
          <w:lang w:val="en-US" w:eastAsia="zh-CN"/>
        </w:rPr>
        <w:t>供配电子单元</w:t>
      </w:r>
    </w:p>
    <w:p w14:paraId="7FCD9998">
      <w:pPr>
        <w:pStyle w:val="16"/>
        <w:bidi w:val="0"/>
        <w:rPr>
          <w:rFonts w:hint="eastAsia"/>
          <w:color w:val="auto"/>
        </w:rPr>
      </w:pPr>
      <w:r>
        <w:rPr>
          <w:rFonts w:hint="eastAsia"/>
          <w:color w:val="auto"/>
        </w:rPr>
        <w:t>采用安全检查表法对供配电子单元进行检查，具体见下表。</w:t>
      </w:r>
    </w:p>
    <w:p w14:paraId="54D236D9">
      <w:pPr>
        <w:pStyle w:val="25"/>
        <w:bidi w:val="0"/>
        <w:rPr>
          <w:rFonts w:hint="eastAsia"/>
          <w:color w:val="auto"/>
        </w:rPr>
      </w:pPr>
      <w:r>
        <w:rPr>
          <w:rFonts w:hint="eastAsia"/>
          <w:color w:val="auto"/>
        </w:rPr>
        <w:t>表5.2-4  供配电子单元安全检查表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5"/>
        <w:gridCol w:w="2332"/>
        <w:gridCol w:w="2115"/>
        <w:gridCol w:w="516"/>
        <w:gridCol w:w="3467"/>
        <w:gridCol w:w="516"/>
      </w:tblGrid>
      <w:tr w14:paraId="51CD2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0" w:type="auto"/>
            <w:noWrap w:val="0"/>
            <w:vAlign w:val="center"/>
          </w:tcPr>
          <w:p w14:paraId="2A664AA0">
            <w:pPr>
              <w:pStyle w:val="26"/>
              <w:bidi w:val="0"/>
              <w:rPr>
                <w:rFonts w:hint="eastAsia"/>
                <w:color w:val="auto"/>
                <w:sz w:val="21"/>
                <w:szCs w:val="21"/>
              </w:rPr>
            </w:pPr>
            <w:r>
              <w:rPr>
                <w:rFonts w:hint="eastAsia"/>
                <w:color w:val="auto"/>
                <w:sz w:val="21"/>
                <w:szCs w:val="21"/>
              </w:rPr>
              <w:t>序号</w:t>
            </w:r>
          </w:p>
        </w:tc>
        <w:tc>
          <w:tcPr>
            <w:tcW w:w="0" w:type="auto"/>
            <w:noWrap w:val="0"/>
            <w:vAlign w:val="center"/>
          </w:tcPr>
          <w:p w14:paraId="35060AFC">
            <w:pPr>
              <w:pStyle w:val="26"/>
              <w:bidi w:val="0"/>
              <w:rPr>
                <w:rFonts w:hint="eastAsia"/>
                <w:color w:val="auto"/>
                <w:sz w:val="21"/>
                <w:szCs w:val="21"/>
              </w:rPr>
            </w:pPr>
            <w:r>
              <w:rPr>
                <w:rFonts w:hint="eastAsia"/>
                <w:color w:val="auto"/>
                <w:sz w:val="21"/>
                <w:szCs w:val="21"/>
              </w:rPr>
              <w:t>检查内容</w:t>
            </w:r>
          </w:p>
        </w:tc>
        <w:tc>
          <w:tcPr>
            <w:tcW w:w="0" w:type="auto"/>
            <w:noWrap w:val="0"/>
            <w:vAlign w:val="center"/>
          </w:tcPr>
          <w:p w14:paraId="3DBCA6D8">
            <w:pPr>
              <w:pStyle w:val="26"/>
              <w:bidi w:val="0"/>
              <w:rPr>
                <w:rFonts w:hint="eastAsia"/>
                <w:color w:val="auto"/>
                <w:sz w:val="21"/>
                <w:szCs w:val="21"/>
              </w:rPr>
            </w:pPr>
            <w:r>
              <w:rPr>
                <w:rFonts w:hint="eastAsia"/>
                <w:color w:val="auto"/>
                <w:sz w:val="21"/>
                <w:szCs w:val="21"/>
              </w:rPr>
              <w:t>检查依据</w:t>
            </w:r>
          </w:p>
        </w:tc>
        <w:tc>
          <w:tcPr>
            <w:tcW w:w="0" w:type="auto"/>
            <w:noWrap w:val="0"/>
            <w:vAlign w:val="center"/>
          </w:tcPr>
          <w:p w14:paraId="63E9E179">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32E510EF">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02350F1F">
            <w:pPr>
              <w:pStyle w:val="26"/>
              <w:bidi w:val="0"/>
              <w:rPr>
                <w:rFonts w:hint="eastAsia"/>
                <w:color w:val="auto"/>
                <w:sz w:val="21"/>
                <w:szCs w:val="21"/>
              </w:rPr>
            </w:pPr>
            <w:r>
              <w:rPr>
                <w:rFonts w:hint="eastAsia"/>
                <w:color w:val="auto"/>
                <w:sz w:val="21"/>
                <w:szCs w:val="21"/>
              </w:rPr>
              <w:t>结论</w:t>
            </w:r>
          </w:p>
        </w:tc>
      </w:tr>
      <w:tr w14:paraId="422C4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4F3358C">
            <w:pPr>
              <w:pStyle w:val="26"/>
              <w:bidi w:val="0"/>
              <w:rPr>
                <w:color w:val="auto"/>
                <w:sz w:val="21"/>
                <w:szCs w:val="21"/>
              </w:rPr>
            </w:pPr>
            <w:r>
              <w:rPr>
                <w:rFonts w:hint="eastAsia"/>
                <w:color w:val="auto"/>
                <w:sz w:val="21"/>
                <w:szCs w:val="21"/>
              </w:rPr>
              <w:t>1</w:t>
            </w:r>
          </w:p>
        </w:tc>
        <w:tc>
          <w:tcPr>
            <w:tcW w:w="0" w:type="auto"/>
            <w:noWrap w:val="0"/>
            <w:vAlign w:val="center"/>
          </w:tcPr>
          <w:p w14:paraId="07686B90">
            <w:pPr>
              <w:pStyle w:val="26"/>
              <w:bidi w:val="0"/>
              <w:rPr>
                <w:rFonts w:hint="eastAsia"/>
                <w:color w:val="auto"/>
                <w:sz w:val="21"/>
                <w:szCs w:val="21"/>
              </w:rPr>
            </w:pPr>
            <w:r>
              <w:rPr>
                <w:rFonts w:hint="eastAsia"/>
                <w:color w:val="auto"/>
                <w:sz w:val="21"/>
                <w:szCs w:val="21"/>
              </w:rPr>
              <w:t>设计选择设置S9-80/10/04型变压器一台，供检修、照明使用</w:t>
            </w:r>
          </w:p>
        </w:tc>
        <w:tc>
          <w:tcPr>
            <w:tcW w:w="0" w:type="auto"/>
            <w:noWrap w:val="0"/>
            <w:vAlign w:val="center"/>
          </w:tcPr>
          <w:p w14:paraId="12B5FFF4">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0" w:type="auto"/>
            <w:noWrap w:val="0"/>
            <w:vAlign w:val="center"/>
          </w:tcPr>
          <w:p w14:paraId="65118F8A">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4C28D94D">
            <w:pPr>
              <w:pStyle w:val="26"/>
              <w:bidi w:val="0"/>
              <w:rPr>
                <w:rFonts w:hint="eastAsia"/>
                <w:color w:val="auto"/>
                <w:sz w:val="21"/>
                <w:szCs w:val="21"/>
              </w:rPr>
            </w:pPr>
            <w:r>
              <w:rPr>
                <w:rFonts w:hint="eastAsia"/>
                <w:color w:val="auto"/>
                <w:sz w:val="21"/>
                <w:szCs w:val="21"/>
                <w:lang w:val="en-US" w:eastAsia="zh-CN"/>
              </w:rPr>
              <w:t>矿山每天一班工作制，矿山设备为柴油动力。矿山在工业场地设置由一台S9-80/10/04变压器供检修、照明使用</w:t>
            </w:r>
            <w:r>
              <w:rPr>
                <w:rFonts w:hint="eastAsia"/>
                <w:color w:val="auto"/>
                <w:sz w:val="21"/>
                <w:szCs w:val="21"/>
              </w:rPr>
              <w:t>。</w:t>
            </w:r>
          </w:p>
        </w:tc>
        <w:tc>
          <w:tcPr>
            <w:tcW w:w="0" w:type="auto"/>
            <w:noWrap w:val="0"/>
            <w:vAlign w:val="center"/>
          </w:tcPr>
          <w:p w14:paraId="635136DD">
            <w:pPr>
              <w:pStyle w:val="26"/>
              <w:bidi w:val="0"/>
              <w:rPr>
                <w:rFonts w:hint="default" w:eastAsia="宋体"/>
                <w:color w:val="auto"/>
                <w:sz w:val="21"/>
                <w:szCs w:val="21"/>
                <w:lang w:val="en-US" w:eastAsia="zh-CN"/>
              </w:rPr>
            </w:pPr>
            <w:r>
              <w:rPr>
                <w:rFonts w:hint="eastAsia"/>
                <w:color w:val="auto"/>
                <w:sz w:val="21"/>
                <w:szCs w:val="21"/>
                <w:lang w:val="en-US" w:eastAsia="zh-CN"/>
              </w:rPr>
              <w:t>符合要求</w:t>
            </w:r>
          </w:p>
        </w:tc>
      </w:tr>
      <w:tr w14:paraId="7BF23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3787295E">
            <w:pPr>
              <w:pStyle w:val="26"/>
              <w:bidi w:val="0"/>
              <w:rPr>
                <w:color w:val="auto"/>
                <w:sz w:val="21"/>
                <w:szCs w:val="21"/>
              </w:rPr>
            </w:pPr>
            <w:r>
              <w:rPr>
                <w:rFonts w:hint="eastAsia"/>
                <w:color w:val="auto"/>
                <w:sz w:val="21"/>
                <w:szCs w:val="21"/>
              </w:rPr>
              <w:t>2</w:t>
            </w:r>
          </w:p>
        </w:tc>
        <w:tc>
          <w:tcPr>
            <w:tcW w:w="0" w:type="auto"/>
            <w:noWrap w:val="0"/>
            <w:vAlign w:val="center"/>
          </w:tcPr>
          <w:p w14:paraId="1056D9AB">
            <w:pPr>
              <w:pStyle w:val="26"/>
              <w:bidi w:val="0"/>
              <w:rPr>
                <w:rFonts w:hint="eastAsia"/>
                <w:color w:val="auto"/>
                <w:sz w:val="21"/>
                <w:szCs w:val="21"/>
              </w:rPr>
            </w:pPr>
            <w:r>
              <w:rPr>
                <w:rFonts w:hint="eastAsia"/>
                <w:color w:val="auto"/>
                <w:sz w:val="21"/>
                <w:szCs w:val="21"/>
              </w:rPr>
              <w:t>电气设备和线路的操作维修应由专职电气工作人员进行，严禁非电气专业人员从事电气作业；</w:t>
            </w:r>
          </w:p>
        </w:tc>
        <w:tc>
          <w:tcPr>
            <w:tcW w:w="0" w:type="auto"/>
            <w:noWrap w:val="0"/>
            <w:vAlign w:val="center"/>
          </w:tcPr>
          <w:p w14:paraId="6215CA27">
            <w:pPr>
              <w:pStyle w:val="26"/>
              <w:bidi w:val="0"/>
              <w:rPr>
                <w:rFonts w:hint="eastAsia"/>
                <w:color w:val="auto"/>
                <w:sz w:val="21"/>
                <w:szCs w:val="21"/>
              </w:rPr>
            </w:pPr>
            <w:r>
              <w:rPr>
                <w:rFonts w:hint="eastAsia"/>
                <w:color w:val="auto"/>
                <w:sz w:val="21"/>
                <w:szCs w:val="21"/>
              </w:rPr>
              <w:t>《GB16423-2020》之5.6.5.1条</w:t>
            </w:r>
          </w:p>
        </w:tc>
        <w:tc>
          <w:tcPr>
            <w:tcW w:w="0" w:type="auto"/>
            <w:noWrap w:val="0"/>
            <w:vAlign w:val="center"/>
          </w:tcPr>
          <w:p w14:paraId="2FD1DC23">
            <w:pPr>
              <w:pStyle w:val="26"/>
              <w:bidi w:val="0"/>
              <w:rPr>
                <w:rFonts w:hint="eastAsia"/>
                <w:color w:val="auto"/>
                <w:sz w:val="21"/>
                <w:szCs w:val="21"/>
              </w:rPr>
            </w:pPr>
            <w:r>
              <w:rPr>
                <w:rFonts w:hint="eastAsia"/>
                <w:color w:val="auto"/>
                <w:sz w:val="21"/>
                <w:szCs w:val="21"/>
              </w:rPr>
              <w:t>查阅</w:t>
            </w:r>
          </w:p>
        </w:tc>
        <w:tc>
          <w:tcPr>
            <w:tcW w:w="0" w:type="auto"/>
            <w:noWrap w:val="0"/>
            <w:vAlign w:val="center"/>
          </w:tcPr>
          <w:p w14:paraId="1F6EA39F">
            <w:pPr>
              <w:pStyle w:val="26"/>
              <w:bidi w:val="0"/>
              <w:rPr>
                <w:rFonts w:hint="eastAsia"/>
                <w:color w:val="auto"/>
                <w:sz w:val="21"/>
                <w:szCs w:val="21"/>
              </w:rPr>
            </w:pPr>
            <w:r>
              <w:rPr>
                <w:rFonts w:hint="eastAsia"/>
                <w:color w:val="auto"/>
                <w:sz w:val="21"/>
                <w:szCs w:val="21"/>
              </w:rPr>
              <w:t>矿山电工具有特种作业人员操作证；电气作业由持证人员进行检修维护。</w:t>
            </w:r>
          </w:p>
        </w:tc>
        <w:tc>
          <w:tcPr>
            <w:tcW w:w="0" w:type="auto"/>
            <w:noWrap w:val="0"/>
            <w:vAlign w:val="center"/>
          </w:tcPr>
          <w:p w14:paraId="448A9B38">
            <w:pPr>
              <w:pStyle w:val="26"/>
              <w:bidi w:val="0"/>
              <w:rPr>
                <w:rFonts w:hint="eastAsia"/>
                <w:color w:val="auto"/>
                <w:sz w:val="21"/>
                <w:szCs w:val="21"/>
              </w:rPr>
            </w:pPr>
            <w:r>
              <w:rPr>
                <w:rFonts w:hint="eastAsia"/>
                <w:color w:val="auto"/>
                <w:sz w:val="21"/>
                <w:szCs w:val="21"/>
              </w:rPr>
              <w:t>符合要求</w:t>
            </w:r>
          </w:p>
        </w:tc>
      </w:tr>
      <w:tr w14:paraId="1C1C7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4B1C852">
            <w:pPr>
              <w:pStyle w:val="26"/>
              <w:bidi w:val="0"/>
              <w:rPr>
                <w:color w:val="auto"/>
                <w:sz w:val="21"/>
                <w:szCs w:val="21"/>
              </w:rPr>
            </w:pPr>
            <w:r>
              <w:rPr>
                <w:rFonts w:hint="eastAsia"/>
                <w:color w:val="auto"/>
                <w:sz w:val="21"/>
                <w:szCs w:val="21"/>
              </w:rPr>
              <w:t>3</w:t>
            </w:r>
          </w:p>
        </w:tc>
        <w:tc>
          <w:tcPr>
            <w:tcW w:w="0" w:type="auto"/>
            <w:noWrap w:val="0"/>
            <w:vAlign w:val="center"/>
          </w:tcPr>
          <w:p w14:paraId="5DA047E2">
            <w:pPr>
              <w:pStyle w:val="26"/>
              <w:bidi w:val="0"/>
              <w:rPr>
                <w:rFonts w:hint="eastAsia"/>
                <w:color w:val="auto"/>
                <w:sz w:val="21"/>
                <w:szCs w:val="21"/>
              </w:rPr>
            </w:pPr>
            <w:r>
              <w:rPr>
                <w:rFonts w:hint="eastAsia"/>
                <w:color w:val="auto"/>
                <w:sz w:val="21"/>
                <w:szCs w:val="21"/>
              </w:rPr>
              <w:t>未经许可不得操作、移动和恢复电气设备。</w:t>
            </w:r>
          </w:p>
        </w:tc>
        <w:tc>
          <w:tcPr>
            <w:tcW w:w="0" w:type="auto"/>
            <w:noWrap w:val="0"/>
            <w:vAlign w:val="center"/>
          </w:tcPr>
          <w:p w14:paraId="5891856C">
            <w:pPr>
              <w:pStyle w:val="26"/>
              <w:bidi w:val="0"/>
              <w:rPr>
                <w:rFonts w:hint="eastAsia"/>
                <w:color w:val="auto"/>
                <w:sz w:val="21"/>
                <w:szCs w:val="21"/>
              </w:rPr>
            </w:pPr>
            <w:r>
              <w:rPr>
                <w:rFonts w:hint="eastAsia"/>
                <w:color w:val="auto"/>
                <w:sz w:val="21"/>
                <w:szCs w:val="21"/>
              </w:rPr>
              <w:t>《GB16423-2020》之5.6.5.1条</w:t>
            </w:r>
          </w:p>
        </w:tc>
        <w:tc>
          <w:tcPr>
            <w:tcW w:w="0" w:type="auto"/>
            <w:noWrap w:val="0"/>
            <w:vAlign w:val="center"/>
          </w:tcPr>
          <w:p w14:paraId="2C6FE867">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227D2062">
            <w:pPr>
              <w:pStyle w:val="26"/>
              <w:bidi w:val="0"/>
              <w:rPr>
                <w:rFonts w:hint="eastAsia"/>
                <w:color w:val="auto"/>
                <w:sz w:val="21"/>
                <w:szCs w:val="21"/>
              </w:rPr>
            </w:pPr>
            <w:r>
              <w:rPr>
                <w:rFonts w:hint="eastAsia"/>
                <w:color w:val="auto"/>
                <w:sz w:val="21"/>
                <w:szCs w:val="21"/>
              </w:rPr>
              <w:t>在未经许可情况下，没有操作、移动和恢复电气设备。</w:t>
            </w:r>
          </w:p>
        </w:tc>
        <w:tc>
          <w:tcPr>
            <w:tcW w:w="0" w:type="auto"/>
            <w:noWrap w:val="0"/>
            <w:vAlign w:val="center"/>
          </w:tcPr>
          <w:p w14:paraId="401B8851">
            <w:pPr>
              <w:pStyle w:val="26"/>
              <w:bidi w:val="0"/>
              <w:rPr>
                <w:rFonts w:hint="eastAsia"/>
                <w:color w:val="auto"/>
                <w:sz w:val="21"/>
                <w:szCs w:val="21"/>
              </w:rPr>
            </w:pPr>
            <w:r>
              <w:rPr>
                <w:rFonts w:hint="eastAsia"/>
                <w:color w:val="auto"/>
                <w:sz w:val="21"/>
                <w:szCs w:val="21"/>
              </w:rPr>
              <w:t>符合要求</w:t>
            </w:r>
          </w:p>
        </w:tc>
      </w:tr>
      <w:tr w14:paraId="688FC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04C1A1C4">
            <w:pPr>
              <w:pStyle w:val="26"/>
              <w:bidi w:val="0"/>
              <w:rPr>
                <w:color w:val="auto"/>
                <w:sz w:val="21"/>
                <w:szCs w:val="21"/>
              </w:rPr>
            </w:pPr>
            <w:r>
              <w:rPr>
                <w:rFonts w:hint="eastAsia"/>
                <w:color w:val="auto"/>
                <w:sz w:val="21"/>
                <w:szCs w:val="21"/>
              </w:rPr>
              <w:t>4</w:t>
            </w:r>
          </w:p>
        </w:tc>
        <w:tc>
          <w:tcPr>
            <w:tcW w:w="0" w:type="auto"/>
            <w:noWrap w:val="0"/>
            <w:vAlign w:val="center"/>
          </w:tcPr>
          <w:p w14:paraId="2F4DB38D">
            <w:pPr>
              <w:pStyle w:val="26"/>
              <w:bidi w:val="0"/>
              <w:rPr>
                <w:rFonts w:hint="eastAsia"/>
                <w:color w:val="auto"/>
                <w:sz w:val="21"/>
                <w:szCs w:val="21"/>
              </w:rPr>
            </w:pPr>
            <w:r>
              <w:rPr>
                <w:rFonts w:hint="eastAsia"/>
                <w:color w:val="auto"/>
                <w:sz w:val="21"/>
                <w:szCs w:val="21"/>
              </w:rPr>
              <w:t>紧急情况下可以为切断电源而操作电气设备；</w:t>
            </w:r>
          </w:p>
        </w:tc>
        <w:tc>
          <w:tcPr>
            <w:tcW w:w="0" w:type="auto"/>
            <w:noWrap w:val="0"/>
            <w:vAlign w:val="center"/>
          </w:tcPr>
          <w:p w14:paraId="19C5437C">
            <w:pPr>
              <w:pStyle w:val="26"/>
              <w:bidi w:val="0"/>
              <w:rPr>
                <w:rFonts w:hint="eastAsia"/>
                <w:color w:val="auto"/>
                <w:sz w:val="21"/>
                <w:szCs w:val="21"/>
              </w:rPr>
            </w:pPr>
            <w:r>
              <w:rPr>
                <w:rFonts w:hint="eastAsia"/>
                <w:color w:val="auto"/>
                <w:sz w:val="21"/>
                <w:szCs w:val="21"/>
              </w:rPr>
              <w:t>《GB16423-2020》之5.6.5.1条</w:t>
            </w:r>
          </w:p>
        </w:tc>
        <w:tc>
          <w:tcPr>
            <w:tcW w:w="0" w:type="auto"/>
            <w:noWrap w:val="0"/>
            <w:vAlign w:val="center"/>
          </w:tcPr>
          <w:p w14:paraId="49F254C7">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7B1FA187">
            <w:pPr>
              <w:pStyle w:val="26"/>
              <w:bidi w:val="0"/>
              <w:rPr>
                <w:rFonts w:hint="eastAsia"/>
                <w:color w:val="auto"/>
                <w:sz w:val="21"/>
                <w:szCs w:val="21"/>
              </w:rPr>
            </w:pPr>
            <w:r>
              <w:rPr>
                <w:rFonts w:hint="eastAsia"/>
                <w:color w:val="auto"/>
                <w:sz w:val="21"/>
                <w:szCs w:val="21"/>
              </w:rPr>
              <w:t>紧急情况下能做到为切断电源而操作电气设备。</w:t>
            </w:r>
          </w:p>
        </w:tc>
        <w:tc>
          <w:tcPr>
            <w:tcW w:w="0" w:type="auto"/>
            <w:noWrap w:val="0"/>
            <w:vAlign w:val="center"/>
          </w:tcPr>
          <w:p w14:paraId="43FACF1C">
            <w:pPr>
              <w:pStyle w:val="26"/>
              <w:bidi w:val="0"/>
              <w:rPr>
                <w:rFonts w:hint="eastAsia"/>
                <w:color w:val="auto"/>
                <w:sz w:val="21"/>
                <w:szCs w:val="21"/>
              </w:rPr>
            </w:pPr>
            <w:r>
              <w:rPr>
                <w:rFonts w:hint="eastAsia"/>
                <w:color w:val="auto"/>
                <w:sz w:val="21"/>
                <w:szCs w:val="21"/>
              </w:rPr>
              <w:t>符合要求</w:t>
            </w:r>
          </w:p>
        </w:tc>
      </w:tr>
      <w:tr w14:paraId="216DA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474D155">
            <w:pPr>
              <w:pStyle w:val="26"/>
              <w:bidi w:val="0"/>
              <w:rPr>
                <w:color w:val="auto"/>
                <w:sz w:val="21"/>
                <w:szCs w:val="21"/>
              </w:rPr>
            </w:pPr>
            <w:r>
              <w:rPr>
                <w:rFonts w:hint="eastAsia"/>
                <w:color w:val="auto"/>
                <w:sz w:val="21"/>
                <w:szCs w:val="21"/>
              </w:rPr>
              <w:t>5</w:t>
            </w:r>
          </w:p>
        </w:tc>
        <w:tc>
          <w:tcPr>
            <w:tcW w:w="0" w:type="auto"/>
            <w:noWrap w:val="0"/>
            <w:vAlign w:val="center"/>
          </w:tcPr>
          <w:p w14:paraId="78162A13">
            <w:pPr>
              <w:pStyle w:val="26"/>
              <w:bidi w:val="0"/>
              <w:rPr>
                <w:rFonts w:hint="eastAsia"/>
                <w:color w:val="auto"/>
                <w:sz w:val="21"/>
                <w:szCs w:val="21"/>
              </w:rPr>
            </w:pPr>
            <w:r>
              <w:rPr>
                <w:rFonts w:hint="eastAsia"/>
                <w:color w:val="auto"/>
                <w:sz w:val="21"/>
                <w:szCs w:val="21"/>
              </w:rPr>
              <w:t>停电检修时，所有已切断的电源的开关把手均应加锁，并验电、放电、将线路接地，悬挂“有</w:t>
            </w:r>
          </w:p>
          <w:p w14:paraId="27DC89E8">
            <w:pPr>
              <w:pStyle w:val="26"/>
              <w:bidi w:val="0"/>
              <w:rPr>
                <w:rFonts w:hint="eastAsia"/>
                <w:color w:val="auto"/>
                <w:sz w:val="21"/>
                <w:szCs w:val="21"/>
              </w:rPr>
            </w:pPr>
            <w:r>
              <w:rPr>
                <w:rFonts w:hint="eastAsia"/>
                <w:color w:val="auto"/>
                <w:sz w:val="21"/>
                <w:szCs w:val="21"/>
              </w:rPr>
              <w:t>人作业，禁止送电”的警示牌。只有执行这项工作的人员才有权取下警示牌并送电；</w:t>
            </w:r>
          </w:p>
        </w:tc>
        <w:tc>
          <w:tcPr>
            <w:tcW w:w="0" w:type="auto"/>
            <w:noWrap w:val="0"/>
            <w:vAlign w:val="center"/>
          </w:tcPr>
          <w:p w14:paraId="7E06750D">
            <w:pPr>
              <w:pStyle w:val="26"/>
              <w:bidi w:val="0"/>
              <w:rPr>
                <w:rFonts w:hint="eastAsia"/>
                <w:color w:val="auto"/>
                <w:sz w:val="21"/>
                <w:szCs w:val="21"/>
              </w:rPr>
            </w:pPr>
            <w:r>
              <w:rPr>
                <w:rFonts w:hint="eastAsia"/>
                <w:color w:val="auto"/>
                <w:sz w:val="21"/>
                <w:szCs w:val="21"/>
              </w:rPr>
              <w:t>《GB16423-2020》之5.6.5.1条</w:t>
            </w:r>
          </w:p>
        </w:tc>
        <w:tc>
          <w:tcPr>
            <w:tcW w:w="0" w:type="auto"/>
            <w:noWrap w:val="0"/>
            <w:vAlign w:val="center"/>
          </w:tcPr>
          <w:p w14:paraId="7CBB7C3F">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604E098">
            <w:pPr>
              <w:pStyle w:val="26"/>
              <w:bidi w:val="0"/>
              <w:rPr>
                <w:rFonts w:hint="eastAsia"/>
                <w:color w:val="auto"/>
                <w:sz w:val="21"/>
                <w:szCs w:val="21"/>
              </w:rPr>
            </w:pPr>
            <w:r>
              <w:rPr>
                <w:rFonts w:hint="eastAsia"/>
                <w:color w:val="auto"/>
                <w:sz w:val="21"/>
                <w:szCs w:val="21"/>
              </w:rPr>
              <w:t>停电检修时，已切断的所有电源的开关把手都加锁，并验电、放电、将线路接地，悬挂“有人作业，禁止送电”的警示牌。并且只有执行这项工作的人员才有权取下警示牌并送电；</w:t>
            </w:r>
          </w:p>
        </w:tc>
        <w:tc>
          <w:tcPr>
            <w:tcW w:w="0" w:type="auto"/>
            <w:noWrap w:val="0"/>
            <w:vAlign w:val="center"/>
          </w:tcPr>
          <w:p w14:paraId="7039AE5A">
            <w:pPr>
              <w:pStyle w:val="26"/>
              <w:bidi w:val="0"/>
              <w:rPr>
                <w:rFonts w:hint="eastAsia"/>
                <w:color w:val="auto"/>
                <w:sz w:val="21"/>
                <w:szCs w:val="21"/>
              </w:rPr>
            </w:pPr>
            <w:r>
              <w:rPr>
                <w:rFonts w:hint="eastAsia"/>
                <w:color w:val="auto"/>
                <w:sz w:val="21"/>
                <w:szCs w:val="21"/>
              </w:rPr>
              <w:t>符合要求</w:t>
            </w:r>
          </w:p>
        </w:tc>
      </w:tr>
      <w:tr w14:paraId="1B14C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9E1525B">
            <w:pPr>
              <w:pStyle w:val="26"/>
              <w:bidi w:val="0"/>
              <w:rPr>
                <w:color w:val="auto"/>
                <w:sz w:val="21"/>
                <w:szCs w:val="21"/>
              </w:rPr>
            </w:pPr>
            <w:r>
              <w:rPr>
                <w:rFonts w:hint="eastAsia"/>
                <w:color w:val="auto"/>
                <w:sz w:val="21"/>
                <w:szCs w:val="21"/>
              </w:rPr>
              <w:t>6</w:t>
            </w:r>
          </w:p>
        </w:tc>
        <w:tc>
          <w:tcPr>
            <w:tcW w:w="0" w:type="auto"/>
            <w:noWrap w:val="0"/>
            <w:vAlign w:val="center"/>
          </w:tcPr>
          <w:p w14:paraId="14BCAD5C">
            <w:pPr>
              <w:pStyle w:val="26"/>
              <w:bidi w:val="0"/>
              <w:rPr>
                <w:rFonts w:hint="eastAsia"/>
                <w:color w:val="auto"/>
                <w:sz w:val="21"/>
                <w:szCs w:val="21"/>
              </w:rPr>
            </w:pPr>
            <w:r>
              <w:rPr>
                <w:rFonts w:hint="eastAsia"/>
                <w:color w:val="auto"/>
                <w:sz w:val="21"/>
                <w:szCs w:val="21"/>
              </w:rPr>
              <w:t>不应带电检修或搬动任何带电设备和电缆、电线；检修或搬动时，应先切断电源，并将导体</w:t>
            </w:r>
          </w:p>
          <w:p w14:paraId="56D7B733">
            <w:pPr>
              <w:pStyle w:val="26"/>
              <w:bidi w:val="0"/>
              <w:rPr>
                <w:rFonts w:hint="eastAsia"/>
                <w:color w:val="auto"/>
                <w:sz w:val="21"/>
                <w:szCs w:val="21"/>
              </w:rPr>
            </w:pPr>
            <w:r>
              <w:rPr>
                <w:rFonts w:hint="eastAsia"/>
                <w:color w:val="auto"/>
                <w:sz w:val="21"/>
                <w:szCs w:val="21"/>
              </w:rPr>
              <w:t>完全放电和接地；</w:t>
            </w:r>
          </w:p>
        </w:tc>
        <w:tc>
          <w:tcPr>
            <w:tcW w:w="0" w:type="auto"/>
            <w:noWrap w:val="0"/>
            <w:vAlign w:val="center"/>
          </w:tcPr>
          <w:p w14:paraId="22D8F156">
            <w:pPr>
              <w:pStyle w:val="26"/>
              <w:bidi w:val="0"/>
              <w:rPr>
                <w:rFonts w:hint="eastAsia"/>
                <w:color w:val="auto"/>
                <w:sz w:val="21"/>
                <w:szCs w:val="21"/>
              </w:rPr>
            </w:pPr>
            <w:r>
              <w:rPr>
                <w:rFonts w:hint="eastAsia"/>
                <w:color w:val="auto"/>
                <w:sz w:val="21"/>
                <w:szCs w:val="21"/>
              </w:rPr>
              <w:t>《GB16423-2020》之5.6.5.1条</w:t>
            </w:r>
          </w:p>
        </w:tc>
        <w:tc>
          <w:tcPr>
            <w:tcW w:w="0" w:type="auto"/>
            <w:noWrap w:val="0"/>
            <w:vAlign w:val="center"/>
          </w:tcPr>
          <w:p w14:paraId="4B812311">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DCA2C32">
            <w:pPr>
              <w:pStyle w:val="26"/>
              <w:bidi w:val="0"/>
              <w:rPr>
                <w:rFonts w:hint="eastAsia"/>
                <w:color w:val="auto"/>
                <w:sz w:val="21"/>
                <w:szCs w:val="21"/>
              </w:rPr>
            </w:pPr>
            <w:r>
              <w:rPr>
                <w:rFonts w:hint="eastAsia"/>
                <w:color w:val="auto"/>
                <w:sz w:val="21"/>
                <w:szCs w:val="21"/>
              </w:rPr>
              <w:t>没有带电检修或搬动任何带电设备和电缆、电线；检修或搬动时，做到了先切断电源，并将导体完全放电和接地；</w:t>
            </w:r>
          </w:p>
        </w:tc>
        <w:tc>
          <w:tcPr>
            <w:tcW w:w="0" w:type="auto"/>
            <w:noWrap w:val="0"/>
            <w:vAlign w:val="center"/>
          </w:tcPr>
          <w:p w14:paraId="2883505C">
            <w:pPr>
              <w:pStyle w:val="26"/>
              <w:bidi w:val="0"/>
              <w:rPr>
                <w:rFonts w:hint="eastAsia"/>
                <w:color w:val="auto"/>
                <w:sz w:val="21"/>
                <w:szCs w:val="21"/>
              </w:rPr>
            </w:pPr>
            <w:r>
              <w:rPr>
                <w:rFonts w:hint="eastAsia"/>
                <w:color w:val="auto"/>
                <w:sz w:val="21"/>
                <w:szCs w:val="21"/>
              </w:rPr>
              <w:t>符合要求</w:t>
            </w:r>
          </w:p>
        </w:tc>
      </w:tr>
      <w:tr w14:paraId="3C1AC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D1CA970">
            <w:pPr>
              <w:pStyle w:val="26"/>
              <w:bidi w:val="0"/>
              <w:rPr>
                <w:color w:val="auto"/>
                <w:sz w:val="21"/>
                <w:szCs w:val="21"/>
              </w:rPr>
            </w:pPr>
            <w:r>
              <w:rPr>
                <w:rFonts w:hint="eastAsia"/>
                <w:color w:val="auto"/>
                <w:sz w:val="21"/>
                <w:szCs w:val="21"/>
              </w:rPr>
              <w:t>7</w:t>
            </w:r>
          </w:p>
        </w:tc>
        <w:tc>
          <w:tcPr>
            <w:tcW w:w="0" w:type="auto"/>
            <w:noWrap w:val="0"/>
            <w:vAlign w:val="center"/>
          </w:tcPr>
          <w:p w14:paraId="3EDD8A39">
            <w:pPr>
              <w:pStyle w:val="26"/>
              <w:bidi w:val="0"/>
              <w:rPr>
                <w:rFonts w:hint="eastAsia"/>
                <w:color w:val="auto"/>
                <w:sz w:val="21"/>
                <w:szCs w:val="21"/>
              </w:rPr>
            </w:pPr>
            <w:r>
              <w:rPr>
                <w:rFonts w:hint="eastAsia"/>
                <w:color w:val="auto"/>
                <w:sz w:val="21"/>
                <w:szCs w:val="21"/>
              </w:rPr>
              <w:t>架空线下不应停放设备，不应堆置物料。</w:t>
            </w:r>
          </w:p>
        </w:tc>
        <w:tc>
          <w:tcPr>
            <w:tcW w:w="0" w:type="auto"/>
            <w:noWrap w:val="0"/>
            <w:vAlign w:val="center"/>
          </w:tcPr>
          <w:p w14:paraId="514D2D1A">
            <w:pPr>
              <w:pStyle w:val="26"/>
              <w:bidi w:val="0"/>
              <w:rPr>
                <w:rFonts w:hint="eastAsia"/>
                <w:color w:val="auto"/>
                <w:sz w:val="21"/>
                <w:szCs w:val="21"/>
              </w:rPr>
            </w:pPr>
            <w:r>
              <w:rPr>
                <w:rFonts w:hint="eastAsia"/>
                <w:color w:val="auto"/>
                <w:sz w:val="21"/>
                <w:szCs w:val="21"/>
              </w:rPr>
              <w:t>《GB16423-2020》之5.6.5.10条</w:t>
            </w:r>
          </w:p>
        </w:tc>
        <w:tc>
          <w:tcPr>
            <w:tcW w:w="0" w:type="auto"/>
            <w:noWrap w:val="0"/>
            <w:vAlign w:val="center"/>
          </w:tcPr>
          <w:p w14:paraId="5A6A7738">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75037719">
            <w:pPr>
              <w:pStyle w:val="26"/>
              <w:bidi w:val="0"/>
              <w:rPr>
                <w:rFonts w:hint="eastAsia"/>
                <w:color w:val="auto"/>
                <w:sz w:val="21"/>
                <w:szCs w:val="21"/>
              </w:rPr>
            </w:pPr>
            <w:r>
              <w:rPr>
                <w:rFonts w:hint="eastAsia"/>
                <w:color w:val="auto"/>
                <w:sz w:val="21"/>
                <w:szCs w:val="21"/>
              </w:rPr>
              <w:t>没有在架空线下停放设备，堆置物料。</w:t>
            </w:r>
          </w:p>
        </w:tc>
        <w:tc>
          <w:tcPr>
            <w:tcW w:w="0" w:type="auto"/>
            <w:noWrap w:val="0"/>
            <w:vAlign w:val="center"/>
          </w:tcPr>
          <w:p w14:paraId="7DA43768">
            <w:pPr>
              <w:pStyle w:val="26"/>
              <w:bidi w:val="0"/>
              <w:rPr>
                <w:rFonts w:hint="eastAsia"/>
                <w:color w:val="auto"/>
                <w:sz w:val="21"/>
                <w:szCs w:val="21"/>
              </w:rPr>
            </w:pPr>
            <w:r>
              <w:rPr>
                <w:rFonts w:hint="eastAsia"/>
                <w:color w:val="auto"/>
                <w:sz w:val="21"/>
                <w:szCs w:val="21"/>
              </w:rPr>
              <w:t>符合要求</w:t>
            </w:r>
          </w:p>
        </w:tc>
      </w:tr>
    </w:tbl>
    <w:p w14:paraId="1D72820D">
      <w:pPr>
        <w:pStyle w:val="25"/>
        <w:bidi w:val="0"/>
        <w:rPr>
          <w:rFonts w:hint="eastAsia"/>
          <w:color w:val="auto"/>
        </w:rPr>
      </w:pPr>
    </w:p>
    <w:p w14:paraId="25526045">
      <w:pPr>
        <w:pStyle w:val="16"/>
        <w:bidi w:val="0"/>
        <w:rPr>
          <w:rFonts w:hint="eastAsia"/>
          <w:color w:val="auto"/>
        </w:rPr>
      </w:pPr>
      <w:r>
        <w:rPr>
          <w:rFonts w:hint="eastAsia"/>
          <w:color w:val="auto"/>
        </w:rPr>
        <w:t>从供配电子单元安全检查表可知：符合项为</w:t>
      </w:r>
      <w:r>
        <w:rPr>
          <w:rFonts w:hint="eastAsia"/>
          <w:color w:val="auto"/>
          <w:lang w:val="en-US" w:eastAsia="zh-CN"/>
        </w:rPr>
        <w:t>7</w:t>
      </w:r>
      <w:r>
        <w:rPr>
          <w:rFonts w:hint="eastAsia"/>
          <w:color w:val="auto"/>
        </w:rPr>
        <w:t>项，不符合项为0项。鞍山东盛源矿业有限公司露天矿山在供配电方面采取了一定的安全措施，供配电设备的防护装置齐全，符合安全要求。</w:t>
      </w:r>
    </w:p>
    <w:p w14:paraId="2F104DF8">
      <w:pPr>
        <w:pStyle w:val="24"/>
        <w:bidi w:val="0"/>
        <w:rPr>
          <w:rFonts w:hint="default"/>
          <w:color w:val="auto"/>
          <w:lang w:val="en-US" w:eastAsia="zh-CN"/>
        </w:rPr>
      </w:pPr>
      <w:r>
        <w:rPr>
          <w:rFonts w:hint="default"/>
          <w:color w:val="auto"/>
          <w:lang w:val="en-US" w:eastAsia="zh-CN"/>
        </w:rPr>
        <w:t>防排水子单元</w:t>
      </w:r>
    </w:p>
    <w:p w14:paraId="59105CF1">
      <w:pPr>
        <w:pStyle w:val="16"/>
        <w:bidi w:val="0"/>
        <w:rPr>
          <w:rFonts w:hint="eastAsia"/>
          <w:color w:val="auto"/>
        </w:rPr>
      </w:pPr>
      <w:r>
        <w:rPr>
          <w:rFonts w:hint="eastAsia"/>
          <w:color w:val="auto"/>
        </w:rPr>
        <w:t>采用安全检查表法对防排水子单元进行检查，具体见下表。</w:t>
      </w:r>
    </w:p>
    <w:p w14:paraId="03E6C7D9">
      <w:pPr>
        <w:pStyle w:val="25"/>
        <w:bidi w:val="0"/>
        <w:rPr>
          <w:rFonts w:hint="eastAsia"/>
          <w:color w:val="auto"/>
        </w:rPr>
      </w:pPr>
      <w:r>
        <w:rPr>
          <w:rFonts w:hint="eastAsia"/>
          <w:color w:val="auto"/>
        </w:rPr>
        <w:t>表5.2-5  防排水子单元安全检查表</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4"/>
        <w:gridCol w:w="2206"/>
        <w:gridCol w:w="2126"/>
        <w:gridCol w:w="426"/>
        <w:gridCol w:w="2999"/>
        <w:gridCol w:w="1020"/>
      </w:tblGrid>
      <w:tr w14:paraId="5FB91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0" w:type="auto"/>
            <w:noWrap w:val="0"/>
            <w:vAlign w:val="center"/>
          </w:tcPr>
          <w:p w14:paraId="7D6D705A">
            <w:pPr>
              <w:pStyle w:val="26"/>
              <w:bidi w:val="0"/>
              <w:rPr>
                <w:rFonts w:hint="eastAsia"/>
                <w:color w:val="auto"/>
                <w:sz w:val="21"/>
                <w:szCs w:val="21"/>
              </w:rPr>
            </w:pPr>
            <w:r>
              <w:rPr>
                <w:rFonts w:hint="eastAsia"/>
                <w:color w:val="auto"/>
                <w:sz w:val="21"/>
                <w:szCs w:val="21"/>
              </w:rPr>
              <w:t>序号</w:t>
            </w:r>
          </w:p>
        </w:tc>
        <w:tc>
          <w:tcPr>
            <w:tcW w:w="2206" w:type="dxa"/>
            <w:noWrap w:val="0"/>
            <w:vAlign w:val="center"/>
          </w:tcPr>
          <w:p w14:paraId="729B5A3A">
            <w:pPr>
              <w:pStyle w:val="26"/>
              <w:bidi w:val="0"/>
              <w:rPr>
                <w:rFonts w:hint="eastAsia"/>
                <w:color w:val="auto"/>
                <w:sz w:val="21"/>
                <w:szCs w:val="21"/>
              </w:rPr>
            </w:pPr>
            <w:r>
              <w:rPr>
                <w:rFonts w:hint="eastAsia"/>
                <w:color w:val="auto"/>
                <w:sz w:val="21"/>
                <w:szCs w:val="21"/>
              </w:rPr>
              <w:t>检查内容</w:t>
            </w:r>
          </w:p>
        </w:tc>
        <w:tc>
          <w:tcPr>
            <w:tcW w:w="2126" w:type="dxa"/>
            <w:noWrap w:val="0"/>
            <w:vAlign w:val="center"/>
          </w:tcPr>
          <w:p w14:paraId="5672A1D9">
            <w:pPr>
              <w:pStyle w:val="26"/>
              <w:bidi w:val="0"/>
              <w:rPr>
                <w:rFonts w:hint="eastAsia"/>
                <w:color w:val="auto"/>
                <w:sz w:val="21"/>
                <w:szCs w:val="21"/>
              </w:rPr>
            </w:pPr>
            <w:r>
              <w:rPr>
                <w:rFonts w:hint="eastAsia"/>
                <w:color w:val="auto"/>
                <w:sz w:val="21"/>
                <w:szCs w:val="21"/>
              </w:rPr>
              <w:t>检查依据</w:t>
            </w:r>
          </w:p>
        </w:tc>
        <w:tc>
          <w:tcPr>
            <w:tcW w:w="425" w:type="dxa"/>
            <w:noWrap w:val="0"/>
            <w:vAlign w:val="center"/>
          </w:tcPr>
          <w:p w14:paraId="3D21CD78">
            <w:pPr>
              <w:pStyle w:val="26"/>
              <w:bidi w:val="0"/>
              <w:rPr>
                <w:rFonts w:hint="eastAsia"/>
                <w:color w:val="auto"/>
                <w:sz w:val="21"/>
                <w:szCs w:val="21"/>
              </w:rPr>
            </w:pPr>
            <w:r>
              <w:rPr>
                <w:rFonts w:hint="eastAsia"/>
                <w:color w:val="auto"/>
                <w:sz w:val="21"/>
                <w:szCs w:val="21"/>
              </w:rPr>
              <w:t>检查方法</w:t>
            </w:r>
          </w:p>
        </w:tc>
        <w:tc>
          <w:tcPr>
            <w:tcW w:w="2999" w:type="dxa"/>
            <w:noWrap w:val="0"/>
            <w:vAlign w:val="center"/>
          </w:tcPr>
          <w:p w14:paraId="1FDFBCED">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2CF13BB9">
            <w:pPr>
              <w:pStyle w:val="26"/>
              <w:bidi w:val="0"/>
              <w:rPr>
                <w:rFonts w:hint="eastAsia"/>
                <w:color w:val="auto"/>
                <w:sz w:val="21"/>
                <w:szCs w:val="21"/>
              </w:rPr>
            </w:pPr>
            <w:r>
              <w:rPr>
                <w:rFonts w:hint="eastAsia"/>
                <w:color w:val="auto"/>
                <w:sz w:val="21"/>
                <w:szCs w:val="21"/>
              </w:rPr>
              <w:t>结论</w:t>
            </w:r>
          </w:p>
        </w:tc>
      </w:tr>
      <w:tr w14:paraId="292C7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0" w:type="auto"/>
            <w:noWrap w:val="0"/>
            <w:vAlign w:val="center"/>
          </w:tcPr>
          <w:p w14:paraId="31B1B276">
            <w:pPr>
              <w:pStyle w:val="26"/>
              <w:bidi w:val="0"/>
              <w:rPr>
                <w:color w:val="auto"/>
                <w:sz w:val="21"/>
                <w:szCs w:val="21"/>
              </w:rPr>
            </w:pPr>
            <w:r>
              <w:rPr>
                <w:rFonts w:hint="eastAsia"/>
                <w:color w:val="auto"/>
                <w:sz w:val="21"/>
                <w:szCs w:val="21"/>
              </w:rPr>
              <w:t>1</w:t>
            </w:r>
          </w:p>
        </w:tc>
        <w:tc>
          <w:tcPr>
            <w:tcW w:w="2206" w:type="dxa"/>
            <w:noWrap w:val="0"/>
            <w:vAlign w:val="center"/>
          </w:tcPr>
          <w:p w14:paraId="56D0173C">
            <w:pPr>
              <w:pStyle w:val="26"/>
              <w:bidi w:val="0"/>
              <w:rPr>
                <w:rFonts w:hint="eastAsia"/>
                <w:color w:val="auto"/>
                <w:sz w:val="21"/>
                <w:szCs w:val="21"/>
              </w:rPr>
            </w:pPr>
            <w:r>
              <w:rPr>
                <w:rFonts w:hint="eastAsia"/>
                <w:color w:val="auto"/>
                <w:sz w:val="21"/>
                <w:szCs w:val="21"/>
              </w:rPr>
              <w:t>矿山为完全山坡露天矿，采场汇水可自流排出。采区内部设临时排水沟供雨季排水。</w:t>
            </w:r>
          </w:p>
        </w:tc>
        <w:tc>
          <w:tcPr>
            <w:tcW w:w="2126" w:type="dxa"/>
            <w:noWrap w:val="0"/>
            <w:vAlign w:val="center"/>
          </w:tcPr>
          <w:p w14:paraId="3CAC1A0B">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425" w:type="dxa"/>
            <w:noWrap w:val="0"/>
            <w:vAlign w:val="center"/>
          </w:tcPr>
          <w:p w14:paraId="0CC74A9E">
            <w:pPr>
              <w:pStyle w:val="26"/>
              <w:bidi w:val="0"/>
              <w:rPr>
                <w:rFonts w:hint="default" w:eastAsia="宋体"/>
                <w:color w:val="auto"/>
                <w:sz w:val="21"/>
                <w:szCs w:val="21"/>
                <w:lang w:val="en-US" w:eastAsia="zh-CN"/>
              </w:rPr>
            </w:pPr>
            <w:r>
              <w:rPr>
                <w:rFonts w:hint="eastAsia"/>
                <w:color w:val="auto"/>
                <w:sz w:val="21"/>
                <w:szCs w:val="21"/>
                <w:lang w:val="en-US" w:eastAsia="zh-CN"/>
              </w:rPr>
              <w:t>现场勘查</w:t>
            </w:r>
          </w:p>
        </w:tc>
        <w:tc>
          <w:tcPr>
            <w:tcW w:w="2999" w:type="dxa"/>
            <w:noWrap w:val="0"/>
            <w:vAlign w:val="center"/>
          </w:tcPr>
          <w:p w14:paraId="42BED96C">
            <w:pPr>
              <w:pStyle w:val="26"/>
              <w:bidi w:val="0"/>
              <w:rPr>
                <w:rFonts w:hint="default" w:eastAsia="宋体"/>
                <w:color w:val="auto"/>
                <w:sz w:val="21"/>
                <w:szCs w:val="21"/>
                <w:lang w:val="en-US" w:eastAsia="zh-CN"/>
              </w:rPr>
            </w:pPr>
            <w:r>
              <w:rPr>
                <w:rFonts w:hint="eastAsia"/>
                <w:color w:val="auto"/>
                <w:sz w:val="21"/>
                <w:szCs w:val="21"/>
                <w:lang w:val="en-US" w:eastAsia="zh-CN"/>
              </w:rPr>
              <w:t>矿山</w:t>
            </w:r>
            <w:r>
              <w:rPr>
                <w:rFonts w:hint="eastAsia"/>
                <w:color w:val="auto"/>
                <w:sz w:val="21"/>
                <w:szCs w:val="21"/>
              </w:rPr>
              <w:t>为山坡露天开采，采用自流排水。</w:t>
            </w:r>
            <w:r>
              <w:rPr>
                <w:rFonts w:hint="eastAsia"/>
                <w:color w:val="auto"/>
                <w:sz w:val="21"/>
                <w:szCs w:val="21"/>
                <w:lang w:val="en-US" w:eastAsia="zh-CN"/>
              </w:rPr>
              <w:t>采场内部设置有排水沟。</w:t>
            </w:r>
          </w:p>
        </w:tc>
        <w:tc>
          <w:tcPr>
            <w:tcW w:w="0" w:type="auto"/>
            <w:noWrap w:val="0"/>
            <w:vAlign w:val="center"/>
          </w:tcPr>
          <w:p w14:paraId="5733B767">
            <w:pPr>
              <w:pStyle w:val="26"/>
              <w:bidi w:val="0"/>
              <w:rPr>
                <w:rFonts w:hint="eastAsia"/>
                <w:color w:val="auto"/>
                <w:sz w:val="21"/>
                <w:szCs w:val="21"/>
              </w:rPr>
            </w:pPr>
            <w:r>
              <w:rPr>
                <w:rFonts w:hint="eastAsia"/>
                <w:color w:val="auto"/>
                <w:sz w:val="21"/>
                <w:szCs w:val="21"/>
              </w:rPr>
              <w:t>符合要求</w:t>
            </w:r>
          </w:p>
        </w:tc>
      </w:tr>
      <w:tr w14:paraId="47B04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0" w:type="auto"/>
            <w:noWrap w:val="0"/>
            <w:vAlign w:val="center"/>
          </w:tcPr>
          <w:p w14:paraId="25252B0B">
            <w:pPr>
              <w:pStyle w:val="26"/>
              <w:bidi w:val="0"/>
              <w:rPr>
                <w:color w:val="auto"/>
                <w:sz w:val="21"/>
                <w:szCs w:val="21"/>
              </w:rPr>
            </w:pPr>
            <w:r>
              <w:rPr>
                <w:rFonts w:hint="eastAsia"/>
                <w:color w:val="auto"/>
                <w:sz w:val="21"/>
                <w:szCs w:val="21"/>
              </w:rPr>
              <w:t>2</w:t>
            </w:r>
          </w:p>
        </w:tc>
        <w:tc>
          <w:tcPr>
            <w:tcW w:w="2206" w:type="dxa"/>
            <w:noWrap w:val="0"/>
            <w:vAlign w:val="center"/>
          </w:tcPr>
          <w:p w14:paraId="156CB7DB">
            <w:pPr>
              <w:pStyle w:val="26"/>
              <w:bidi w:val="0"/>
              <w:rPr>
                <w:rFonts w:hint="eastAsia"/>
                <w:color w:val="auto"/>
                <w:sz w:val="21"/>
                <w:szCs w:val="21"/>
              </w:rPr>
            </w:pPr>
            <w:r>
              <w:rPr>
                <w:rFonts w:hint="eastAsia"/>
                <w:color w:val="auto"/>
                <w:sz w:val="21"/>
                <w:szCs w:val="21"/>
              </w:rPr>
              <w:t>露天采场的总出入沟口、平硐口、排水口和工业场地应不受洪水威胁。</w:t>
            </w:r>
          </w:p>
        </w:tc>
        <w:tc>
          <w:tcPr>
            <w:tcW w:w="2126" w:type="dxa"/>
            <w:noWrap w:val="0"/>
            <w:vAlign w:val="center"/>
          </w:tcPr>
          <w:p w14:paraId="4FE94188">
            <w:pPr>
              <w:pStyle w:val="26"/>
              <w:bidi w:val="0"/>
              <w:rPr>
                <w:rFonts w:hint="eastAsia"/>
                <w:color w:val="auto"/>
                <w:sz w:val="21"/>
                <w:szCs w:val="21"/>
              </w:rPr>
            </w:pPr>
            <w:r>
              <w:rPr>
                <w:rFonts w:hint="eastAsia"/>
                <w:color w:val="auto"/>
                <w:sz w:val="21"/>
                <w:szCs w:val="21"/>
              </w:rPr>
              <w:t>《GB16423-2020》之5.7.1.2条</w:t>
            </w:r>
          </w:p>
        </w:tc>
        <w:tc>
          <w:tcPr>
            <w:tcW w:w="425" w:type="dxa"/>
            <w:noWrap w:val="0"/>
            <w:vAlign w:val="center"/>
          </w:tcPr>
          <w:p w14:paraId="3C043C2F">
            <w:pPr>
              <w:pStyle w:val="26"/>
              <w:bidi w:val="0"/>
              <w:rPr>
                <w:rFonts w:hint="eastAsia"/>
                <w:color w:val="auto"/>
                <w:sz w:val="21"/>
                <w:szCs w:val="21"/>
              </w:rPr>
            </w:pPr>
            <w:r>
              <w:rPr>
                <w:rFonts w:hint="eastAsia"/>
                <w:color w:val="auto"/>
                <w:sz w:val="21"/>
                <w:szCs w:val="21"/>
              </w:rPr>
              <w:t>现场勘查</w:t>
            </w:r>
          </w:p>
        </w:tc>
        <w:tc>
          <w:tcPr>
            <w:tcW w:w="2999" w:type="dxa"/>
            <w:noWrap w:val="0"/>
            <w:vAlign w:val="center"/>
          </w:tcPr>
          <w:p w14:paraId="0A5F199E">
            <w:pPr>
              <w:pStyle w:val="26"/>
              <w:bidi w:val="0"/>
              <w:rPr>
                <w:rFonts w:hint="eastAsia"/>
                <w:color w:val="auto"/>
                <w:sz w:val="21"/>
                <w:szCs w:val="21"/>
              </w:rPr>
            </w:pPr>
            <w:r>
              <w:rPr>
                <w:rFonts w:hint="eastAsia"/>
                <w:color w:val="auto"/>
                <w:sz w:val="21"/>
                <w:szCs w:val="21"/>
              </w:rPr>
              <w:t>露天采场及工业场地均位于历史最高洪水位以上，处于安全位置。</w:t>
            </w:r>
          </w:p>
        </w:tc>
        <w:tc>
          <w:tcPr>
            <w:tcW w:w="0" w:type="auto"/>
            <w:noWrap w:val="0"/>
            <w:vAlign w:val="center"/>
          </w:tcPr>
          <w:p w14:paraId="52D5BE26">
            <w:pPr>
              <w:pStyle w:val="26"/>
              <w:bidi w:val="0"/>
              <w:rPr>
                <w:rFonts w:hint="eastAsia"/>
                <w:color w:val="auto"/>
                <w:sz w:val="21"/>
                <w:szCs w:val="21"/>
              </w:rPr>
            </w:pPr>
            <w:r>
              <w:rPr>
                <w:rFonts w:hint="eastAsia"/>
                <w:color w:val="auto"/>
                <w:sz w:val="21"/>
                <w:szCs w:val="21"/>
              </w:rPr>
              <w:t>符合要求</w:t>
            </w:r>
          </w:p>
        </w:tc>
      </w:tr>
      <w:tr w14:paraId="2790B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0" w:type="auto"/>
            <w:noWrap w:val="0"/>
            <w:vAlign w:val="center"/>
          </w:tcPr>
          <w:p w14:paraId="1084DB19">
            <w:pPr>
              <w:pStyle w:val="26"/>
              <w:bidi w:val="0"/>
              <w:rPr>
                <w:color w:val="auto"/>
                <w:sz w:val="21"/>
                <w:szCs w:val="21"/>
              </w:rPr>
            </w:pPr>
            <w:r>
              <w:rPr>
                <w:rFonts w:hint="eastAsia"/>
                <w:color w:val="auto"/>
                <w:sz w:val="21"/>
                <w:szCs w:val="21"/>
              </w:rPr>
              <w:t>3</w:t>
            </w:r>
          </w:p>
        </w:tc>
        <w:tc>
          <w:tcPr>
            <w:tcW w:w="2206" w:type="dxa"/>
            <w:noWrap w:val="0"/>
            <w:vAlign w:val="center"/>
          </w:tcPr>
          <w:p w14:paraId="4A68F91E">
            <w:pPr>
              <w:pStyle w:val="26"/>
              <w:bidi w:val="0"/>
              <w:rPr>
                <w:rFonts w:hint="eastAsia"/>
                <w:color w:val="auto"/>
                <w:sz w:val="21"/>
                <w:szCs w:val="21"/>
              </w:rPr>
            </w:pPr>
            <w:r>
              <w:rPr>
                <w:rFonts w:hint="eastAsia"/>
                <w:color w:val="auto"/>
                <w:sz w:val="21"/>
                <w:szCs w:val="21"/>
              </w:rPr>
              <w:t>露天矿山应建立水文地质资料档案。</w:t>
            </w:r>
          </w:p>
        </w:tc>
        <w:tc>
          <w:tcPr>
            <w:tcW w:w="2126" w:type="dxa"/>
            <w:noWrap w:val="0"/>
            <w:vAlign w:val="center"/>
          </w:tcPr>
          <w:p w14:paraId="0871076C">
            <w:pPr>
              <w:pStyle w:val="26"/>
              <w:bidi w:val="0"/>
              <w:rPr>
                <w:rFonts w:hint="eastAsia"/>
                <w:color w:val="auto"/>
                <w:sz w:val="21"/>
                <w:szCs w:val="21"/>
              </w:rPr>
            </w:pPr>
            <w:r>
              <w:rPr>
                <w:rFonts w:hint="eastAsia"/>
                <w:color w:val="auto"/>
                <w:sz w:val="21"/>
                <w:szCs w:val="21"/>
              </w:rPr>
              <w:t>《GB16423-2020》之5.7.1.1条</w:t>
            </w:r>
          </w:p>
        </w:tc>
        <w:tc>
          <w:tcPr>
            <w:tcW w:w="425" w:type="dxa"/>
            <w:noWrap w:val="0"/>
            <w:vAlign w:val="center"/>
          </w:tcPr>
          <w:p w14:paraId="6BC2B68D">
            <w:pPr>
              <w:pStyle w:val="26"/>
              <w:bidi w:val="0"/>
              <w:rPr>
                <w:rFonts w:hint="eastAsia"/>
                <w:color w:val="auto"/>
                <w:sz w:val="21"/>
                <w:szCs w:val="21"/>
              </w:rPr>
            </w:pPr>
            <w:r>
              <w:rPr>
                <w:rFonts w:hint="eastAsia"/>
                <w:color w:val="auto"/>
                <w:sz w:val="21"/>
                <w:szCs w:val="21"/>
              </w:rPr>
              <w:t>查阅</w:t>
            </w:r>
          </w:p>
        </w:tc>
        <w:tc>
          <w:tcPr>
            <w:tcW w:w="2999" w:type="dxa"/>
            <w:noWrap w:val="0"/>
            <w:vAlign w:val="center"/>
          </w:tcPr>
          <w:p w14:paraId="28A74C8B">
            <w:pPr>
              <w:pStyle w:val="26"/>
              <w:bidi w:val="0"/>
              <w:rPr>
                <w:rFonts w:hint="eastAsia"/>
                <w:color w:val="auto"/>
                <w:sz w:val="21"/>
                <w:szCs w:val="21"/>
              </w:rPr>
            </w:pPr>
            <w:r>
              <w:rPr>
                <w:rFonts w:hint="eastAsia"/>
                <w:color w:val="auto"/>
                <w:sz w:val="21"/>
                <w:szCs w:val="21"/>
              </w:rPr>
              <w:t>有水文地质资料档案。</w:t>
            </w:r>
          </w:p>
        </w:tc>
        <w:tc>
          <w:tcPr>
            <w:tcW w:w="0" w:type="auto"/>
            <w:noWrap w:val="0"/>
            <w:vAlign w:val="center"/>
          </w:tcPr>
          <w:p w14:paraId="4AF881BF">
            <w:pPr>
              <w:pStyle w:val="26"/>
              <w:bidi w:val="0"/>
              <w:rPr>
                <w:rFonts w:hint="eastAsia"/>
                <w:color w:val="auto"/>
                <w:sz w:val="21"/>
                <w:szCs w:val="21"/>
              </w:rPr>
            </w:pPr>
            <w:r>
              <w:rPr>
                <w:rFonts w:hint="eastAsia"/>
                <w:color w:val="auto"/>
                <w:sz w:val="21"/>
                <w:szCs w:val="21"/>
              </w:rPr>
              <w:t>符合要求</w:t>
            </w:r>
          </w:p>
        </w:tc>
      </w:tr>
    </w:tbl>
    <w:p w14:paraId="75FB290E">
      <w:pPr>
        <w:pStyle w:val="25"/>
        <w:bidi w:val="0"/>
        <w:rPr>
          <w:rFonts w:hint="eastAsia"/>
          <w:color w:val="auto"/>
        </w:rPr>
      </w:pPr>
    </w:p>
    <w:p w14:paraId="378F61D4">
      <w:pPr>
        <w:pStyle w:val="16"/>
        <w:bidi w:val="0"/>
        <w:rPr>
          <w:rFonts w:hint="eastAsia"/>
          <w:color w:val="auto"/>
          <w:lang w:val="zh-CN"/>
        </w:rPr>
      </w:pPr>
      <w:r>
        <w:rPr>
          <w:rFonts w:hint="eastAsia"/>
          <w:color w:val="auto"/>
        </w:rPr>
        <w:t>从防排水子单元安全检查表可知，符合项为3项，不符合项为0项。鞍山东盛源矿业有限公司露天矿山防排水单元符合安全要求</w:t>
      </w:r>
      <w:r>
        <w:rPr>
          <w:rFonts w:hint="eastAsia"/>
          <w:color w:val="auto"/>
          <w:lang w:val="zh-CN"/>
        </w:rPr>
        <w:t>。</w:t>
      </w:r>
    </w:p>
    <w:p w14:paraId="27182B66">
      <w:pPr>
        <w:pStyle w:val="24"/>
        <w:bidi w:val="0"/>
        <w:rPr>
          <w:rFonts w:hint="default"/>
          <w:color w:val="auto"/>
          <w:lang w:val="en-US" w:eastAsia="zh-CN"/>
        </w:rPr>
      </w:pPr>
      <w:r>
        <w:rPr>
          <w:rFonts w:hint="default"/>
          <w:color w:val="auto"/>
          <w:lang w:val="en-US" w:eastAsia="zh-CN"/>
        </w:rPr>
        <w:t>排土场单元</w:t>
      </w:r>
    </w:p>
    <w:p w14:paraId="22055790">
      <w:pPr>
        <w:pStyle w:val="16"/>
        <w:bidi w:val="0"/>
        <w:rPr>
          <w:rFonts w:hint="eastAsia"/>
          <w:color w:val="auto"/>
        </w:rPr>
      </w:pPr>
      <w:r>
        <w:rPr>
          <w:rFonts w:hint="eastAsia"/>
          <w:color w:val="auto"/>
        </w:rPr>
        <w:t>矿山目前未设置排土场，矿山基建期主要是修筑上山道路，生产产生的废石量较少，产生的废石部分用于铺垫运输道路，其余外运销售，矿山不设排土场。</w:t>
      </w:r>
    </w:p>
    <w:p w14:paraId="4615E1B4">
      <w:pPr>
        <w:pStyle w:val="24"/>
        <w:bidi w:val="0"/>
        <w:rPr>
          <w:rFonts w:hint="default"/>
          <w:color w:val="auto"/>
          <w:lang w:val="en-US" w:eastAsia="zh-CN"/>
        </w:rPr>
      </w:pPr>
      <w:r>
        <w:rPr>
          <w:rFonts w:hint="default"/>
          <w:color w:val="auto"/>
          <w:lang w:val="en-US" w:eastAsia="zh-CN"/>
        </w:rPr>
        <w:t>防火子单元</w:t>
      </w:r>
    </w:p>
    <w:p w14:paraId="2D95A65A">
      <w:pPr>
        <w:pStyle w:val="16"/>
        <w:bidi w:val="0"/>
        <w:rPr>
          <w:rFonts w:hint="eastAsia"/>
          <w:color w:val="auto"/>
        </w:rPr>
      </w:pPr>
      <w:r>
        <w:rPr>
          <w:rFonts w:hint="eastAsia"/>
          <w:color w:val="auto"/>
        </w:rPr>
        <w:t>采用安全检查表法对防火子单元进行检查，具体见下表。</w:t>
      </w:r>
    </w:p>
    <w:p w14:paraId="72E7E347">
      <w:pPr>
        <w:pStyle w:val="25"/>
        <w:bidi w:val="0"/>
        <w:rPr>
          <w:rFonts w:hint="eastAsia"/>
          <w:color w:val="auto"/>
        </w:rPr>
      </w:pPr>
      <w:r>
        <w:rPr>
          <w:rFonts w:hint="eastAsia"/>
          <w:color w:val="auto"/>
        </w:rPr>
        <w:t>表5.2-6  防火子单元安全检查表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1745"/>
        <w:gridCol w:w="2693"/>
        <w:gridCol w:w="426"/>
        <w:gridCol w:w="3019"/>
        <w:gridCol w:w="636"/>
      </w:tblGrid>
      <w:tr w14:paraId="534E4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02659DC3">
            <w:pPr>
              <w:pStyle w:val="26"/>
              <w:bidi w:val="0"/>
              <w:rPr>
                <w:rFonts w:hint="eastAsia"/>
                <w:color w:val="auto"/>
                <w:sz w:val="21"/>
                <w:szCs w:val="21"/>
              </w:rPr>
            </w:pPr>
            <w:r>
              <w:rPr>
                <w:rFonts w:hint="eastAsia"/>
                <w:color w:val="auto"/>
                <w:sz w:val="21"/>
                <w:szCs w:val="21"/>
              </w:rPr>
              <w:t>序号</w:t>
            </w:r>
          </w:p>
        </w:tc>
        <w:tc>
          <w:tcPr>
            <w:tcW w:w="1745" w:type="dxa"/>
            <w:noWrap w:val="0"/>
            <w:vAlign w:val="center"/>
          </w:tcPr>
          <w:p w14:paraId="41CFF1E6">
            <w:pPr>
              <w:pStyle w:val="26"/>
              <w:bidi w:val="0"/>
              <w:rPr>
                <w:rFonts w:hint="eastAsia"/>
                <w:color w:val="auto"/>
                <w:sz w:val="21"/>
                <w:szCs w:val="21"/>
              </w:rPr>
            </w:pPr>
            <w:r>
              <w:rPr>
                <w:rFonts w:hint="eastAsia"/>
                <w:color w:val="auto"/>
                <w:sz w:val="21"/>
                <w:szCs w:val="21"/>
              </w:rPr>
              <w:t>检查内容</w:t>
            </w:r>
          </w:p>
        </w:tc>
        <w:tc>
          <w:tcPr>
            <w:tcW w:w="2693" w:type="dxa"/>
            <w:noWrap w:val="0"/>
            <w:vAlign w:val="center"/>
          </w:tcPr>
          <w:p w14:paraId="475F7007">
            <w:pPr>
              <w:pStyle w:val="26"/>
              <w:bidi w:val="0"/>
              <w:rPr>
                <w:rFonts w:hint="eastAsia"/>
                <w:color w:val="auto"/>
                <w:sz w:val="21"/>
                <w:szCs w:val="21"/>
              </w:rPr>
            </w:pPr>
            <w:r>
              <w:rPr>
                <w:rFonts w:hint="eastAsia"/>
                <w:color w:val="auto"/>
                <w:sz w:val="21"/>
                <w:szCs w:val="21"/>
              </w:rPr>
              <w:t>检查依据</w:t>
            </w:r>
          </w:p>
        </w:tc>
        <w:tc>
          <w:tcPr>
            <w:tcW w:w="283" w:type="dxa"/>
            <w:noWrap w:val="0"/>
            <w:vAlign w:val="center"/>
          </w:tcPr>
          <w:p w14:paraId="30D89F07">
            <w:pPr>
              <w:pStyle w:val="26"/>
              <w:bidi w:val="0"/>
              <w:rPr>
                <w:rFonts w:hint="eastAsia"/>
                <w:color w:val="auto"/>
                <w:sz w:val="21"/>
                <w:szCs w:val="21"/>
              </w:rPr>
            </w:pPr>
            <w:r>
              <w:rPr>
                <w:rFonts w:hint="eastAsia"/>
                <w:color w:val="auto"/>
                <w:sz w:val="21"/>
                <w:szCs w:val="21"/>
              </w:rPr>
              <w:t>检查方法</w:t>
            </w:r>
          </w:p>
        </w:tc>
        <w:tc>
          <w:tcPr>
            <w:tcW w:w="3019" w:type="dxa"/>
            <w:noWrap w:val="0"/>
            <w:vAlign w:val="center"/>
          </w:tcPr>
          <w:p w14:paraId="716F437F">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6D44A754">
            <w:pPr>
              <w:pStyle w:val="26"/>
              <w:bidi w:val="0"/>
              <w:rPr>
                <w:rFonts w:hint="eastAsia"/>
                <w:color w:val="auto"/>
                <w:sz w:val="21"/>
                <w:szCs w:val="21"/>
              </w:rPr>
            </w:pPr>
            <w:r>
              <w:rPr>
                <w:rFonts w:hint="eastAsia"/>
                <w:color w:val="auto"/>
                <w:sz w:val="21"/>
                <w:szCs w:val="21"/>
              </w:rPr>
              <w:t>结论</w:t>
            </w:r>
          </w:p>
        </w:tc>
      </w:tr>
      <w:tr w14:paraId="2037C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6AFAF539">
            <w:pPr>
              <w:pStyle w:val="26"/>
              <w:bidi w:val="0"/>
              <w:rPr>
                <w:color w:val="auto"/>
                <w:sz w:val="21"/>
                <w:szCs w:val="21"/>
              </w:rPr>
            </w:pPr>
            <w:r>
              <w:rPr>
                <w:rFonts w:hint="eastAsia"/>
                <w:color w:val="auto"/>
                <w:sz w:val="21"/>
                <w:szCs w:val="21"/>
              </w:rPr>
              <w:t>1</w:t>
            </w:r>
          </w:p>
        </w:tc>
        <w:tc>
          <w:tcPr>
            <w:tcW w:w="1745" w:type="dxa"/>
            <w:noWrap w:val="0"/>
            <w:vAlign w:val="center"/>
          </w:tcPr>
          <w:p w14:paraId="52A73143">
            <w:pPr>
              <w:pStyle w:val="26"/>
              <w:bidi w:val="0"/>
              <w:rPr>
                <w:rFonts w:hint="eastAsia"/>
                <w:color w:val="auto"/>
                <w:sz w:val="21"/>
                <w:szCs w:val="21"/>
              </w:rPr>
            </w:pPr>
            <w:r>
              <w:rPr>
                <w:rFonts w:hint="eastAsia"/>
                <w:color w:val="auto"/>
                <w:sz w:val="21"/>
                <w:szCs w:val="21"/>
              </w:rPr>
              <w:t>矿山建构筑物应建立消防设施，设置消防器材。</w:t>
            </w:r>
          </w:p>
        </w:tc>
        <w:tc>
          <w:tcPr>
            <w:tcW w:w="2693" w:type="dxa"/>
            <w:noWrap w:val="0"/>
            <w:vAlign w:val="center"/>
          </w:tcPr>
          <w:p w14:paraId="44DC9101">
            <w:pPr>
              <w:pStyle w:val="26"/>
              <w:bidi w:val="0"/>
              <w:rPr>
                <w:rFonts w:hint="eastAsia"/>
                <w:color w:val="auto"/>
                <w:sz w:val="21"/>
                <w:szCs w:val="21"/>
              </w:rPr>
            </w:pPr>
            <w:r>
              <w:rPr>
                <w:rFonts w:hint="eastAsia"/>
                <w:color w:val="auto"/>
                <w:sz w:val="21"/>
                <w:szCs w:val="21"/>
              </w:rPr>
              <w:t>《GB16423-2020》之5.7.2.1条</w:t>
            </w:r>
          </w:p>
        </w:tc>
        <w:tc>
          <w:tcPr>
            <w:tcW w:w="283" w:type="dxa"/>
            <w:noWrap w:val="0"/>
            <w:vAlign w:val="center"/>
          </w:tcPr>
          <w:p w14:paraId="3B2FFB4B">
            <w:pPr>
              <w:pStyle w:val="26"/>
              <w:bidi w:val="0"/>
              <w:rPr>
                <w:rFonts w:hint="eastAsia"/>
                <w:color w:val="auto"/>
                <w:sz w:val="21"/>
                <w:szCs w:val="21"/>
              </w:rPr>
            </w:pPr>
            <w:r>
              <w:rPr>
                <w:rFonts w:hint="eastAsia"/>
                <w:color w:val="auto"/>
                <w:sz w:val="21"/>
                <w:szCs w:val="21"/>
              </w:rPr>
              <w:t>现场勘察</w:t>
            </w:r>
          </w:p>
        </w:tc>
        <w:tc>
          <w:tcPr>
            <w:tcW w:w="3019" w:type="dxa"/>
            <w:noWrap w:val="0"/>
            <w:vAlign w:val="center"/>
          </w:tcPr>
          <w:p w14:paraId="6B7C5A5E">
            <w:pPr>
              <w:pStyle w:val="26"/>
              <w:bidi w:val="0"/>
              <w:rPr>
                <w:rFonts w:hint="eastAsia"/>
                <w:color w:val="auto"/>
                <w:sz w:val="21"/>
                <w:szCs w:val="21"/>
              </w:rPr>
            </w:pPr>
            <w:r>
              <w:rPr>
                <w:rFonts w:hint="eastAsia"/>
                <w:color w:val="auto"/>
                <w:sz w:val="21"/>
                <w:szCs w:val="21"/>
              </w:rPr>
              <w:t>配备有灭火器材。</w:t>
            </w:r>
          </w:p>
        </w:tc>
        <w:tc>
          <w:tcPr>
            <w:tcW w:w="0" w:type="auto"/>
            <w:noWrap w:val="0"/>
            <w:vAlign w:val="center"/>
          </w:tcPr>
          <w:p w14:paraId="15E3C96F">
            <w:pPr>
              <w:pStyle w:val="26"/>
              <w:bidi w:val="0"/>
              <w:rPr>
                <w:rFonts w:hint="eastAsia"/>
                <w:color w:val="auto"/>
                <w:sz w:val="21"/>
                <w:szCs w:val="21"/>
              </w:rPr>
            </w:pPr>
            <w:r>
              <w:rPr>
                <w:rFonts w:hint="eastAsia"/>
                <w:color w:val="auto"/>
                <w:sz w:val="21"/>
                <w:szCs w:val="21"/>
              </w:rPr>
              <w:t>符合</w:t>
            </w:r>
          </w:p>
          <w:p w14:paraId="4DCA4CB3">
            <w:pPr>
              <w:pStyle w:val="26"/>
              <w:bidi w:val="0"/>
              <w:rPr>
                <w:rFonts w:hint="eastAsia"/>
                <w:color w:val="auto"/>
                <w:sz w:val="21"/>
                <w:szCs w:val="21"/>
              </w:rPr>
            </w:pPr>
            <w:r>
              <w:rPr>
                <w:rFonts w:hint="eastAsia"/>
                <w:color w:val="auto"/>
                <w:sz w:val="21"/>
                <w:szCs w:val="21"/>
              </w:rPr>
              <w:t>要求</w:t>
            </w:r>
          </w:p>
        </w:tc>
      </w:tr>
      <w:tr w14:paraId="4AB44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7828E2BD">
            <w:pPr>
              <w:pStyle w:val="26"/>
              <w:bidi w:val="0"/>
              <w:rPr>
                <w:color w:val="auto"/>
                <w:sz w:val="21"/>
                <w:szCs w:val="21"/>
              </w:rPr>
            </w:pPr>
            <w:r>
              <w:rPr>
                <w:rFonts w:hint="eastAsia"/>
                <w:color w:val="auto"/>
                <w:sz w:val="21"/>
                <w:szCs w:val="21"/>
              </w:rPr>
              <w:t>2</w:t>
            </w:r>
          </w:p>
        </w:tc>
        <w:tc>
          <w:tcPr>
            <w:tcW w:w="1745" w:type="dxa"/>
            <w:noWrap w:val="0"/>
            <w:vAlign w:val="center"/>
          </w:tcPr>
          <w:p w14:paraId="1C1D325C">
            <w:pPr>
              <w:pStyle w:val="26"/>
              <w:bidi w:val="0"/>
              <w:rPr>
                <w:rFonts w:hint="eastAsia"/>
                <w:color w:val="auto"/>
                <w:sz w:val="21"/>
                <w:szCs w:val="21"/>
              </w:rPr>
            </w:pPr>
            <w:r>
              <w:rPr>
                <w:rFonts w:hint="eastAsia"/>
                <w:color w:val="auto"/>
                <w:sz w:val="21"/>
                <w:szCs w:val="21"/>
              </w:rPr>
              <w:t>露天矿用设备应配备灭火器。</w:t>
            </w:r>
          </w:p>
        </w:tc>
        <w:tc>
          <w:tcPr>
            <w:tcW w:w="2693" w:type="dxa"/>
            <w:noWrap w:val="0"/>
            <w:vAlign w:val="center"/>
          </w:tcPr>
          <w:p w14:paraId="4E6628FB">
            <w:pPr>
              <w:pStyle w:val="26"/>
              <w:bidi w:val="0"/>
              <w:rPr>
                <w:rFonts w:hint="eastAsia"/>
                <w:color w:val="auto"/>
                <w:sz w:val="21"/>
                <w:szCs w:val="21"/>
              </w:rPr>
            </w:pPr>
            <w:r>
              <w:rPr>
                <w:rFonts w:hint="eastAsia"/>
                <w:color w:val="auto"/>
                <w:sz w:val="21"/>
                <w:szCs w:val="21"/>
              </w:rPr>
              <w:t>《GB16423-2020》之5.7.2.2条</w:t>
            </w:r>
          </w:p>
        </w:tc>
        <w:tc>
          <w:tcPr>
            <w:tcW w:w="283" w:type="dxa"/>
            <w:noWrap w:val="0"/>
            <w:vAlign w:val="center"/>
          </w:tcPr>
          <w:p w14:paraId="4ECA2DB4">
            <w:pPr>
              <w:pStyle w:val="26"/>
              <w:bidi w:val="0"/>
              <w:rPr>
                <w:rFonts w:hint="eastAsia"/>
                <w:color w:val="auto"/>
                <w:sz w:val="21"/>
                <w:szCs w:val="21"/>
              </w:rPr>
            </w:pPr>
            <w:r>
              <w:rPr>
                <w:rFonts w:hint="eastAsia"/>
                <w:color w:val="auto"/>
                <w:sz w:val="21"/>
                <w:szCs w:val="21"/>
              </w:rPr>
              <w:t>现场勘察</w:t>
            </w:r>
          </w:p>
        </w:tc>
        <w:tc>
          <w:tcPr>
            <w:tcW w:w="3019" w:type="dxa"/>
            <w:noWrap w:val="0"/>
            <w:vAlign w:val="center"/>
          </w:tcPr>
          <w:p w14:paraId="6ABDC010">
            <w:pPr>
              <w:pStyle w:val="26"/>
              <w:bidi w:val="0"/>
              <w:rPr>
                <w:rFonts w:hint="eastAsia"/>
                <w:color w:val="auto"/>
                <w:sz w:val="21"/>
                <w:szCs w:val="21"/>
              </w:rPr>
            </w:pPr>
            <w:r>
              <w:rPr>
                <w:rFonts w:hint="eastAsia"/>
                <w:color w:val="auto"/>
                <w:sz w:val="21"/>
                <w:szCs w:val="21"/>
              </w:rPr>
              <w:t>现场勘查，矿用设备配备有灭火器。</w:t>
            </w:r>
          </w:p>
        </w:tc>
        <w:tc>
          <w:tcPr>
            <w:tcW w:w="0" w:type="auto"/>
            <w:noWrap w:val="0"/>
            <w:vAlign w:val="center"/>
          </w:tcPr>
          <w:p w14:paraId="3248DBF1">
            <w:pPr>
              <w:pStyle w:val="26"/>
              <w:bidi w:val="0"/>
              <w:rPr>
                <w:rFonts w:hint="eastAsia"/>
                <w:color w:val="auto"/>
                <w:sz w:val="21"/>
                <w:szCs w:val="21"/>
              </w:rPr>
            </w:pPr>
            <w:r>
              <w:rPr>
                <w:rFonts w:hint="eastAsia"/>
                <w:color w:val="auto"/>
                <w:sz w:val="21"/>
                <w:szCs w:val="21"/>
              </w:rPr>
              <w:t>符合</w:t>
            </w:r>
          </w:p>
          <w:p w14:paraId="65E9E160">
            <w:pPr>
              <w:pStyle w:val="26"/>
              <w:bidi w:val="0"/>
              <w:rPr>
                <w:rFonts w:hint="eastAsia"/>
                <w:color w:val="auto"/>
                <w:sz w:val="21"/>
                <w:szCs w:val="21"/>
              </w:rPr>
            </w:pPr>
            <w:r>
              <w:rPr>
                <w:rFonts w:hint="eastAsia"/>
                <w:color w:val="auto"/>
                <w:sz w:val="21"/>
                <w:szCs w:val="21"/>
              </w:rPr>
              <w:t>要求</w:t>
            </w:r>
          </w:p>
        </w:tc>
      </w:tr>
      <w:tr w14:paraId="285E9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6FBFB87E">
            <w:pPr>
              <w:pStyle w:val="26"/>
              <w:bidi w:val="0"/>
              <w:rPr>
                <w:color w:val="auto"/>
                <w:sz w:val="21"/>
                <w:szCs w:val="21"/>
              </w:rPr>
            </w:pPr>
            <w:r>
              <w:rPr>
                <w:rFonts w:hint="eastAsia"/>
                <w:color w:val="auto"/>
                <w:sz w:val="21"/>
                <w:szCs w:val="21"/>
              </w:rPr>
              <w:t>3</w:t>
            </w:r>
          </w:p>
        </w:tc>
        <w:tc>
          <w:tcPr>
            <w:tcW w:w="1745" w:type="dxa"/>
            <w:noWrap w:val="0"/>
            <w:vAlign w:val="center"/>
          </w:tcPr>
          <w:p w14:paraId="5E986D76">
            <w:pPr>
              <w:pStyle w:val="26"/>
              <w:bidi w:val="0"/>
              <w:rPr>
                <w:rFonts w:hint="eastAsia"/>
                <w:color w:val="auto"/>
                <w:sz w:val="21"/>
                <w:szCs w:val="21"/>
              </w:rPr>
            </w:pPr>
            <w:r>
              <w:rPr>
                <w:rFonts w:hint="eastAsia"/>
                <w:color w:val="auto"/>
                <w:sz w:val="21"/>
                <w:szCs w:val="21"/>
              </w:rPr>
              <w:t>露天矿用设备上严禁存放汽油和其他易燃易爆品。</w:t>
            </w:r>
          </w:p>
        </w:tc>
        <w:tc>
          <w:tcPr>
            <w:tcW w:w="2693" w:type="dxa"/>
            <w:noWrap w:val="0"/>
            <w:vAlign w:val="center"/>
          </w:tcPr>
          <w:p w14:paraId="31B4CD7A">
            <w:pPr>
              <w:pStyle w:val="26"/>
              <w:bidi w:val="0"/>
              <w:rPr>
                <w:rFonts w:hint="eastAsia"/>
                <w:color w:val="auto"/>
                <w:sz w:val="21"/>
                <w:szCs w:val="21"/>
              </w:rPr>
            </w:pPr>
            <w:r>
              <w:rPr>
                <w:rFonts w:hint="eastAsia"/>
                <w:color w:val="auto"/>
                <w:sz w:val="21"/>
                <w:szCs w:val="21"/>
              </w:rPr>
              <w:t>《GB16423-2020》之5.7.2.4条</w:t>
            </w:r>
          </w:p>
        </w:tc>
        <w:tc>
          <w:tcPr>
            <w:tcW w:w="283" w:type="dxa"/>
            <w:noWrap w:val="0"/>
            <w:vAlign w:val="center"/>
          </w:tcPr>
          <w:p w14:paraId="29DD826B">
            <w:pPr>
              <w:pStyle w:val="26"/>
              <w:bidi w:val="0"/>
              <w:rPr>
                <w:rFonts w:hint="eastAsia"/>
                <w:color w:val="auto"/>
                <w:sz w:val="21"/>
                <w:szCs w:val="21"/>
              </w:rPr>
            </w:pPr>
            <w:r>
              <w:rPr>
                <w:rFonts w:hint="eastAsia"/>
                <w:color w:val="auto"/>
                <w:sz w:val="21"/>
                <w:szCs w:val="21"/>
              </w:rPr>
              <w:t>现场勘察</w:t>
            </w:r>
          </w:p>
        </w:tc>
        <w:tc>
          <w:tcPr>
            <w:tcW w:w="3019" w:type="dxa"/>
            <w:noWrap w:val="0"/>
            <w:vAlign w:val="center"/>
          </w:tcPr>
          <w:p w14:paraId="7B1C81C5">
            <w:pPr>
              <w:pStyle w:val="26"/>
              <w:bidi w:val="0"/>
              <w:rPr>
                <w:rFonts w:hint="eastAsia"/>
                <w:color w:val="auto"/>
                <w:sz w:val="21"/>
                <w:szCs w:val="21"/>
              </w:rPr>
            </w:pPr>
            <w:r>
              <w:rPr>
                <w:rFonts w:hint="eastAsia"/>
                <w:color w:val="auto"/>
                <w:sz w:val="21"/>
                <w:szCs w:val="21"/>
              </w:rPr>
              <w:t>现场勘查，没有此现象。</w:t>
            </w:r>
          </w:p>
        </w:tc>
        <w:tc>
          <w:tcPr>
            <w:tcW w:w="0" w:type="auto"/>
            <w:noWrap w:val="0"/>
            <w:vAlign w:val="center"/>
          </w:tcPr>
          <w:p w14:paraId="1394BE46">
            <w:pPr>
              <w:pStyle w:val="26"/>
              <w:bidi w:val="0"/>
              <w:rPr>
                <w:rFonts w:hint="eastAsia"/>
                <w:color w:val="auto"/>
                <w:sz w:val="21"/>
                <w:szCs w:val="21"/>
              </w:rPr>
            </w:pPr>
            <w:r>
              <w:rPr>
                <w:rFonts w:hint="eastAsia"/>
                <w:color w:val="auto"/>
                <w:sz w:val="21"/>
                <w:szCs w:val="21"/>
              </w:rPr>
              <w:t>符合</w:t>
            </w:r>
          </w:p>
          <w:p w14:paraId="11A1E629">
            <w:pPr>
              <w:pStyle w:val="26"/>
              <w:bidi w:val="0"/>
              <w:rPr>
                <w:rFonts w:hint="eastAsia"/>
                <w:color w:val="auto"/>
                <w:sz w:val="21"/>
                <w:szCs w:val="21"/>
              </w:rPr>
            </w:pPr>
            <w:r>
              <w:rPr>
                <w:rFonts w:hint="eastAsia"/>
                <w:color w:val="auto"/>
                <w:sz w:val="21"/>
                <w:szCs w:val="21"/>
              </w:rPr>
              <w:t>要求</w:t>
            </w:r>
          </w:p>
        </w:tc>
      </w:tr>
      <w:tr w14:paraId="14D75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59D4C39">
            <w:pPr>
              <w:pStyle w:val="26"/>
              <w:bidi w:val="0"/>
              <w:rPr>
                <w:color w:val="auto"/>
                <w:sz w:val="21"/>
                <w:szCs w:val="21"/>
              </w:rPr>
            </w:pPr>
            <w:r>
              <w:rPr>
                <w:rFonts w:hint="eastAsia"/>
                <w:color w:val="auto"/>
                <w:sz w:val="21"/>
                <w:szCs w:val="21"/>
              </w:rPr>
              <w:t>4</w:t>
            </w:r>
          </w:p>
        </w:tc>
        <w:tc>
          <w:tcPr>
            <w:tcW w:w="1745" w:type="dxa"/>
            <w:noWrap w:val="0"/>
            <w:vAlign w:val="center"/>
          </w:tcPr>
          <w:p w14:paraId="7EF20006">
            <w:pPr>
              <w:pStyle w:val="26"/>
              <w:bidi w:val="0"/>
              <w:rPr>
                <w:rFonts w:hint="eastAsia"/>
                <w:color w:val="auto"/>
                <w:sz w:val="21"/>
                <w:szCs w:val="21"/>
              </w:rPr>
            </w:pPr>
            <w:r>
              <w:rPr>
                <w:rFonts w:hint="eastAsia"/>
                <w:color w:val="auto"/>
                <w:sz w:val="21"/>
                <w:szCs w:val="21"/>
              </w:rPr>
              <w:t>严禁用汽油擦洗设备。</w:t>
            </w:r>
          </w:p>
        </w:tc>
        <w:tc>
          <w:tcPr>
            <w:tcW w:w="2693" w:type="dxa"/>
            <w:noWrap w:val="0"/>
            <w:vAlign w:val="center"/>
          </w:tcPr>
          <w:p w14:paraId="0CDB23EE">
            <w:pPr>
              <w:pStyle w:val="26"/>
              <w:bidi w:val="0"/>
              <w:rPr>
                <w:rFonts w:hint="eastAsia"/>
                <w:color w:val="auto"/>
                <w:sz w:val="21"/>
                <w:szCs w:val="21"/>
              </w:rPr>
            </w:pPr>
            <w:r>
              <w:rPr>
                <w:rFonts w:hint="eastAsia"/>
                <w:color w:val="auto"/>
                <w:sz w:val="21"/>
                <w:szCs w:val="21"/>
              </w:rPr>
              <w:t>《GB16423-2020》之5.7.2.5条</w:t>
            </w:r>
          </w:p>
        </w:tc>
        <w:tc>
          <w:tcPr>
            <w:tcW w:w="283" w:type="dxa"/>
            <w:noWrap w:val="0"/>
            <w:vAlign w:val="center"/>
          </w:tcPr>
          <w:p w14:paraId="559C25E1">
            <w:pPr>
              <w:pStyle w:val="26"/>
              <w:bidi w:val="0"/>
              <w:rPr>
                <w:rFonts w:hint="eastAsia"/>
                <w:color w:val="auto"/>
                <w:sz w:val="21"/>
                <w:szCs w:val="21"/>
              </w:rPr>
            </w:pPr>
            <w:r>
              <w:rPr>
                <w:rFonts w:hint="eastAsia"/>
                <w:color w:val="auto"/>
                <w:sz w:val="21"/>
                <w:szCs w:val="21"/>
              </w:rPr>
              <w:t>现场勘察</w:t>
            </w:r>
          </w:p>
        </w:tc>
        <w:tc>
          <w:tcPr>
            <w:tcW w:w="3019" w:type="dxa"/>
            <w:noWrap w:val="0"/>
            <w:vAlign w:val="center"/>
          </w:tcPr>
          <w:p w14:paraId="55B86257">
            <w:pPr>
              <w:pStyle w:val="26"/>
              <w:bidi w:val="0"/>
              <w:rPr>
                <w:rFonts w:hint="eastAsia"/>
                <w:color w:val="auto"/>
                <w:sz w:val="21"/>
                <w:szCs w:val="21"/>
              </w:rPr>
            </w:pPr>
            <w:r>
              <w:rPr>
                <w:rFonts w:hint="eastAsia"/>
                <w:color w:val="auto"/>
                <w:sz w:val="21"/>
                <w:szCs w:val="21"/>
              </w:rPr>
              <w:t>现场勘查，没有此现象。</w:t>
            </w:r>
          </w:p>
        </w:tc>
        <w:tc>
          <w:tcPr>
            <w:tcW w:w="0" w:type="auto"/>
            <w:noWrap w:val="0"/>
            <w:vAlign w:val="center"/>
          </w:tcPr>
          <w:p w14:paraId="03D7D49B">
            <w:pPr>
              <w:pStyle w:val="26"/>
              <w:bidi w:val="0"/>
              <w:rPr>
                <w:rFonts w:hint="eastAsia"/>
                <w:color w:val="auto"/>
                <w:sz w:val="21"/>
                <w:szCs w:val="21"/>
              </w:rPr>
            </w:pPr>
            <w:r>
              <w:rPr>
                <w:rFonts w:hint="eastAsia"/>
                <w:color w:val="auto"/>
                <w:sz w:val="21"/>
                <w:szCs w:val="21"/>
              </w:rPr>
              <w:t>符合</w:t>
            </w:r>
          </w:p>
          <w:p w14:paraId="7A6B892A">
            <w:pPr>
              <w:pStyle w:val="26"/>
              <w:bidi w:val="0"/>
              <w:rPr>
                <w:rFonts w:hint="eastAsia"/>
                <w:color w:val="auto"/>
                <w:sz w:val="21"/>
                <w:szCs w:val="21"/>
              </w:rPr>
            </w:pPr>
            <w:r>
              <w:rPr>
                <w:rFonts w:hint="eastAsia"/>
                <w:color w:val="auto"/>
                <w:sz w:val="21"/>
                <w:szCs w:val="21"/>
              </w:rPr>
              <w:t>要求</w:t>
            </w:r>
          </w:p>
        </w:tc>
      </w:tr>
      <w:tr w14:paraId="69887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455CEB69">
            <w:pPr>
              <w:pStyle w:val="26"/>
              <w:bidi w:val="0"/>
              <w:rPr>
                <w:color w:val="auto"/>
                <w:sz w:val="21"/>
                <w:szCs w:val="21"/>
              </w:rPr>
            </w:pPr>
            <w:r>
              <w:rPr>
                <w:rFonts w:hint="eastAsia"/>
                <w:color w:val="auto"/>
                <w:sz w:val="21"/>
                <w:szCs w:val="21"/>
              </w:rPr>
              <w:t>5</w:t>
            </w:r>
          </w:p>
        </w:tc>
        <w:tc>
          <w:tcPr>
            <w:tcW w:w="1745" w:type="dxa"/>
            <w:noWrap w:val="0"/>
            <w:vAlign w:val="center"/>
          </w:tcPr>
          <w:p w14:paraId="21BF49CA">
            <w:pPr>
              <w:pStyle w:val="26"/>
              <w:bidi w:val="0"/>
              <w:rPr>
                <w:rFonts w:hint="eastAsia"/>
                <w:color w:val="auto"/>
                <w:sz w:val="21"/>
                <w:szCs w:val="21"/>
              </w:rPr>
            </w:pPr>
            <w:r>
              <w:rPr>
                <w:rFonts w:hint="eastAsia"/>
                <w:color w:val="auto"/>
                <w:sz w:val="21"/>
                <w:szCs w:val="21"/>
              </w:rPr>
              <w:t>易燃易爆物品不应放在轨道接头、电缆接头或接地极附近。废弃的油料、棉纱和易燃物应妥善管理。</w:t>
            </w:r>
          </w:p>
        </w:tc>
        <w:tc>
          <w:tcPr>
            <w:tcW w:w="2693" w:type="dxa"/>
            <w:noWrap w:val="0"/>
            <w:vAlign w:val="center"/>
          </w:tcPr>
          <w:p w14:paraId="34034FE6">
            <w:pPr>
              <w:pStyle w:val="26"/>
              <w:bidi w:val="0"/>
              <w:rPr>
                <w:rFonts w:hint="eastAsia"/>
                <w:color w:val="auto"/>
                <w:sz w:val="21"/>
                <w:szCs w:val="21"/>
              </w:rPr>
            </w:pPr>
            <w:r>
              <w:rPr>
                <w:rFonts w:hint="eastAsia"/>
                <w:color w:val="auto"/>
                <w:sz w:val="21"/>
                <w:szCs w:val="21"/>
              </w:rPr>
              <w:t>《GB16423-2020》之5.7.2.6条</w:t>
            </w:r>
          </w:p>
        </w:tc>
        <w:tc>
          <w:tcPr>
            <w:tcW w:w="283" w:type="dxa"/>
            <w:noWrap w:val="0"/>
            <w:vAlign w:val="center"/>
          </w:tcPr>
          <w:p w14:paraId="61BEF9AD">
            <w:pPr>
              <w:pStyle w:val="26"/>
              <w:bidi w:val="0"/>
              <w:rPr>
                <w:rFonts w:hint="eastAsia"/>
                <w:color w:val="auto"/>
                <w:sz w:val="21"/>
                <w:szCs w:val="21"/>
              </w:rPr>
            </w:pPr>
            <w:r>
              <w:rPr>
                <w:rFonts w:hint="eastAsia"/>
                <w:color w:val="auto"/>
                <w:sz w:val="21"/>
                <w:szCs w:val="21"/>
              </w:rPr>
              <w:t>现场勘察</w:t>
            </w:r>
          </w:p>
        </w:tc>
        <w:tc>
          <w:tcPr>
            <w:tcW w:w="3019" w:type="dxa"/>
            <w:noWrap w:val="0"/>
            <w:vAlign w:val="center"/>
          </w:tcPr>
          <w:p w14:paraId="2F45976E">
            <w:pPr>
              <w:pStyle w:val="26"/>
              <w:bidi w:val="0"/>
              <w:rPr>
                <w:rFonts w:hint="eastAsia"/>
                <w:color w:val="auto"/>
                <w:sz w:val="21"/>
                <w:szCs w:val="21"/>
              </w:rPr>
            </w:pPr>
            <w:r>
              <w:rPr>
                <w:rFonts w:hint="eastAsia"/>
                <w:color w:val="auto"/>
                <w:sz w:val="21"/>
                <w:szCs w:val="21"/>
              </w:rPr>
              <w:t>现场勘查，没有此现象。</w:t>
            </w:r>
          </w:p>
        </w:tc>
        <w:tc>
          <w:tcPr>
            <w:tcW w:w="0" w:type="auto"/>
            <w:noWrap w:val="0"/>
            <w:vAlign w:val="center"/>
          </w:tcPr>
          <w:p w14:paraId="2A215EDC">
            <w:pPr>
              <w:pStyle w:val="26"/>
              <w:bidi w:val="0"/>
              <w:rPr>
                <w:rFonts w:hint="eastAsia"/>
                <w:color w:val="auto"/>
                <w:sz w:val="21"/>
                <w:szCs w:val="21"/>
              </w:rPr>
            </w:pPr>
            <w:r>
              <w:rPr>
                <w:rFonts w:hint="eastAsia"/>
                <w:color w:val="auto"/>
                <w:sz w:val="21"/>
                <w:szCs w:val="21"/>
              </w:rPr>
              <w:t>符合</w:t>
            </w:r>
          </w:p>
          <w:p w14:paraId="1176F521">
            <w:pPr>
              <w:pStyle w:val="26"/>
              <w:bidi w:val="0"/>
              <w:rPr>
                <w:rFonts w:hint="eastAsia"/>
                <w:color w:val="auto"/>
                <w:sz w:val="21"/>
                <w:szCs w:val="21"/>
              </w:rPr>
            </w:pPr>
            <w:r>
              <w:rPr>
                <w:rFonts w:hint="eastAsia"/>
                <w:color w:val="auto"/>
                <w:sz w:val="21"/>
                <w:szCs w:val="21"/>
              </w:rPr>
              <w:t>要求</w:t>
            </w:r>
          </w:p>
        </w:tc>
      </w:tr>
    </w:tbl>
    <w:p w14:paraId="417193A4">
      <w:pPr>
        <w:pStyle w:val="25"/>
        <w:bidi w:val="0"/>
        <w:rPr>
          <w:rFonts w:hint="eastAsia"/>
          <w:color w:val="auto"/>
        </w:rPr>
      </w:pPr>
    </w:p>
    <w:p w14:paraId="050A03BB">
      <w:pPr>
        <w:pStyle w:val="16"/>
        <w:bidi w:val="0"/>
        <w:rPr>
          <w:rFonts w:hint="eastAsia"/>
          <w:color w:val="auto"/>
        </w:rPr>
      </w:pPr>
      <w:r>
        <w:rPr>
          <w:rFonts w:hint="eastAsia"/>
          <w:color w:val="auto"/>
        </w:rPr>
        <w:t>从防火子单元安全检查表可知：符合项为5项，不符合项为0项，鞍山东盛源矿业有限公司露天矿山在防火方面基本落实了有关的安全措施，符合安全要求。</w:t>
      </w:r>
    </w:p>
    <w:p w14:paraId="4CE3D0EE">
      <w:pPr>
        <w:pStyle w:val="24"/>
        <w:bidi w:val="0"/>
        <w:rPr>
          <w:rFonts w:hint="default"/>
          <w:color w:val="auto"/>
          <w:lang w:val="en-US" w:eastAsia="zh-CN"/>
        </w:rPr>
      </w:pPr>
      <w:r>
        <w:rPr>
          <w:rFonts w:hint="default"/>
          <w:color w:val="auto"/>
          <w:lang w:val="en-US" w:eastAsia="zh-CN"/>
        </w:rPr>
        <w:t>防尘子单元</w:t>
      </w:r>
    </w:p>
    <w:p w14:paraId="424958E6">
      <w:pPr>
        <w:pStyle w:val="16"/>
        <w:bidi w:val="0"/>
        <w:rPr>
          <w:rFonts w:hint="eastAsia"/>
          <w:color w:val="auto"/>
        </w:rPr>
      </w:pPr>
      <w:r>
        <w:rPr>
          <w:rFonts w:hint="eastAsia"/>
          <w:color w:val="auto"/>
        </w:rPr>
        <w:t>采用安全检查表法对防尘子单元进行检查，具体见下表。</w:t>
      </w:r>
    </w:p>
    <w:p w14:paraId="0245E28C">
      <w:pPr>
        <w:pStyle w:val="25"/>
        <w:bidi w:val="0"/>
        <w:rPr>
          <w:rFonts w:hint="eastAsia"/>
          <w:color w:val="auto"/>
        </w:rPr>
      </w:pPr>
      <w:r>
        <w:rPr>
          <w:rFonts w:hint="eastAsia"/>
          <w:color w:val="auto"/>
        </w:rPr>
        <w:t>表5.2-7  防尘子单元安全检查表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2"/>
        <w:gridCol w:w="1716"/>
        <w:gridCol w:w="2373"/>
        <w:gridCol w:w="774"/>
        <w:gridCol w:w="3454"/>
        <w:gridCol w:w="542"/>
      </w:tblGrid>
      <w:tr w14:paraId="7EE9C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FDA0E69">
            <w:pPr>
              <w:pStyle w:val="26"/>
              <w:bidi w:val="0"/>
              <w:rPr>
                <w:rFonts w:hint="eastAsia"/>
                <w:color w:val="auto"/>
                <w:sz w:val="21"/>
                <w:szCs w:val="21"/>
              </w:rPr>
            </w:pPr>
            <w:r>
              <w:rPr>
                <w:rFonts w:hint="eastAsia"/>
                <w:color w:val="auto"/>
                <w:sz w:val="21"/>
                <w:szCs w:val="21"/>
              </w:rPr>
              <w:t>序号</w:t>
            </w:r>
          </w:p>
        </w:tc>
        <w:tc>
          <w:tcPr>
            <w:tcW w:w="1716" w:type="dxa"/>
            <w:noWrap w:val="0"/>
            <w:vAlign w:val="center"/>
          </w:tcPr>
          <w:p w14:paraId="448F1DF0">
            <w:pPr>
              <w:pStyle w:val="26"/>
              <w:bidi w:val="0"/>
              <w:rPr>
                <w:rFonts w:hint="eastAsia"/>
                <w:color w:val="auto"/>
                <w:sz w:val="21"/>
                <w:szCs w:val="21"/>
              </w:rPr>
            </w:pPr>
            <w:r>
              <w:rPr>
                <w:rFonts w:hint="eastAsia"/>
                <w:color w:val="auto"/>
                <w:sz w:val="21"/>
                <w:szCs w:val="21"/>
              </w:rPr>
              <w:t>检查内容</w:t>
            </w:r>
          </w:p>
        </w:tc>
        <w:tc>
          <w:tcPr>
            <w:tcW w:w="2373" w:type="dxa"/>
            <w:noWrap w:val="0"/>
            <w:vAlign w:val="center"/>
          </w:tcPr>
          <w:p w14:paraId="4FEF6DAC">
            <w:pPr>
              <w:pStyle w:val="26"/>
              <w:bidi w:val="0"/>
              <w:rPr>
                <w:rFonts w:hint="eastAsia"/>
                <w:color w:val="auto"/>
                <w:sz w:val="21"/>
                <w:szCs w:val="21"/>
              </w:rPr>
            </w:pPr>
            <w:r>
              <w:rPr>
                <w:rFonts w:hint="eastAsia"/>
                <w:color w:val="auto"/>
                <w:sz w:val="21"/>
                <w:szCs w:val="21"/>
              </w:rPr>
              <w:t>检查依据</w:t>
            </w:r>
          </w:p>
        </w:tc>
        <w:tc>
          <w:tcPr>
            <w:tcW w:w="0" w:type="auto"/>
            <w:noWrap w:val="0"/>
            <w:vAlign w:val="center"/>
          </w:tcPr>
          <w:p w14:paraId="646E0844">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0B52BF45">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06332DD8">
            <w:pPr>
              <w:pStyle w:val="26"/>
              <w:bidi w:val="0"/>
              <w:rPr>
                <w:rFonts w:hint="eastAsia"/>
                <w:color w:val="auto"/>
                <w:sz w:val="21"/>
                <w:szCs w:val="21"/>
              </w:rPr>
            </w:pPr>
            <w:r>
              <w:rPr>
                <w:rFonts w:hint="eastAsia"/>
                <w:color w:val="auto"/>
                <w:sz w:val="21"/>
                <w:szCs w:val="21"/>
              </w:rPr>
              <w:t>结论</w:t>
            </w:r>
          </w:p>
        </w:tc>
      </w:tr>
      <w:tr w14:paraId="4850F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72F60B76">
            <w:pPr>
              <w:pStyle w:val="26"/>
              <w:bidi w:val="0"/>
              <w:rPr>
                <w:rFonts w:hint="eastAsia"/>
                <w:color w:val="auto"/>
                <w:sz w:val="21"/>
                <w:szCs w:val="21"/>
              </w:rPr>
            </w:pPr>
            <w:r>
              <w:rPr>
                <w:rFonts w:hint="eastAsia"/>
                <w:color w:val="auto"/>
                <w:sz w:val="21"/>
                <w:szCs w:val="21"/>
              </w:rPr>
              <w:t>1</w:t>
            </w:r>
          </w:p>
        </w:tc>
        <w:tc>
          <w:tcPr>
            <w:tcW w:w="1716" w:type="dxa"/>
            <w:noWrap w:val="0"/>
            <w:vAlign w:val="center"/>
          </w:tcPr>
          <w:p w14:paraId="6C5D07D2">
            <w:pPr>
              <w:pStyle w:val="26"/>
              <w:bidi w:val="0"/>
              <w:rPr>
                <w:rFonts w:hint="eastAsia"/>
                <w:color w:val="auto"/>
                <w:sz w:val="21"/>
                <w:szCs w:val="21"/>
              </w:rPr>
            </w:pPr>
            <w:r>
              <w:rPr>
                <w:rFonts w:hint="eastAsia"/>
                <w:color w:val="auto"/>
                <w:sz w:val="21"/>
                <w:szCs w:val="21"/>
              </w:rPr>
              <w:t>不应采用没有捕尘装置的干式穿孔设备。</w:t>
            </w:r>
          </w:p>
        </w:tc>
        <w:tc>
          <w:tcPr>
            <w:tcW w:w="2373" w:type="dxa"/>
            <w:noWrap w:val="0"/>
            <w:vAlign w:val="center"/>
          </w:tcPr>
          <w:p w14:paraId="077A82A6">
            <w:pPr>
              <w:pStyle w:val="26"/>
              <w:bidi w:val="0"/>
              <w:rPr>
                <w:rFonts w:hint="eastAsia"/>
                <w:color w:val="auto"/>
                <w:sz w:val="21"/>
                <w:szCs w:val="21"/>
              </w:rPr>
            </w:pPr>
            <w:r>
              <w:rPr>
                <w:rFonts w:hint="eastAsia"/>
                <w:color w:val="auto"/>
                <w:sz w:val="21"/>
                <w:szCs w:val="21"/>
              </w:rPr>
              <w:t>《GB16423-2020》</w:t>
            </w:r>
          </w:p>
          <w:p w14:paraId="2FB42C6E">
            <w:pPr>
              <w:pStyle w:val="26"/>
              <w:bidi w:val="0"/>
              <w:rPr>
                <w:rFonts w:hint="eastAsia"/>
                <w:color w:val="auto"/>
                <w:sz w:val="21"/>
                <w:szCs w:val="21"/>
              </w:rPr>
            </w:pPr>
            <w:r>
              <w:rPr>
                <w:rFonts w:hint="eastAsia"/>
                <w:color w:val="auto"/>
                <w:sz w:val="21"/>
                <w:szCs w:val="21"/>
              </w:rPr>
              <w:t>之5.1.11条</w:t>
            </w:r>
          </w:p>
        </w:tc>
        <w:tc>
          <w:tcPr>
            <w:tcW w:w="0" w:type="auto"/>
            <w:noWrap w:val="0"/>
            <w:vAlign w:val="center"/>
          </w:tcPr>
          <w:p w14:paraId="6366F42F">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CEAF7BD">
            <w:pPr>
              <w:pStyle w:val="26"/>
              <w:bidi w:val="0"/>
              <w:rPr>
                <w:rFonts w:hint="eastAsia"/>
                <w:color w:val="auto"/>
                <w:sz w:val="21"/>
                <w:szCs w:val="21"/>
              </w:rPr>
            </w:pPr>
            <w:r>
              <w:rPr>
                <w:rFonts w:hint="eastAsia"/>
                <w:color w:val="auto"/>
                <w:sz w:val="21"/>
                <w:szCs w:val="21"/>
              </w:rPr>
              <w:t>潜孔钻机自带有捕尘器。</w:t>
            </w:r>
          </w:p>
        </w:tc>
        <w:tc>
          <w:tcPr>
            <w:tcW w:w="0" w:type="auto"/>
            <w:noWrap w:val="0"/>
            <w:vAlign w:val="center"/>
          </w:tcPr>
          <w:p w14:paraId="5938F120">
            <w:pPr>
              <w:pStyle w:val="26"/>
              <w:bidi w:val="0"/>
              <w:rPr>
                <w:rFonts w:hint="eastAsia"/>
                <w:color w:val="auto"/>
                <w:sz w:val="21"/>
                <w:szCs w:val="21"/>
              </w:rPr>
            </w:pPr>
            <w:r>
              <w:rPr>
                <w:rFonts w:hint="eastAsia"/>
                <w:color w:val="auto"/>
                <w:sz w:val="21"/>
                <w:szCs w:val="21"/>
              </w:rPr>
              <w:t>符合</w:t>
            </w:r>
          </w:p>
          <w:p w14:paraId="1A51CBCB">
            <w:pPr>
              <w:pStyle w:val="26"/>
              <w:bidi w:val="0"/>
              <w:rPr>
                <w:rFonts w:hint="eastAsia"/>
                <w:color w:val="auto"/>
                <w:sz w:val="21"/>
                <w:szCs w:val="21"/>
              </w:rPr>
            </w:pPr>
            <w:r>
              <w:rPr>
                <w:rFonts w:hint="eastAsia"/>
                <w:color w:val="auto"/>
                <w:sz w:val="21"/>
                <w:szCs w:val="21"/>
              </w:rPr>
              <w:t>要求</w:t>
            </w:r>
          </w:p>
        </w:tc>
      </w:tr>
      <w:tr w14:paraId="6F9F4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noWrap w:val="0"/>
            <w:vAlign w:val="center"/>
          </w:tcPr>
          <w:p w14:paraId="5737A377">
            <w:pPr>
              <w:pStyle w:val="26"/>
              <w:bidi w:val="0"/>
              <w:rPr>
                <w:rFonts w:hint="eastAsia"/>
                <w:color w:val="auto"/>
                <w:sz w:val="21"/>
                <w:szCs w:val="21"/>
              </w:rPr>
            </w:pPr>
            <w:r>
              <w:rPr>
                <w:rFonts w:hint="eastAsia"/>
                <w:color w:val="auto"/>
                <w:sz w:val="21"/>
                <w:szCs w:val="21"/>
              </w:rPr>
              <w:t>2</w:t>
            </w:r>
          </w:p>
        </w:tc>
        <w:tc>
          <w:tcPr>
            <w:tcW w:w="1716" w:type="dxa"/>
            <w:noWrap w:val="0"/>
            <w:vAlign w:val="center"/>
          </w:tcPr>
          <w:p w14:paraId="312F48DA">
            <w:pPr>
              <w:pStyle w:val="26"/>
              <w:bidi w:val="0"/>
              <w:rPr>
                <w:rFonts w:hint="eastAsia"/>
                <w:color w:val="auto"/>
                <w:sz w:val="21"/>
                <w:szCs w:val="21"/>
              </w:rPr>
            </w:pPr>
            <w:r>
              <w:rPr>
                <w:rFonts w:hint="eastAsia"/>
                <w:color w:val="auto"/>
                <w:sz w:val="21"/>
                <w:szCs w:val="21"/>
                <w:lang w:val="en-US" w:eastAsia="zh-CN"/>
              </w:rPr>
              <w:t>设计</w:t>
            </w:r>
            <w:r>
              <w:rPr>
                <w:rFonts w:hint="eastAsia"/>
                <w:color w:val="auto"/>
                <w:sz w:val="21"/>
                <w:szCs w:val="21"/>
              </w:rPr>
              <w:t>选用</w:t>
            </w:r>
            <w:r>
              <w:rPr>
                <w:rFonts w:hint="eastAsia"/>
                <w:color w:val="auto"/>
                <w:sz w:val="21"/>
                <w:szCs w:val="21"/>
                <w:lang w:val="en-US" w:eastAsia="zh-CN"/>
              </w:rPr>
              <w:t>1</w:t>
            </w:r>
            <w:r>
              <w:rPr>
                <w:rFonts w:hint="eastAsia"/>
                <w:color w:val="auto"/>
                <w:sz w:val="21"/>
                <w:szCs w:val="21"/>
              </w:rPr>
              <w:t>台型5t洒水车用于矿山洒水作业。</w:t>
            </w:r>
          </w:p>
        </w:tc>
        <w:tc>
          <w:tcPr>
            <w:tcW w:w="2373" w:type="dxa"/>
            <w:noWrap w:val="0"/>
            <w:vAlign w:val="center"/>
          </w:tcPr>
          <w:p w14:paraId="6A8A23A2">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0" w:type="auto"/>
            <w:noWrap w:val="0"/>
            <w:vAlign w:val="center"/>
          </w:tcPr>
          <w:p w14:paraId="7F4C8391">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03A435BA">
            <w:pPr>
              <w:pStyle w:val="26"/>
              <w:bidi w:val="0"/>
              <w:rPr>
                <w:rFonts w:hint="eastAsia"/>
                <w:color w:val="auto"/>
                <w:sz w:val="21"/>
                <w:szCs w:val="21"/>
              </w:rPr>
            </w:pPr>
            <w:r>
              <w:rPr>
                <w:rFonts w:hint="eastAsia"/>
                <w:color w:val="auto"/>
                <w:sz w:val="21"/>
                <w:szCs w:val="21"/>
              </w:rPr>
              <w:t>矿山采用</w:t>
            </w:r>
            <w:r>
              <w:rPr>
                <w:rFonts w:hint="eastAsia"/>
                <w:color w:val="auto"/>
                <w:sz w:val="21"/>
                <w:szCs w:val="21"/>
                <w:lang w:val="en-US" w:eastAsia="zh-CN"/>
              </w:rPr>
              <w:t>1</w:t>
            </w:r>
            <w:r>
              <w:rPr>
                <w:rFonts w:hint="eastAsia"/>
                <w:color w:val="auto"/>
                <w:sz w:val="21"/>
                <w:szCs w:val="21"/>
              </w:rPr>
              <w:t>台5t洒水车进行路面洒水，降低路面粉尘浓度。</w:t>
            </w:r>
          </w:p>
        </w:tc>
        <w:tc>
          <w:tcPr>
            <w:tcW w:w="0" w:type="auto"/>
            <w:noWrap w:val="0"/>
            <w:vAlign w:val="center"/>
          </w:tcPr>
          <w:p w14:paraId="4AF3A5F3">
            <w:pPr>
              <w:pStyle w:val="26"/>
              <w:bidi w:val="0"/>
              <w:rPr>
                <w:rFonts w:hint="eastAsia"/>
                <w:color w:val="auto"/>
                <w:sz w:val="21"/>
                <w:szCs w:val="21"/>
              </w:rPr>
            </w:pPr>
            <w:r>
              <w:rPr>
                <w:rFonts w:hint="eastAsia"/>
                <w:color w:val="auto"/>
                <w:sz w:val="21"/>
                <w:szCs w:val="21"/>
              </w:rPr>
              <w:t>符合</w:t>
            </w:r>
          </w:p>
          <w:p w14:paraId="3B757144">
            <w:pPr>
              <w:pStyle w:val="26"/>
              <w:bidi w:val="0"/>
              <w:rPr>
                <w:rFonts w:hint="eastAsia"/>
                <w:color w:val="auto"/>
                <w:sz w:val="21"/>
                <w:szCs w:val="21"/>
              </w:rPr>
            </w:pPr>
            <w:r>
              <w:rPr>
                <w:rFonts w:hint="eastAsia"/>
                <w:color w:val="auto"/>
                <w:sz w:val="21"/>
                <w:szCs w:val="21"/>
              </w:rPr>
              <w:t>要求</w:t>
            </w:r>
          </w:p>
        </w:tc>
      </w:tr>
    </w:tbl>
    <w:p w14:paraId="7402C05E">
      <w:pPr>
        <w:pStyle w:val="25"/>
        <w:bidi w:val="0"/>
        <w:rPr>
          <w:rFonts w:hint="eastAsia"/>
          <w:color w:val="auto"/>
        </w:rPr>
      </w:pPr>
    </w:p>
    <w:p w14:paraId="7739E0F4">
      <w:pPr>
        <w:pStyle w:val="16"/>
        <w:bidi w:val="0"/>
        <w:rPr>
          <w:rFonts w:hint="eastAsia"/>
          <w:color w:val="auto"/>
        </w:rPr>
      </w:pPr>
      <w:r>
        <w:rPr>
          <w:rFonts w:hint="eastAsia"/>
          <w:color w:val="auto"/>
        </w:rPr>
        <w:t>从防尘子单元安全检查表可知：符合项为</w:t>
      </w:r>
      <w:r>
        <w:rPr>
          <w:rFonts w:hint="eastAsia"/>
          <w:color w:val="auto"/>
          <w:lang w:val="en-US" w:eastAsia="zh-CN"/>
        </w:rPr>
        <w:t>2</w:t>
      </w:r>
      <w:r>
        <w:rPr>
          <w:rFonts w:hint="eastAsia"/>
          <w:color w:val="auto"/>
        </w:rPr>
        <w:t>项，不符合项为0项。矿山粉尘主要来自采矿场凿岩、爆破、采装、运输等作业过程，鞍山东盛源矿业有限公司露天矿山对各产尘点采取了防尘、抑尘或除尘措施，矿山通风防尘措施能够满足现有矿山生产需要，防尘单元符合安全要求。</w:t>
      </w:r>
    </w:p>
    <w:p w14:paraId="79DA8C23">
      <w:pPr>
        <w:pStyle w:val="24"/>
        <w:bidi w:val="0"/>
        <w:rPr>
          <w:rFonts w:hint="default"/>
          <w:color w:val="auto"/>
          <w:lang w:val="en-US" w:eastAsia="zh-CN"/>
        </w:rPr>
      </w:pPr>
      <w:r>
        <w:rPr>
          <w:rFonts w:hint="default"/>
          <w:color w:val="auto"/>
          <w:lang w:val="en-US" w:eastAsia="zh-CN"/>
        </w:rPr>
        <w:t>通讯与其他子单元</w:t>
      </w:r>
    </w:p>
    <w:p w14:paraId="1E40C354">
      <w:pPr>
        <w:adjustRightInd w:val="0"/>
        <w:snapToGrid w:val="0"/>
        <w:spacing w:line="360" w:lineRule="auto"/>
        <w:ind w:firstLine="560" w:firstLineChars="200"/>
        <w:rPr>
          <w:rFonts w:ascii="宋体" w:hAnsi="宋体" w:cs="宋体"/>
          <w:color w:val="auto"/>
          <w:sz w:val="28"/>
          <w:szCs w:val="28"/>
        </w:rPr>
      </w:pPr>
      <w:r>
        <w:rPr>
          <w:rFonts w:hint="eastAsia" w:ascii="宋体" w:hAnsi="宋体" w:cs="宋体"/>
          <w:color w:val="auto"/>
          <w:sz w:val="28"/>
          <w:szCs w:val="28"/>
        </w:rPr>
        <w:t>采用安全检查表法对通讯与其他子单元进行检查，具体见下表。</w:t>
      </w:r>
    </w:p>
    <w:p w14:paraId="79923211">
      <w:pPr>
        <w:pStyle w:val="25"/>
        <w:bidi w:val="0"/>
        <w:rPr>
          <w:color w:val="auto"/>
        </w:rPr>
      </w:pPr>
      <w:r>
        <w:rPr>
          <w:rFonts w:hint="eastAsia"/>
          <w:color w:val="auto"/>
        </w:rPr>
        <w:t>表5.2-8  通讯与其他子单元安全检查表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0"/>
        <w:gridCol w:w="1940"/>
        <w:gridCol w:w="1943"/>
        <w:gridCol w:w="529"/>
        <w:gridCol w:w="4000"/>
        <w:gridCol w:w="529"/>
      </w:tblGrid>
      <w:tr w14:paraId="64AC2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5DAE44D4">
            <w:pPr>
              <w:pStyle w:val="26"/>
              <w:bidi w:val="0"/>
              <w:rPr>
                <w:rFonts w:hint="eastAsia"/>
                <w:color w:val="auto"/>
                <w:sz w:val="21"/>
                <w:szCs w:val="21"/>
              </w:rPr>
            </w:pPr>
            <w:r>
              <w:rPr>
                <w:rFonts w:hint="eastAsia"/>
                <w:color w:val="auto"/>
                <w:sz w:val="21"/>
                <w:szCs w:val="21"/>
              </w:rPr>
              <w:t>序号</w:t>
            </w:r>
          </w:p>
        </w:tc>
        <w:tc>
          <w:tcPr>
            <w:tcW w:w="0" w:type="auto"/>
            <w:noWrap w:val="0"/>
            <w:vAlign w:val="center"/>
          </w:tcPr>
          <w:p w14:paraId="07642F36">
            <w:pPr>
              <w:pStyle w:val="26"/>
              <w:bidi w:val="0"/>
              <w:rPr>
                <w:rFonts w:hint="eastAsia"/>
                <w:color w:val="auto"/>
                <w:sz w:val="21"/>
                <w:szCs w:val="21"/>
              </w:rPr>
            </w:pPr>
            <w:r>
              <w:rPr>
                <w:rFonts w:hint="eastAsia"/>
                <w:color w:val="auto"/>
                <w:sz w:val="21"/>
                <w:szCs w:val="21"/>
              </w:rPr>
              <w:t>检查内容</w:t>
            </w:r>
          </w:p>
        </w:tc>
        <w:tc>
          <w:tcPr>
            <w:tcW w:w="0" w:type="auto"/>
            <w:noWrap w:val="0"/>
            <w:vAlign w:val="center"/>
          </w:tcPr>
          <w:p w14:paraId="6EFCD61D">
            <w:pPr>
              <w:pStyle w:val="26"/>
              <w:bidi w:val="0"/>
              <w:rPr>
                <w:rFonts w:hint="eastAsia"/>
                <w:color w:val="auto"/>
                <w:sz w:val="21"/>
                <w:szCs w:val="21"/>
              </w:rPr>
            </w:pPr>
            <w:r>
              <w:rPr>
                <w:rFonts w:hint="eastAsia"/>
                <w:color w:val="auto"/>
                <w:sz w:val="21"/>
                <w:szCs w:val="21"/>
              </w:rPr>
              <w:t>检查依据</w:t>
            </w:r>
          </w:p>
        </w:tc>
        <w:tc>
          <w:tcPr>
            <w:tcW w:w="0" w:type="auto"/>
            <w:noWrap w:val="0"/>
            <w:vAlign w:val="center"/>
          </w:tcPr>
          <w:p w14:paraId="6CA233FF">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7503ECD3">
            <w:pPr>
              <w:pStyle w:val="26"/>
              <w:bidi w:val="0"/>
              <w:rPr>
                <w:rFonts w:hint="eastAsia"/>
                <w:color w:val="auto"/>
                <w:sz w:val="21"/>
                <w:szCs w:val="21"/>
              </w:rPr>
            </w:pPr>
            <w:r>
              <w:rPr>
                <w:rFonts w:hint="eastAsia"/>
                <w:color w:val="auto"/>
                <w:sz w:val="21"/>
                <w:szCs w:val="21"/>
              </w:rPr>
              <w:t>检查结果</w:t>
            </w:r>
          </w:p>
        </w:tc>
        <w:tc>
          <w:tcPr>
            <w:tcW w:w="0" w:type="auto"/>
            <w:noWrap w:val="0"/>
            <w:vAlign w:val="center"/>
          </w:tcPr>
          <w:p w14:paraId="272DF274">
            <w:pPr>
              <w:pStyle w:val="26"/>
              <w:bidi w:val="0"/>
              <w:rPr>
                <w:rFonts w:hint="eastAsia"/>
                <w:color w:val="auto"/>
                <w:sz w:val="21"/>
                <w:szCs w:val="21"/>
              </w:rPr>
            </w:pPr>
            <w:r>
              <w:rPr>
                <w:rFonts w:hint="eastAsia"/>
                <w:color w:val="auto"/>
                <w:sz w:val="21"/>
                <w:szCs w:val="21"/>
              </w:rPr>
              <w:t>结论</w:t>
            </w:r>
          </w:p>
        </w:tc>
      </w:tr>
      <w:tr w14:paraId="075C9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2C72AF24">
            <w:pPr>
              <w:pStyle w:val="26"/>
              <w:bidi w:val="0"/>
              <w:rPr>
                <w:color w:val="auto"/>
                <w:sz w:val="21"/>
                <w:szCs w:val="21"/>
              </w:rPr>
            </w:pPr>
            <w:r>
              <w:rPr>
                <w:rFonts w:hint="eastAsia"/>
                <w:color w:val="auto"/>
                <w:sz w:val="21"/>
                <w:szCs w:val="21"/>
              </w:rPr>
              <w:t>1</w:t>
            </w:r>
          </w:p>
        </w:tc>
        <w:tc>
          <w:tcPr>
            <w:tcW w:w="0" w:type="auto"/>
            <w:noWrap w:val="0"/>
            <w:vAlign w:val="center"/>
          </w:tcPr>
          <w:p w14:paraId="57F5D7DE">
            <w:pPr>
              <w:pStyle w:val="26"/>
              <w:bidi w:val="0"/>
              <w:rPr>
                <w:rFonts w:hint="eastAsia"/>
                <w:color w:val="auto"/>
                <w:sz w:val="21"/>
                <w:szCs w:val="21"/>
              </w:rPr>
            </w:pPr>
            <w:r>
              <w:rPr>
                <w:rFonts w:hint="eastAsia"/>
                <w:color w:val="auto"/>
                <w:sz w:val="21"/>
                <w:szCs w:val="21"/>
              </w:rPr>
              <w:t>设计矿山矿山设计采用无线通讯，矿山采用手机与外界联系。</w:t>
            </w:r>
          </w:p>
        </w:tc>
        <w:tc>
          <w:tcPr>
            <w:tcW w:w="0" w:type="auto"/>
            <w:noWrap w:val="0"/>
            <w:vAlign w:val="center"/>
          </w:tcPr>
          <w:p w14:paraId="29FCDB51">
            <w:pPr>
              <w:pStyle w:val="26"/>
              <w:bidi w:val="0"/>
              <w:rPr>
                <w:rFonts w:hint="eastAsia"/>
                <w:color w:val="auto"/>
                <w:sz w:val="21"/>
                <w:szCs w:val="21"/>
              </w:rPr>
            </w:pPr>
            <w:r>
              <w:rPr>
                <w:rFonts w:hint="eastAsia"/>
                <w:color w:val="auto"/>
                <w:sz w:val="21"/>
                <w:szCs w:val="21"/>
              </w:rPr>
              <w:t>《</w:t>
            </w:r>
            <w:r>
              <w:rPr>
                <w:rFonts w:hint="eastAsia"/>
                <w:color w:val="auto"/>
                <w:sz w:val="21"/>
                <w:szCs w:val="21"/>
                <w:lang w:val="en-US" w:eastAsia="zh-CN"/>
              </w:rPr>
              <w:t>补充设计</w:t>
            </w:r>
            <w:r>
              <w:rPr>
                <w:rFonts w:hint="eastAsia"/>
                <w:color w:val="auto"/>
                <w:sz w:val="21"/>
                <w:szCs w:val="21"/>
              </w:rPr>
              <w:t>》</w:t>
            </w:r>
          </w:p>
        </w:tc>
        <w:tc>
          <w:tcPr>
            <w:tcW w:w="0" w:type="auto"/>
            <w:noWrap w:val="0"/>
            <w:vAlign w:val="center"/>
          </w:tcPr>
          <w:p w14:paraId="3A103EAB">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70509B11">
            <w:pPr>
              <w:pStyle w:val="26"/>
              <w:bidi w:val="0"/>
              <w:rPr>
                <w:rFonts w:hint="eastAsia"/>
                <w:color w:val="auto"/>
                <w:sz w:val="21"/>
                <w:szCs w:val="21"/>
              </w:rPr>
            </w:pPr>
            <w:r>
              <w:rPr>
                <w:rFonts w:hint="eastAsia"/>
                <w:color w:val="auto"/>
                <w:sz w:val="21"/>
                <w:szCs w:val="21"/>
              </w:rPr>
              <w:t>矿山采用无线通讯，与外界联系采用手机。企业主要负责人、主管生产和安全的工作人员、现场工作人员必须佩带手机，在工作区和办公区范围内手机信号全部覆盖，无信号死角，能够满足矿山生产调度和紧急情况联系的需要。</w:t>
            </w:r>
          </w:p>
        </w:tc>
        <w:tc>
          <w:tcPr>
            <w:tcW w:w="0" w:type="auto"/>
            <w:noWrap w:val="0"/>
            <w:vAlign w:val="center"/>
          </w:tcPr>
          <w:p w14:paraId="262DBD3E">
            <w:pPr>
              <w:pStyle w:val="26"/>
              <w:bidi w:val="0"/>
              <w:rPr>
                <w:rFonts w:hint="eastAsia"/>
                <w:color w:val="auto"/>
                <w:sz w:val="21"/>
                <w:szCs w:val="21"/>
              </w:rPr>
            </w:pPr>
            <w:r>
              <w:rPr>
                <w:rFonts w:hint="eastAsia"/>
                <w:color w:val="auto"/>
                <w:sz w:val="21"/>
                <w:szCs w:val="21"/>
              </w:rPr>
              <w:t>符合要求</w:t>
            </w:r>
          </w:p>
        </w:tc>
      </w:tr>
      <w:tr w14:paraId="23A59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jc w:val="center"/>
        </w:trPr>
        <w:tc>
          <w:tcPr>
            <w:tcW w:w="0" w:type="auto"/>
            <w:noWrap w:val="0"/>
            <w:vAlign w:val="center"/>
          </w:tcPr>
          <w:p w14:paraId="62BAC17C">
            <w:pPr>
              <w:pStyle w:val="26"/>
              <w:bidi w:val="0"/>
              <w:rPr>
                <w:color w:val="auto"/>
                <w:sz w:val="21"/>
                <w:szCs w:val="21"/>
              </w:rPr>
            </w:pPr>
            <w:r>
              <w:rPr>
                <w:rFonts w:hint="eastAsia"/>
                <w:color w:val="auto"/>
                <w:sz w:val="21"/>
                <w:szCs w:val="21"/>
              </w:rPr>
              <w:t>2</w:t>
            </w:r>
          </w:p>
        </w:tc>
        <w:tc>
          <w:tcPr>
            <w:tcW w:w="0" w:type="auto"/>
            <w:noWrap w:val="0"/>
            <w:vAlign w:val="center"/>
          </w:tcPr>
          <w:p w14:paraId="16E5D675">
            <w:pPr>
              <w:pStyle w:val="26"/>
              <w:bidi w:val="0"/>
              <w:rPr>
                <w:rFonts w:hint="eastAsia"/>
                <w:color w:val="auto"/>
                <w:sz w:val="21"/>
                <w:szCs w:val="21"/>
              </w:rPr>
            </w:pPr>
            <w:r>
              <w:rPr>
                <w:rFonts w:hint="eastAsia"/>
                <w:color w:val="auto"/>
                <w:sz w:val="21"/>
                <w:szCs w:val="21"/>
              </w:rPr>
              <w:t>露天坑入口和露天坑周围易于发生危险的区域应设置围栏和警示标志，防止无关人员进入。</w:t>
            </w:r>
          </w:p>
        </w:tc>
        <w:tc>
          <w:tcPr>
            <w:tcW w:w="0" w:type="auto"/>
            <w:noWrap w:val="0"/>
            <w:vAlign w:val="center"/>
          </w:tcPr>
          <w:p w14:paraId="43455DD7">
            <w:pPr>
              <w:pStyle w:val="26"/>
              <w:bidi w:val="0"/>
              <w:rPr>
                <w:rFonts w:hint="eastAsia"/>
                <w:color w:val="auto"/>
                <w:sz w:val="21"/>
                <w:szCs w:val="21"/>
              </w:rPr>
            </w:pPr>
            <w:r>
              <w:rPr>
                <w:rFonts w:hint="eastAsia"/>
                <w:color w:val="auto"/>
                <w:sz w:val="21"/>
                <w:szCs w:val="21"/>
              </w:rPr>
              <w:t>《GB16423-2020》</w:t>
            </w:r>
          </w:p>
          <w:p w14:paraId="0CCD2F18">
            <w:pPr>
              <w:pStyle w:val="26"/>
              <w:bidi w:val="0"/>
              <w:rPr>
                <w:rFonts w:hint="eastAsia"/>
                <w:color w:val="auto"/>
                <w:sz w:val="21"/>
                <w:szCs w:val="21"/>
              </w:rPr>
            </w:pPr>
            <w:r>
              <w:rPr>
                <w:rFonts w:hint="eastAsia"/>
                <w:color w:val="auto"/>
                <w:sz w:val="21"/>
                <w:szCs w:val="21"/>
              </w:rPr>
              <w:t>之5.1.8条</w:t>
            </w:r>
          </w:p>
        </w:tc>
        <w:tc>
          <w:tcPr>
            <w:tcW w:w="0" w:type="auto"/>
            <w:noWrap w:val="0"/>
            <w:vAlign w:val="center"/>
          </w:tcPr>
          <w:p w14:paraId="756D1F33">
            <w:pPr>
              <w:pStyle w:val="26"/>
              <w:bidi w:val="0"/>
              <w:rPr>
                <w:rFonts w:hint="eastAsia"/>
                <w:color w:val="auto"/>
                <w:sz w:val="21"/>
                <w:szCs w:val="21"/>
              </w:rPr>
            </w:pPr>
            <w:r>
              <w:rPr>
                <w:rFonts w:hint="eastAsia"/>
                <w:color w:val="auto"/>
                <w:sz w:val="21"/>
                <w:szCs w:val="21"/>
              </w:rPr>
              <w:t>现场勘察</w:t>
            </w:r>
          </w:p>
        </w:tc>
        <w:tc>
          <w:tcPr>
            <w:tcW w:w="0" w:type="auto"/>
            <w:noWrap w:val="0"/>
            <w:vAlign w:val="center"/>
          </w:tcPr>
          <w:p w14:paraId="17845459">
            <w:pPr>
              <w:pStyle w:val="26"/>
              <w:bidi w:val="0"/>
              <w:rPr>
                <w:rFonts w:hint="eastAsia"/>
                <w:color w:val="auto"/>
                <w:sz w:val="21"/>
                <w:szCs w:val="21"/>
              </w:rPr>
            </w:pPr>
            <w:r>
              <w:rPr>
                <w:rFonts w:hint="eastAsia"/>
                <w:color w:val="auto"/>
                <w:sz w:val="21"/>
                <w:szCs w:val="21"/>
              </w:rPr>
              <w:t>露天采场入口和露天采场周围易于发生危险的区域设置了警示标志，防止无关人员进入。</w:t>
            </w:r>
          </w:p>
        </w:tc>
        <w:tc>
          <w:tcPr>
            <w:tcW w:w="0" w:type="auto"/>
            <w:noWrap w:val="0"/>
            <w:vAlign w:val="center"/>
          </w:tcPr>
          <w:p w14:paraId="66C41061">
            <w:pPr>
              <w:pStyle w:val="26"/>
              <w:bidi w:val="0"/>
              <w:rPr>
                <w:rFonts w:hint="eastAsia"/>
                <w:color w:val="auto"/>
                <w:sz w:val="21"/>
                <w:szCs w:val="21"/>
              </w:rPr>
            </w:pPr>
            <w:r>
              <w:rPr>
                <w:rFonts w:hint="eastAsia"/>
                <w:color w:val="auto"/>
                <w:sz w:val="21"/>
                <w:szCs w:val="21"/>
              </w:rPr>
              <w:t>符合要求</w:t>
            </w:r>
          </w:p>
        </w:tc>
      </w:tr>
    </w:tbl>
    <w:p w14:paraId="4DDFB620">
      <w:pPr>
        <w:pStyle w:val="25"/>
        <w:bidi w:val="0"/>
        <w:rPr>
          <w:rFonts w:hint="eastAsia"/>
          <w:color w:val="auto"/>
        </w:rPr>
      </w:pPr>
    </w:p>
    <w:p w14:paraId="577C40BE">
      <w:pPr>
        <w:pStyle w:val="16"/>
        <w:bidi w:val="0"/>
        <w:rPr>
          <w:rFonts w:hint="eastAsia"/>
          <w:color w:val="auto"/>
        </w:rPr>
      </w:pPr>
      <w:r>
        <w:rPr>
          <w:rFonts w:hint="eastAsia"/>
          <w:color w:val="auto"/>
        </w:rPr>
        <w:t>从通讯与其他子单元安全检查表可知：符合项为2项，不符合项为0项。鞍山东盛源矿业有限公司露天矿山通讯和信号系统设置较完备，运行情况良好，基本符合安全要求。</w:t>
      </w:r>
    </w:p>
    <w:p w14:paraId="6357BB1F">
      <w:pPr>
        <w:rPr>
          <w:rFonts w:hint="eastAsia"/>
          <w:color w:val="auto"/>
        </w:rPr>
      </w:pPr>
      <w:r>
        <w:rPr>
          <w:rFonts w:hint="eastAsia"/>
          <w:color w:val="auto"/>
        </w:rPr>
        <w:br w:type="page"/>
      </w:r>
    </w:p>
    <w:p w14:paraId="22B65A1C">
      <w:pPr>
        <w:pStyle w:val="23"/>
        <w:bidi w:val="0"/>
        <w:rPr>
          <w:rFonts w:hint="default"/>
          <w:color w:val="auto"/>
          <w:lang w:val="en-US" w:eastAsia="zh-CN"/>
        </w:rPr>
      </w:pPr>
      <w:bookmarkStart w:id="43" w:name="_Toc4024"/>
      <w:r>
        <w:rPr>
          <w:rFonts w:hint="default"/>
          <w:color w:val="auto"/>
          <w:lang w:val="en-US" w:eastAsia="zh-CN"/>
        </w:rPr>
        <w:t>周边环境影响评价</w:t>
      </w:r>
      <w:bookmarkEnd w:id="43"/>
    </w:p>
    <w:p w14:paraId="55995E27">
      <w:pPr>
        <w:pStyle w:val="16"/>
        <w:bidi w:val="0"/>
        <w:rPr>
          <w:rFonts w:hint="default"/>
          <w:color w:val="auto"/>
          <w:lang w:val="en-US" w:eastAsia="zh-CN"/>
        </w:rPr>
      </w:pPr>
      <w:r>
        <w:rPr>
          <w:rFonts w:hint="default"/>
          <w:color w:val="auto"/>
          <w:lang w:val="en-US" w:eastAsia="zh-CN"/>
        </w:rPr>
        <w:t>矿区周边300m范围内无其他相邻矿山、居民区、重要交通要道或建筑设施，无自然保护区、旅游景点或重要水源地；500m范围内无高压线路，1km范围内铁路设施</w:t>
      </w:r>
      <w:r>
        <w:rPr>
          <w:rFonts w:hint="eastAsia"/>
          <w:color w:val="auto"/>
          <w:lang w:val="en-US" w:eastAsia="zh-CN"/>
        </w:rPr>
        <w:t>。该项目爆破警戒线范围内无上述保护设施。</w:t>
      </w:r>
    </w:p>
    <w:p w14:paraId="03487B41">
      <w:pPr>
        <w:pStyle w:val="23"/>
        <w:bidi w:val="0"/>
        <w:rPr>
          <w:rFonts w:hint="default"/>
          <w:color w:val="auto"/>
          <w:lang w:val="en-US" w:eastAsia="zh-CN"/>
        </w:rPr>
      </w:pPr>
      <w:bookmarkStart w:id="44" w:name="_Toc16461"/>
      <w:r>
        <w:rPr>
          <w:rFonts w:hint="default"/>
          <w:color w:val="auto"/>
          <w:lang w:val="en-US" w:eastAsia="zh-CN"/>
        </w:rPr>
        <w:t>重大事故隐患判定标准单元</w:t>
      </w:r>
      <w:bookmarkEnd w:id="44"/>
    </w:p>
    <w:p w14:paraId="1E13FD2B">
      <w:pPr>
        <w:pStyle w:val="16"/>
        <w:bidi w:val="0"/>
        <w:rPr>
          <w:color w:val="auto"/>
        </w:rPr>
      </w:pPr>
      <w:r>
        <w:rPr>
          <w:rFonts w:hint="eastAsia"/>
          <w:color w:val="auto"/>
        </w:rPr>
        <w:t>采用安全检查表法对重大生产安全事故隐患判定标准单元进行评价，详见表5.4-1。</w:t>
      </w:r>
    </w:p>
    <w:p w14:paraId="53578DB0">
      <w:pPr>
        <w:pStyle w:val="25"/>
        <w:bidi w:val="0"/>
        <w:rPr>
          <w:rFonts w:hint="eastAsia"/>
          <w:color w:val="auto"/>
        </w:rPr>
      </w:pPr>
      <w:r>
        <w:rPr>
          <w:rFonts w:hint="eastAsia"/>
          <w:color w:val="auto"/>
        </w:rPr>
        <w:t>表5.4-1  重大生产安全事故隐患判定标准单元安全检查表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692"/>
        <w:gridCol w:w="1005"/>
        <w:gridCol w:w="833"/>
        <w:gridCol w:w="2954"/>
        <w:gridCol w:w="465"/>
      </w:tblGrid>
      <w:tr w14:paraId="2E157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blHeader/>
          <w:jc w:val="center"/>
        </w:trPr>
        <w:tc>
          <w:tcPr>
            <w:tcW w:w="720" w:type="dxa"/>
            <w:noWrap w:val="0"/>
            <w:vAlign w:val="center"/>
          </w:tcPr>
          <w:p w14:paraId="34B0A842">
            <w:pPr>
              <w:pStyle w:val="26"/>
              <w:bidi w:val="0"/>
              <w:rPr>
                <w:rFonts w:hint="eastAsia"/>
                <w:color w:val="auto"/>
                <w:sz w:val="21"/>
                <w:szCs w:val="21"/>
              </w:rPr>
            </w:pPr>
            <w:r>
              <w:rPr>
                <w:rFonts w:hint="eastAsia"/>
                <w:color w:val="auto"/>
                <w:sz w:val="21"/>
                <w:szCs w:val="21"/>
              </w:rPr>
              <w:t>项目</w:t>
            </w:r>
          </w:p>
        </w:tc>
        <w:tc>
          <w:tcPr>
            <w:tcW w:w="2692" w:type="dxa"/>
            <w:noWrap w:val="0"/>
            <w:vAlign w:val="center"/>
          </w:tcPr>
          <w:p w14:paraId="7AB9ADCA">
            <w:pPr>
              <w:pStyle w:val="26"/>
              <w:bidi w:val="0"/>
              <w:rPr>
                <w:rFonts w:hint="eastAsia"/>
                <w:color w:val="auto"/>
                <w:sz w:val="21"/>
                <w:szCs w:val="21"/>
              </w:rPr>
            </w:pPr>
            <w:r>
              <w:rPr>
                <w:rFonts w:hint="eastAsia"/>
                <w:color w:val="auto"/>
                <w:sz w:val="21"/>
                <w:szCs w:val="21"/>
              </w:rPr>
              <w:t>检查内容</w:t>
            </w:r>
          </w:p>
        </w:tc>
        <w:tc>
          <w:tcPr>
            <w:tcW w:w="1005" w:type="dxa"/>
            <w:noWrap w:val="0"/>
            <w:vAlign w:val="center"/>
          </w:tcPr>
          <w:p w14:paraId="7FE6BC17">
            <w:pPr>
              <w:pStyle w:val="26"/>
              <w:bidi w:val="0"/>
              <w:rPr>
                <w:rFonts w:hint="eastAsia"/>
                <w:color w:val="auto"/>
                <w:sz w:val="21"/>
                <w:szCs w:val="21"/>
              </w:rPr>
            </w:pPr>
            <w:r>
              <w:rPr>
                <w:rFonts w:hint="eastAsia"/>
                <w:color w:val="auto"/>
                <w:sz w:val="21"/>
                <w:szCs w:val="21"/>
              </w:rPr>
              <w:t>检查依据</w:t>
            </w:r>
          </w:p>
        </w:tc>
        <w:tc>
          <w:tcPr>
            <w:tcW w:w="833" w:type="dxa"/>
            <w:noWrap w:val="0"/>
            <w:vAlign w:val="center"/>
          </w:tcPr>
          <w:p w14:paraId="0ED923D1">
            <w:pPr>
              <w:pStyle w:val="26"/>
              <w:bidi w:val="0"/>
              <w:rPr>
                <w:rFonts w:hint="eastAsia"/>
                <w:color w:val="auto"/>
                <w:sz w:val="21"/>
                <w:szCs w:val="21"/>
              </w:rPr>
            </w:pPr>
            <w:r>
              <w:rPr>
                <w:rFonts w:hint="eastAsia"/>
                <w:color w:val="auto"/>
                <w:sz w:val="21"/>
                <w:szCs w:val="21"/>
              </w:rPr>
              <w:t>检查方法</w:t>
            </w:r>
          </w:p>
        </w:tc>
        <w:tc>
          <w:tcPr>
            <w:tcW w:w="2954" w:type="dxa"/>
            <w:noWrap w:val="0"/>
            <w:vAlign w:val="center"/>
          </w:tcPr>
          <w:p w14:paraId="2EFE8F8E">
            <w:pPr>
              <w:pStyle w:val="26"/>
              <w:bidi w:val="0"/>
              <w:rPr>
                <w:rFonts w:hint="eastAsia"/>
                <w:color w:val="auto"/>
                <w:sz w:val="21"/>
                <w:szCs w:val="21"/>
              </w:rPr>
            </w:pPr>
            <w:r>
              <w:rPr>
                <w:rFonts w:hint="eastAsia"/>
                <w:color w:val="auto"/>
                <w:sz w:val="21"/>
                <w:szCs w:val="21"/>
              </w:rPr>
              <w:t>事实记录</w:t>
            </w:r>
          </w:p>
        </w:tc>
        <w:tc>
          <w:tcPr>
            <w:tcW w:w="465" w:type="dxa"/>
            <w:noWrap w:val="0"/>
            <w:vAlign w:val="center"/>
          </w:tcPr>
          <w:p w14:paraId="0053C172">
            <w:pPr>
              <w:pStyle w:val="26"/>
              <w:bidi w:val="0"/>
              <w:rPr>
                <w:rFonts w:hint="eastAsia"/>
                <w:color w:val="auto"/>
                <w:sz w:val="21"/>
                <w:szCs w:val="21"/>
              </w:rPr>
            </w:pPr>
            <w:r>
              <w:rPr>
                <w:rFonts w:hint="eastAsia"/>
                <w:color w:val="auto"/>
                <w:sz w:val="21"/>
                <w:szCs w:val="21"/>
              </w:rPr>
              <w:t>结论</w:t>
            </w:r>
          </w:p>
        </w:tc>
      </w:tr>
      <w:tr w14:paraId="5315D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atLeast"/>
          <w:jc w:val="center"/>
        </w:trPr>
        <w:tc>
          <w:tcPr>
            <w:tcW w:w="720" w:type="dxa"/>
            <w:vMerge w:val="restart"/>
            <w:noWrap w:val="0"/>
            <w:textDirection w:val="tbRlV"/>
            <w:vAlign w:val="center"/>
          </w:tcPr>
          <w:p w14:paraId="7C461AE9">
            <w:pPr>
              <w:pStyle w:val="26"/>
              <w:bidi w:val="0"/>
              <w:rPr>
                <w:rFonts w:hint="eastAsia"/>
                <w:color w:val="auto"/>
                <w:sz w:val="21"/>
                <w:szCs w:val="21"/>
              </w:rPr>
            </w:pPr>
            <w:r>
              <w:rPr>
                <w:rFonts w:hint="eastAsia"/>
                <w:color w:val="auto"/>
                <w:sz w:val="21"/>
                <w:szCs w:val="21"/>
              </w:rPr>
              <w:t>金属非金属矿山重大事故隐患判定标准</w:t>
            </w:r>
          </w:p>
        </w:tc>
        <w:tc>
          <w:tcPr>
            <w:tcW w:w="2692" w:type="dxa"/>
            <w:noWrap w:val="0"/>
            <w:vAlign w:val="center"/>
          </w:tcPr>
          <w:p w14:paraId="3F23504E">
            <w:pPr>
              <w:pStyle w:val="26"/>
              <w:bidi w:val="0"/>
              <w:jc w:val="both"/>
              <w:rPr>
                <w:rFonts w:hint="eastAsia"/>
                <w:color w:val="auto"/>
                <w:sz w:val="21"/>
                <w:szCs w:val="21"/>
              </w:rPr>
            </w:pPr>
            <w:r>
              <w:rPr>
                <w:rFonts w:hint="eastAsia"/>
                <w:color w:val="auto"/>
                <w:sz w:val="21"/>
                <w:szCs w:val="21"/>
              </w:rPr>
              <w:t>1.地下开采转露天开采前，未探明采空区和溶洞，或者未按设计处理对露天开采安全有威胁的采空区和溶洞。</w:t>
            </w:r>
          </w:p>
        </w:tc>
        <w:tc>
          <w:tcPr>
            <w:tcW w:w="1005" w:type="dxa"/>
            <w:noWrap w:val="0"/>
            <w:vAlign w:val="center"/>
          </w:tcPr>
          <w:p w14:paraId="0C91F725">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30A55832">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6D3BAD5F">
            <w:pPr>
              <w:pStyle w:val="26"/>
              <w:bidi w:val="0"/>
              <w:rPr>
                <w:rFonts w:hint="eastAsia"/>
                <w:color w:val="auto"/>
                <w:sz w:val="21"/>
                <w:szCs w:val="21"/>
              </w:rPr>
            </w:pPr>
            <w:r>
              <w:rPr>
                <w:rFonts w:hint="eastAsia"/>
                <w:color w:val="auto"/>
                <w:sz w:val="21"/>
                <w:szCs w:val="21"/>
              </w:rPr>
              <w:t>鞍山东盛源矿业有限公司一直采用露天开采的方式开采矿石，无地下开采工程。</w:t>
            </w:r>
          </w:p>
        </w:tc>
        <w:tc>
          <w:tcPr>
            <w:tcW w:w="465" w:type="dxa"/>
            <w:noWrap w:val="0"/>
            <w:vAlign w:val="center"/>
          </w:tcPr>
          <w:p w14:paraId="1A831DB6">
            <w:pPr>
              <w:pStyle w:val="26"/>
              <w:bidi w:val="0"/>
              <w:rPr>
                <w:rFonts w:hint="eastAsia"/>
                <w:color w:val="auto"/>
                <w:sz w:val="21"/>
                <w:szCs w:val="21"/>
              </w:rPr>
            </w:pPr>
            <w:r>
              <w:rPr>
                <w:rFonts w:hint="eastAsia"/>
                <w:color w:val="auto"/>
                <w:sz w:val="21"/>
                <w:szCs w:val="21"/>
              </w:rPr>
              <w:t>不涉及</w:t>
            </w:r>
          </w:p>
        </w:tc>
      </w:tr>
      <w:tr w14:paraId="2BF65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720" w:type="dxa"/>
            <w:vMerge w:val="continue"/>
            <w:noWrap w:val="0"/>
            <w:vAlign w:val="center"/>
          </w:tcPr>
          <w:p w14:paraId="1B5C9D0D">
            <w:pPr>
              <w:pStyle w:val="26"/>
              <w:bidi w:val="0"/>
              <w:rPr>
                <w:rFonts w:hint="eastAsia"/>
                <w:color w:val="auto"/>
                <w:sz w:val="21"/>
                <w:szCs w:val="21"/>
              </w:rPr>
            </w:pPr>
          </w:p>
        </w:tc>
        <w:tc>
          <w:tcPr>
            <w:tcW w:w="2692" w:type="dxa"/>
            <w:noWrap w:val="0"/>
            <w:vAlign w:val="center"/>
          </w:tcPr>
          <w:p w14:paraId="5C1FB2F1">
            <w:pPr>
              <w:pStyle w:val="26"/>
              <w:bidi w:val="0"/>
              <w:jc w:val="both"/>
              <w:rPr>
                <w:rFonts w:hint="eastAsia"/>
                <w:color w:val="auto"/>
                <w:sz w:val="21"/>
                <w:szCs w:val="21"/>
              </w:rPr>
            </w:pPr>
            <w:r>
              <w:rPr>
                <w:rFonts w:hint="eastAsia"/>
                <w:color w:val="auto"/>
                <w:sz w:val="21"/>
                <w:szCs w:val="21"/>
              </w:rPr>
              <w:t>2.使用国家明令禁止使用的设备、材料或者工艺。</w:t>
            </w:r>
          </w:p>
        </w:tc>
        <w:tc>
          <w:tcPr>
            <w:tcW w:w="1005" w:type="dxa"/>
            <w:noWrap w:val="0"/>
            <w:vAlign w:val="top"/>
          </w:tcPr>
          <w:p w14:paraId="6E4C5E5C">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3BE0887E">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149F9093">
            <w:pPr>
              <w:pStyle w:val="26"/>
              <w:bidi w:val="0"/>
              <w:rPr>
                <w:rFonts w:hint="eastAsia"/>
                <w:color w:val="auto"/>
                <w:sz w:val="21"/>
                <w:szCs w:val="21"/>
              </w:rPr>
            </w:pPr>
            <w:r>
              <w:rPr>
                <w:rFonts w:hint="eastAsia"/>
                <w:color w:val="auto"/>
                <w:sz w:val="21"/>
                <w:szCs w:val="21"/>
              </w:rPr>
              <w:t>鞍山东盛源矿业有限公司露天矿山无国家明令禁止使用的设备、材料和工艺。</w:t>
            </w:r>
          </w:p>
        </w:tc>
        <w:tc>
          <w:tcPr>
            <w:tcW w:w="465" w:type="dxa"/>
            <w:noWrap w:val="0"/>
            <w:vAlign w:val="center"/>
          </w:tcPr>
          <w:p w14:paraId="027E11D5">
            <w:pPr>
              <w:pStyle w:val="26"/>
              <w:bidi w:val="0"/>
              <w:rPr>
                <w:rFonts w:hint="eastAsia"/>
                <w:color w:val="auto"/>
                <w:sz w:val="21"/>
                <w:szCs w:val="21"/>
              </w:rPr>
            </w:pPr>
            <w:r>
              <w:rPr>
                <w:rFonts w:hint="eastAsia"/>
                <w:color w:val="auto"/>
                <w:sz w:val="21"/>
                <w:szCs w:val="21"/>
              </w:rPr>
              <w:t>符合要求</w:t>
            </w:r>
          </w:p>
        </w:tc>
      </w:tr>
      <w:tr w14:paraId="1B0B2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720" w:type="dxa"/>
            <w:vMerge w:val="continue"/>
            <w:noWrap w:val="0"/>
            <w:vAlign w:val="center"/>
          </w:tcPr>
          <w:p w14:paraId="7F16079C">
            <w:pPr>
              <w:pStyle w:val="26"/>
              <w:bidi w:val="0"/>
              <w:rPr>
                <w:rFonts w:hint="eastAsia"/>
                <w:color w:val="auto"/>
                <w:sz w:val="21"/>
                <w:szCs w:val="21"/>
              </w:rPr>
            </w:pPr>
          </w:p>
        </w:tc>
        <w:tc>
          <w:tcPr>
            <w:tcW w:w="2692" w:type="dxa"/>
            <w:noWrap w:val="0"/>
            <w:vAlign w:val="center"/>
          </w:tcPr>
          <w:p w14:paraId="1FA70B26">
            <w:pPr>
              <w:pStyle w:val="26"/>
              <w:bidi w:val="0"/>
              <w:jc w:val="both"/>
              <w:rPr>
                <w:rFonts w:hint="eastAsia"/>
                <w:color w:val="auto"/>
                <w:sz w:val="21"/>
                <w:szCs w:val="21"/>
              </w:rPr>
            </w:pPr>
            <w:r>
              <w:rPr>
                <w:rFonts w:hint="eastAsia"/>
                <w:color w:val="auto"/>
                <w:sz w:val="21"/>
                <w:szCs w:val="21"/>
              </w:rPr>
              <w:t>3.未采用自上而下的开采顺序分台阶或者分层开采。</w:t>
            </w:r>
          </w:p>
        </w:tc>
        <w:tc>
          <w:tcPr>
            <w:tcW w:w="1005" w:type="dxa"/>
            <w:noWrap w:val="0"/>
            <w:vAlign w:val="top"/>
          </w:tcPr>
          <w:p w14:paraId="12E59483">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39E3D74B">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4F2E48B4">
            <w:pPr>
              <w:pStyle w:val="26"/>
              <w:bidi w:val="0"/>
              <w:rPr>
                <w:rFonts w:hint="eastAsia"/>
                <w:color w:val="auto"/>
                <w:sz w:val="21"/>
                <w:szCs w:val="21"/>
              </w:rPr>
            </w:pPr>
            <w:r>
              <w:rPr>
                <w:rFonts w:hint="eastAsia"/>
                <w:color w:val="auto"/>
                <w:sz w:val="21"/>
                <w:szCs w:val="21"/>
              </w:rPr>
              <w:t>鞍山东盛源矿业有限公司露天矿山采用自上而下分台阶开采。</w:t>
            </w:r>
          </w:p>
        </w:tc>
        <w:tc>
          <w:tcPr>
            <w:tcW w:w="465" w:type="dxa"/>
            <w:noWrap w:val="0"/>
            <w:vAlign w:val="center"/>
          </w:tcPr>
          <w:p w14:paraId="3D3352B9">
            <w:pPr>
              <w:pStyle w:val="26"/>
              <w:bidi w:val="0"/>
              <w:rPr>
                <w:rFonts w:hint="eastAsia"/>
                <w:color w:val="auto"/>
                <w:sz w:val="21"/>
                <w:szCs w:val="21"/>
              </w:rPr>
            </w:pPr>
            <w:r>
              <w:rPr>
                <w:rFonts w:hint="eastAsia"/>
                <w:color w:val="auto"/>
                <w:sz w:val="21"/>
                <w:szCs w:val="21"/>
              </w:rPr>
              <w:t>符合要求</w:t>
            </w:r>
          </w:p>
        </w:tc>
      </w:tr>
      <w:tr w14:paraId="00902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720" w:type="dxa"/>
            <w:vMerge w:val="continue"/>
            <w:noWrap w:val="0"/>
            <w:vAlign w:val="center"/>
          </w:tcPr>
          <w:p w14:paraId="5DF75762">
            <w:pPr>
              <w:pStyle w:val="26"/>
              <w:bidi w:val="0"/>
              <w:rPr>
                <w:rFonts w:hint="eastAsia"/>
                <w:color w:val="auto"/>
                <w:sz w:val="21"/>
                <w:szCs w:val="21"/>
              </w:rPr>
            </w:pPr>
          </w:p>
        </w:tc>
        <w:tc>
          <w:tcPr>
            <w:tcW w:w="2692" w:type="dxa"/>
            <w:noWrap w:val="0"/>
            <w:vAlign w:val="center"/>
          </w:tcPr>
          <w:p w14:paraId="41C2682C">
            <w:pPr>
              <w:pStyle w:val="26"/>
              <w:bidi w:val="0"/>
              <w:jc w:val="both"/>
              <w:rPr>
                <w:rFonts w:hint="eastAsia"/>
                <w:color w:val="auto"/>
                <w:sz w:val="21"/>
                <w:szCs w:val="21"/>
              </w:rPr>
            </w:pPr>
            <w:r>
              <w:rPr>
                <w:rFonts w:hint="eastAsia"/>
                <w:color w:val="auto"/>
                <w:sz w:val="21"/>
                <w:szCs w:val="21"/>
              </w:rPr>
              <w:t>4.工作帮坡角大于设计工作帮坡角，或者最终边坡台阶高度超过设计高度。</w:t>
            </w:r>
          </w:p>
        </w:tc>
        <w:tc>
          <w:tcPr>
            <w:tcW w:w="1005" w:type="dxa"/>
            <w:noWrap w:val="0"/>
            <w:vAlign w:val="center"/>
          </w:tcPr>
          <w:p w14:paraId="3346C7EA">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4D4D73D2">
            <w:pPr>
              <w:pStyle w:val="26"/>
              <w:bidi w:val="0"/>
              <w:rPr>
                <w:rFonts w:hint="eastAsia"/>
                <w:color w:val="auto"/>
                <w:sz w:val="21"/>
                <w:szCs w:val="21"/>
              </w:rPr>
            </w:pPr>
            <w:r>
              <w:rPr>
                <w:rFonts w:hint="eastAsia"/>
                <w:color w:val="auto"/>
                <w:sz w:val="21"/>
                <w:szCs w:val="21"/>
              </w:rPr>
              <w:t>查阅资料、现场勘查</w:t>
            </w:r>
          </w:p>
        </w:tc>
        <w:tc>
          <w:tcPr>
            <w:tcW w:w="2954" w:type="dxa"/>
            <w:noWrap w:val="0"/>
            <w:vAlign w:val="center"/>
          </w:tcPr>
          <w:p w14:paraId="5BD7CC6E">
            <w:pPr>
              <w:pStyle w:val="26"/>
              <w:bidi w:val="0"/>
              <w:rPr>
                <w:rFonts w:hint="eastAsia"/>
                <w:color w:val="auto"/>
                <w:sz w:val="21"/>
                <w:szCs w:val="21"/>
              </w:rPr>
            </w:pPr>
            <w:r>
              <w:rPr>
                <w:rFonts w:hint="eastAsia"/>
                <w:color w:val="auto"/>
                <w:sz w:val="21"/>
                <w:szCs w:val="21"/>
              </w:rPr>
              <w:t>评价范围内鞍山东盛源矿业有限公司露天矿山工作帮坡角及台阶高度按设计施工。</w:t>
            </w:r>
          </w:p>
        </w:tc>
        <w:tc>
          <w:tcPr>
            <w:tcW w:w="465" w:type="dxa"/>
            <w:noWrap w:val="0"/>
            <w:vAlign w:val="center"/>
          </w:tcPr>
          <w:p w14:paraId="178B683A">
            <w:pPr>
              <w:pStyle w:val="26"/>
              <w:bidi w:val="0"/>
              <w:rPr>
                <w:rFonts w:hint="eastAsia"/>
                <w:color w:val="auto"/>
                <w:sz w:val="21"/>
                <w:szCs w:val="21"/>
              </w:rPr>
            </w:pPr>
            <w:r>
              <w:rPr>
                <w:rFonts w:hint="eastAsia"/>
                <w:color w:val="auto"/>
                <w:sz w:val="21"/>
                <w:szCs w:val="21"/>
              </w:rPr>
              <w:t>符合要求</w:t>
            </w:r>
          </w:p>
        </w:tc>
      </w:tr>
      <w:tr w14:paraId="7F145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720" w:type="dxa"/>
            <w:vMerge w:val="continue"/>
            <w:noWrap w:val="0"/>
            <w:vAlign w:val="center"/>
          </w:tcPr>
          <w:p w14:paraId="0E62BB52">
            <w:pPr>
              <w:pStyle w:val="26"/>
              <w:bidi w:val="0"/>
              <w:rPr>
                <w:rFonts w:hint="eastAsia"/>
                <w:color w:val="auto"/>
                <w:sz w:val="21"/>
                <w:szCs w:val="21"/>
              </w:rPr>
            </w:pPr>
          </w:p>
        </w:tc>
        <w:tc>
          <w:tcPr>
            <w:tcW w:w="2692" w:type="dxa"/>
            <w:noWrap w:val="0"/>
            <w:vAlign w:val="center"/>
          </w:tcPr>
          <w:p w14:paraId="59C8A32F">
            <w:pPr>
              <w:pStyle w:val="26"/>
              <w:bidi w:val="0"/>
              <w:jc w:val="both"/>
              <w:rPr>
                <w:rFonts w:hint="eastAsia"/>
                <w:color w:val="auto"/>
                <w:sz w:val="21"/>
                <w:szCs w:val="21"/>
              </w:rPr>
            </w:pPr>
            <w:r>
              <w:rPr>
                <w:rFonts w:hint="eastAsia"/>
                <w:color w:val="auto"/>
                <w:sz w:val="21"/>
                <w:szCs w:val="21"/>
              </w:rPr>
              <w:t>5.开采或者破坏设计要求保留的矿（岩）柱或者挂帮矿体。</w:t>
            </w:r>
          </w:p>
        </w:tc>
        <w:tc>
          <w:tcPr>
            <w:tcW w:w="1005" w:type="dxa"/>
            <w:noWrap w:val="0"/>
            <w:vAlign w:val="center"/>
          </w:tcPr>
          <w:p w14:paraId="1E7C84F4">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386ED038">
            <w:pPr>
              <w:pStyle w:val="26"/>
              <w:bidi w:val="0"/>
              <w:rPr>
                <w:rFonts w:hint="eastAsia"/>
                <w:color w:val="auto"/>
                <w:sz w:val="21"/>
                <w:szCs w:val="21"/>
              </w:rPr>
            </w:pPr>
            <w:r>
              <w:rPr>
                <w:rFonts w:hint="eastAsia"/>
                <w:color w:val="auto"/>
                <w:sz w:val="21"/>
                <w:szCs w:val="21"/>
              </w:rPr>
              <w:t>查阅资料、现场勘查</w:t>
            </w:r>
          </w:p>
        </w:tc>
        <w:tc>
          <w:tcPr>
            <w:tcW w:w="2954" w:type="dxa"/>
            <w:noWrap w:val="0"/>
            <w:vAlign w:val="center"/>
          </w:tcPr>
          <w:p w14:paraId="4CE8D769">
            <w:pPr>
              <w:pStyle w:val="26"/>
              <w:bidi w:val="0"/>
              <w:rPr>
                <w:rFonts w:hint="eastAsia"/>
                <w:color w:val="auto"/>
                <w:sz w:val="21"/>
                <w:szCs w:val="21"/>
              </w:rPr>
            </w:pPr>
            <w:r>
              <w:rPr>
                <w:rFonts w:hint="eastAsia"/>
                <w:color w:val="auto"/>
                <w:sz w:val="21"/>
                <w:szCs w:val="21"/>
              </w:rPr>
              <w:t>鞍山东盛源矿业有限公司露天矿山无擅自开采或破坏设计规定保留的矿柱、岩柱和挂帮矿体的行为。</w:t>
            </w:r>
          </w:p>
        </w:tc>
        <w:tc>
          <w:tcPr>
            <w:tcW w:w="465" w:type="dxa"/>
            <w:noWrap w:val="0"/>
            <w:vAlign w:val="center"/>
          </w:tcPr>
          <w:p w14:paraId="130E19F5">
            <w:pPr>
              <w:pStyle w:val="26"/>
              <w:bidi w:val="0"/>
              <w:rPr>
                <w:rFonts w:hint="eastAsia"/>
                <w:color w:val="auto"/>
                <w:sz w:val="21"/>
                <w:szCs w:val="21"/>
              </w:rPr>
            </w:pPr>
            <w:r>
              <w:rPr>
                <w:rFonts w:hint="eastAsia"/>
                <w:color w:val="auto"/>
                <w:sz w:val="21"/>
                <w:szCs w:val="21"/>
              </w:rPr>
              <w:t>符合要求</w:t>
            </w:r>
          </w:p>
        </w:tc>
      </w:tr>
      <w:tr w14:paraId="12032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720" w:type="dxa"/>
            <w:vMerge w:val="continue"/>
            <w:noWrap w:val="0"/>
            <w:vAlign w:val="center"/>
          </w:tcPr>
          <w:p w14:paraId="6D017BC9">
            <w:pPr>
              <w:pStyle w:val="26"/>
              <w:bidi w:val="0"/>
              <w:rPr>
                <w:rFonts w:hint="eastAsia"/>
                <w:color w:val="auto"/>
                <w:sz w:val="21"/>
                <w:szCs w:val="21"/>
              </w:rPr>
            </w:pPr>
          </w:p>
        </w:tc>
        <w:tc>
          <w:tcPr>
            <w:tcW w:w="2692" w:type="dxa"/>
            <w:noWrap w:val="0"/>
            <w:vAlign w:val="center"/>
          </w:tcPr>
          <w:p w14:paraId="574F7DAE">
            <w:pPr>
              <w:pStyle w:val="26"/>
              <w:bidi w:val="0"/>
              <w:jc w:val="both"/>
              <w:rPr>
                <w:rFonts w:hint="eastAsia"/>
                <w:color w:val="auto"/>
                <w:sz w:val="21"/>
                <w:szCs w:val="21"/>
              </w:rPr>
            </w:pPr>
            <w:r>
              <w:rPr>
                <w:rFonts w:hint="eastAsia"/>
                <w:color w:val="auto"/>
                <w:sz w:val="21"/>
                <w:szCs w:val="21"/>
              </w:rPr>
              <w:t>6.未按有关国家标准或者行业标准对采场边坡、排土场边坡进行稳定性分析。</w:t>
            </w:r>
          </w:p>
        </w:tc>
        <w:tc>
          <w:tcPr>
            <w:tcW w:w="1005" w:type="dxa"/>
            <w:noWrap w:val="0"/>
            <w:vAlign w:val="center"/>
          </w:tcPr>
          <w:p w14:paraId="3A084CB3">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4582E0FC">
            <w:pPr>
              <w:pStyle w:val="26"/>
              <w:bidi w:val="0"/>
              <w:rPr>
                <w:rFonts w:hint="eastAsia"/>
                <w:color w:val="auto"/>
                <w:sz w:val="21"/>
                <w:szCs w:val="21"/>
              </w:rPr>
            </w:pPr>
            <w:r>
              <w:rPr>
                <w:rFonts w:hint="eastAsia"/>
                <w:color w:val="auto"/>
                <w:sz w:val="21"/>
                <w:szCs w:val="21"/>
              </w:rPr>
              <w:t>查阅资料</w:t>
            </w:r>
          </w:p>
        </w:tc>
        <w:tc>
          <w:tcPr>
            <w:tcW w:w="2954" w:type="dxa"/>
            <w:noWrap w:val="0"/>
            <w:vAlign w:val="center"/>
          </w:tcPr>
          <w:p w14:paraId="2F70ADB7">
            <w:pPr>
              <w:pStyle w:val="26"/>
              <w:bidi w:val="0"/>
              <w:rPr>
                <w:rFonts w:hint="default" w:eastAsia="宋体"/>
                <w:color w:val="auto"/>
                <w:sz w:val="21"/>
                <w:szCs w:val="21"/>
                <w:lang w:val="en-US" w:eastAsia="zh-CN"/>
              </w:rPr>
            </w:pPr>
            <w:r>
              <w:rPr>
                <w:rFonts w:hint="eastAsia"/>
                <w:color w:val="auto"/>
                <w:sz w:val="21"/>
                <w:szCs w:val="21"/>
              </w:rPr>
              <w:t>鞍山东盛源矿业有限公司露天矿山</w:t>
            </w:r>
            <w:r>
              <w:rPr>
                <w:rFonts w:hint="eastAsia"/>
                <w:color w:val="auto"/>
                <w:sz w:val="21"/>
                <w:szCs w:val="21"/>
                <w:lang w:val="en-US" w:eastAsia="zh-CN"/>
              </w:rPr>
              <w:t>现状边坡高度87.14m。已委托辽宁省核工业地质二四一大队有限责任公司编制露天采场边坡稳定性评价报告</w:t>
            </w:r>
          </w:p>
        </w:tc>
        <w:tc>
          <w:tcPr>
            <w:tcW w:w="465" w:type="dxa"/>
            <w:noWrap w:val="0"/>
            <w:vAlign w:val="center"/>
          </w:tcPr>
          <w:p w14:paraId="3E07BCF3">
            <w:pPr>
              <w:pStyle w:val="26"/>
              <w:bidi w:val="0"/>
              <w:rPr>
                <w:rFonts w:hint="eastAsia" w:eastAsia="宋体"/>
                <w:color w:val="auto"/>
                <w:sz w:val="21"/>
                <w:szCs w:val="21"/>
                <w:lang w:eastAsia="zh-CN"/>
              </w:rPr>
            </w:pPr>
            <w:r>
              <w:rPr>
                <w:rFonts w:hint="eastAsia"/>
                <w:color w:val="auto"/>
                <w:sz w:val="21"/>
                <w:szCs w:val="21"/>
              </w:rPr>
              <w:t>符合要求</w:t>
            </w:r>
          </w:p>
        </w:tc>
      </w:tr>
      <w:tr w14:paraId="04381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5" w:hRule="atLeast"/>
          <w:jc w:val="center"/>
        </w:trPr>
        <w:tc>
          <w:tcPr>
            <w:tcW w:w="720" w:type="dxa"/>
            <w:vMerge w:val="continue"/>
            <w:noWrap w:val="0"/>
            <w:textDirection w:val="tbRlV"/>
            <w:vAlign w:val="center"/>
          </w:tcPr>
          <w:p w14:paraId="2DAFB5E9">
            <w:pPr>
              <w:pStyle w:val="26"/>
              <w:bidi w:val="0"/>
              <w:rPr>
                <w:rFonts w:hint="eastAsia"/>
                <w:color w:val="auto"/>
                <w:sz w:val="21"/>
                <w:szCs w:val="21"/>
              </w:rPr>
            </w:pPr>
          </w:p>
        </w:tc>
        <w:tc>
          <w:tcPr>
            <w:tcW w:w="2692" w:type="dxa"/>
            <w:noWrap w:val="0"/>
            <w:vAlign w:val="center"/>
          </w:tcPr>
          <w:p w14:paraId="0B74165D">
            <w:pPr>
              <w:pStyle w:val="26"/>
              <w:bidi w:val="0"/>
              <w:jc w:val="both"/>
              <w:rPr>
                <w:rFonts w:hint="eastAsia"/>
                <w:color w:val="auto"/>
                <w:sz w:val="21"/>
                <w:szCs w:val="21"/>
              </w:rPr>
            </w:pPr>
            <w:r>
              <w:rPr>
                <w:rFonts w:hint="eastAsia"/>
                <w:color w:val="auto"/>
                <w:sz w:val="21"/>
                <w:szCs w:val="21"/>
              </w:rPr>
              <w:t>7.边坡存在下列情形之一的：</w:t>
            </w:r>
          </w:p>
          <w:p w14:paraId="43B25B96">
            <w:pPr>
              <w:pStyle w:val="26"/>
              <w:bidi w:val="0"/>
              <w:jc w:val="both"/>
              <w:rPr>
                <w:rFonts w:hint="eastAsia"/>
                <w:color w:val="auto"/>
                <w:sz w:val="21"/>
                <w:szCs w:val="21"/>
              </w:rPr>
            </w:pPr>
            <w:r>
              <w:rPr>
                <w:rFonts w:hint="eastAsia"/>
                <w:color w:val="auto"/>
                <w:sz w:val="21"/>
                <w:szCs w:val="21"/>
              </w:rPr>
              <w:t>（1）高度200米及以上的采场边坡未进行在线监测；</w:t>
            </w:r>
          </w:p>
          <w:p w14:paraId="0C719824">
            <w:pPr>
              <w:pStyle w:val="26"/>
              <w:bidi w:val="0"/>
              <w:jc w:val="both"/>
              <w:rPr>
                <w:rFonts w:hint="eastAsia"/>
                <w:color w:val="auto"/>
                <w:sz w:val="21"/>
                <w:szCs w:val="21"/>
              </w:rPr>
            </w:pPr>
            <w:r>
              <w:rPr>
                <w:rFonts w:hint="eastAsia"/>
                <w:color w:val="auto"/>
                <w:sz w:val="21"/>
                <w:szCs w:val="21"/>
              </w:rPr>
              <w:t>（2）高度200米及以上的排土场边坡未建立边坡稳定监测系统；</w:t>
            </w:r>
          </w:p>
          <w:p w14:paraId="595E1DD4">
            <w:pPr>
              <w:pStyle w:val="26"/>
              <w:bidi w:val="0"/>
              <w:jc w:val="both"/>
              <w:rPr>
                <w:rFonts w:hint="eastAsia"/>
                <w:color w:val="auto"/>
                <w:sz w:val="21"/>
                <w:szCs w:val="21"/>
              </w:rPr>
            </w:pPr>
            <w:r>
              <w:rPr>
                <w:rFonts w:hint="eastAsia"/>
                <w:color w:val="auto"/>
                <w:sz w:val="21"/>
                <w:szCs w:val="21"/>
              </w:rPr>
              <w:t>（3）关闭、破坏监测系统或者隐瞒、篡改、销毁其相关数据、信息。</w:t>
            </w:r>
          </w:p>
        </w:tc>
        <w:tc>
          <w:tcPr>
            <w:tcW w:w="1005" w:type="dxa"/>
            <w:noWrap w:val="0"/>
            <w:vAlign w:val="center"/>
          </w:tcPr>
          <w:p w14:paraId="0D4BC836">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443A0649">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4563686C">
            <w:pPr>
              <w:pStyle w:val="26"/>
              <w:bidi w:val="0"/>
              <w:rPr>
                <w:color w:val="auto"/>
                <w:sz w:val="21"/>
                <w:szCs w:val="21"/>
              </w:rPr>
            </w:pPr>
            <w:r>
              <w:rPr>
                <w:rFonts w:hint="eastAsia"/>
                <w:color w:val="auto"/>
                <w:sz w:val="21"/>
                <w:szCs w:val="21"/>
              </w:rPr>
              <w:t>鞍山东盛源矿业有限公司露天矿山采场边坡未超过200米，未建立在线监测系统。</w:t>
            </w:r>
          </w:p>
        </w:tc>
        <w:tc>
          <w:tcPr>
            <w:tcW w:w="465" w:type="dxa"/>
            <w:noWrap w:val="0"/>
            <w:vAlign w:val="center"/>
          </w:tcPr>
          <w:p w14:paraId="71912258">
            <w:pPr>
              <w:pStyle w:val="26"/>
              <w:bidi w:val="0"/>
              <w:rPr>
                <w:rFonts w:hint="eastAsia"/>
                <w:color w:val="auto"/>
                <w:sz w:val="21"/>
                <w:szCs w:val="21"/>
              </w:rPr>
            </w:pPr>
            <w:r>
              <w:rPr>
                <w:rFonts w:hint="eastAsia"/>
                <w:color w:val="auto"/>
                <w:sz w:val="21"/>
                <w:szCs w:val="21"/>
              </w:rPr>
              <w:t>不涉及</w:t>
            </w:r>
          </w:p>
        </w:tc>
      </w:tr>
      <w:tr w14:paraId="3DC05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0" w:type="dxa"/>
            <w:vMerge w:val="continue"/>
            <w:noWrap w:val="0"/>
            <w:textDirection w:val="tbRlV"/>
            <w:vAlign w:val="center"/>
          </w:tcPr>
          <w:p w14:paraId="36E69D4A">
            <w:pPr>
              <w:pStyle w:val="26"/>
              <w:bidi w:val="0"/>
              <w:rPr>
                <w:rFonts w:hint="eastAsia"/>
                <w:color w:val="auto"/>
                <w:sz w:val="21"/>
                <w:szCs w:val="21"/>
              </w:rPr>
            </w:pPr>
          </w:p>
        </w:tc>
        <w:tc>
          <w:tcPr>
            <w:tcW w:w="2692" w:type="dxa"/>
            <w:noWrap w:val="0"/>
            <w:vAlign w:val="center"/>
          </w:tcPr>
          <w:p w14:paraId="22722655">
            <w:pPr>
              <w:pStyle w:val="26"/>
              <w:bidi w:val="0"/>
              <w:jc w:val="both"/>
              <w:rPr>
                <w:rFonts w:hint="eastAsia"/>
                <w:color w:val="auto"/>
                <w:sz w:val="21"/>
                <w:szCs w:val="21"/>
              </w:rPr>
            </w:pPr>
            <w:r>
              <w:rPr>
                <w:rFonts w:hint="eastAsia"/>
                <w:color w:val="auto"/>
                <w:sz w:val="21"/>
                <w:szCs w:val="21"/>
              </w:rPr>
              <w:t>8.边坡出现滑移现象，存在下列情形之一的：</w:t>
            </w:r>
          </w:p>
          <w:p w14:paraId="7B59B620">
            <w:pPr>
              <w:pStyle w:val="26"/>
              <w:bidi w:val="0"/>
              <w:jc w:val="both"/>
              <w:rPr>
                <w:rFonts w:hint="eastAsia"/>
                <w:color w:val="auto"/>
                <w:sz w:val="21"/>
                <w:szCs w:val="21"/>
              </w:rPr>
            </w:pPr>
            <w:r>
              <w:rPr>
                <w:rFonts w:hint="eastAsia"/>
                <w:color w:val="auto"/>
                <w:sz w:val="21"/>
                <w:szCs w:val="21"/>
              </w:rPr>
              <w:t>（1）边坡出现横向及纵向放射状裂缝；</w:t>
            </w:r>
          </w:p>
          <w:p w14:paraId="08AD8A9F">
            <w:pPr>
              <w:pStyle w:val="26"/>
              <w:bidi w:val="0"/>
              <w:jc w:val="both"/>
              <w:rPr>
                <w:rFonts w:hint="eastAsia"/>
                <w:color w:val="auto"/>
                <w:sz w:val="21"/>
                <w:szCs w:val="21"/>
              </w:rPr>
            </w:pPr>
            <w:r>
              <w:rPr>
                <w:rFonts w:hint="eastAsia"/>
                <w:color w:val="auto"/>
                <w:sz w:val="21"/>
                <w:szCs w:val="21"/>
              </w:rPr>
              <w:t>（2）坡体前缘坡脚处出现上隆（凸起）现象，后缘的裂缝急剧扩展；</w:t>
            </w:r>
          </w:p>
          <w:p w14:paraId="0E380DE3">
            <w:pPr>
              <w:pStyle w:val="26"/>
              <w:bidi w:val="0"/>
              <w:jc w:val="both"/>
              <w:rPr>
                <w:rFonts w:hint="eastAsia"/>
                <w:color w:val="auto"/>
                <w:sz w:val="21"/>
                <w:szCs w:val="21"/>
              </w:rPr>
            </w:pPr>
            <w:r>
              <w:rPr>
                <w:rFonts w:hint="eastAsia"/>
                <w:color w:val="auto"/>
                <w:sz w:val="21"/>
                <w:szCs w:val="21"/>
              </w:rPr>
              <w:t>（3）位移观测资料显示的水平位移量或者垂直位移量出现加速变化的趋势。</w:t>
            </w:r>
          </w:p>
        </w:tc>
        <w:tc>
          <w:tcPr>
            <w:tcW w:w="1005" w:type="dxa"/>
            <w:noWrap w:val="0"/>
            <w:vAlign w:val="center"/>
          </w:tcPr>
          <w:p w14:paraId="0CD11E46">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0B908E1C">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0AFE9807">
            <w:pPr>
              <w:pStyle w:val="26"/>
              <w:bidi w:val="0"/>
              <w:rPr>
                <w:rFonts w:hint="eastAsia"/>
                <w:color w:val="auto"/>
                <w:sz w:val="21"/>
                <w:szCs w:val="21"/>
              </w:rPr>
            </w:pPr>
            <w:r>
              <w:rPr>
                <w:rFonts w:hint="eastAsia"/>
                <w:color w:val="auto"/>
                <w:sz w:val="21"/>
                <w:szCs w:val="21"/>
              </w:rPr>
              <w:t>鞍山东盛源矿业有限公司露天矿山边坡无边坡滑移现。</w:t>
            </w:r>
          </w:p>
        </w:tc>
        <w:tc>
          <w:tcPr>
            <w:tcW w:w="465" w:type="dxa"/>
            <w:noWrap w:val="0"/>
            <w:vAlign w:val="center"/>
          </w:tcPr>
          <w:p w14:paraId="3812A2DA">
            <w:pPr>
              <w:pStyle w:val="26"/>
              <w:bidi w:val="0"/>
              <w:rPr>
                <w:rFonts w:hint="eastAsia"/>
                <w:color w:val="auto"/>
                <w:sz w:val="21"/>
                <w:szCs w:val="21"/>
              </w:rPr>
            </w:pPr>
            <w:r>
              <w:rPr>
                <w:rFonts w:hint="eastAsia"/>
                <w:color w:val="auto"/>
                <w:sz w:val="21"/>
                <w:szCs w:val="21"/>
              </w:rPr>
              <w:t>符合要求</w:t>
            </w:r>
          </w:p>
        </w:tc>
      </w:tr>
      <w:tr w14:paraId="5E636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jc w:val="center"/>
        </w:trPr>
        <w:tc>
          <w:tcPr>
            <w:tcW w:w="720" w:type="dxa"/>
            <w:vMerge w:val="continue"/>
            <w:noWrap w:val="0"/>
            <w:vAlign w:val="center"/>
          </w:tcPr>
          <w:p w14:paraId="4155471A">
            <w:pPr>
              <w:pStyle w:val="26"/>
              <w:bidi w:val="0"/>
              <w:rPr>
                <w:rFonts w:hint="eastAsia"/>
                <w:color w:val="auto"/>
                <w:sz w:val="21"/>
                <w:szCs w:val="21"/>
              </w:rPr>
            </w:pPr>
          </w:p>
        </w:tc>
        <w:tc>
          <w:tcPr>
            <w:tcW w:w="2692" w:type="dxa"/>
            <w:noWrap w:val="0"/>
            <w:vAlign w:val="center"/>
          </w:tcPr>
          <w:p w14:paraId="111AC86E">
            <w:pPr>
              <w:pStyle w:val="26"/>
              <w:bidi w:val="0"/>
              <w:jc w:val="both"/>
              <w:rPr>
                <w:rFonts w:hint="eastAsia"/>
                <w:color w:val="auto"/>
                <w:sz w:val="21"/>
                <w:szCs w:val="21"/>
              </w:rPr>
            </w:pPr>
            <w:r>
              <w:rPr>
                <w:rFonts w:hint="eastAsia"/>
                <w:color w:val="auto"/>
                <w:sz w:val="21"/>
                <w:szCs w:val="21"/>
              </w:rPr>
              <w:t>9.运输道路坡度大于设计坡度10%以上。</w:t>
            </w:r>
          </w:p>
        </w:tc>
        <w:tc>
          <w:tcPr>
            <w:tcW w:w="1005" w:type="dxa"/>
            <w:noWrap w:val="0"/>
            <w:vAlign w:val="center"/>
          </w:tcPr>
          <w:p w14:paraId="77D9F9AD">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70F1B3F5">
            <w:pPr>
              <w:pStyle w:val="26"/>
              <w:bidi w:val="0"/>
              <w:rPr>
                <w:rFonts w:hint="eastAsia"/>
                <w:color w:val="auto"/>
                <w:sz w:val="21"/>
                <w:szCs w:val="21"/>
              </w:rPr>
            </w:pPr>
            <w:r>
              <w:rPr>
                <w:rFonts w:hint="eastAsia"/>
                <w:color w:val="auto"/>
                <w:sz w:val="21"/>
                <w:szCs w:val="21"/>
              </w:rPr>
              <w:t>查阅资料、现场勘查</w:t>
            </w:r>
          </w:p>
        </w:tc>
        <w:tc>
          <w:tcPr>
            <w:tcW w:w="2954" w:type="dxa"/>
            <w:noWrap w:val="0"/>
            <w:vAlign w:val="center"/>
          </w:tcPr>
          <w:p w14:paraId="3BAB5005">
            <w:pPr>
              <w:pStyle w:val="26"/>
              <w:bidi w:val="0"/>
              <w:rPr>
                <w:rFonts w:hint="eastAsia"/>
                <w:color w:val="auto"/>
                <w:sz w:val="21"/>
                <w:szCs w:val="21"/>
              </w:rPr>
            </w:pPr>
            <w:r>
              <w:rPr>
                <w:rFonts w:hint="eastAsia"/>
                <w:color w:val="auto"/>
                <w:sz w:val="21"/>
                <w:szCs w:val="21"/>
              </w:rPr>
              <w:t>鞍山东盛源矿业有限公司露天矿山运输道路坡度最大为8%。运输道路坡度未大于设计坡度</w:t>
            </w:r>
            <w:r>
              <w:rPr>
                <w:rFonts w:hint="eastAsia"/>
                <w:color w:val="auto"/>
                <w:sz w:val="21"/>
                <w:szCs w:val="21"/>
                <w:lang w:val="en-US" w:eastAsia="zh-CN"/>
              </w:rPr>
              <w:t>10</w:t>
            </w:r>
            <w:r>
              <w:rPr>
                <w:rFonts w:hint="eastAsia"/>
                <w:color w:val="auto"/>
                <w:sz w:val="21"/>
                <w:szCs w:val="21"/>
              </w:rPr>
              <w:t>%以上。</w:t>
            </w:r>
          </w:p>
        </w:tc>
        <w:tc>
          <w:tcPr>
            <w:tcW w:w="465" w:type="dxa"/>
            <w:noWrap w:val="0"/>
            <w:vAlign w:val="center"/>
          </w:tcPr>
          <w:p w14:paraId="01532712">
            <w:pPr>
              <w:pStyle w:val="26"/>
              <w:bidi w:val="0"/>
              <w:rPr>
                <w:rFonts w:hint="eastAsia"/>
                <w:color w:val="auto"/>
                <w:sz w:val="21"/>
                <w:szCs w:val="21"/>
              </w:rPr>
            </w:pPr>
            <w:r>
              <w:rPr>
                <w:rFonts w:hint="eastAsia"/>
                <w:color w:val="auto"/>
                <w:sz w:val="21"/>
                <w:szCs w:val="21"/>
              </w:rPr>
              <w:t>符合要求</w:t>
            </w:r>
          </w:p>
        </w:tc>
      </w:tr>
      <w:tr w14:paraId="02EB0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jc w:val="center"/>
        </w:trPr>
        <w:tc>
          <w:tcPr>
            <w:tcW w:w="720" w:type="dxa"/>
            <w:vMerge w:val="continue"/>
            <w:noWrap w:val="0"/>
            <w:vAlign w:val="center"/>
          </w:tcPr>
          <w:p w14:paraId="3D5CA7CB">
            <w:pPr>
              <w:pStyle w:val="26"/>
              <w:bidi w:val="0"/>
              <w:rPr>
                <w:rFonts w:hint="eastAsia"/>
                <w:color w:val="auto"/>
                <w:sz w:val="21"/>
                <w:szCs w:val="21"/>
              </w:rPr>
            </w:pPr>
          </w:p>
        </w:tc>
        <w:tc>
          <w:tcPr>
            <w:tcW w:w="2692" w:type="dxa"/>
            <w:noWrap w:val="0"/>
            <w:vAlign w:val="center"/>
          </w:tcPr>
          <w:p w14:paraId="4029E06C">
            <w:pPr>
              <w:pStyle w:val="26"/>
              <w:bidi w:val="0"/>
              <w:jc w:val="both"/>
              <w:rPr>
                <w:rFonts w:hint="eastAsia"/>
                <w:color w:val="auto"/>
                <w:sz w:val="21"/>
                <w:szCs w:val="21"/>
              </w:rPr>
            </w:pPr>
            <w:r>
              <w:rPr>
                <w:rFonts w:hint="eastAsia"/>
                <w:color w:val="auto"/>
                <w:sz w:val="21"/>
                <w:szCs w:val="21"/>
              </w:rPr>
              <w:t>10.凹陷露天矿山未按设计建设防洪、排洪设施。</w:t>
            </w:r>
          </w:p>
        </w:tc>
        <w:tc>
          <w:tcPr>
            <w:tcW w:w="1005" w:type="dxa"/>
            <w:noWrap w:val="0"/>
            <w:vAlign w:val="center"/>
          </w:tcPr>
          <w:p w14:paraId="055AD4BB">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320D5362">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31A1977B">
            <w:pPr>
              <w:pStyle w:val="26"/>
              <w:bidi w:val="0"/>
              <w:rPr>
                <w:rFonts w:hint="eastAsia"/>
                <w:color w:val="auto"/>
                <w:sz w:val="21"/>
                <w:szCs w:val="21"/>
              </w:rPr>
            </w:pPr>
            <w:r>
              <w:rPr>
                <w:rFonts w:hint="eastAsia"/>
                <w:color w:val="auto"/>
                <w:sz w:val="21"/>
                <w:szCs w:val="21"/>
              </w:rPr>
              <w:t>鞍山东盛源矿业有限公司为山坡露天开采。</w:t>
            </w:r>
          </w:p>
        </w:tc>
        <w:tc>
          <w:tcPr>
            <w:tcW w:w="465" w:type="dxa"/>
            <w:noWrap w:val="0"/>
            <w:vAlign w:val="center"/>
          </w:tcPr>
          <w:p w14:paraId="6542A42D">
            <w:pPr>
              <w:pStyle w:val="26"/>
              <w:bidi w:val="0"/>
              <w:rPr>
                <w:rFonts w:hint="eastAsia"/>
                <w:color w:val="auto"/>
                <w:sz w:val="21"/>
                <w:szCs w:val="21"/>
              </w:rPr>
            </w:pPr>
            <w:r>
              <w:rPr>
                <w:rFonts w:hint="eastAsia"/>
                <w:color w:val="auto"/>
                <w:sz w:val="21"/>
                <w:szCs w:val="21"/>
              </w:rPr>
              <w:t>不涉及</w:t>
            </w:r>
          </w:p>
        </w:tc>
      </w:tr>
      <w:tr w14:paraId="27643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720" w:type="dxa"/>
            <w:vMerge w:val="continue"/>
            <w:noWrap w:val="0"/>
            <w:vAlign w:val="center"/>
          </w:tcPr>
          <w:p w14:paraId="66E774E4">
            <w:pPr>
              <w:pStyle w:val="26"/>
              <w:bidi w:val="0"/>
              <w:rPr>
                <w:rFonts w:hint="eastAsia"/>
                <w:color w:val="auto"/>
                <w:sz w:val="21"/>
                <w:szCs w:val="21"/>
              </w:rPr>
            </w:pPr>
          </w:p>
        </w:tc>
        <w:tc>
          <w:tcPr>
            <w:tcW w:w="2692" w:type="dxa"/>
            <w:noWrap w:val="0"/>
            <w:vAlign w:val="center"/>
          </w:tcPr>
          <w:p w14:paraId="1ED841C7">
            <w:pPr>
              <w:pStyle w:val="26"/>
              <w:bidi w:val="0"/>
              <w:jc w:val="both"/>
              <w:rPr>
                <w:rFonts w:hint="eastAsia"/>
                <w:color w:val="auto"/>
                <w:sz w:val="21"/>
                <w:szCs w:val="21"/>
              </w:rPr>
            </w:pPr>
            <w:r>
              <w:rPr>
                <w:rFonts w:hint="eastAsia"/>
                <w:color w:val="auto"/>
                <w:sz w:val="21"/>
                <w:szCs w:val="21"/>
              </w:rPr>
              <w:t>11.排土场存在下列情形之一的：</w:t>
            </w:r>
          </w:p>
          <w:p w14:paraId="14EB1AE6">
            <w:pPr>
              <w:pStyle w:val="26"/>
              <w:bidi w:val="0"/>
              <w:jc w:val="both"/>
              <w:rPr>
                <w:rFonts w:hint="eastAsia"/>
                <w:color w:val="auto"/>
                <w:sz w:val="21"/>
                <w:szCs w:val="21"/>
              </w:rPr>
            </w:pPr>
            <w:r>
              <w:rPr>
                <w:rFonts w:hint="eastAsia"/>
                <w:color w:val="auto"/>
                <w:sz w:val="21"/>
                <w:szCs w:val="21"/>
              </w:rPr>
              <w:t>（1）在平均坡度大于1:5的地基上顺坡排土，未按设计采取安全措施；</w:t>
            </w:r>
          </w:p>
          <w:p w14:paraId="652DE277">
            <w:pPr>
              <w:pStyle w:val="26"/>
              <w:bidi w:val="0"/>
              <w:jc w:val="both"/>
              <w:rPr>
                <w:rFonts w:hint="eastAsia"/>
                <w:color w:val="auto"/>
                <w:sz w:val="21"/>
                <w:szCs w:val="21"/>
              </w:rPr>
            </w:pPr>
            <w:r>
              <w:rPr>
                <w:rFonts w:hint="eastAsia"/>
                <w:color w:val="auto"/>
                <w:sz w:val="21"/>
                <w:szCs w:val="21"/>
              </w:rPr>
              <w:t>（2）排土场总堆置高度2倍范围以内有人员密集场所，未按设计采取安全措施；</w:t>
            </w:r>
          </w:p>
          <w:p w14:paraId="230FDE56">
            <w:pPr>
              <w:pStyle w:val="26"/>
              <w:bidi w:val="0"/>
              <w:jc w:val="both"/>
              <w:rPr>
                <w:rFonts w:hint="eastAsia"/>
                <w:color w:val="auto"/>
                <w:sz w:val="21"/>
                <w:szCs w:val="21"/>
              </w:rPr>
            </w:pPr>
            <w:r>
              <w:rPr>
                <w:rFonts w:hint="eastAsia"/>
                <w:color w:val="auto"/>
                <w:sz w:val="21"/>
                <w:szCs w:val="21"/>
              </w:rPr>
              <w:t>（3）山坡排土场周围未按设计修筑截、排水设施。</w:t>
            </w:r>
          </w:p>
        </w:tc>
        <w:tc>
          <w:tcPr>
            <w:tcW w:w="1005" w:type="dxa"/>
            <w:noWrap w:val="0"/>
            <w:vAlign w:val="center"/>
          </w:tcPr>
          <w:p w14:paraId="39DF6477">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0A45204D">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5449E83B">
            <w:pPr>
              <w:pStyle w:val="26"/>
              <w:bidi w:val="0"/>
              <w:rPr>
                <w:rFonts w:hint="eastAsia"/>
                <w:color w:val="auto"/>
                <w:sz w:val="21"/>
                <w:szCs w:val="21"/>
              </w:rPr>
            </w:pPr>
            <w:r>
              <w:rPr>
                <w:rFonts w:hint="eastAsia"/>
                <w:color w:val="auto"/>
                <w:sz w:val="21"/>
                <w:szCs w:val="21"/>
              </w:rPr>
              <w:t>鞍山东盛源矿业有限公司露天矿山目前未设置排土场。</w:t>
            </w:r>
          </w:p>
        </w:tc>
        <w:tc>
          <w:tcPr>
            <w:tcW w:w="465" w:type="dxa"/>
            <w:noWrap w:val="0"/>
            <w:vAlign w:val="center"/>
          </w:tcPr>
          <w:p w14:paraId="67935AEC">
            <w:pPr>
              <w:pStyle w:val="26"/>
              <w:bidi w:val="0"/>
              <w:rPr>
                <w:rFonts w:hint="eastAsia"/>
                <w:color w:val="auto"/>
                <w:sz w:val="21"/>
                <w:szCs w:val="21"/>
              </w:rPr>
            </w:pPr>
            <w:r>
              <w:rPr>
                <w:rFonts w:hint="eastAsia"/>
                <w:color w:val="auto"/>
                <w:sz w:val="21"/>
                <w:szCs w:val="21"/>
              </w:rPr>
              <w:t>符合要求</w:t>
            </w:r>
          </w:p>
        </w:tc>
      </w:tr>
      <w:tr w14:paraId="08045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Merge w:val="continue"/>
            <w:noWrap w:val="0"/>
            <w:textDirection w:val="tbRlV"/>
            <w:vAlign w:val="center"/>
          </w:tcPr>
          <w:p w14:paraId="436A3E16">
            <w:pPr>
              <w:pStyle w:val="26"/>
              <w:bidi w:val="0"/>
              <w:rPr>
                <w:rFonts w:hint="eastAsia"/>
                <w:color w:val="auto"/>
                <w:sz w:val="21"/>
                <w:szCs w:val="21"/>
              </w:rPr>
            </w:pPr>
          </w:p>
        </w:tc>
        <w:tc>
          <w:tcPr>
            <w:tcW w:w="2692" w:type="dxa"/>
            <w:noWrap w:val="0"/>
            <w:vAlign w:val="center"/>
          </w:tcPr>
          <w:p w14:paraId="2C202556">
            <w:pPr>
              <w:pStyle w:val="26"/>
              <w:bidi w:val="0"/>
              <w:jc w:val="both"/>
              <w:rPr>
                <w:rFonts w:hint="eastAsia"/>
                <w:color w:val="auto"/>
                <w:sz w:val="21"/>
                <w:szCs w:val="21"/>
              </w:rPr>
            </w:pPr>
            <w:r>
              <w:rPr>
                <w:rFonts w:hint="eastAsia"/>
                <w:color w:val="auto"/>
                <w:sz w:val="21"/>
                <w:szCs w:val="21"/>
              </w:rPr>
              <w:t>12.露天采场未按设计设置安全平台和清扫平台。</w:t>
            </w:r>
          </w:p>
        </w:tc>
        <w:tc>
          <w:tcPr>
            <w:tcW w:w="1005" w:type="dxa"/>
            <w:noWrap w:val="0"/>
            <w:vAlign w:val="center"/>
          </w:tcPr>
          <w:p w14:paraId="1F7BF308">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4CFEEB35">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366B3C50">
            <w:pPr>
              <w:pStyle w:val="26"/>
              <w:bidi w:val="0"/>
              <w:rPr>
                <w:rFonts w:hint="eastAsia"/>
                <w:color w:val="auto"/>
                <w:sz w:val="21"/>
                <w:szCs w:val="21"/>
              </w:rPr>
            </w:pPr>
            <w:r>
              <w:rPr>
                <w:rFonts w:hint="eastAsia"/>
                <w:color w:val="auto"/>
                <w:sz w:val="21"/>
                <w:szCs w:val="21"/>
              </w:rPr>
              <w:t>鞍山东盛源矿业有限公司露天矿山按设计设置安全平台。</w:t>
            </w:r>
          </w:p>
        </w:tc>
        <w:tc>
          <w:tcPr>
            <w:tcW w:w="465" w:type="dxa"/>
            <w:noWrap w:val="0"/>
            <w:vAlign w:val="center"/>
          </w:tcPr>
          <w:p w14:paraId="3DD9C71D">
            <w:pPr>
              <w:pStyle w:val="26"/>
              <w:bidi w:val="0"/>
              <w:rPr>
                <w:rFonts w:hint="eastAsia"/>
                <w:color w:val="auto"/>
                <w:sz w:val="21"/>
                <w:szCs w:val="21"/>
              </w:rPr>
            </w:pPr>
            <w:r>
              <w:rPr>
                <w:rFonts w:hint="eastAsia"/>
                <w:color w:val="auto"/>
                <w:sz w:val="21"/>
                <w:szCs w:val="21"/>
              </w:rPr>
              <w:t>符合要求</w:t>
            </w:r>
          </w:p>
        </w:tc>
      </w:tr>
      <w:tr w14:paraId="103EA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Merge w:val="continue"/>
            <w:noWrap w:val="0"/>
            <w:textDirection w:val="tbRlV"/>
            <w:vAlign w:val="center"/>
          </w:tcPr>
          <w:p w14:paraId="22F6FF08">
            <w:pPr>
              <w:pStyle w:val="26"/>
              <w:bidi w:val="0"/>
              <w:rPr>
                <w:rFonts w:hint="eastAsia"/>
                <w:color w:val="auto"/>
                <w:sz w:val="21"/>
                <w:szCs w:val="21"/>
              </w:rPr>
            </w:pPr>
          </w:p>
        </w:tc>
        <w:tc>
          <w:tcPr>
            <w:tcW w:w="2692" w:type="dxa"/>
            <w:noWrap w:val="0"/>
            <w:vAlign w:val="center"/>
          </w:tcPr>
          <w:p w14:paraId="7D0BE381">
            <w:pPr>
              <w:pStyle w:val="26"/>
              <w:bidi w:val="0"/>
              <w:jc w:val="both"/>
              <w:rPr>
                <w:rFonts w:hint="eastAsia"/>
                <w:color w:val="auto"/>
                <w:sz w:val="21"/>
                <w:szCs w:val="21"/>
              </w:rPr>
            </w:pPr>
            <w:r>
              <w:rPr>
                <w:rFonts w:hint="eastAsia"/>
                <w:color w:val="auto"/>
                <w:sz w:val="21"/>
                <w:szCs w:val="21"/>
              </w:rPr>
              <w:t>13.擅自对在用排土场进行回采作业。</w:t>
            </w:r>
          </w:p>
        </w:tc>
        <w:tc>
          <w:tcPr>
            <w:tcW w:w="1005" w:type="dxa"/>
            <w:noWrap w:val="0"/>
            <w:vAlign w:val="center"/>
          </w:tcPr>
          <w:p w14:paraId="7BC27C82">
            <w:pPr>
              <w:pStyle w:val="26"/>
              <w:bidi w:val="0"/>
              <w:rPr>
                <w:rFonts w:hint="eastAsia"/>
                <w:color w:val="auto"/>
                <w:sz w:val="21"/>
                <w:szCs w:val="21"/>
              </w:rPr>
            </w:pPr>
            <w:r>
              <w:rPr>
                <w:rFonts w:hint="eastAsia"/>
                <w:color w:val="auto"/>
                <w:sz w:val="21"/>
                <w:szCs w:val="21"/>
              </w:rPr>
              <w:t>矿安〔2022〕88号</w:t>
            </w:r>
          </w:p>
        </w:tc>
        <w:tc>
          <w:tcPr>
            <w:tcW w:w="833" w:type="dxa"/>
            <w:noWrap w:val="0"/>
            <w:vAlign w:val="center"/>
          </w:tcPr>
          <w:p w14:paraId="7255CF42">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6F8EA54B">
            <w:pPr>
              <w:pStyle w:val="26"/>
              <w:bidi w:val="0"/>
              <w:rPr>
                <w:rFonts w:hint="eastAsia"/>
                <w:color w:val="auto"/>
                <w:sz w:val="21"/>
                <w:szCs w:val="21"/>
              </w:rPr>
            </w:pPr>
            <w:r>
              <w:rPr>
                <w:rFonts w:hint="eastAsia"/>
                <w:color w:val="auto"/>
                <w:sz w:val="21"/>
                <w:szCs w:val="21"/>
              </w:rPr>
              <w:t>鞍山东盛源矿业有限公司露天矿山目前未设置排土场。</w:t>
            </w:r>
          </w:p>
        </w:tc>
        <w:tc>
          <w:tcPr>
            <w:tcW w:w="465" w:type="dxa"/>
            <w:noWrap w:val="0"/>
            <w:vAlign w:val="center"/>
          </w:tcPr>
          <w:p w14:paraId="66656105">
            <w:pPr>
              <w:pStyle w:val="26"/>
              <w:bidi w:val="0"/>
              <w:rPr>
                <w:rFonts w:hint="eastAsia"/>
                <w:color w:val="auto"/>
                <w:sz w:val="21"/>
                <w:szCs w:val="21"/>
              </w:rPr>
            </w:pPr>
            <w:r>
              <w:rPr>
                <w:rFonts w:hint="eastAsia"/>
                <w:color w:val="auto"/>
                <w:sz w:val="21"/>
                <w:szCs w:val="21"/>
              </w:rPr>
              <w:t>不涉及</w:t>
            </w:r>
          </w:p>
        </w:tc>
      </w:tr>
      <w:tr w14:paraId="14C5E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jc w:val="center"/>
        </w:trPr>
        <w:tc>
          <w:tcPr>
            <w:tcW w:w="720" w:type="dxa"/>
            <w:vMerge w:val="restart"/>
            <w:noWrap w:val="0"/>
            <w:textDirection w:val="tbRlV"/>
            <w:vAlign w:val="center"/>
          </w:tcPr>
          <w:p w14:paraId="63543BCA">
            <w:pPr>
              <w:pStyle w:val="26"/>
              <w:bidi w:val="0"/>
              <w:rPr>
                <w:rFonts w:hint="eastAsia"/>
                <w:color w:val="auto"/>
                <w:sz w:val="21"/>
                <w:szCs w:val="21"/>
              </w:rPr>
            </w:pPr>
            <w:r>
              <w:rPr>
                <w:rFonts w:hint="eastAsia"/>
                <w:color w:val="auto"/>
                <w:sz w:val="21"/>
                <w:szCs w:val="21"/>
              </w:rPr>
              <w:t>金属非金属矿山重大事故隐患判定标准补充情形</w:t>
            </w:r>
          </w:p>
        </w:tc>
        <w:tc>
          <w:tcPr>
            <w:tcW w:w="2692" w:type="dxa"/>
            <w:noWrap w:val="0"/>
            <w:vAlign w:val="center"/>
          </w:tcPr>
          <w:p w14:paraId="2202845F">
            <w:pPr>
              <w:pStyle w:val="26"/>
              <w:bidi w:val="0"/>
              <w:jc w:val="both"/>
              <w:rPr>
                <w:rFonts w:hint="eastAsia"/>
                <w:color w:val="auto"/>
                <w:sz w:val="21"/>
                <w:szCs w:val="21"/>
              </w:rPr>
            </w:pPr>
            <w:r>
              <w:rPr>
                <w:rFonts w:hint="eastAsia"/>
                <w:color w:val="auto"/>
                <w:sz w:val="21"/>
                <w:szCs w:val="21"/>
              </w:rPr>
              <w:t>1.办公区、生活区等人员集聚场所设在危崖、塌陷区、崩落区，或洪水、泥石流、滑坡等灾害威胁范围内。</w:t>
            </w:r>
          </w:p>
        </w:tc>
        <w:tc>
          <w:tcPr>
            <w:tcW w:w="1005" w:type="dxa"/>
            <w:noWrap w:val="0"/>
            <w:vAlign w:val="center"/>
          </w:tcPr>
          <w:p w14:paraId="004D6884">
            <w:pPr>
              <w:pStyle w:val="26"/>
              <w:bidi w:val="0"/>
              <w:rPr>
                <w:rFonts w:hint="eastAsia"/>
                <w:color w:val="auto"/>
                <w:sz w:val="21"/>
                <w:szCs w:val="21"/>
              </w:rPr>
            </w:pPr>
            <w:r>
              <w:rPr>
                <w:rFonts w:hint="eastAsia"/>
                <w:color w:val="auto"/>
                <w:sz w:val="21"/>
                <w:szCs w:val="21"/>
              </w:rPr>
              <w:t>矿安〔2024〕41号</w:t>
            </w:r>
          </w:p>
        </w:tc>
        <w:tc>
          <w:tcPr>
            <w:tcW w:w="833" w:type="dxa"/>
            <w:noWrap w:val="0"/>
            <w:vAlign w:val="center"/>
          </w:tcPr>
          <w:p w14:paraId="7E130F4F">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6A54C0F9">
            <w:pPr>
              <w:pStyle w:val="26"/>
              <w:bidi w:val="0"/>
              <w:rPr>
                <w:rFonts w:hint="eastAsia"/>
                <w:color w:val="auto"/>
                <w:sz w:val="21"/>
                <w:szCs w:val="21"/>
              </w:rPr>
            </w:pPr>
            <w:r>
              <w:rPr>
                <w:rFonts w:hint="eastAsia"/>
                <w:color w:val="auto"/>
                <w:sz w:val="21"/>
                <w:szCs w:val="21"/>
              </w:rPr>
              <w:t>鞍山东盛源矿业有限公司露天矿山办公区、生活区等人员集聚场未设在危崖、塌陷区、崩落区，或洪水、泥石流、滑坡等灾害威胁范围内。</w:t>
            </w:r>
          </w:p>
        </w:tc>
        <w:tc>
          <w:tcPr>
            <w:tcW w:w="465" w:type="dxa"/>
            <w:noWrap w:val="0"/>
            <w:vAlign w:val="center"/>
          </w:tcPr>
          <w:p w14:paraId="6913ADF2">
            <w:pPr>
              <w:pStyle w:val="26"/>
              <w:bidi w:val="0"/>
              <w:rPr>
                <w:rFonts w:hint="eastAsia"/>
                <w:color w:val="auto"/>
                <w:sz w:val="21"/>
                <w:szCs w:val="21"/>
              </w:rPr>
            </w:pPr>
            <w:r>
              <w:rPr>
                <w:rFonts w:hint="eastAsia"/>
                <w:color w:val="auto"/>
                <w:sz w:val="21"/>
                <w:szCs w:val="21"/>
              </w:rPr>
              <w:t>符合要求</w:t>
            </w:r>
          </w:p>
        </w:tc>
      </w:tr>
      <w:tr w14:paraId="1297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jc w:val="center"/>
        </w:trPr>
        <w:tc>
          <w:tcPr>
            <w:tcW w:w="720" w:type="dxa"/>
            <w:vMerge w:val="continue"/>
            <w:noWrap w:val="0"/>
            <w:textDirection w:val="tbRlV"/>
            <w:vAlign w:val="center"/>
          </w:tcPr>
          <w:p w14:paraId="37857196">
            <w:pPr>
              <w:pStyle w:val="26"/>
              <w:bidi w:val="0"/>
              <w:rPr>
                <w:rFonts w:hint="eastAsia"/>
                <w:color w:val="auto"/>
                <w:sz w:val="21"/>
                <w:szCs w:val="21"/>
              </w:rPr>
            </w:pPr>
          </w:p>
        </w:tc>
        <w:tc>
          <w:tcPr>
            <w:tcW w:w="2692" w:type="dxa"/>
            <w:noWrap w:val="0"/>
            <w:vAlign w:val="center"/>
          </w:tcPr>
          <w:p w14:paraId="0B7380E9">
            <w:pPr>
              <w:pStyle w:val="26"/>
              <w:bidi w:val="0"/>
              <w:jc w:val="both"/>
              <w:rPr>
                <w:rFonts w:hint="eastAsia"/>
                <w:color w:val="auto"/>
                <w:sz w:val="21"/>
                <w:szCs w:val="21"/>
              </w:rPr>
            </w:pPr>
            <w:r>
              <w:rPr>
                <w:rFonts w:hint="eastAsia"/>
                <w:color w:val="auto"/>
                <w:sz w:val="21"/>
                <w:szCs w:val="21"/>
              </w:rPr>
              <w:t>2.遇极端天气露天矿山未及时停止作业、撤出现场作业人员。</w:t>
            </w:r>
          </w:p>
        </w:tc>
        <w:tc>
          <w:tcPr>
            <w:tcW w:w="1005" w:type="dxa"/>
            <w:noWrap w:val="0"/>
            <w:vAlign w:val="center"/>
          </w:tcPr>
          <w:p w14:paraId="3FC55C60">
            <w:pPr>
              <w:pStyle w:val="26"/>
              <w:bidi w:val="0"/>
              <w:rPr>
                <w:rFonts w:hint="eastAsia"/>
                <w:color w:val="auto"/>
                <w:sz w:val="21"/>
                <w:szCs w:val="21"/>
              </w:rPr>
            </w:pPr>
            <w:r>
              <w:rPr>
                <w:rFonts w:hint="eastAsia"/>
                <w:color w:val="auto"/>
                <w:sz w:val="21"/>
                <w:szCs w:val="21"/>
              </w:rPr>
              <w:t>矿安〔2024〕41号</w:t>
            </w:r>
          </w:p>
        </w:tc>
        <w:tc>
          <w:tcPr>
            <w:tcW w:w="833" w:type="dxa"/>
            <w:noWrap w:val="0"/>
            <w:vAlign w:val="center"/>
          </w:tcPr>
          <w:p w14:paraId="28540998">
            <w:pPr>
              <w:pStyle w:val="26"/>
              <w:bidi w:val="0"/>
              <w:rPr>
                <w:rFonts w:hint="eastAsia"/>
                <w:color w:val="auto"/>
                <w:sz w:val="21"/>
                <w:szCs w:val="21"/>
              </w:rPr>
            </w:pPr>
            <w:r>
              <w:rPr>
                <w:rFonts w:hint="eastAsia"/>
                <w:color w:val="auto"/>
                <w:sz w:val="21"/>
                <w:szCs w:val="21"/>
              </w:rPr>
              <w:t>现场勘查</w:t>
            </w:r>
          </w:p>
        </w:tc>
        <w:tc>
          <w:tcPr>
            <w:tcW w:w="2954" w:type="dxa"/>
            <w:noWrap w:val="0"/>
            <w:vAlign w:val="center"/>
          </w:tcPr>
          <w:p w14:paraId="565AE38C">
            <w:pPr>
              <w:pStyle w:val="26"/>
              <w:bidi w:val="0"/>
              <w:rPr>
                <w:rFonts w:hint="eastAsia"/>
                <w:color w:val="auto"/>
                <w:sz w:val="21"/>
                <w:szCs w:val="21"/>
              </w:rPr>
            </w:pPr>
            <w:r>
              <w:rPr>
                <w:rFonts w:hint="eastAsia"/>
                <w:color w:val="auto"/>
                <w:sz w:val="21"/>
                <w:szCs w:val="21"/>
              </w:rPr>
              <w:t>评价组现场勘察企业相关人员，矿山在极端天气未进行生产作业，并撤出所有现场作业人员。</w:t>
            </w:r>
          </w:p>
        </w:tc>
        <w:tc>
          <w:tcPr>
            <w:tcW w:w="465" w:type="dxa"/>
            <w:noWrap w:val="0"/>
            <w:vAlign w:val="center"/>
          </w:tcPr>
          <w:p w14:paraId="7BC379D1">
            <w:pPr>
              <w:pStyle w:val="26"/>
              <w:bidi w:val="0"/>
              <w:rPr>
                <w:rFonts w:hint="eastAsia"/>
                <w:color w:val="auto"/>
                <w:sz w:val="21"/>
                <w:szCs w:val="21"/>
              </w:rPr>
            </w:pPr>
            <w:r>
              <w:rPr>
                <w:rFonts w:hint="eastAsia"/>
                <w:color w:val="auto"/>
                <w:sz w:val="21"/>
                <w:szCs w:val="21"/>
              </w:rPr>
              <w:t>符合要求</w:t>
            </w:r>
          </w:p>
        </w:tc>
      </w:tr>
    </w:tbl>
    <w:p w14:paraId="664378C2">
      <w:pPr>
        <w:pStyle w:val="25"/>
        <w:bidi w:val="0"/>
        <w:rPr>
          <w:rFonts w:hint="eastAsia"/>
          <w:color w:val="auto"/>
        </w:rPr>
      </w:pPr>
    </w:p>
    <w:p w14:paraId="1ADA2C1C">
      <w:pPr>
        <w:pStyle w:val="16"/>
        <w:bidi w:val="0"/>
        <w:rPr>
          <w:rFonts w:hint="eastAsia"/>
          <w:color w:val="auto"/>
        </w:rPr>
      </w:pPr>
      <w:r>
        <w:rPr>
          <w:rFonts w:hint="eastAsia"/>
          <w:color w:val="auto"/>
        </w:rPr>
        <w:t>通过使用安全检查表法对鞍山东盛源矿业有限公司露天矿山重大生产安全事故隐患判定标准单元的15项检查，除</w:t>
      </w:r>
      <w:r>
        <w:rPr>
          <w:rFonts w:hint="eastAsia"/>
          <w:color w:val="auto"/>
          <w:lang w:val="en-US" w:eastAsia="zh-CN"/>
        </w:rPr>
        <w:t>4</w:t>
      </w:r>
      <w:r>
        <w:rPr>
          <w:rFonts w:hint="eastAsia"/>
          <w:color w:val="auto"/>
        </w:rPr>
        <w:t>项不涉及，其余均符合要求。</w:t>
      </w:r>
    </w:p>
    <w:p w14:paraId="0FA38C22">
      <w:pPr>
        <w:pStyle w:val="16"/>
        <w:bidi w:val="0"/>
        <w:rPr>
          <w:rFonts w:hint="eastAsia"/>
          <w:color w:val="auto"/>
        </w:rPr>
      </w:pPr>
      <w:r>
        <w:rPr>
          <w:rFonts w:hint="eastAsia"/>
          <w:color w:val="auto"/>
        </w:rPr>
        <w:t>以上检查结果说明，该矿不存在重大生产安全事故隐患，符合安全要求。</w:t>
      </w:r>
    </w:p>
    <w:p w14:paraId="2EB94292">
      <w:pPr>
        <w:pStyle w:val="23"/>
        <w:bidi w:val="0"/>
        <w:rPr>
          <w:color w:val="auto"/>
        </w:rPr>
      </w:pPr>
      <w:bookmarkStart w:id="45" w:name="_Toc25254"/>
      <w:bookmarkStart w:id="46" w:name="_Toc21116"/>
      <w:bookmarkStart w:id="47" w:name="_Toc511"/>
      <w:r>
        <w:rPr>
          <w:rFonts w:hint="eastAsia"/>
          <w:color w:val="auto"/>
        </w:rPr>
        <w:t>延期换证审核单元</w:t>
      </w:r>
      <w:bookmarkEnd w:id="45"/>
      <w:bookmarkEnd w:id="46"/>
      <w:bookmarkEnd w:id="47"/>
    </w:p>
    <w:p w14:paraId="65975891">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本次采用安全检查表法对《辽宁省安全生产监督管理局关于进一步规范非煤矿矿山安全生产行政许可管理工作的通知》（辽安监非煤[2018]29）中延期非煤矿矿山安全生产许可证采用安全检查表法进行评价，详见表5.5-1。</w:t>
      </w:r>
    </w:p>
    <w:p w14:paraId="34222A40">
      <w:pPr>
        <w:pStyle w:val="25"/>
        <w:bidi w:val="0"/>
        <w:rPr>
          <w:rFonts w:hint="eastAsia"/>
          <w:color w:val="auto"/>
        </w:rPr>
      </w:pPr>
      <w:r>
        <w:rPr>
          <w:rFonts w:hint="eastAsia"/>
          <w:color w:val="auto"/>
        </w:rPr>
        <w:t>表5.5-1  “延期审核”安全检查表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
        <w:gridCol w:w="2369"/>
        <w:gridCol w:w="1223"/>
        <w:gridCol w:w="797"/>
        <w:gridCol w:w="3999"/>
        <w:gridCol w:w="495"/>
      </w:tblGrid>
      <w:tr w14:paraId="481DF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blHeader/>
          <w:jc w:val="center"/>
        </w:trPr>
        <w:tc>
          <w:tcPr>
            <w:tcW w:w="0" w:type="auto"/>
            <w:noWrap w:val="0"/>
            <w:vAlign w:val="center"/>
          </w:tcPr>
          <w:p w14:paraId="6429A84A">
            <w:pPr>
              <w:pStyle w:val="26"/>
              <w:bidi w:val="0"/>
              <w:rPr>
                <w:rFonts w:hint="eastAsia"/>
                <w:color w:val="auto"/>
                <w:sz w:val="21"/>
                <w:szCs w:val="21"/>
              </w:rPr>
            </w:pPr>
            <w:r>
              <w:rPr>
                <w:rFonts w:hint="eastAsia"/>
                <w:color w:val="auto"/>
                <w:sz w:val="21"/>
                <w:szCs w:val="21"/>
              </w:rPr>
              <w:t>项目</w:t>
            </w:r>
          </w:p>
        </w:tc>
        <w:tc>
          <w:tcPr>
            <w:tcW w:w="0" w:type="auto"/>
            <w:noWrap w:val="0"/>
            <w:vAlign w:val="center"/>
          </w:tcPr>
          <w:p w14:paraId="23CCC15A">
            <w:pPr>
              <w:pStyle w:val="26"/>
              <w:bidi w:val="0"/>
              <w:rPr>
                <w:rFonts w:hint="eastAsia"/>
                <w:color w:val="auto"/>
                <w:sz w:val="21"/>
                <w:szCs w:val="21"/>
              </w:rPr>
            </w:pPr>
            <w:r>
              <w:rPr>
                <w:rFonts w:hint="eastAsia"/>
                <w:color w:val="auto"/>
                <w:sz w:val="21"/>
                <w:szCs w:val="21"/>
              </w:rPr>
              <w:t>检查内容</w:t>
            </w:r>
          </w:p>
        </w:tc>
        <w:tc>
          <w:tcPr>
            <w:tcW w:w="0" w:type="auto"/>
            <w:noWrap w:val="0"/>
            <w:vAlign w:val="center"/>
          </w:tcPr>
          <w:p w14:paraId="6633E13A">
            <w:pPr>
              <w:pStyle w:val="26"/>
              <w:bidi w:val="0"/>
              <w:rPr>
                <w:rFonts w:hint="eastAsia"/>
                <w:color w:val="auto"/>
                <w:sz w:val="21"/>
                <w:szCs w:val="21"/>
              </w:rPr>
            </w:pPr>
            <w:r>
              <w:rPr>
                <w:rFonts w:hint="eastAsia"/>
                <w:color w:val="auto"/>
                <w:sz w:val="21"/>
                <w:szCs w:val="21"/>
              </w:rPr>
              <w:t>检查依据</w:t>
            </w:r>
          </w:p>
        </w:tc>
        <w:tc>
          <w:tcPr>
            <w:tcW w:w="0" w:type="auto"/>
            <w:noWrap w:val="0"/>
            <w:vAlign w:val="center"/>
          </w:tcPr>
          <w:p w14:paraId="32D413DB">
            <w:pPr>
              <w:pStyle w:val="26"/>
              <w:bidi w:val="0"/>
              <w:rPr>
                <w:rFonts w:hint="eastAsia"/>
                <w:color w:val="auto"/>
                <w:sz w:val="21"/>
                <w:szCs w:val="21"/>
              </w:rPr>
            </w:pPr>
            <w:r>
              <w:rPr>
                <w:rFonts w:hint="eastAsia"/>
                <w:color w:val="auto"/>
                <w:sz w:val="21"/>
                <w:szCs w:val="21"/>
              </w:rPr>
              <w:t>检查方法</w:t>
            </w:r>
          </w:p>
        </w:tc>
        <w:tc>
          <w:tcPr>
            <w:tcW w:w="0" w:type="auto"/>
            <w:noWrap w:val="0"/>
            <w:vAlign w:val="center"/>
          </w:tcPr>
          <w:p w14:paraId="5A87B3FF">
            <w:pPr>
              <w:pStyle w:val="26"/>
              <w:bidi w:val="0"/>
              <w:rPr>
                <w:rFonts w:hint="eastAsia"/>
                <w:color w:val="auto"/>
                <w:sz w:val="21"/>
                <w:szCs w:val="21"/>
              </w:rPr>
            </w:pPr>
            <w:r>
              <w:rPr>
                <w:rFonts w:hint="eastAsia"/>
                <w:color w:val="auto"/>
                <w:sz w:val="21"/>
                <w:szCs w:val="21"/>
              </w:rPr>
              <w:t>事实记录</w:t>
            </w:r>
          </w:p>
        </w:tc>
        <w:tc>
          <w:tcPr>
            <w:tcW w:w="0" w:type="auto"/>
            <w:noWrap w:val="0"/>
            <w:vAlign w:val="center"/>
          </w:tcPr>
          <w:p w14:paraId="3D8ACB49">
            <w:pPr>
              <w:pStyle w:val="26"/>
              <w:bidi w:val="0"/>
              <w:rPr>
                <w:rFonts w:hint="eastAsia"/>
                <w:color w:val="auto"/>
                <w:sz w:val="21"/>
                <w:szCs w:val="21"/>
              </w:rPr>
            </w:pPr>
            <w:r>
              <w:rPr>
                <w:rFonts w:hint="eastAsia"/>
                <w:color w:val="auto"/>
                <w:sz w:val="21"/>
                <w:szCs w:val="21"/>
              </w:rPr>
              <w:t>结论</w:t>
            </w:r>
          </w:p>
        </w:tc>
      </w:tr>
      <w:tr w14:paraId="1CE89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atLeast"/>
          <w:jc w:val="center"/>
        </w:trPr>
        <w:tc>
          <w:tcPr>
            <w:tcW w:w="0" w:type="auto"/>
            <w:vMerge w:val="restart"/>
            <w:noWrap w:val="0"/>
            <w:textDirection w:val="tbRlV"/>
            <w:vAlign w:val="center"/>
          </w:tcPr>
          <w:p w14:paraId="52D3AEDF">
            <w:pPr>
              <w:pStyle w:val="26"/>
              <w:bidi w:val="0"/>
              <w:rPr>
                <w:rFonts w:hint="eastAsia"/>
                <w:color w:val="auto"/>
                <w:sz w:val="21"/>
                <w:szCs w:val="21"/>
              </w:rPr>
            </w:pPr>
            <w:r>
              <w:rPr>
                <w:rFonts w:hint="eastAsia"/>
                <w:color w:val="auto"/>
                <w:sz w:val="21"/>
                <w:szCs w:val="21"/>
              </w:rPr>
              <w:t>延期换证审核</w:t>
            </w:r>
          </w:p>
        </w:tc>
        <w:tc>
          <w:tcPr>
            <w:tcW w:w="0" w:type="auto"/>
            <w:noWrap w:val="0"/>
            <w:vAlign w:val="center"/>
          </w:tcPr>
          <w:p w14:paraId="74F621BF">
            <w:pPr>
              <w:pStyle w:val="26"/>
              <w:bidi w:val="0"/>
              <w:rPr>
                <w:rFonts w:hint="eastAsia"/>
                <w:color w:val="auto"/>
                <w:sz w:val="21"/>
                <w:szCs w:val="21"/>
              </w:rPr>
            </w:pPr>
            <w:r>
              <w:rPr>
                <w:rFonts w:hint="eastAsia"/>
                <w:color w:val="auto"/>
                <w:sz w:val="21"/>
                <w:szCs w:val="21"/>
              </w:rPr>
              <w:t>1．延期申请书。</w:t>
            </w:r>
          </w:p>
        </w:tc>
        <w:tc>
          <w:tcPr>
            <w:tcW w:w="0" w:type="auto"/>
            <w:noWrap w:val="0"/>
            <w:vAlign w:val="center"/>
          </w:tcPr>
          <w:p w14:paraId="09418F9F">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19A176FF">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1E511888">
            <w:pPr>
              <w:pStyle w:val="26"/>
              <w:bidi w:val="0"/>
              <w:rPr>
                <w:rFonts w:hint="eastAsia"/>
                <w:color w:val="auto"/>
                <w:sz w:val="21"/>
                <w:szCs w:val="21"/>
              </w:rPr>
            </w:pPr>
            <w:r>
              <w:rPr>
                <w:rFonts w:hint="eastAsia"/>
                <w:color w:val="auto"/>
                <w:sz w:val="21"/>
                <w:szCs w:val="21"/>
              </w:rPr>
              <w:t>鞍山东盛源矿业有限公司按要求填写编制了延期申请书。</w:t>
            </w:r>
          </w:p>
        </w:tc>
        <w:tc>
          <w:tcPr>
            <w:tcW w:w="0" w:type="auto"/>
            <w:noWrap w:val="0"/>
            <w:vAlign w:val="center"/>
          </w:tcPr>
          <w:p w14:paraId="08116B0B">
            <w:pPr>
              <w:pStyle w:val="26"/>
              <w:bidi w:val="0"/>
              <w:rPr>
                <w:rFonts w:hint="eastAsia"/>
                <w:color w:val="auto"/>
                <w:sz w:val="21"/>
                <w:szCs w:val="21"/>
              </w:rPr>
            </w:pPr>
            <w:r>
              <w:rPr>
                <w:rFonts w:hint="eastAsia"/>
                <w:color w:val="auto"/>
                <w:sz w:val="21"/>
                <w:szCs w:val="21"/>
              </w:rPr>
              <w:t>符合要求</w:t>
            </w:r>
          </w:p>
        </w:tc>
      </w:tr>
      <w:tr w14:paraId="14A62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0" w:type="auto"/>
            <w:vMerge w:val="continue"/>
            <w:noWrap w:val="0"/>
            <w:vAlign w:val="center"/>
          </w:tcPr>
          <w:p w14:paraId="3EA2262E">
            <w:pPr>
              <w:pStyle w:val="26"/>
              <w:bidi w:val="0"/>
              <w:rPr>
                <w:rFonts w:hint="eastAsia"/>
                <w:color w:val="auto"/>
                <w:sz w:val="21"/>
                <w:szCs w:val="21"/>
              </w:rPr>
            </w:pPr>
          </w:p>
        </w:tc>
        <w:tc>
          <w:tcPr>
            <w:tcW w:w="0" w:type="auto"/>
            <w:noWrap w:val="0"/>
            <w:vAlign w:val="center"/>
          </w:tcPr>
          <w:p w14:paraId="017D4820">
            <w:pPr>
              <w:pStyle w:val="26"/>
              <w:bidi w:val="0"/>
              <w:rPr>
                <w:rFonts w:hint="eastAsia"/>
                <w:color w:val="auto"/>
                <w:sz w:val="21"/>
                <w:szCs w:val="21"/>
              </w:rPr>
            </w:pPr>
            <w:r>
              <w:rPr>
                <w:rFonts w:hint="eastAsia"/>
                <w:color w:val="auto"/>
                <w:sz w:val="21"/>
                <w:szCs w:val="21"/>
              </w:rPr>
              <w:t>2．安全生产许可证正本和副本。</w:t>
            </w:r>
          </w:p>
        </w:tc>
        <w:tc>
          <w:tcPr>
            <w:tcW w:w="0" w:type="auto"/>
            <w:noWrap w:val="0"/>
            <w:vAlign w:val="top"/>
          </w:tcPr>
          <w:p w14:paraId="7C541A3C">
            <w:pPr>
              <w:pStyle w:val="26"/>
              <w:bidi w:val="0"/>
              <w:rPr>
                <w:color w:val="auto"/>
                <w:sz w:val="21"/>
                <w:szCs w:val="21"/>
              </w:rPr>
            </w:pPr>
          </w:p>
          <w:p w14:paraId="30FC5136">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4408D09D">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17F3FE89">
            <w:pPr>
              <w:pStyle w:val="26"/>
              <w:bidi w:val="0"/>
              <w:rPr>
                <w:rFonts w:hint="eastAsia"/>
                <w:color w:val="auto"/>
                <w:sz w:val="21"/>
                <w:szCs w:val="21"/>
              </w:rPr>
            </w:pPr>
            <w:r>
              <w:rPr>
                <w:rFonts w:hint="eastAsia"/>
                <w:color w:val="auto"/>
                <w:sz w:val="21"/>
                <w:szCs w:val="21"/>
              </w:rPr>
              <w:t>鞍山东盛源矿业有限公司有安全生产许可证正本和副本。证号：（辽）FM安许证字〔2022〕YC031090L），有效期：2022年10月19日至2025年10月18日。</w:t>
            </w:r>
          </w:p>
        </w:tc>
        <w:tc>
          <w:tcPr>
            <w:tcW w:w="0" w:type="auto"/>
            <w:noWrap w:val="0"/>
            <w:vAlign w:val="center"/>
          </w:tcPr>
          <w:p w14:paraId="6DCB42F1">
            <w:pPr>
              <w:pStyle w:val="26"/>
              <w:bidi w:val="0"/>
              <w:rPr>
                <w:rFonts w:hint="eastAsia"/>
                <w:color w:val="auto"/>
                <w:sz w:val="21"/>
                <w:szCs w:val="21"/>
              </w:rPr>
            </w:pPr>
            <w:r>
              <w:rPr>
                <w:rFonts w:hint="eastAsia"/>
                <w:color w:val="auto"/>
                <w:sz w:val="21"/>
                <w:szCs w:val="21"/>
              </w:rPr>
              <w:t>符合要求</w:t>
            </w:r>
          </w:p>
        </w:tc>
      </w:tr>
      <w:tr w14:paraId="018C2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0" w:type="auto"/>
            <w:vMerge w:val="continue"/>
            <w:noWrap w:val="0"/>
            <w:vAlign w:val="center"/>
          </w:tcPr>
          <w:p w14:paraId="3F37F977">
            <w:pPr>
              <w:pStyle w:val="26"/>
              <w:bidi w:val="0"/>
              <w:rPr>
                <w:rFonts w:hint="eastAsia"/>
                <w:color w:val="auto"/>
                <w:sz w:val="21"/>
                <w:szCs w:val="21"/>
              </w:rPr>
            </w:pPr>
          </w:p>
        </w:tc>
        <w:tc>
          <w:tcPr>
            <w:tcW w:w="0" w:type="auto"/>
            <w:noWrap w:val="0"/>
            <w:vAlign w:val="center"/>
          </w:tcPr>
          <w:p w14:paraId="0A4ABFB0">
            <w:pPr>
              <w:pStyle w:val="26"/>
              <w:bidi w:val="0"/>
              <w:rPr>
                <w:rFonts w:hint="eastAsia"/>
                <w:color w:val="auto"/>
                <w:sz w:val="21"/>
                <w:szCs w:val="21"/>
              </w:rPr>
            </w:pPr>
            <w:r>
              <w:rPr>
                <w:rFonts w:hint="eastAsia"/>
                <w:color w:val="auto"/>
                <w:sz w:val="21"/>
                <w:szCs w:val="21"/>
              </w:rPr>
              <w:t>3.工商营业执照复印件。</w:t>
            </w:r>
          </w:p>
        </w:tc>
        <w:tc>
          <w:tcPr>
            <w:tcW w:w="0" w:type="auto"/>
            <w:noWrap w:val="0"/>
            <w:vAlign w:val="top"/>
          </w:tcPr>
          <w:p w14:paraId="70914DB1">
            <w:pPr>
              <w:pStyle w:val="26"/>
              <w:bidi w:val="0"/>
              <w:rPr>
                <w:color w:val="auto"/>
                <w:sz w:val="21"/>
                <w:szCs w:val="21"/>
              </w:rPr>
            </w:pPr>
          </w:p>
          <w:p w14:paraId="315D9150">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089DA46F">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0F2CB499">
            <w:pPr>
              <w:pStyle w:val="26"/>
              <w:bidi w:val="0"/>
              <w:rPr>
                <w:rFonts w:hint="eastAsia"/>
                <w:color w:val="auto"/>
                <w:sz w:val="21"/>
                <w:szCs w:val="21"/>
              </w:rPr>
            </w:pPr>
            <w:r>
              <w:rPr>
                <w:rFonts w:hint="eastAsia"/>
                <w:color w:val="auto"/>
                <w:sz w:val="21"/>
                <w:szCs w:val="21"/>
              </w:rPr>
              <w:t>鞍山东盛源矿业有限公司有工商营业执照。证号：</w:t>
            </w:r>
            <w:r>
              <w:rPr>
                <w:rFonts w:hint="eastAsia"/>
                <w:color w:val="auto"/>
                <w:sz w:val="21"/>
                <w:szCs w:val="21"/>
                <w:lang w:eastAsia="zh-CN"/>
              </w:rPr>
              <w:t>XXXXXXXXXXXXX</w:t>
            </w:r>
            <w:r>
              <w:rPr>
                <w:rFonts w:hint="eastAsia"/>
                <w:color w:val="auto"/>
                <w:sz w:val="21"/>
                <w:szCs w:val="21"/>
              </w:rPr>
              <w:t>；登记日期：</w:t>
            </w:r>
            <w:r>
              <w:rPr>
                <w:rFonts w:hint="eastAsia"/>
                <w:color w:val="auto"/>
                <w:sz w:val="21"/>
                <w:szCs w:val="21"/>
                <w:lang w:val="en-US" w:eastAsia="zh-CN"/>
              </w:rPr>
              <w:t>2022</w:t>
            </w:r>
            <w:r>
              <w:rPr>
                <w:rFonts w:hint="eastAsia"/>
                <w:color w:val="auto"/>
                <w:sz w:val="21"/>
                <w:szCs w:val="21"/>
              </w:rPr>
              <w:t>年11月15日。</w:t>
            </w:r>
          </w:p>
        </w:tc>
        <w:tc>
          <w:tcPr>
            <w:tcW w:w="0" w:type="auto"/>
            <w:noWrap w:val="0"/>
            <w:vAlign w:val="center"/>
          </w:tcPr>
          <w:p w14:paraId="7893ED79">
            <w:pPr>
              <w:pStyle w:val="26"/>
              <w:bidi w:val="0"/>
              <w:rPr>
                <w:rFonts w:hint="eastAsia"/>
                <w:color w:val="auto"/>
                <w:sz w:val="21"/>
                <w:szCs w:val="21"/>
              </w:rPr>
            </w:pPr>
            <w:r>
              <w:rPr>
                <w:rFonts w:hint="eastAsia"/>
                <w:color w:val="auto"/>
                <w:sz w:val="21"/>
                <w:szCs w:val="21"/>
              </w:rPr>
              <w:t>符合要求</w:t>
            </w:r>
          </w:p>
        </w:tc>
      </w:tr>
      <w:tr w14:paraId="1C274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0" w:type="auto"/>
            <w:vMerge w:val="continue"/>
            <w:noWrap w:val="0"/>
            <w:vAlign w:val="center"/>
          </w:tcPr>
          <w:p w14:paraId="6FF2CFF5">
            <w:pPr>
              <w:pStyle w:val="26"/>
              <w:bidi w:val="0"/>
              <w:rPr>
                <w:rFonts w:hint="eastAsia"/>
                <w:color w:val="auto"/>
                <w:sz w:val="21"/>
                <w:szCs w:val="21"/>
              </w:rPr>
            </w:pPr>
          </w:p>
        </w:tc>
        <w:tc>
          <w:tcPr>
            <w:tcW w:w="0" w:type="auto"/>
            <w:noWrap w:val="0"/>
            <w:vAlign w:val="center"/>
          </w:tcPr>
          <w:p w14:paraId="00BC6C13">
            <w:pPr>
              <w:pStyle w:val="26"/>
              <w:bidi w:val="0"/>
              <w:rPr>
                <w:rFonts w:hint="eastAsia"/>
                <w:color w:val="auto"/>
                <w:sz w:val="21"/>
                <w:szCs w:val="21"/>
              </w:rPr>
            </w:pPr>
            <w:r>
              <w:rPr>
                <w:rFonts w:hint="eastAsia"/>
                <w:color w:val="auto"/>
                <w:sz w:val="21"/>
                <w:szCs w:val="21"/>
              </w:rPr>
              <w:t>4.金属非金属矿山（不含尾矿库）、陆上采油（气）企业需提交采矿许可证复印件。</w:t>
            </w:r>
          </w:p>
        </w:tc>
        <w:tc>
          <w:tcPr>
            <w:tcW w:w="0" w:type="auto"/>
            <w:noWrap w:val="0"/>
            <w:vAlign w:val="center"/>
          </w:tcPr>
          <w:p w14:paraId="77542B45">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47C2BBB8">
            <w:pPr>
              <w:pStyle w:val="26"/>
              <w:bidi w:val="0"/>
              <w:rPr>
                <w:rFonts w:hint="eastAsia"/>
                <w:color w:val="auto"/>
                <w:sz w:val="21"/>
                <w:szCs w:val="21"/>
              </w:rPr>
            </w:pPr>
            <w:r>
              <w:rPr>
                <w:rFonts w:hint="eastAsia"/>
                <w:color w:val="auto"/>
                <w:sz w:val="21"/>
                <w:szCs w:val="21"/>
              </w:rPr>
              <w:t>查阅资料、现场勘查</w:t>
            </w:r>
          </w:p>
        </w:tc>
        <w:tc>
          <w:tcPr>
            <w:tcW w:w="0" w:type="auto"/>
            <w:noWrap w:val="0"/>
            <w:vAlign w:val="center"/>
          </w:tcPr>
          <w:p w14:paraId="621F92F5">
            <w:pPr>
              <w:pStyle w:val="26"/>
              <w:bidi w:val="0"/>
              <w:rPr>
                <w:rFonts w:hint="eastAsia"/>
                <w:color w:val="auto"/>
                <w:sz w:val="21"/>
                <w:szCs w:val="21"/>
              </w:rPr>
            </w:pPr>
            <w:r>
              <w:rPr>
                <w:rFonts w:hint="eastAsia"/>
                <w:color w:val="auto"/>
                <w:sz w:val="21"/>
                <w:szCs w:val="21"/>
              </w:rPr>
              <w:t>鞍山东盛源矿业有限公司有采矿许可证复印件。证号：</w:t>
            </w:r>
            <w:r>
              <w:rPr>
                <w:rFonts w:hint="eastAsia"/>
                <w:color w:val="auto"/>
                <w:sz w:val="21"/>
                <w:szCs w:val="21"/>
                <w:lang w:eastAsia="zh-CN"/>
              </w:rPr>
              <w:t>XXXXXXXXXXXXX</w:t>
            </w:r>
            <w:r>
              <w:rPr>
                <w:rFonts w:hint="eastAsia"/>
                <w:color w:val="auto"/>
                <w:sz w:val="21"/>
                <w:szCs w:val="21"/>
              </w:rPr>
              <w:t>，有效期：2020年4月24日至2032年5月24日。</w:t>
            </w:r>
          </w:p>
        </w:tc>
        <w:tc>
          <w:tcPr>
            <w:tcW w:w="0" w:type="auto"/>
            <w:noWrap w:val="0"/>
            <w:vAlign w:val="center"/>
          </w:tcPr>
          <w:p w14:paraId="07615DC6">
            <w:pPr>
              <w:pStyle w:val="26"/>
              <w:bidi w:val="0"/>
              <w:rPr>
                <w:rFonts w:hint="eastAsia"/>
                <w:color w:val="auto"/>
                <w:sz w:val="21"/>
                <w:szCs w:val="21"/>
              </w:rPr>
            </w:pPr>
            <w:r>
              <w:rPr>
                <w:rFonts w:hint="eastAsia"/>
                <w:color w:val="auto"/>
                <w:sz w:val="21"/>
                <w:szCs w:val="21"/>
              </w:rPr>
              <w:t>符合要求</w:t>
            </w:r>
          </w:p>
        </w:tc>
      </w:tr>
      <w:tr w14:paraId="57829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0" w:type="auto"/>
            <w:vMerge w:val="continue"/>
            <w:noWrap w:val="0"/>
            <w:vAlign w:val="center"/>
          </w:tcPr>
          <w:p w14:paraId="7A5EE54B">
            <w:pPr>
              <w:pStyle w:val="26"/>
              <w:bidi w:val="0"/>
              <w:rPr>
                <w:rFonts w:hint="eastAsia"/>
                <w:color w:val="auto"/>
                <w:sz w:val="21"/>
                <w:szCs w:val="21"/>
              </w:rPr>
            </w:pPr>
          </w:p>
        </w:tc>
        <w:tc>
          <w:tcPr>
            <w:tcW w:w="0" w:type="auto"/>
            <w:noWrap w:val="0"/>
            <w:vAlign w:val="center"/>
          </w:tcPr>
          <w:p w14:paraId="2A3C459D">
            <w:pPr>
              <w:pStyle w:val="26"/>
              <w:bidi w:val="0"/>
              <w:rPr>
                <w:rFonts w:hint="eastAsia"/>
                <w:color w:val="auto"/>
                <w:sz w:val="21"/>
                <w:szCs w:val="21"/>
              </w:rPr>
            </w:pPr>
            <w:r>
              <w:rPr>
                <w:rFonts w:hint="eastAsia"/>
                <w:color w:val="auto"/>
                <w:sz w:val="21"/>
                <w:szCs w:val="21"/>
              </w:rPr>
              <w:t>5.各种安全生产责任制复印件。</w:t>
            </w:r>
          </w:p>
        </w:tc>
        <w:tc>
          <w:tcPr>
            <w:tcW w:w="0" w:type="auto"/>
            <w:noWrap w:val="0"/>
            <w:vAlign w:val="center"/>
          </w:tcPr>
          <w:p w14:paraId="166C94AD">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32506B0B">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053EC15A">
            <w:pPr>
              <w:pStyle w:val="26"/>
              <w:bidi w:val="0"/>
              <w:rPr>
                <w:rFonts w:hint="eastAsia"/>
                <w:color w:val="auto"/>
                <w:sz w:val="21"/>
                <w:szCs w:val="21"/>
              </w:rPr>
            </w:pPr>
            <w:r>
              <w:rPr>
                <w:rFonts w:hint="eastAsia"/>
                <w:color w:val="auto"/>
                <w:sz w:val="21"/>
                <w:szCs w:val="21"/>
              </w:rPr>
              <w:t>鞍山东盛源矿业有限公司有各种安全生产责任制复印件。</w:t>
            </w:r>
          </w:p>
        </w:tc>
        <w:tc>
          <w:tcPr>
            <w:tcW w:w="0" w:type="auto"/>
            <w:noWrap w:val="0"/>
            <w:vAlign w:val="center"/>
          </w:tcPr>
          <w:p w14:paraId="184DFE48">
            <w:pPr>
              <w:pStyle w:val="26"/>
              <w:bidi w:val="0"/>
              <w:rPr>
                <w:rFonts w:hint="eastAsia"/>
                <w:color w:val="auto"/>
                <w:sz w:val="21"/>
                <w:szCs w:val="21"/>
              </w:rPr>
            </w:pPr>
            <w:r>
              <w:rPr>
                <w:rFonts w:hint="eastAsia"/>
                <w:color w:val="auto"/>
                <w:sz w:val="21"/>
                <w:szCs w:val="21"/>
              </w:rPr>
              <w:t>符合要求</w:t>
            </w:r>
          </w:p>
        </w:tc>
      </w:tr>
      <w:tr w14:paraId="4B5CD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0" w:type="auto"/>
            <w:vMerge w:val="continue"/>
            <w:noWrap w:val="0"/>
            <w:vAlign w:val="center"/>
          </w:tcPr>
          <w:p w14:paraId="6EF9CE42">
            <w:pPr>
              <w:pStyle w:val="26"/>
              <w:bidi w:val="0"/>
              <w:rPr>
                <w:rFonts w:hint="eastAsia"/>
                <w:color w:val="auto"/>
                <w:sz w:val="21"/>
                <w:szCs w:val="21"/>
              </w:rPr>
            </w:pPr>
          </w:p>
        </w:tc>
        <w:tc>
          <w:tcPr>
            <w:tcW w:w="0" w:type="auto"/>
            <w:noWrap w:val="0"/>
            <w:vAlign w:val="center"/>
          </w:tcPr>
          <w:p w14:paraId="2DDE2124">
            <w:pPr>
              <w:pStyle w:val="26"/>
              <w:bidi w:val="0"/>
              <w:rPr>
                <w:rFonts w:hint="eastAsia"/>
                <w:color w:val="auto"/>
                <w:sz w:val="21"/>
                <w:szCs w:val="21"/>
              </w:rPr>
            </w:pPr>
            <w:r>
              <w:rPr>
                <w:rFonts w:hint="eastAsia"/>
                <w:color w:val="auto"/>
                <w:sz w:val="21"/>
                <w:szCs w:val="21"/>
              </w:rPr>
              <w:t>6.安全生产规章制度和操作规程目录清单。</w:t>
            </w:r>
          </w:p>
        </w:tc>
        <w:tc>
          <w:tcPr>
            <w:tcW w:w="0" w:type="auto"/>
            <w:noWrap w:val="0"/>
            <w:vAlign w:val="center"/>
          </w:tcPr>
          <w:p w14:paraId="53865669">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3857ABC1">
            <w:pPr>
              <w:pStyle w:val="26"/>
              <w:bidi w:val="0"/>
              <w:rPr>
                <w:rFonts w:hint="eastAsia"/>
                <w:color w:val="auto"/>
                <w:sz w:val="21"/>
                <w:szCs w:val="21"/>
              </w:rPr>
            </w:pPr>
            <w:r>
              <w:rPr>
                <w:rFonts w:hint="eastAsia"/>
                <w:color w:val="auto"/>
                <w:sz w:val="21"/>
                <w:szCs w:val="21"/>
              </w:rPr>
              <w:t>查阅资料、现场勘查</w:t>
            </w:r>
          </w:p>
        </w:tc>
        <w:tc>
          <w:tcPr>
            <w:tcW w:w="0" w:type="auto"/>
            <w:noWrap w:val="0"/>
            <w:vAlign w:val="center"/>
          </w:tcPr>
          <w:p w14:paraId="4DAB73B5">
            <w:pPr>
              <w:pStyle w:val="26"/>
              <w:bidi w:val="0"/>
              <w:rPr>
                <w:rFonts w:hint="eastAsia"/>
                <w:color w:val="auto"/>
                <w:sz w:val="21"/>
                <w:szCs w:val="21"/>
              </w:rPr>
            </w:pPr>
            <w:r>
              <w:rPr>
                <w:rFonts w:hint="eastAsia"/>
                <w:color w:val="auto"/>
                <w:sz w:val="21"/>
                <w:szCs w:val="21"/>
              </w:rPr>
              <w:t>鞍山东盛源矿业有限公司有安全生产规章制度和操作规程目录清单。</w:t>
            </w:r>
          </w:p>
        </w:tc>
        <w:tc>
          <w:tcPr>
            <w:tcW w:w="0" w:type="auto"/>
            <w:noWrap w:val="0"/>
            <w:vAlign w:val="center"/>
          </w:tcPr>
          <w:p w14:paraId="17039981">
            <w:pPr>
              <w:pStyle w:val="26"/>
              <w:bidi w:val="0"/>
              <w:rPr>
                <w:rFonts w:hint="eastAsia"/>
                <w:color w:val="auto"/>
                <w:sz w:val="21"/>
                <w:szCs w:val="21"/>
              </w:rPr>
            </w:pPr>
            <w:r>
              <w:rPr>
                <w:rFonts w:hint="eastAsia"/>
                <w:color w:val="auto"/>
                <w:sz w:val="21"/>
                <w:szCs w:val="21"/>
              </w:rPr>
              <w:t>符合要求</w:t>
            </w:r>
          </w:p>
        </w:tc>
      </w:tr>
      <w:tr w14:paraId="543DF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5" w:hRule="atLeast"/>
          <w:jc w:val="center"/>
        </w:trPr>
        <w:tc>
          <w:tcPr>
            <w:tcW w:w="0" w:type="auto"/>
            <w:vMerge w:val="continue"/>
            <w:noWrap w:val="0"/>
            <w:textDirection w:val="tbRlV"/>
            <w:vAlign w:val="center"/>
          </w:tcPr>
          <w:p w14:paraId="492F5E05">
            <w:pPr>
              <w:pStyle w:val="26"/>
              <w:bidi w:val="0"/>
              <w:rPr>
                <w:rFonts w:hint="eastAsia"/>
                <w:color w:val="auto"/>
                <w:sz w:val="21"/>
                <w:szCs w:val="21"/>
              </w:rPr>
            </w:pPr>
          </w:p>
        </w:tc>
        <w:tc>
          <w:tcPr>
            <w:tcW w:w="0" w:type="auto"/>
            <w:noWrap w:val="0"/>
            <w:vAlign w:val="center"/>
          </w:tcPr>
          <w:p w14:paraId="7516D5D9">
            <w:pPr>
              <w:pStyle w:val="26"/>
              <w:bidi w:val="0"/>
              <w:rPr>
                <w:rFonts w:hint="eastAsia"/>
                <w:color w:val="auto"/>
                <w:sz w:val="21"/>
                <w:szCs w:val="21"/>
              </w:rPr>
            </w:pPr>
            <w:r>
              <w:rPr>
                <w:rFonts w:hint="eastAsia"/>
                <w:color w:val="auto"/>
                <w:sz w:val="21"/>
                <w:szCs w:val="21"/>
              </w:rPr>
              <w:t>7.设置安全生产管理机构或者配备专职安全生产管理人员的文件复印件。</w:t>
            </w:r>
          </w:p>
        </w:tc>
        <w:tc>
          <w:tcPr>
            <w:tcW w:w="0" w:type="auto"/>
            <w:noWrap w:val="0"/>
            <w:vAlign w:val="center"/>
          </w:tcPr>
          <w:p w14:paraId="05A07AB6">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69DA91A0">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6AD92D47">
            <w:pPr>
              <w:pStyle w:val="26"/>
              <w:bidi w:val="0"/>
              <w:rPr>
                <w:rFonts w:hint="eastAsia"/>
                <w:color w:val="auto"/>
                <w:sz w:val="21"/>
                <w:szCs w:val="21"/>
              </w:rPr>
            </w:pPr>
            <w:r>
              <w:rPr>
                <w:rFonts w:hint="eastAsia"/>
                <w:color w:val="auto"/>
                <w:sz w:val="21"/>
                <w:szCs w:val="21"/>
              </w:rPr>
              <w:t>鞍山东盛源矿业有限公司成立了安全科。</w:t>
            </w:r>
          </w:p>
        </w:tc>
        <w:tc>
          <w:tcPr>
            <w:tcW w:w="0" w:type="auto"/>
            <w:noWrap w:val="0"/>
            <w:vAlign w:val="center"/>
          </w:tcPr>
          <w:p w14:paraId="17A90B89">
            <w:pPr>
              <w:pStyle w:val="26"/>
              <w:bidi w:val="0"/>
              <w:rPr>
                <w:rFonts w:hint="eastAsia"/>
                <w:color w:val="auto"/>
                <w:sz w:val="21"/>
                <w:szCs w:val="21"/>
              </w:rPr>
            </w:pPr>
            <w:r>
              <w:rPr>
                <w:rFonts w:hint="eastAsia"/>
                <w:color w:val="auto"/>
                <w:sz w:val="21"/>
                <w:szCs w:val="21"/>
              </w:rPr>
              <w:t>符合要求</w:t>
            </w:r>
          </w:p>
        </w:tc>
      </w:tr>
      <w:tr w14:paraId="420A2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2" w:hRule="atLeast"/>
          <w:jc w:val="center"/>
        </w:trPr>
        <w:tc>
          <w:tcPr>
            <w:tcW w:w="0" w:type="auto"/>
            <w:vMerge w:val="continue"/>
            <w:noWrap w:val="0"/>
            <w:textDirection w:val="tbRlV"/>
            <w:vAlign w:val="center"/>
          </w:tcPr>
          <w:p w14:paraId="5296E460">
            <w:pPr>
              <w:pStyle w:val="26"/>
              <w:bidi w:val="0"/>
              <w:rPr>
                <w:rFonts w:hint="eastAsia"/>
                <w:color w:val="auto"/>
                <w:sz w:val="21"/>
                <w:szCs w:val="21"/>
              </w:rPr>
            </w:pPr>
          </w:p>
        </w:tc>
        <w:tc>
          <w:tcPr>
            <w:tcW w:w="0" w:type="auto"/>
            <w:noWrap w:val="0"/>
            <w:vAlign w:val="center"/>
          </w:tcPr>
          <w:p w14:paraId="6E82F7D5">
            <w:pPr>
              <w:pStyle w:val="26"/>
              <w:bidi w:val="0"/>
              <w:rPr>
                <w:rFonts w:hint="eastAsia"/>
                <w:color w:val="auto"/>
                <w:sz w:val="21"/>
                <w:szCs w:val="21"/>
              </w:rPr>
            </w:pPr>
            <w:r>
              <w:rPr>
                <w:rFonts w:hint="eastAsia"/>
                <w:color w:val="auto"/>
                <w:sz w:val="21"/>
                <w:szCs w:val="21"/>
              </w:rPr>
              <w:t>8.主要负责人和安全生产管理人员安全生产知识和管理能力考核合格证复印件。</w:t>
            </w:r>
          </w:p>
        </w:tc>
        <w:tc>
          <w:tcPr>
            <w:tcW w:w="0" w:type="auto"/>
            <w:noWrap w:val="0"/>
            <w:vAlign w:val="center"/>
          </w:tcPr>
          <w:p w14:paraId="32557997">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7CC7B4CD">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245DE83A">
            <w:pPr>
              <w:pStyle w:val="26"/>
              <w:bidi w:val="0"/>
              <w:rPr>
                <w:rFonts w:hint="eastAsia"/>
                <w:color w:val="auto"/>
                <w:sz w:val="21"/>
                <w:szCs w:val="21"/>
              </w:rPr>
            </w:pPr>
            <w:r>
              <w:rPr>
                <w:rFonts w:hint="eastAsia"/>
                <w:color w:val="auto"/>
                <w:sz w:val="21"/>
                <w:szCs w:val="21"/>
              </w:rPr>
              <w:t>鞍山东盛源矿业有限公司主要负责人、安全生产管理人员有安全生产知识和管理能力考核合格证复印件。</w:t>
            </w:r>
          </w:p>
        </w:tc>
        <w:tc>
          <w:tcPr>
            <w:tcW w:w="0" w:type="auto"/>
            <w:noWrap w:val="0"/>
            <w:vAlign w:val="center"/>
          </w:tcPr>
          <w:p w14:paraId="4C444493">
            <w:pPr>
              <w:pStyle w:val="26"/>
              <w:bidi w:val="0"/>
              <w:rPr>
                <w:rFonts w:hint="eastAsia"/>
                <w:color w:val="auto"/>
                <w:sz w:val="21"/>
                <w:szCs w:val="21"/>
              </w:rPr>
            </w:pPr>
            <w:r>
              <w:rPr>
                <w:rFonts w:hint="eastAsia"/>
                <w:color w:val="auto"/>
                <w:sz w:val="21"/>
                <w:szCs w:val="21"/>
              </w:rPr>
              <w:t>符合要求</w:t>
            </w:r>
          </w:p>
        </w:tc>
      </w:tr>
      <w:tr w14:paraId="0A900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6" w:hRule="atLeast"/>
          <w:jc w:val="center"/>
        </w:trPr>
        <w:tc>
          <w:tcPr>
            <w:tcW w:w="0" w:type="auto"/>
            <w:vMerge w:val="continue"/>
            <w:noWrap w:val="0"/>
            <w:vAlign w:val="center"/>
          </w:tcPr>
          <w:p w14:paraId="4F69337C">
            <w:pPr>
              <w:pStyle w:val="26"/>
              <w:bidi w:val="0"/>
              <w:rPr>
                <w:rFonts w:hint="eastAsia"/>
                <w:color w:val="auto"/>
                <w:sz w:val="21"/>
                <w:szCs w:val="21"/>
              </w:rPr>
            </w:pPr>
          </w:p>
        </w:tc>
        <w:tc>
          <w:tcPr>
            <w:tcW w:w="0" w:type="auto"/>
            <w:noWrap w:val="0"/>
            <w:vAlign w:val="center"/>
          </w:tcPr>
          <w:p w14:paraId="71B55F3C">
            <w:pPr>
              <w:pStyle w:val="26"/>
              <w:bidi w:val="0"/>
              <w:rPr>
                <w:rFonts w:hint="eastAsia"/>
                <w:color w:val="auto"/>
                <w:sz w:val="21"/>
                <w:szCs w:val="21"/>
              </w:rPr>
            </w:pPr>
            <w:r>
              <w:rPr>
                <w:rFonts w:hint="eastAsia"/>
                <w:color w:val="auto"/>
                <w:sz w:val="21"/>
                <w:szCs w:val="21"/>
              </w:rPr>
              <w:t>9.特种作业人员操作资格证书复印件。</w:t>
            </w:r>
          </w:p>
        </w:tc>
        <w:tc>
          <w:tcPr>
            <w:tcW w:w="0" w:type="auto"/>
            <w:noWrap w:val="0"/>
            <w:vAlign w:val="center"/>
          </w:tcPr>
          <w:p w14:paraId="621B41F5">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4AC2A6F0">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2A5BF719">
            <w:pPr>
              <w:pStyle w:val="26"/>
              <w:bidi w:val="0"/>
              <w:rPr>
                <w:rFonts w:hint="eastAsia"/>
                <w:color w:val="auto"/>
                <w:sz w:val="21"/>
                <w:szCs w:val="21"/>
              </w:rPr>
            </w:pPr>
            <w:r>
              <w:rPr>
                <w:rFonts w:hint="eastAsia"/>
                <w:color w:val="auto"/>
                <w:sz w:val="21"/>
                <w:szCs w:val="21"/>
              </w:rPr>
              <w:t>鞍山东盛源矿业有限公司有特种作业人员操作资格证书复印件。</w:t>
            </w:r>
          </w:p>
        </w:tc>
        <w:tc>
          <w:tcPr>
            <w:tcW w:w="0" w:type="auto"/>
            <w:noWrap w:val="0"/>
            <w:vAlign w:val="center"/>
          </w:tcPr>
          <w:p w14:paraId="316B57F4">
            <w:pPr>
              <w:pStyle w:val="26"/>
              <w:bidi w:val="0"/>
              <w:rPr>
                <w:rFonts w:hint="eastAsia"/>
                <w:color w:val="auto"/>
                <w:sz w:val="21"/>
                <w:szCs w:val="21"/>
              </w:rPr>
            </w:pPr>
            <w:r>
              <w:rPr>
                <w:rFonts w:hint="eastAsia"/>
                <w:color w:val="auto"/>
                <w:sz w:val="21"/>
                <w:szCs w:val="21"/>
              </w:rPr>
              <w:t>符合要求</w:t>
            </w:r>
          </w:p>
        </w:tc>
      </w:tr>
      <w:tr w14:paraId="3465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0" w:type="auto"/>
            <w:vMerge w:val="continue"/>
            <w:noWrap w:val="0"/>
            <w:vAlign w:val="center"/>
          </w:tcPr>
          <w:p w14:paraId="59FF9F9E">
            <w:pPr>
              <w:pStyle w:val="26"/>
              <w:bidi w:val="0"/>
              <w:rPr>
                <w:rFonts w:hint="eastAsia"/>
                <w:color w:val="auto"/>
                <w:sz w:val="21"/>
                <w:szCs w:val="21"/>
              </w:rPr>
            </w:pPr>
          </w:p>
        </w:tc>
        <w:tc>
          <w:tcPr>
            <w:tcW w:w="0" w:type="auto"/>
            <w:noWrap w:val="0"/>
            <w:vAlign w:val="center"/>
          </w:tcPr>
          <w:p w14:paraId="7A00AA87">
            <w:pPr>
              <w:pStyle w:val="26"/>
              <w:bidi w:val="0"/>
              <w:rPr>
                <w:rFonts w:hint="eastAsia"/>
                <w:color w:val="auto"/>
                <w:sz w:val="21"/>
                <w:szCs w:val="21"/>
              </w:rPr>
            </w:pPr>
            <w:r>
              <w:rPr>
                <w:rFonts w:hint="eastAsia"/>
                <w:color w:val="auto"/>
                <w:sz w:val="21"/>
                <w:szCs w:val="21"/>
              </w:rPr>
              <w:t>10.足额提取安全生产费用的证明材料。</w:t>
            </w:r>
          </w:p>
        </w:tc>
        <w:tc>
          <w:tcPr>
            <w:tcW w:w="0" w:type="auto"/>
            <w:noWrap w:val="0"/>
            <w:vAlign w:val="center"/>
          </w:tcPr>
          <w:p w14:paraId="0DCD95AE">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36D3EDB7">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1CF00C3B">
            <w:pPr>
              <w:pStyle w:val="26"/>
              <w:bidi w:val="0"/>
              <w:rPr>
                <w:rFonts w:hint="eastAsia"/>
                <w:color w:val="auto"/>
                <w:sz w:val="21"/>
                <w:szCs w:val="21"/>
              </w:rPr>
            </w:pPr>
            <w:r>
              <w:rPr>
                <w:rFonts w:hint="eastAsia"/>
                <w:color w:val="auto"/>
                <w:sz w:val="21"/>
                <w:szCs w:val="21"/>
              </w:rPr>
              <w:t>鞍山东盛源矿业有限公司有足额提取安全生产费用的证明材料。</w:t>
            </w:r>
          </w:p>
        </w:tc>
        <w:tc>
          <w:tcPr>
            <w:tcW w:w="0" w:type="auto"/>
            <w:noWrap w:val="0"/>
            <w:vAlign w:val="center"/>
          </w:tcPr>
          <w:p w14:paraId="33B85C17">
            <w:pPr>
              <w:pStyle w:val="26"/>
              <w:bidi w:val="0"/>
              <w:rPr>
                <w:rFonts w:hint="eastAsia"/>
                <w:color w:val="auto"/>
                <w:sz w:val="21"/>
                <w:szCs w:val="21"/>
              </w:rPr>
            </w:pPr>
            <w:r>
              <w:rPr>
                <w:rFonts w:hint="eastAsia"/>
                <w:color w:val="auto"/>
                <w:sz w:val="21"/>
                <w:szCs w:val="21"/>
              </w:rPr>
              <w:t>符合要求</w:t>
            </w:r>
          </w:p>
        </w:tc>
      </w:tr>
      <w:tr w14:paraId="227F3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0" w:type="auto"/>
            <w:vMerge w:val="continue"/>
            <w:noWrap w:val="0"/>
            <w:vAlign w:val="center"/>
          </w:tcPr>
          <w:p w14:paraId="748BDE12">
            <w:pPr>
              <w:pStyle w:val="26"/>
              <w:bidi w:val="0"/>
              <w:rPr>
                <w:rFonts w:hint="eastAsia"/>
                <w:color w:val="auto"/>
                <w:sz w:val="21"/>
                <w:szCs w:val="21"/>
              </w:rPr>
            </w:pPr>
          </w:p>
        </w:tc>
        <w:tc>
          <w:tcPr>
            <w:tcW w:w="0" w:type="auto"/>
            <w:noWrap w:val="0"/>
            <w:vAlign w:val="center"/>
          </w:tcPr>
          <w:p w14:paraId="45A02326">
            <w:pPr>
              <w:pStyle w:val="26"/>
              <w:bidi w:val="0"/>
              <w:rPr>
                <w:rFonts w:hint="eastAsia"/>
                <w:color w:val="auto"/>
                <w:sz w:val="21"/>
                <w:szCs w:val="21"/>
              </w:rPr>
            </w:pPr>
            <w:r>
              <w:rPr>
                <w:rFonts w:hint="eastAsia"/>
                <w:color w:val="auto"/>
                <w:sz w:val="21"/>
                <w:szCs w:val="21"/>
              </w:rPr>
              <w:t>11.为从业人员缴纳工伤保险费的证明材料；因特殊情况不能办理工伤保险的，可以出具办理安全生产责任保险的证明材料。</w:t>
            </w:r>
          </w:p>
        </w:tc>
        <w:tc>
          <w:tcPr>
            <w:tcW w:w="0" w:type="auto"/>
            <w:noWrap w:val="0"/>
            <w:vAlign w:val="center"/>
          </w:tcPr>
          <w:p w14:paraId="77B7E0F6">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7D88EDE2">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752F0C0E">
            <w:pPr>
              <w:pStyle w:val="26"/>
              <w:bidi w:val="0"/>
              <w:rPr>
                <w:rFonts w:hint="eastAsia"/>
                <w:color w:val="auto"/>
                <w:sz w:val="21"/>
                <w:szCs w:val="21"/>
              </w:rPr>
            </w:pPr>
            <w:r>
              <w:rPr>
                <w:rFonts w:hint="eastAsia"/>
                <w:color w:val="auto"/>
                <w:sz w:val="21"/>
                <w:szCs w:val="21"/>
              </w:rPr>
              <w:t>鞍山东盛源矿业有限公司有为从业人员缴纳安全生产责任险，具有证明材料。</w:t>
            </w:r>
          </w:p>
        </w:tc>
        <w:tc>
          <w:tcPr>
            <w:tcW w:w="0" w:type="auto"/>
            <w:noWrap w:val="0"/>
            <w:vAlign w:val="center"/>
          </w:tcPr>
          <w:p w14:paraId="3D39BBF2">
            <w:pPr>
              <w:pStyle w:val="26"/>
              <w:bidi w:val="0"/>
              <w:rPr>
                <w:rFonts w:hint="eastAsia"/>
                <w:color w:val="auto"/>
                <w:sz w:val="21"/>
                <w:szCs w:val="21"/>
              </w:rPr>
            </w:pPr>
            <w:r>
              <w:rPr>
                <w:rFonts w:hint="eastAsia"/>
                <w:color w:val="auto"/>
                <w:sz w:val="21"/>
                <w:szCs w:val="21"/>
              </w:rPr>
              <w:t>符合要求</w:t>
            </w:r>
          </w:p>
        </w:tc>
      </w:tr>
      <w:tr w14:paraId="4EA3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Merge w:val="continue"/>
            <w:noWrap w:val="0"/>
            <w:textDirection w:val="tbRlV"/>
            <w:vAlign w:val="center"/>
          </w:tcPr>
          <w:p w14:paraId="16523201">
            <w:pPr>
              <w:pStyle w:val="26"/>
              <w:bidi w:val="0"/>
              <w:rPr>
                <w:rFonts w:hint="eastAsia"/>
                <w:color w:val="auto"/>
                <w:sz w:val="21"/>
                <w:szCs w:val="21"/>
              </w:rPr>
            </w:pPr>
          </w:p>
        </w:tc>
        <w:tc>
          <w:tcPr>
            <w:tcW w:w="0" w:type="auto"/>
            <w:noWrap w:val="0"/>
            <w:vAlign w:val="center"/>
          </w:tcPr>
          <w:p w14:paraId="1213614B">
            <w:pPr>
              <w:pStyle w:val="26"/>
              <w:bidi w:val="0"/>
              <w:rPr>
                <w:rFonts w:hint="eastAsia"/>
                <w:color w:val="auto"/>
                <w:sz w:val="21"/>
                <w:szCs w:val="21"/>
              </w:rPr>
            </w:pPr>
            <w:r>
              <w:rPr>
                <w:rFonts w:hint="eastAsia"/>
                <w:color w:val="auto"/>
                <w:sz w:val="21"/>
                <w:szCs w:val="21"/>
              </w:rPr>
              <w:t>12.涉及人身安全、危险性较大的矿山特种设备由具备相应资质的检测检验机构出具合格的检测检验报告，并取得安全使用证或者安全标志。</w:t>
            </w:r>
          </w:p>
        </w:tc>
        <w:tc>
          <w:tcPr>
            <w:tcW w:w="0" w:type="auto"/>
            <w:noWrap w:val="0"/>
            <w:vAlign w:val="center"/>
          </w:tcPr>
          <w:p w14:paraId="38BFDF82">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0036CB53">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02D6C431">
            <w:pPr>
              <w:pStyle w:val="26"/>
              <w:bidi w:val="0"/>
              <w:rPr>
                <w:rFonts w:hint="eastAsia" w:eastAsia="宋体"/>
                <w:color w:val="auto"/>
                <w:sz w:val="21"/>
                <w:szCs w:val="21"/>
                <w:lang w:val="en-US" w:eastAsia="zh-CN"/>
              </w:rPr>
            </w:pPr>
            <w:r>
              <w:rPr>
                <w:rFonts w:hint="eastAsia"/>
                <w:color w:val="auto"/>
                <w:sz w:val="21"/>
                <w:szCs w:val="21"/>
              </w:rPr>
              <w:t>矿山凿岩及爆破委托民</w:t>
            </w:r>
            <w:r>
              <w:rPr>
                <w:rFonts w:hint="eastAsia"/>
                <w:color w:val="auto"/>
                <w:sz w:val="21"/>
                <w:szCs w:val="21"/>
                <w:lang w:val="en-US" w:eastAsia="zh-CN"/>
              </w:rPr>
              <w:t>爆</w:t>
            </w:r>
            <w:r>
              <w:rPr>
                <w:rFonts w:hint="eastAsia"/>
                <w:color w:val="auto"/>
                <w:sz w:val="21"/>
                <w:szCs w:val="21"/>
              </w:rPr>
              <w:t>公司一体化负责，不涉及空压机等特种设备。</w:t>
            </w:r>
          </w:p>
        </w:tc>
        <w:tc>
          <w:tcPr>
            <w:tcW w:w="0" w:type="auto"/>
            <w:noWrap w:val="0"/>
            <w:vAlign w:val="center"/>
          </w:tcPr>
          <w:p w14:paraId="734202D4">
            <w:pPr>
              <w:pStyle w:val="26"/>
              <w:bidi w:val="0"/>
              <w:rPr>
                <w:rFonts w:hint="eastAsia" w:eastAsia="宋体"/>
                <w:color w:val="auto"/>
                <w:sz w:val="21"/>
                <w:szCs w:val="21"/>
                <w:lang w:eastAsia="zh-CN"/>
              </w:rPr>
            </w:pPr>
            <w:r>
              <w:rPr>
                <w:rFonts w:hint="eastAsia"/>
                <w:color w:val="auto"/>
                <w:sz w:val="21"/>
                <w:szCs w:val="21"/>
                <w:lang w:val="en-US" w:eastAsia="zh-CN"/>
              </w:rPr>
              <w:t>不涉及</w:t>
            </w:r>
          </w:p>
        </w:tc>
      </w:tr>
      <w:tr w14:paraId="05ED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3" w:hRule="atLeast"/>
          <w:jc w:val="center"/>
        </w:trPr>
        <w:tc>
          <w:tcPr>
            <w:tcW w:w="0" w:type="auto"/>
            <w:vMerge w:val="continue"/>
            <w:noWrap w:val="0"/>
            <w:vAlign w:val="center"/>
          </w:tcPr>
          <w:p w14:paraId="37356028">
            <w:pPr>
              <w:pStyle w:val="26"/>
              <w:bidi w:val="0"/>
              <w:rPr>
                <w:rFonts w:hint="eastAsia"/>
                <w:color w:val="auto"/>
                <w:sz w:val="21"/>
                <w:szCs w:val="21"/>
              </w:rPr>
            </w:pPr>
          </w:p>
        </w:tc>
        <w:tc>
          <w:tcPr>
            <w:tcW w:w="0" w:type="auto"/>
            <w:noWrap w:val="0"/>
            <w:vAlign w:val="center"/>
          </w:tcPr>
          <w:p w14:paraId="26D41B1B">
            <w:pPr>
              <w:pStyle w:val="26"/>
              <w:bidi w:val="0"/>
              <w:rPr>
                <w:rFonts w:hint="eastAsia"/>
                <w:color w:val="auto"/>
                <w:sz w:val="21"/>
                <w:szCs w:val="21"/>
              </w:rPr>
            </w:pPr>
            <w:r>
              <w:rPr>
                <w:rFonts w:hint="eastAsia"/>
                <w:color w:val="auto"/>
                <w:sz w:val="21"/>
                <w:szCs w:val="21"/>
              </w:rPr>
              <w:t>13.事故应急救援预案，设立事故应急救援组织的文件或者与矿山救护队、其他应急救援组织签订的救护协议。</w:t>
            </w:r>
          </w:p>
        </w:tc>
        <w:tc>
          <w:tcPr>
            <w:tcW w:w="0" w:type="auto"/>
            <w:noWrap w:val="0"/>
            <w:vAlign w:val="center"/>
          </w:tcPr>
          <w:p w14:paraId="0D882F86">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38125E32">
            <w:pPr>
              <w:pStyle w:val="26"/>
              <w:bidi w:val="0"/>
              <w:rPr>
                <w:rFonts w:hint="eastAsia"/>
                <w:color w:val="auto"/>
                <w:sz w:val="21"/>
                <w:szCs w:val="21"/>
              </w:rPr>
            </w:pPr>
            <w:r>
              <w:rPr>
                <w:rFonts w:hint="eastAsia"/>
                <w:color w:val="auto"/>
                <w:sz w:val="21"/>
                <w:szCs w:val="21"/>
              </w:rPr>
              <w:t>查阅资料</w:t>
            </w:r>
          </w:p>
        </w:tc>
        <w:tc>
          <w:tcPr>
            <w:tcW w:w="0" w:type="auto"/>
            <w:noWrap w:val="0"/>
            <w:vAlign w:val="center"/>
          </w:tcPr>
          <w:p w14:paraId="1708AB0B">
            <w:pPr>
              <w:pStyle w:val="26"/>
              <w:bidi w:val="0"/>
              <w:rPr>
                <w:color w:val="auto"/>
                <w:sz w:val="21"/>
                <w:szCs w:val="21"/>
              </w:rPr>
            </w:pPr>
            <w:r>
              <w:rPr>
                <w:rFonts w:hint="eastAsia"/>
                <w:color w:val="auto"/>
                <w:sz w:val="21"/>
                <w:szCs w:val="21"/>
              </w:rPr>
              <w:t>鞍山东盛源矿业有限公司有生产安全事故应急预案，并进行了备案；鞍山东盛源矿业有限公司</w:t>
            </w:r>
            <w:r>
              <w:rPr>
                <w:rFonts w:hint="eastAsia"/>
                <w:color w:val="auto"/>
                <w:sz w:val="21"/>
                <w:szCs w:val="21"/>
                <w:lang w:val="en-US" w:eastAsia="zh-CN"/>
              </w:rPr>
              <w:t>设立了兼职救援队，</w:t>
            </w:r>
            <w:r>
              <w:rPr>
                <w:rFonts w:hint="eastAsia"/>
                <w:color w:val="auto"/>
                <w:sz w:val="21"/>
                <w:szCs w:val="21"/>
              </w:rPr>
              <w:t>并与</w:t>
            </w:r>
            <w:r>
              <w:rPr>
                <w:rFonts w:hint="eastAsia"/>
                <w:color w:val="auto"/>
                <w:sz w:val="21"/>
                <w:szCs w:val="21"/>
                <w:lang w:val="en-US" w:eastAsia="zh-CN"/>
              </w:rPr>
              <w:t>岫岩满族自治县富山矿业有限公司</w:t>
            </w:r>
            <w:r>
              <w:rPr>
                <w:rFonts w:hint="eastAsia"/>
                <w:color w:val="auto"/>
                <w:sz w:val="21"/>
                <w:szCs w:val="21"/>
              </w:rPr>
              <w:t>签订了矿山</w:t>
            </w:r>
            <w:r>
              <w:rPr>
                <w:rFonts w:hint="eastAsia"/>
                <w:color w:val="auto"/>
                <w:sz w:val="21"/>
                <w:szCs w:val="21"/>
                <w:lang w:val="en-US" w:eastAsia="zh-CN"/>
              </w:rPr>
              <w:t>救援合作</w:t>
            </w:r>
            <w:r>
              <w:rPr>
                <w:rFonts w:hint="eastAsia"/>
                <w:color w:val="auto"/>
                <w:sz w:val="21"/>
                <w:szCs w:val="21"/>
              </w:rPr>
              <w:t>协议书。</w:t>
            </w:r>
          </w:p>
        </w:tc>
        <w:tc>
          <w:tcPr>
            <w:tcW w:w="0" w:type="auto"/>
            <w:noWrap w:val="0"/>
            <w:vAlign w:val="center"/>
          </w:tcPr>
          <w:p w14:paraId="13467601">
            <w:pPr>
              <w:pStyle w:val="26"/>
              <w:bidi w:val="0"/>
              <w:rPr>
                <w:rFonts w:hint="eastAsia"/>
                <w:color w:val="auto"/>
                <w:sz w:val="21"/>
                <w:szCs w:val="21"/>
              </w:rPr>
            </w:pPr>
            <w:r>
              <w:rPr>
                <w:rFonts w:hint="eastAsia"/>
                <w:color w:val="auto"/>
                <w:sz w:val="21"/>
                <w:szCs w:val="21"/>
              </w:rPr>
              <w:t>符合要求</w:t>
            </w:r>
          </w:p>
        </w:tc>
      </w:tr>
      <w:tr w14:paraId="158C3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jc w:val="center"/>
        </w:trPr>
        <w:tc>
          <w:tcPr>
            <w:tcW w:w="0" w:type="auto"/>
            <w:vMerge w:val="continue"/>
            <w:noWrap w:val="0"/>
            <w:vAlign w:val="center"/>
          </w:tcPr>
          <w:p w14:paraId="5D255F49">
            <w:pPr>
              <w:pStyle w:val="26"/>
              <w:bidi w:val="0"/>
              <w:rPr>
                <w:rFonts w:hint="eastAsia"/>
                <w:color w:val="auto"/>
                <w:sz w:val="21"/>
                <w:szCs w:val="21"/>
              </w:rPr>
            </w:pPr>
          </w:p>
        </w:tc>
        <w:tc>
          <w:tcPr>
            <w:tcW w:w="0" w:type="auto"/>
            <w:noWrap w:val="0"/>
            <w:vAlign w:val="center"/>
          </w:tcPr>
          <w:p w14:paraId="10CA9D3B">
            <w:pPr>
              <w:pStyle w:val="26"/>
              <w:bidi w:val="0"/>
              <w:rPr>
                <w:rFonts w:hint="eastAsia"/>
                <w:color w:val="auto"/>
                <w:sz w:val="21"/>
                <w:szCs w:val="21"/>
              </w:rPr>
            </w:pPr>
            <w:r>
              <w:rPr>
                <w:rFonts w:hint="eastAsia"/>
                <w:color w:val="auto"/>
                <w:sz w:val="21"/>
                <w:szCs w:val="21"/>
              </w:rPr>
              <w:t>14.金属非金属矿山企业从事爆破作业的，还应当提交《爆破作业单位许可证》。</w:t>
            </w:r>
          </w:p>
        </w:tc>
        <w:tc>
          <w:tcPr>
            <w:tcW w:w="0" w:type="auto"/>
            <w:noWrap w:val="0"/>
            <w:vAlign w:val="center"/>
          </w:tcPr>
          <w:p w14:paraId="32C96146">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74A3C427">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5B086292">
            <w:pPr>
              <w:pStyle w:val="26"/>
              <w:bidi w:val="0"/>
              <w:rPr>
                <w:rFonts w:hint="eastAsia"/>
                <w:color w:val="auto"/>
                <w:sz w:val="21"/>
                <w:szCs w:val="21"/>
              </w:rPr>
            </w:pPr>
            <w:r>
              <w:rPr>
                <w:rFonts w:hint="eastAsia"/>
                <w:color w:val="auto"/>
                <w:sz w:val="21"/>
                <w:szCs w:val="21"/>
              </w:rPr>
              <w:t>爆破作业由</w:t>
            </w:r>
            <w:r>
              <w:rPr>
                <w:rFonts w:hint="eastAsia"/>
                <w:color w:val="auto"/>
                <w:sz w:val="21"/>
                <w:szCs w:val="21"/>
                <w:lang w:val="en-US" w:eastAsia="zh-CN"/>
              </w:rPr>
              <w:t>岫岩满族自治县广财爆破工程有限公司</w:t>
            </w:r>
            <w:r>
              <w:rPr>
                <w:rFonts w:hint="eastAsia"/>
                <w:color w:val="auto"/>
                <w:sz w:val="21"/>
                <w:szCs w:val="21"/>
              </w:rPr>
              <w:t>承包，有承包合同，该公司已取得了爆破作业单位许可证，证号：</w:t>
            </w:r>
            <w:r>
              <w:rPr>
                <w:rFonts w:hint="eastAsia"/>
                <w:color w:val="auto"/>
                <w:sz w:val="21"/>
                <w:szCs w:val="21"/>
                <w:lang w:val="en-US" w:eastAsia="zh-CN"/>
              </w:rPr>
              <w:t>2100001300237</w:t>
            </w:r>
            <w:r>
              <w:rPr>
                <w:rFonts w:hint="eastAsia"/>
                <w:color w:val="auto"/>
                <w:sz w:val="21"/>
                <w:szCs w:val="21"/>
                <w:lang w:val="zh-CN"/>
              </w:rPr>
              <w:t>，有效期至20</w:t>
            </w:r>
            <w:r>
              <w:rPr>
                <w:rFonts w:hint="eastAsia"/>
                <w:color w:val="auto"/>
                <w:sz w:val="21"/>
                <w:szCs w:val="21"/>
                <w:lang w:val="en-US" w:eastAsia="zh-CN"/>
              </w:rPr>
              <w:t>30</w:t>
            </w:r>
            <w:r>
              <w:rPr>
                <w:rFonts w:hint="eastAsia"/>
                <w:color w:val="auto"/>
                <w:sz w:val="21"/>
                <w:szCs w:val="21"/>
                <w:lang w:val="zh-CN"/>
              </w:rPr>
              <w:t>年</w:t>
            </w:r>
            <w:r>
              <w:rPr>
                <w:rFonts w:hint="eastAsia"/>
                <w:color w:val="auto"/>
                <w:sz w:val="21"/>
                <w:szCs w:val="21"/>
                <w:lang w:val="en-US" w:eastAsia="zh-CN"/>
              </w:rPr>
              <w:t>7</w:t>
            </w:r>
            <w:r>
              <w:rPr>
                <w:rFonts w:hint="eastAsia"/>
                <w:color w:val="auto"/>
                <w:sz w:val="21"/>
                <w:szCs w:val="21"/>
                <w:lang w:val="zh-CN"/>
              </w:rPr>
              <w:t>月</w:t>
            </w:r>
            <w:r>
              <w:rPr>
                <w:rFonts w:hint="eastAsia"/>
                <w:color w:val="auto"/>
                <w:sz w:val="21"/>
                <w:szCs w:val="21"/>
                <w:lang w:val="en-US" w:eastAsia="zh-CN"/>
              </w:rPr>
              <w:t>8</w:t>
            </w:r>
            <w:r>
              <w:rPr>
                <w:rFonts w:hint="eastAsia"/>
                <w:color w:val="auto"/>
                <w:sz w:val="21"/>
                <w:szCs w:val="21"/>
                <w:lang w:val="zh-CN"/>
              </w:rPr>
              <w:t>日</w:t>
            </w:r>
            <w:r>
              <w:rPr>
                <w:rFonts w:hint="eastAsia"/>
                <w:color w:val="auto"/>
                <w:sz w:val="21"/>
                <w:szCs w:val="21"/>
              </w:rPr>
              <w:t>。</w:t>
            </w:r>
          </w:p>
        </w:tc>
        <w:tc>
          <w:tcPr>
            <w:tcW w:w="0" w:type="auto"/>
            <w:noWrap w:val="0"/>
            <w:vAlign w:val="center"/>
          </w:tcPr>
          <w:p w14:paraId="3298BEE6">
            <w:pPr>
              <w:pStyle w:val="26"/>
              <w:bidi w:val="0"/>
              <w:rPr>
                <w:rFonts w:hint="eastAsia"/>
                <w:color w:val="auto"/>
                <w:sz w:val="21"/>
                <w:szCs w:val="21"/>
              </w:rPr>
            </w:pPr>
            <w:r>
              <w:rPr>
                <w:rFonts w:hint="eastAsia"/>
                <w:color w:val="auto"/>
                <w:sz w:val="21"/>
                <w:szCs w:val="21"/>
              </w:rPr>
              <w:t>符合要求</w:t>
            </w:r>
          </w:p>
        </w:tc>
      </w:tr>
      <w:tr w14:paraId="0A31C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0" w:hRule="atLeast"/>
          <w:jc w:val="center"/>
        </w:trPr>
        <w:tc>
          <w:tcPr>
            <w:tcW w:w="0" w:type="auto"/>
            <w:vMerge w:val="continue"/>
            <w:noWrap w:val="0"/>
            <w:vAlign w:val="center"/>
          </w:tcPr>
          <w:p w14:paraId="7562DE04">
            <w:pPr>
              <w:pStyle w:val="26"/>
              <w:bidi w:val="0"/>
              <w:rPr>
                <w:rFonts w:hint="eastAsia"/>
                <w:color w:val="auto"/>
                <w:sz w:val="21"/>
                <w:szCs w:val="21"/>
              </w:rPr>
            </w:pPr>
          </w:p>
        </w:tc>
        <w:tc>
          <w:tcPr>
            <w:tcW w:w="0" w:type="auto"/>
            <w:noWrap w:val="0"/>
            <w:vAlign w:val="center"/>
          </w:tcPr>
          <w:p w14:paraId="15398E31">
            <w:pPr>
              <w:pStyle w:val="26"/>
              <w:bidi w:val="0"/>
              <w:rPr>
                <w:rFonts w:hint="eastAsia"/>
                <w:color w:val="auto"/>
                <w:sz w:val="21"/>
                <w:szCs w:val="21"/>
              </w:rPr>
            </w:pPr>
            <w:r>
              <w:rPr>
                <w:rFonts w:hint="eastAsia"/>
                <w:color w:val="auto"/>
                <w:sz w:val="21"/>
                <w:szCs w:val="21"/>
              </w:rPr>
              <w:t>15.金属非金属矿山独立生产系统和尾矿库，以及石油天然气独立生产系统和作业单位需提交由具备相应资质的中介服务机构出具的合格的安全现状评价报告。</w:t>
            </w:r>
          </w:p>
        </w:tc>
        <w:tc>
          <w:tcPr>
            <w:tcW w:w="0" w:type="auto"/>
            <w:noWrap w:val="0"/>
            <w:vAlign w:val="center"/>
          </w:tcPr>
          <w:p w14:paraId="3E248D77">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232721B8">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4B78312D">
            <w:pPr>
              <w:pStyle w:val="26"/>
              <w:bidi w:val="0"/>
              <w:rPr>
                <w:rFonts w:hint="eastAsia"/>
                <w:color w:val="auto"/>
                <w:sz w:val="21"/>
                <w:szCs w:val="21"/>
              </w:rPr>
            </w:pPr>
            <w:r>
              <w:rPr>
                <w:rFonts w:hint="eastAsia"/>
                <w:color w:val="auto"/>
                <w:sz w:val="21"/>
                <w:szCs w:val="21"/>
              </w:rPr>
              <w:t>鞍山东盛源矿业有限公司有辽宁诺诚安全科技有限公司出具合格安的全现状评价报告。</w:t>
            </w:r>
          </w:p>
        </w:tc>
        <w:tc>
          <w:tcPr>
            <w:tcW w:w="0" w:type="auto"/>
            <w:noWrap w:val="0"/>
            <w:vAlign w:val="center"/>
          </w:tcPr>
          <w:p w14:paraId="074E3B1B">
            <w:pPr>
              <w:pStyle w:val="26"/>
              <w:bidi w:val="0"/>
              <w:rPr>
                <w:rFonts w:hint="eastAsia"/>
                <w:color w:val="auto"/>
                <w:sz w:val="21"/>
                <w:szCs w:val="21"/>
              </w:rPr>
            </w:pPr>
            <w:r>
              <w:rPr>
                <w:rFonts w:hint="eastAsia"/>
                <w:color w:val="auto"/>
                <w:sz w:val="21"/>
                <w:szCs w:val="21"/>
              </w:rPr>
              <w:t>符合要求</w:t>
            </w:r>
          </w:p>
        </w:tc>
      </w:tr>
      <w:tr w14:paraId="2CADB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jc w:val="center"/>
        </w:trPr>
        <w:tc>
          <w:tcPr>
            <w:tcW w:w="0" w:type="auto"/>
            <w:vMerge w:val="continue"/>
            <w:noWrap w:val="0"/>
            <w:textDirection w:val="tbRlV"/>
            <w:vAlign w:val="center"/>
          </w:tcPr>
          <w:p w14:paraId="4721AD9F">
            <w:pPr>
              <w:pStyle w:val="26"/>
              <w:bidi w:val="0"/>
              <w:rPr>
                <w:rFonts w:hint="eastAsia"/>
                <w:color w:val="auto"/>
                <w:sz w:val="21"/>
                <w:szCs w:val="21"/>
              </w:rPr>
            </w:pPr>
          </w:p>
        </w:tc>
        <w:tc>
          <w:tcPr>
            <w:tcW w:w="0" w:type="auto"/>
            <w:noWrap w:val="0"/>
            <w:vAlign w:val="center"/>
          </w:tcPr>
          <w:p w14:paraId="6B9CE13A">
            <w:pPr>
              <w:pStyle w:val="26"/>
              <w:bidi w:val="0"/>
              <w:rPr>
                <w:rFonts w:hint="eastAsia"/>
                <w:color w:val="auto"/>
                <w:sz w:val="21"/>
                <w:szCs w:val="21"/>
              </w:rPr>
            </w:pPr>
            <w:r>
              <w:rPr>
                <w:rFonts w:hint="eastAsia"/>
                <w:color w:val="auto"/>
                <w:sz w:val="21"/>
                <w:szCs w:val="21"/>
              </w:rPr>
              <w:t>16.新换发过采矿许可证的金属非金属矿山，还应当提供上一次办理安全生产许可证手续时的采矿许可证副本复印件，以便核实矿区范围是否发生变化。</w:t>
            </w:r>
          </w:p>
        </w:tc>
        <w:tc>
          <w:tcPr>
            <w:tcW w:w="0" w:type="auto"/>
            <w:noWrap w:val="0"/>
            <w:vAlign w:val="center"/>
          </w:tcPr>
          <w:p w14:paraId="2B9B61FC">
            <w:pPr>
              <w:pStyle w:val="26"/>
              <w:bidi w:val="0"/>
              <w:rPr>
                <w:rFonts w:hint="eastAsia"/>
                <w:color w:val="auto"/>
                <w:sz w:val="21"/>
                <w:szCs w:val="21"/>
              </w:rPr>
            </w:pPr>
            <w:r>
              <w:rPr>
                <w:rFonts w:hint="eastAsia"/>
                <w:color w:val="auto"/>
                <w:sz w:val="21"/>
                <w:szCs w:val="21"/>
              </w:rPr>
              <w:t>辽安监非煤〔2018〕29号</w:t>
            </w:r>
          </w:p>
        </w:tc>
        <w:tc>
          <w:tcPr>
            <w:tcW w:w="0" w:type="auto"/>
            <w:noWrap w:val="0"/>
            <w:vAlign w:val="center"/>
          </w:tcPr>
          <w:p w14:paraId="52681138">
            <w:pPr>
              <w:pStyle w:val="26"/>
              <w:bidi w:val="0"/>
              <w:rPr>
                <w:rFonts w:hint="eastAsia"/>
                <w:color w:val="auto"/>
                <w:sz w:val="21"/>
                <w:szCs w:val="21"/>
              </w:rPr>
            </w:pPr>
            <w:r>
              <w:rPr>
                <w:rFonts w:hint="eastAsia"/>
                <w:color w:val="auto"/>
                <w:sz w:val="21"/>
                <w:szCs w:val="21"/>
              </w:rPr>
              <w:t>现场勘查</w:t>
            </w:r>
          </w:p>
        </w:tc>
        <w:tc>
          <w:tcPr>
            <w:tcW w:w="0" w:type="auto"/>
            <w:noWrap w:val="0"/>
            <w:vAlign w:val="center"/>
          </w:tcPr>
          <w:p w14:paraId="51AC756A">
            <w:pPr>
              <w:pStyle w:val="26"/>
              <w:bidi w:val="0"/>
              <w:rPr>
                <w:rFonts w:hint="eastAsia"/>
                <w:color w:val="auto"/>
                <w:sz w:val="21"/>
                <w:szCs w:val="21"/>
              </w:rPr>
            </w:pPr>
            <w:r>
              <w:rPr>
                <w:rFonts w:hint="eastAsia"/>
                <w:color w:val="auto"/>
                <w:sz w:val="21"/>
                <w:szCs w:val="21"/>
              </w:rPr>
              <w:t>鞍山东盛源矿业有限公司有上一次办理安全生产许可证手续时的采矿许可证副本复印件，经核实矿区范围未发生变化。</w:t>
            </w:r>
          </w:p>
        </w:tc>
        <w:tc>
          <w:tcPr>
            <w:tcW w:w="0" w:type="auto"/>
            <w:noWrap w:val="0"/>
            <w:vAlign w:val="center"/>
          </w:tcPr>
          <w:p w14:paraId="7C06B287">
            <w:pPr>
              <w:pStyle w:val="26"/>
              <w:bidi w:val="0"/>
              <w:rPr>
                <w:rFonts w:hint="eastAsia"/>
                <w:color w:val="auto"/>
                <w:sz w:val="21"/>
                <w:szCs w:val="21"/>
              </w:rPr>
            </w:pPr>
            <w:r>
              <w:rPr>
                <w:rFonts w:hint="eastAsia"/>
                <w:color w:val="auto"/>
                <w:sz w:val="21"/>
                <w:szCs w:val="21"/>
              </w:rPr>
              <w:t>符合要求</w:t>
            </w:r>
          </w:p>
        </w:tc>
      </w:tr>
    </w:tbl>
    <w:p w14:paraId="307AFCCB">
      <w:pPr>
        <w:pStyle w:val="25"/>
        <w:bidi w:val="0"/>
        <w:rPr>
          <w:rFonts w:hint="eastAsia"/>
          <w:color w:val="auto"/>
        </w:rPr>
      </w:pPr>
    </w:p>
    <w:p w14:paraId="0108008F">
      <w:pPr>
        <w:pStyle w:val="16"/>
        <w:bidi w:val="0"/>
        <w:rPr>
          <w:rFonts w:hint="eastAsia"/>
          <w:color w:val="auto"/>
        </w:rPr>
      </w:pPr>
      <w:r>
        <w:rPr>
          <w:rFonts w:hint="eastAsia"/>
          <w:color w:val="auto"/>
        </w:rPr>
        <w:t>通过使用安全检查表法对鞍山东盛源矿业有限公司露天矿山延期换证审核单元的16项检查，</w:t>
      </w:r>
      <w:r>
        <w:rPr>
          <w:rFonts w:hint="eastAsia"/>
          <w:color w:val="auto"/>
          <w:lang w:val="en-US" w:eastAsia="zh-CN"/>
        </w:rPr>
        <w:t>不涉及1项，其余</w:t>
      </w:r>
      <w:r>
        <w:rPr>
          <w:rFonts w:hint="eastAsia"/>
          <w:color w:val="auto"/>
        </w:rPr>
        <w:t>均符合要求。</w:t>
      </w:r>
    </w:p>
    <w:p w14:paraId="7A8C9437">
      <w:pPr>
        <w:pStyle w:val="16"/>
        <w:bidi w:val="0"/>
        <w:rPr>
          <w:rFonts w:hint="eastAsia"/>
          <w:color w:val="auto"/>
        </w:rPr>
      </w:pPr>
      <w:r>
        <w:rPr>
          <w:rFonts w:hint="eastAsia"/>
          <w:color w:val="auto"/>
        </w:rPr>
        <w:t>以上检查结果说明，该矿各相关材料满足延期换证要求。</w:t>
      </w:r>
    </w:p>
    <w:p w14:paraId="02E7ABA5">
      <w:pPr>
        <w:pStyle w:val="23"/>
        <w:bidi w:val="0"/>
        <w:rPr>
          <w:rFonts w:hint="eastAsia"/>
          <w:color w:val="auto"/>
        </w:rPr>
      </w:pPr>
      <w:bookmarkStart w:id="48" w:name="_Toc11686"/>
      <w:bookmarkStart w:id="49" w:name="_Toc15638"/>
      <w:bookmarkStart w:id="50" w:name="_Toc3926"/>
      <w:r>
        <w:rPr>
          <w:rFonts w:hint="eastAsia"/>
          <w:color w:val="auto"/>
        </w:rPr>
        <w:t>评价小结</w:t>
      </w:r>
      <w:bookmarkEnd w:id="48"/>
      <w:bookmarkEnd w:id="49"/>
      <w:bookmarkEnd w:id="50"/>
    </w:p>
    <w:p w14:paraId="091C2C7F">
      <w:pPr>
        <w:pStyle w:val="16"/>
        <w:bidi w:val="0"/>
        <w:rPr>
          <w:rFonts w:hint="eastAsia"/>
          <w:color w:val="auto"/>
        </w:rPr>
      </w:pPr>
      <w:r>
        <w:rPr>
          <w:rFonts w:hint="eastAsia"/>
          <w:color w:val="auto"/>
        </w:rPr>
        <w:t>参照《</w:t>
      </w:r>
      <w:r>
        <w:rPr>
          <w:rFonts w:hint="eastAsia"/>
          <w:color w:val="auto"/>
          <w:lang w:val="en-US" w:eastAsia="zh-CN"/>
        </w:rPr>
        <w:t>补充设计</w:t>
      </w:r>
      <w:r>
        <w:rPr>
          <w:rFonts w:hint="eastAsia"/>
          <w:color w:val="auto"/>
        </w:rPr>
        <w:t>》，对鞍山东盛源矿业有限公司露天矿山的基本安全设施、专用安全设施及安全生产管理通过安全检查表法进行了多项符合性检查，除</w:t>
      </w:r>
      <w:r>
        <w:rPr>
          <w:rFonts w:hint="eastAsia"/>
          <w:color w:val="auto"/>
          <w:lang w:val="en-US" w:eastAsia="zh-CN"/>
        </w:rPr>
        <w:t>8</w:t>
      </w:r>
      <w:r>
        <w:rPr>
          <w:rFonts w:hint="eastAsia"/>
          <w:color w:val="auto"/>
        </w:rPr>
        <w:t>项不涉及外，均符合要求。</w:t>
      </w:r>
    </w:p>
    <w:p w14:paraId="7281E68F">
      <w:pPr>
        <w:pStyle w:val="16"/>
        <w:bidi w:val="0"/>
        <w:rPr>
          <w:rFonts w:hint="eastAsia" w:ascii="宋体" w:hAnsi="宋体" w:cs="宋体"/>
          <w:color w:val="auto"/>
          <w:sz w:val="28"/>
          <w:szCs w:val="28"/>
        </w:rPr>
      </w:pPr>
      <w:r>
        <w:rPr>
          <w:rFonts w:hint="eastAsia" w:ascii="宋体" w:hAnsi="宋体" w:cs="宋体"/>
          <w:color w:val="auto"/>
          <w:sz w:val="28"/>
          <w:szCs w:val="28"/>
        </w:rPr>
        <w:t>上述结果说明，该矿的安全生产管理能够适应安全生产的需要，该矿矿床开采处于安全状态。该矿目前安全状况符合安全生产要求。</w:t>
      </w:r>
    </w:p>
    <w:p w14:paraId="66301BB0">
      <w:pPr>
        <w:rPr>
          <w:rFonts w:hint="eastAsia" w:ascii="宋体" w:hAnsi="宋体" w:cs="宋体"/>
          <w:color w:val="auto"/>
          <w:sz w:val="28"/>
          <w:szCs w:val="28"/>
        </w:rPr>
      </w:pPr>
      <w:r>
        <w:rPr>
          <w:rFonts w:hint="eastAsia" w:ascii="宋体" w:hAnsi="宋体" w:cs="宋体"/>
          <w:color w:val="auto"/>
          <w:sz w:val="28"/>
          <w:szCs w:val="28"/>
        </w:rPr>
        <w:br w:type="page"/>
      </w:r>
    </w:p>
    <w:p w14:paraId="09A8C57B">
      <w:pPr>
        <w:pStyle w:val="22"/>
        <w:bidi w:val="0"/>
        <w:rPr>
          <w:rFonts w:hint="default"/>
          <w:color w:val="auto"/>
          <w:lang w:val="en-US" w:eastAsia="zh-CN"/>
        </w:rPr>
      </w:pPr>
      <w:bookmarkStart w:id="51" w:name="_Toc8454"/>
      <w:r>
        <w:rPr>
          <w:rFonts w:hint="default"/>
          <w:color w:val="auto"/>
          <w:lang w:val="en-US" w:eastAsia="zh-CN"/>
        </w:rPr>
        <w:t>安全对策措施及建议</w:t>
      </w:r>
      <w:bookmarkEnd w:id="51"/>
    </w:p>
    <w:p w14:paraId="477326CF">
      <w:pPr>
        <w:pStyle w:val="16"/>
        <w:bidi w:val="0"/>
        <w:rPr>
          <w:rFonts w:hint="default"/>
          <w:color w:val="auto"/>
          <w:lang w:val="en-US" w:eastAsia="zh-CN"/>
        </w:rPr>
      </w:pPr>
      <w:r>
        <w:rPr>
          <w:rFonts w:hint="eastAsia"/>
          <w:color w:val="auto"/>
        </w:rPr>
        <w:t>鞍山东盛源矿业有限公司</w:t>
      </w:r>
      <w:r>
        <w:rPr>
          <w:rFonts w:hint="default"/>
          <w:color w:val="auto"/>
          <w:lang w:val="en-US" w:eastAsia="zh-CN"/>
        </w:rPr>
        <w:t>露天矿山在安全生产方面采取了一定的安全管理措施和技术措施，取得了一定的效果，但根据国家有关法律、法规、规程和规范性文件的要求，该矿原有的安全管理措施和安全技术措施存在一定的漏洞和不足之处，存在着一定的安全隐患。针对实际危险、有害因素的性质和存在部位，本着针对性、可操作性和经济合理性的原则，依据《金属非金属矿山安全规程》、《爆破安全规程》等标准、规范，建议补充以下安全对策措施。</w:t>
      </w:r>
    </w:p>
    <w:p w14:paraId="722B01A7">
      <w:pPr>
        <w:pStyle w:val="23"/>
        <w:bidi w:val="0"/>
        <w:rPr>
          <w:rFonts w:hint="eastAsia"/>
          <w:color w:val="auto"/>
        </w:rPr>
      </w:pPr>
      <w:bookmarkStart w:id="52" w:name="_Toc6600"/>
      <w:bookmarkStart w:id="53" w:name="_Toc18745"/>
      <w:bookmarkStart w:id="54" w:name="_Toc27628"/>
      <w:r>
        <w:rPr>
          <w:rFonts w:hint="eastAsia"/>
          <w:color w:val="auto"/>
        </w:rPr>
        <w:t>安全技术对策措施</w:t>
      </w:r>
      <w:bookmarkEnd w:id="52"/>
      <w:bookmarkEnd w:id="53"/>
      <w:bookmarkEnd w:id="54"/>
    </w:p>
    <w:p w14:paraId="346237B8">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（1）采场出现滑坡征兆时，应停止危险区作业，撤离人员，禁止人员和车辆通行，并及时处理。</w:t>
      </w:r>
    </w:p>
    <w:p w14:paraId="1590A8C8">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（2）采场上部需要剥离的，剥离工作面应当超前于开采工作面2m以上。</w:t>
      </w:r>
    </w:p>
    <w:p w14:paraId="23DA51EA">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（3）开采到最终境界时，最终边坡角最大不得大于设计要求。</w:t>
      </w:r>
    </w:p>
    <w:p w14:paraId="4340E6BB">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（4）矿山应建立健全边坡安全管理和检查制度。</w:t>
      </w:r>
    </w:p>
    <w:p w14:paraId="6AF80ED9">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（5）工作面发现有悬浮大块矿岩、裂缝或有滑坡征兆时，应停止作业，并及时进行处理。及时从上而下处理险石、浮石。未清除前其下方不准生产。禁止任何人在边坡底部休息和停留。</w:t>
      </w:r>
    </w:p>
    <w:p w14:paraId="0BC30A33">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（6）因气候条件影响，如遇大雾、暴风雨，六级以上强风或有雷击危险，应暂停相关作业，人员转移到安全地点。</w:t>
      </w:r>
    </w:p>
    <w:p w14:paraId="749996AE">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（7）冰雪和雨季道路较滑时，有防滑措施，前后车距不得小于40m。</w:t>
      </w:r>
    </w:p>
    <w:p w14:paraId="78EBA184">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（8）要求企业继续按照</w:t>
      </w:r>
      <w:r>
        <w:rPr>
          <w:rFonts w:hint="eastAsia" w:ascii="宋体" w:hAnsi="宋体" w:cs="宋体"/>
          <w:color w:val="auto"/>
          <w:sz w:val="28"/>
          <w:szCs w:val="28"/>
          <w:lang w:val="en-US" w:eastAsia="zh-CN"/>
        </w:rPr>
        <w:t>设计</w:t>
      </w:r>
      <w:r>
        <w:rPr>
          <w:rFonts w:hint="eastAsia" w:ascii="宋体" w:hAnsi="宋体" w:cs="宋体"/>
          <w:color w:val="auto"/>
          <w:sz w:val="28"/>
          <w:szCs w:val="28"/>
        </w:rPr>
        <w:t>进行开采作业。</w:t>
      </w:r>
    </w:p>
    <w:p w14:paraId="0B1BEEC8">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（9）应及时维护界桩及围栏等设施，加强危险区域管理。</w:t>
      </w:r>
    </w:p>
    <w:p w14:paraId="67CC00CD">
      <w:pPr>
        <w:adjustRightInd w:val="0"/>
        <w:snapToGrid w:val="0"/>
        <w:spacing w:line="360" w:lineRule="auto"/>
        <w:ind w:firstLine="560" w:firstLineChars="200"/>
        <w:rPr>
          <w:rFonts w:hint="eastAsia" w:ascii="宋体" w:hAnsi="宋体" w:cs="宋体"/>
          <w:color w:val="auto"/>
          <w:sz w:val="28"/>
          <w:szCs w:val="28"/>
        </w:rPr>
      </w:pPr>
      <w:r>
        <w:rPr>
          <w:rFonts w:hint="eastAsia" w:ascii="宋体" w:hAnsi="宋体" w:cs="宋体"/>
          <w:color w:val="auto"/>
          <w:sz w:val="28"/>
          <w:szCs w:val="28"/>
        </w:rPr>
        <w:t>（10）爆破作业之前，应及时撤出工业场地中的人员及设备。</w:t>
      </w:r>
    </w:p>
    <w:p w14:paraId="30BAAF8F">
      <w:pPr>
        <w:pStyle w:val="23"/>
        <w:bidi w:val="0"/>
        <w:rPr>
          <w:rFonts w:hint="default"/>
          <w:color w:val="auto"/>
          <w:lang w:val="en-US" w:eastAsia="zh-CN"/>
        </w:rPr>
      </w:pPr>
      <w:bookmarkStart w:id="55" w:name="_Toc16716"/>
      <w:r>
        <w:rPr>
          <w:rFonts w:hint="default"/>
          <w:color w:val="auto"/>
          <w:lang w:val="en-US" w:eastAsia="zh-CN"/>
        </w:rPr>
        <w:t>安全管理对策措施</w:t>
      </w:r>
      <w:bookmarkEnd w:id="55"/>
    </w:p>
    <w:p w14:paraId="6FAF361D">
      <w:pPr>
        <w:pStyle w:val="16"/>
        <w:bidi w:val="0"/>
        <w:rPr>
          <w:rFonts w:hint="eastAsia"/>
          <w:color w:val="auto"/>
        </w:rPr>
      </w:pPr>
      <w:r>
        <w:rPr>
          <w:rFonts w:hint="eastAsia"/>
          <w:color w:val="auto"/>
        </w:rPr>
        <w:t>（1）建立健全边坡管理制度，对采场工作帮应每季度检查一次，高陡边帮应每月检查一次，不稳定区段在暴雨过后应及时检查，发现异常应立即处理，检查有记录。</w:t>
      </w:r>
    </w:p>
    <w:p w14:paraId="0DE6E20F">
      <w:pPr>
        <w:pStyle w:val="16"/>
        <w:bidi w:val="0"/>
        <w:rPr>
          <w:rFonts w:hint="eastAsia"/>
          <w:color w:val="auto"/>
        </w:rPr>
      </w:pPr>
      <w:r>
        <w:rPr>
          <w:rFonts w:hint="eastAsia"/>
          <w:color w:val="auto"/>
        </w:rPr>
        <w:t>（2）建立健全企业安全生产投入的长效保障机制，从资金和设施装备等物资方面保证安全生产工作的正常进行。</w:t>
      </w:r>
    </w:p>
    <w:p w14:paraId="2641CE90">
      <w:pPr>
        <w:pStyle w:val="16"/>
        <w:bidi w:val="0"/>
        <w:rPr>
          <w:rFonts w:hint="eastAsia"/>
          <w:color w:val="auto"/>
        </w:rPr>
      </w:pPr>
      <w:r>
        <w:rPr>
          <w:rFonts w:hint="eastAsia"/>
          <w:color w:val="auto"/>
        </w:rPr>
        <w:t>（3）有针对性的在道路转弯处、边坡等处增设安全警示标示，起到安全警示作用。</w:t>
      </w:r>
    </w:p>
    <w:p w14:paraId="5499B117">
      <w:pPr>
        <w:pStyle w:val="16"/>
        <w:bidi w:val="0"/>
        <w:rPr>
          <w:rFonts w:hint="eastAsia"/>
          <w:color w:val="auto"/>
        </w:rPr>
      </w:pPr>
      <w:r>
        <w:rPr>
          <w:rFonts w:hint="eastAsia"/>
          <w:color w:val="auto"/>
        </w:rPr>
        <w:t>（4）尽快完善界桩等设施，明确矿界并设置护栏及安全警示标志防止外部人员进入。</w:t>
      </w:r>
    </w:p>
    <w:p w14:paraId="4CD37A1C">
      <w:pPr>
        <w:pStyle w:val="22"/>
        <w:bidi w:val="0"/>
        <w:rPr>
          <w:rFonts w:hint="default"/>
          <w:color w:val="auto"/>
          <w:lang w:val="en-US" w:eastAsia="zh-CN"/>
        </w:rPr>
      </w:pPr>
      <w:bookmarkStart w:id="56" w:name="_Toc15654"/>
      <w:r>
        <w:rPr>
          <w:rFonts w:hint="default"/>
          <w:color w:val="auto"/>
          <w:lang w:val="en-US" w:eastAsia="zh-CN"/>
        </w:rPr>
        <w:t>评价结论</w:t>
      </w:r>
      <w:bookmarkEnd w:id="56"/>
    </w:p>
    <w:p w14:paraId="7A8F4EAF">
      <w:pPr>
        <w:pStyle w:val="23"/>
        <w:rPr>
          <w:rFonts w:hint="default"/>
          <w:color w:val="auto"/>
          <w:lang w:val="en-US" w:eastAsia="zh-CN"/>
        </w:rPr>
      </w:pPr>
      <w:bookmarkStart w:id="57" w:name="_Toc15128"/>
      <w:r>
        <w:rPr>
          <w:rFonts w:hint="default"/>
          <w:color w:val="auto"/>
          <w:lang w:val="en-US" w:eastAsia="zh-CN"/>
        </w:rPr>
        <w:t>安全现状综合评述</w:t>
      </w:r>
      <w:bookmarkEnd w:id="57"/>
    </w:p>
    <w:p w14:paraId="7946A265">
      <w:pPr>
        <w:pStyle w:val="16"/>
        <w:bidi w:val="0"/>
        <w:rPr>
          <w:rFonts w:hint="default"/>
          <w:color w:val="auto"/>
          <w:lang w:val="en-US" w:eastAsia="zh-CN"/>
        </w:rPr>
      </w:pPr>
      <w:r>
        <w:rPr>
          <w:rFonts w:hint="default"/>
          <w:color w:val="auto"/>
          <w:lang w:val="en-US" w:eastAsia="zh-CN"/>
        </w:rPr>
        <w:t>依据各单元主要危险、有害因素辨识、定性定量分析结果得出如下安全评价综合结论：</w:t>
      </w:r>
    </w:p>
    <w:p w14:paraId="20BC0EBD">
      <w:pPr>
        <w:pStyle w:val="16"/>
        <w:bidi w:val="0"/>
        <w:rPr>
          <w:rFonts w:hint="default"/>
          <w:color w:val="auto"/>
          <w:lang w:val="en-US" w:eastAsia="zh-CN"/>
        </w:rPr>
      </w:pPr>
      <w:r>
        <w:rPr>
          <w:rFonts w:hint="default"/>
          <w:color w:val="auto"/>
          <w:lang w:val="en-US" w:eastAsia="zh-CN"/>
        </w:rPr>
        <w:t>（1）企业应备的采矿许可证、营业执照、安全生产许可证等证照齐全，均在有效期内。</w:t>
      </w:r>
    </w:p>
    <w:p w14:paraId="7EB94943">
      <w:pPr>
        <w:pStyle w:val="16"/>
        <w:bidi w:val="0"/>
        <w:rPr>
          <w:rFonts w:hint="default"/>
          <w:color w:val="auto"/>
          <w:lang w:val="en-US" w:eastAsia="zh-CN"/>
        </w:rPr>
      </w:pPr>
      <w:r>
        <w:rPr>
          <w:rFonts w:hint="default"/>
          <w:color w:val="auto"/>
          <w:lang w:val="en-US" w:eastAsia="zh-CN"/>
        </w:rPr>
        <w:t>（2）主要负责人和安全管理人员参加了培训，取得了资格证并在有效期内；特种作业人员能持证上岗，其他从业人员按照规定接受了安全生产教育和培训，并经考试合格后上岗。</w:t>
      </w:r>
    </w:p>
    <w:p w14:paraId="5D117E34">
      <w:pPr>
        <w:pStyle w:val="16"/>
        <w:bidi w:val="0"/>
        <w:rPr>
          <w:rFonts w:hint="default"/>
          <w:color w:val="auto"/>
          <w:lang w:val="en-US" w:eastAsia="zh-CN"/>
        </w:rPr>
      </w:pPr>
      <w:r>
        <w:rPr>
          <w:rFonts w:hint="default"/>
          <w:color w:val="auto"/>
          <w:lang w:val="en-US" w:eastAsia="zh-CN"/>
        </w:rPr>
        <w:t>（3）成立了安全科，负责全矿的安全生产管理工作。</w:t>
      </w:r>
    </w:p>
    <w:p w14:paraId="04D382BB">
      <w:pPr>
        <w:pStyle w:val="16"/>
        <w:bidi w:val="0"/>
        <w:rPr>
          <w:rFonts w:hint="default"/>
          <w:color w:val="auto"/>
          <w:lang w:val="en-US" w:eastAsia="zh-CN"/>
        </w:rPr>
      </w:pPr>
      <w:r>
        <w:rPr>
          <w:rFonts w:hint="default"/>
          <w:color w:val="auto"/>
          <w:lang w:val="en-US" w:eastAsia="zh-CN"/>
        </w:rPr>
        <w:t>（4）建立健全了安全生产责任制；制定了较完善的安全生产规章制度、岗位责任制及各工种操作规程。</w:t>
      </w:r>
    </w:p>
    <w:p w14:paraId="5B75F676">
      <w:pPr>
        <w:pStyle w:val="16"/>
        <w:bidi w:val="0"/>
        <w:rPr>
          <w:rFonts w:hint="default"/>
          <w:color w:val="auto"/>
          <w:lang w:val="en-US" w:eastAsia="zh-CN"/>
        </w:rPr>
      </w:pPr>
      <w:r>
        <w:rPr>
          <w:rFonts w:hint="default"/>
          <w:color w:val="auto"/>
          <w:lang w:val="en-US" w:eastAsia="zh-CN"/>
        </w:rPr>
        <w:t>（5）企业与职工签订了劳动合同；为职工缴纳了安全生产责任险及工伤保险，保额符合相关规定。</w:t>
      </w:r>
    </w:p>
    <w:p w14:paraId="1C632ACA">
      <w:pPr>
        <w:pStyle w:val="16"/>
        <w:bidi w:val="0"/>
        <w:rPr>
          <w:rFonts w:hint="default"/>
          <w:color w:val="auto"/>
          <w:lang w:val="en-US" w:eastAsia="zh-CN"/>
        </w:rPr>
      </w:pPr>
      <w:r>
        <w:rPr>
          <w:rFonts w:hint="default"/>
          <w:color w:val="auto"/>
          <w:lang w:val="en-US" w:eastAsia="zh-CN"/>
        </w:rPr>
        <w:t>（6）向职工发放了符合国家标准和行业标准的劳动保护用品。</w:t>
      </w:r>
    </w:p>
    <w:p w14:paraId="5FDF2B37">
      <w:pPr>
        <w:pStyle w:val="16"/>
        <w:bidi w:val="0"/>
        <w:rPr>
          <w:rFonts w:hint="default"/>
          <w:color w:val="auto"/>
          <w:lang w:val="en-US" w:eastAsia="zh-CN"/>
        </w:rPr>
      </w:pPr>
      <w:r>
        <w:rPr>
          <w:rFonts w:hint="default"/>
          <w:color w:val="auto"/>
          <w:lang w:val="en-US" w:eastAsia="zh-CN"/>
        </w:rPr>
        <w:t>（7）按照有关规定提取并使用安全技术措施专项经费，有本年度使用台账及使用计划。</w:t>
      </w:r>
    </w:p>
    <w:p w14:paraId="3F154AF6">
      <w:pPr>
        <w:pStyle w:val="16"/>
        <w:bidi w:val="0"/>
        <w:rPr>
          <w:rFonts w:hint="default"/>
          <w:color w:val="auto"/>
          <w:lang w:val="en-US" w:eastAsia="zh-CN"/>
        </w:rPr>
      </w:pPr>
      <w:r>
        <w:rPr>
          <w:rFonts w:hint="default"/>
          <w:color w:val="auto"/>
          <w:lang w:val="en-US" w:eastAsia="zh-CN"/>
        </w:rPr>
        <w:t>（8）编制了生产安全事故综合应急预案等预案，并在</w:t>
      </w:r>
      <w:r>
        <w:rPr>
          <w:rFonts w:hint="eastAsia"/>
          <w:color w:val="auto"/>
          <w:lang w:val="en-US" w:eastAsia="zh-CN"/>
        </w:rPr>
        <w:t>岫岩满族自治县</w:t>
      </w:r>
      <w:r>
        <w:rPr>
          <w:rFonts w:hint="default"/>
          <w:color w:val="auto"/>
          <w:lang w:val="en-US" w:eastAsia="zh-CN"/>
        </w:rPr>
        <w:t>应急管理局进行了备案。</w:t>
      </w:r>
    </w:p>
    <w:p w14:paraId="2D1C545E">
      <w:pPr>
        <w:pStyle w:val="16"/>
        <w:bidi w:val="0"/>
        <w:rPr>
          <w:rFonts w:hint="default"/>
          <w:color w:val="auto"/>
          <w:lang w:val="en-US" w:eastAsia="zh-CN"/>
        </w:rPr>
      </w:pPr>
      <w:r>
        <w:rPr>
          <w:rFonts w:hint="default"/>
          <w:color w:val="auto"/>
          <w:lang w:val="en-US" w:eastAsia="zh-CN"/>
        </w:rPr>
        <w:t>（9）</w:t>
      </w:r>
      <w:r>
        <w:rPr>
          <w:rFonts w:hint="eastAsia"/>
          <w:color w:val="auto"/>
        </w:rPr>
        <w:t>鞍山东盛源矿业有限公司</w:t>
      </w:r>
      <w:r>
        <w:rPr>
          <w:rFonts w:hint="default"/>
          <w:color w:val="auto"/>
          <w:lang w:val="en-US" w:eastAsia="zh-CN"/>
        </w:rPr>
        <w:t>与</w:t>
      </w:r>
      <w:r>
        <w:rPr>
          <w:rFonts w:hint="eastAsia"/>
          <w:color w:val="auto"/>
          <w:lang w:val="en-US" w:eastAsia="zh-CN"/>
        </w:rPr>
        <w:t>岫岩满族自治县富山矿业有限公司</w:t>
      </w:r>
      <w:r>
        <w:rPr>
          <w:rFonts w:hint="default"/>
          <w:color w:val="auto"/>
          <w:lang w:val="en-US" w:eastAsia="zh-CN"/>
        </w:rPr>
        <w:t>签订了</w:t>
      </w:r>
      <w:r>
        <w:rPr>
          <w:rFonts w:hint="eastAsia"/>
          <w:color w:val="auto"/>
          <w:lang w:val="en-US" w:eastAsia="zh-CN"/>
        </w:rPr>
        <w:t>救援合作协议</w:t>
      </w:r>
      <w:r>
        <w:rPr>
          <w:rFonts w:hint="default"/>
          <w:color w:val="auto"/>
          <w:lang w:val="en-US" w:eastAsia="zh-CN"/>
        </w:rPr>
        <w:t>书；矿山配备了较齐全的应急物资、装备和设施。</w:t>
      </w:r>
    </w:p>
    <w:p w14:paraId="139E10B0">
      <w:pPr>
        <w:pStyle w:val="16"/>
        <w:bidi w:val="0"/>
        <w:rPr>
          <w:rFonts w:hint="default"/>
          <w:color w:val="auto"/>
          <w:lang w:val="en-US" w:eastAsia="zh-CN"/>
        </w:rPr>
      </w:pPr>
      <w:r>
        <w:rPr>
          <w:rFonts w:hint="default"/>
          <w:color w:val="auto"/>
          <w:lang w:val="en-US" w:eastAsia="zh-CN"/>
        </w:rPr>
        <w:t>（10）露天采场的运输道路的技术参数符合设计和相关规程的要求。</w:t>
      </w:r>
    </w:p>
    <w:p w14:paraId="1B5F3D5A">
      <w:pPr>
        <w:pStyle w:val="16"/>
        <w:bidi w:val="0"/>
        <w:rPr>
          <w:rFonts w:hint="default"/>
          <w:color w:val="auto"/>
          <w:lang w:val="en-US" w:eastAsia="zh-CN"/>
        </w:rPr>
      </w:pPr>
      <w:r>
        <w:rPr>
          <w:rFonts w:hint="default"/>
          <w:color w:val="auto"/>
          <w:lang w:val="en-US" w:eastAsia="zh-CN"/>
        </w:rPr>
        <w:t>（11）采用潜孔钻机进行穿孔作业，乳化炸药爆破，二次破碎用液压挖掘机配破碎锤，矿山爆破警戒线为</w:t>
      </w:r>
      <w:r>
        <w:rPr>
          <w:rFonts w:hint="eastAsia"/>
          <w:color w:val="auto"/>
          <w:lang w:val="en-US" w:eastAsia="zh-CN"/>
        </w:rPr>
        <w:t>3</w:t>
      </w:r>
      <w:r>
        <w:rPr>
          <w:rFonts w:hint="default"/>
          <w:color w:val="auto"/>
          <w:lang w:val="en-US" w:eastAsia="zh-CN"/>
        </w:rPr>
        <w:t>00m，采场内设置了避炮房。</w:t>
      </w:r>
    </w:p>
    <w:p w14:paraId="2CD33F50">
      <w:pPr>
        <w:pStyle w:val="16"/>
        <w:bidi w:val="0"/>
        <w:rPr>
          <w:rFonts w:hint="default"/>
          <w:color w:val="auto"/>
          <w:lang w:val="en-US" w:eastAsia="zh-CN"/>
        </w:rPr>
      </w:pPr>
      <w:r>
        <w:rPr>
          <w:rFonts w:hint="default"/>
          <w:color w:val="auto"/>
          <w:lang w:val="en-US" w:eastAsia="zh-CN"/>
        </w:rPr>
        <w:t>（12）采用液压挖掘机进行机械化铲装作业，采用公路运输作业。</w:t>
      </w:r>
    </w:p>
    <w:p w14:paraId="5627A245">
      <w:pPr>
        <w:pStyle w:val="16"/>
        <w:bidi w:val="0"/>
        <w:rPr>
          <w:rFonts w:hint="default"/>
          <w:color w:val="auto"/>
          <w:lang w:val="en-US" w:eastAsia="zh-CN"/>
        </w:rPr>
      </w:pPr>
      <w:r>
        <w:rPr>
          <w:rFonts w:hint="default"/>
          <w:color w:val="auto"/>
          <w:lang w:val="en-US" w:eastAsia="zh-CN"/>
        </w:rPr>
        <w:t>（13）矿山现状情况下为山坡露天矿，不需要设置</w:t>
      </w:r>
      <w:r>
        <w:rPr>
          <w:rFonts w:hint="eastAsia"/>
          <w:color w:val="auto"/>
          <w:lang w:val="en-US" w:eastAsia="zh-CN"/>
        </w:rPr>
        <w:t>机械</w:t>
      </w:r>
      <w:r>
        <w:rPr>
          <w:rFonts w:hint="default"/>
          <w:color w:val="auto"/>
          <w:lang w:val="en-US" w:eastAsia="zh-CN"/>
        </w:rPr>
        <w:t>排水设施。</w:t>
      </w:r>
    </w:p>
    <w:p w14:paraId="302BA561">
      <w:pPr>
        <w:pStyle w:val="16"/>
        <w:bidi w:val="0"/>
        <w:rPr>
          <w:rFonts w:hint="default"/>
          <w:color w:val="auto"/>
          <w:lang w:val="en-US" w:eastAsia="zh-CN"/>
        </w:rPr>
      </w:pPr>
      <w:r>
        <w:rPr>
          <w:rFonts w:hint="default"/>
          <w:color w:val="auto"/>
          <w:lang w:val="en-US" w:eastAsia="zh-CN"/>
        </w:rPr>
        <w:t>（14）有具有资质的设计单位编制的初步设计和符合实际情况的图纸。</w:t>
      </w:r>
    </w:p>
    <w:p w14:paraId="2ECC274B">
      <w:pPr>
        <w:pStyle w:val="23"/>
        <w:bidi w:val="0"/>
        <w:rPr>
          <w:rFonts w:hint="eastAsia"/>
          <w:color w:val="auto"/>
        </w:rPr>
      </w:pPr>
      <w:bookmarkStart w:id="58" w:name="_Toc2470"/>
      <w:bookmarkStart w:id="59" w:name="_Toc31858"/>
      <w:bookmarkStart w:id="60" w:name="_Toc24305"/>
      <w:r>
        <w:rPr>
          <w:rFonts w:hint="eastAsia"/>
          <w:color w:val="auto"/>
        </w:rPr>
        <w:t>各评价单元的评价结果</w:t>
      </w:r>
      <w:bookmarkEnd w:id="58"/>
      <w:bookmarkEnd w:id="59"/>
      <w:bookmarkEnd w:id="60"/>
    </w:p>
    <w:p w14:paraId="6D193C54">
      <w:pPr>
        <w:pStyle w:val="16"/>
        <w:bidi w:val="0"/>
        <w:rPr>
          <w:rFonts w:hint="eastAsia"/>
          <w:color w:val="auto"/>
        </w:rPr>
      </w:pPr>
      <w:r>
        <w:rPr>
          <w:rFonts w:hint="eastAsia"/>
          <w:color w:val="auto"/>
        </w:rPr>
        <w:t>通过对鞍山东盛源矿业有限公司露天矿山各单元评价的归纳与整合，各评价单元的评价结果如下：</w:t>
      </w:r>
    </w:p>
    <w:p w14:paraId="6AD2A2FF">
      <w:pPr>
        <w:pStyle w:val="24"/>
        <w:bidi w:val="0"/>
        <w:rPr>
          <w:rFonts w:hint="eastAsia"/>
          <w:color w:val="auto"/>
        </w:rPr>
      </w:pPr>
      <w:r>
        <w:rPr>
          <w:rFonts w:hint="eastAsia"/>
          <w:color w:val="auto"/>
        </w:rPr>
        <w:t>安全生产管理</w:t>
      </w:r>
    </w:p>
    <w:p w14:paraId="743F46BE">
      <w:pPr>
        <w:pStyle w:val="16"/>
        <w:bidi w:val="0"/>
        <w:rPr>
          <w:rFonts w:hint="eastAsia"/>
          <w:color w:val="auto"/>
        </w:rPr>
      </w:pPr>
      <w:r>
        <w:rPr>
          <w:rFonts w:hint="eastAsia"/>
          <w:color w:val="auto"/>
        </w:rPr>
        <w:t>鞍山东盛源矿业有限公司露天矿山安全生产管理方面做了大量的工作。矿床开采基础资料齐全；做到了持证生产与有照经营；主要负责人、安全管理人员及特种作业人员均能持证上岗，证书有效；设立了安全科并负责日常安全生产工作；建立健全了安全生产责任制，制定了安全生产规章制度和岗位操作规程且健全；为职工足额的缴纳了安全生产责任险和工伤保险；编制了事故应急预案，并进行了备案；按时向职工发放符合国家标准或行业标准的劳动保护用品；按规定提取和使用了安全措施专项经费。</w:t>
      </w:r>
    </w:p>
    <w:p w14:paraId="13094095">
      <w:pPr>
        <w:pStyle w:val="16"/>
        <w:bidi w:val="0"/>
        <w:rPr>
          <w:rFonts w:hint="eastAsia"/>
          <w:color w:val="auto"/>
        </w:rPr>
      </w:pPr>
      <w:r>
        <w:rPr>
          <w:rFonts w:hint="eastAsia"/>
          <w:color w:val="auto"/>
        </w:rPr>
        <w:t>鞍山东盛源矿业有限公司露天矿山安全生产管理满足安全生产需求，符合法律法规标准的规定，有利于保障安全生产。</w:t>
      </w:r>
    </w:p>
    <w:p w14:paraId="101308EC">
      <w:pPr>
        <w:pStyle w:val="24"/>
        <w:bidi w:val="0"/>
        <w:rPr>
          <w:rFonts w:hint="eastAsia"/>
          <w:color w:val="auto"/>
        </w:rPr>
      </w:pPr>
      <w:r>
        <w:rPr>
          <w:rFonts w:hint="eastAsia"/>
          <w:color w:val="auto"/>
        </w:rPr>
        <w:t>露天开采</w:t>
      </w:r>
    </w:p>
    <w:p w14:paraId="46806F67">
      <w:pPr>
        <w:pStyle w:val="16"/>
        <w:bidi w:val="0"/>
        <w:rPr>
          <w:rFonts w:hint="eastAsia"/>
          <w:color w:val="auto"/>
        </w:rPr>
      </w:pPr>
      <w:r>
        <w:rPr>
          <w:rFonts w:hint="eastAsia"/>
          <w:color w:val="auto"/>
        </w:rPr>
        <w:t>该矿露天采场按照设计施工，台阶高度</w:t>
      </w:r>
      <w:r>
        <w:rPr>
          <w:rFonts w:hint="eastAsia"/>
          <w:color w:val="auto"/>
          <w:lang w:val="en-US" w:eastAsia="zh-CN"/>
        </w:rPr>
        <w:t>10</w:t>
      </w:r>
      <w:r>
        <w:rPr>
          <w:rFonts w:hint="eastAsia"/>
          <w:color w:val="auto"/>
        </w:rPr>
        <w:t>m</w:t>
      </w:r>
      <w:r>
        <w:rPr>
          <w:rFonts w:hint="eastAsia"/>
          <w:color w:val="auto"/>
          <w:lang w:val="en-US" w:eastAsia="zh-CN"/>
        </w:rPr>
        <w:t>，</w:t>
      </w:r>
      <w:r>
        <w:rPr>
          <w:rFonts w:hint="eastAsia"/>
          <w:color w:val="auto"/>
        </w:rPr>
        <w:t>工作平台宽度大于</w:t>
      </w:r>
      <w:r>
        <w:rPr>
          <w:rFonts w:hint="eastAsia"/>
          <w:color w:val="auto"/>
          <w:lang w:val="en-US" w:eastAsia="zh-CN"/>
        </w:rPr>
        <w:t>15</w:t>
      </w:r>
      <w:r>
        <w:rPr>
          <w:rFonts w:hint="eastAsia"/>
          <w:color w:val="auto"/>
        </w:rPr>
        <w:t>m；采用潜孔钻机进行穿孔作业；采用液压挖掘机进行机械化铲装作业，采用公路汽车运输作业；危险区域与矿山边界设置了警戒线及警示标志；在运输道路外侧设置了挡车墙，在道路转弯处设置了减速慢行警示标志。</w:t>
      </w:r>
    </w:p>
    <w:p w14:paraId="6E10DAE2">
      <w:pPr>
        <w:pStyle w:val="16"/>
        <w:bidi w:val="0"/>
        <w:rPr>
          <w:rFonts w:hint="eastAsia" w:ascii="宋体" w:hAnsi="宋体" w:cs="宋体"/>
          <w:color w:val="auto"/>
          <w:szCs w:val="28"/>
        </w:rPr>
      </w:pPr>
      <w:r>
        <w:rPr>
          <w:rFonts w:hint="eastAsia"/>
          <w:color w:val="auto"/>
        </w:rPr>
        <w:t>综上所述，鞍山东盛源矿业有限公司露天矿山满足安全要求。</w:t>
      </w:r>
    </w:p>
    <w:p w14:paraId="59344C8F">
      <w:pPr>
        <w:pStyle w:val="24"/>
        <w:bidi w:val="0"/>
        <w:rPr>
          <w:rFonts w:hint="eastAsia"/>
          <w:color w:val="auto"/>
        </w:rPr>
      </w:pPr>
      <w:r>
        <w:rPr>
          <w:rFonts w:hint="eastAsia"/>
          <w:color w:val="auto"/>
        </w:rPr>
        <w:t>周边环境</w:t>
      </w:r>
    </w:p>
    <w:p w14:paraId="2DB724C6">
      <w:pPr>
        <w:pStyle w:val="16"/>
        <w:bidi w:val="0"/>
        <w:rPr>
          <w:rFonts w:hint="eastAsia"/>
          <w:color w:val="auto"/>
        </w:rPr>
      </w:pPr>
      <w:r>
        <w:rPr>
          <w:rFonts w:hint="eastAsia"/>
          <w:color w:val="auto"/>
        </w:rPr>
        <w:t>鞍山东盛源矿业有限公司露天矿山周边环境良好，满足安全要求。</w:t>
      </w:r>
    </w:p>
    <w:p w14:paraId="1E594488">
      <w:pPr>
        <w:pStyle w:val="24"/>
        <w:bidi w:val="0"/>
        <w:rPr>
          <w:rFonts w:hint="eastAsia"/>
          <w:color w:val="auto"/>
        </w:rPr>
      </w:pPr>
      <w:r>
        <w:rPr>
          <w:rFonts w:hint="eastAsia"/>
          <w:color w:val="auto"/>
        </w:rPr>
        <w:t>重大事故隐患判定标准</w:t>
      </w:r>
    </w:p>
    <w:p w14:paraId="71FA7B34">
      <w:pPr>
        <w:pStyle w:val="16"/>
        <w:keepNext w:val="0"/>
        <w:keepLines w:val="0"/>
        <w:pageBreakBefore w:val="0"/>
        <w:widowControl w:val="0"/>
        <w:kinsoku/>
        <w:wordWrap/>
        <w:overflowPunct/>
        <w:topLinePunct w:val="0"/>
        <w:autoSpaceDE/>
        <w:autoSpaceDN/>
        <w:bidi w:val="0"/>
        <w:adjustRightInd w:val="0"/>
        <w:snapToGrid w:val="0"/>
        <w:textAlignment w:val="auto"/>
        <w:rPr>
          <w:rFonts w:hint="eastAsia"/>
          <w:color w:val="auto"/>
        </w:rPr>
      </w:pPr>
      <w:r>
        <w:rPr>
          <w:rFonts w:hint="eastAsia"/>
          <w:color w:val="auto"/>
        </w:rPr>
        <w:t>依据国家矿山安全监察局关于印发《金属非金属矿山重大事故隐患判定标准》的通知（矿安〔2022〕88号）和《国家矿山安全监察局关于印发&lt;金属非金属矿山重大事故隐患判定标准补充情形&gt;的通知》（矿安〔2024〕41号）文件要求，采用安全检查表法对鞍山东盛源矿业有限公司露天矿山是否存在重大生产安全事故隐患进行判定，除</w:t>
      </w:r>
      <w:r>
        <w:rPr>
          <w:rFonts w:hint="eastAsia"/>
          <w:color w:val="auto"/>
          <w:lang w:val="en-US" w:eastAsia="zh-CN"/>
        </w:rPr>
        <w:t>5</w:t>
      </w:r>
      <w:r>
        <w:rPr>
          <w:rFonts w:hint="eastAsia"/>
          <w:color w:val="auto"/>
        </w:rPr>
        <w:t>项不涉及外，结果全部符合安全要求，因此，鞍山东盛源矿业有限公司露天矿山目前不存在重大生产安全事故隐患。</w:t>
      </w:r>
    </w:p>
    <w:p w14:paraId="68C0466C">
      <w:pPr>
        <w:pStyle w:val="24"/>
        <w:bidi w:val="0"/>
        <w:rPr>
          <w:rFonts w:hint="eastAsia"/>
          <w:color w:val="auto"/>
        </w:rPr>
      </w:pPr>
      <w:r>
        <w:rPr>
          <w:rFonts w:hint="eastAsia"/>
          <w:color w:val="auto"/>
        </w:rPr>
        <w:t>延期换证审核</w:t>
      </w:r>
    </w:p>
    <w:p w14:paraId="60F6559C">
      <w:pPr>
        <w:pStyle w:val="16"/>
        <w:bidi w:val="0"/>
        <w:rPr>
          <w:rFonts w:hint="eastAsia"/>
          <w:color w:val="auto"/>
        </w:rPr>
      </w:pPr>
      <w:r>
        <w:rPr>
          <w:rFonts w:hint="eastAsia"/>
          <w:color w:val="auto"/>
        </w:rPr>
        <w:t>依据《辽宁省安全生产监督管理局关于进一步规范非煤矿矿山安全生产行政许可管理工作的通知》（辽安监非煤〔2018〕29号）文件要求，采用安全检查表法对鞍山东盛源矿业有限公司露天矿山延期非煤矿矿山安全生产许可证进行判定，结果符合延期换证的要求。</w:t>
      </w:r>
    </w:p>
    <w:p w14:paraId="1CBCFAC1">
      <w:pPr>
        <w:pStyle w:val="23"/>
        <w:bidi w:val="0"/>
        <w:rPr>
          <w:rFonts w:hint="default"/>
          <w:color w:val="auto"/>
          <w:lang w:val="en-US" w:eastAsia="zh-CN"/>
        </w:rPr>
      </w:pPr>
      <w:bookmarkStart w:id="61" w:name="_Toc6084"/>
      <w:r>
        <w:rPr>
          <w:rFonts w:hint="eastAsia"/>
          <w:color w:val="auto"/>
          <w:lang w:val="en-US" w:eastAsia="zh-CN"/>
        </w:rPr>
        <w:t>结论</w:t>
      </w:r>
      <w:bookmarkEnd w:id="61"/>
    </w:p>
    <w:p w14:paraId="5E78FF40">
      <w:pPr>
        <w:pStyle w:val="16"/>
        <w:bidi w:val="0"/>
        <w:rPr>
          <w:rFonts w:hint="eastAsia"/>
          <w:color w:val="auto"/>
        </w:rPr>
      </w:pPr>
      <w:r>
        <w:rPr>
          <w:rFonts w:hint="eastAsia"/>
          <w:color w:val="auto"/>
        </w:rPr>
        <w:t>本项目潜在的主要危险、有害因素包括滑坡与坍塌、放炮、车辆伤害、高处坠落与物体打击、机械伤害、触电伤害、水灾、火灾、泥石流、雷击、地震、粉尘等。其中，本项目中滑坡与坍塌、放炮、车辆伤害是本项目存在的主要危险因素，需要特别引起注意；其次是高处坠落与物体打击、机械伤害、触电伤害、水灾、火灾、泥石流、雷击、粉尘危险性较小，但也应引起注意。</w:t>
      </w:r>
    </w:p>
    <w:p w14:paraId="6DEE966D">
      <w:pPr>
        <w:pStyle w:val="16"/>
        <w:bidi w:val="0"/>
        <w:rPr>
          <w:rFonts w:hint="eastAsia"/>
          <w:color w:val="auto"/>
        </w:rPr>
      </w:pPr>
      <w:r>
        <w:rPr>
          <w:rFonts w:hint="eastAsia"/>
          <w:color w:val="auto"/>
        </w:rPr>
        <w:t>评价组深入现场对</w:t>
      </w:r>
      <w:r>
        <w:rPr>
          <w:rFonts w:hint="eastAsia"/>
          <w:color w:val="auto"/>
          <w:lang w:eastAsia="zh-CN"/>
        </w:rPr>
        <w:t>鞍山东盛源矿业有限公司</w:t>
      </w:r>
      <w:r>
        <w:rPr>
          <w:rFonts w:hint="eastAsia"/>
          <w:color w:val="auto"/>
        </w:rPr>
        <w:t>露天矿山进行了调研，依据国家、省有关法规、行业标准以及</w:t>
      </w:r>
      <w:r>
        <w:rPr>
          <w:rFonts w:hint="eastAsia"/>
          <w:color w:val="auto"/>
          <w:lang w:eastAsia="zh-CN"/>
        </w:rPr>
        <w:t>鞍山东盛源矿业有限公司</w:t>
      </w:r>
      <w:r>
        <w:rPr>
          <w:rFonts w:hint="eastAsia"/>
          <w:color w:val="auto"/>
        </w:rPr>
        <w:t>露天矿山提供的有关开采相关设计，对其存在的危险、有害因素进行了定性、定量的分析与评价。</w:t>
      </w:r>
    </w:p>
    <w:p w14:paraId="795E042A">
      <w:pPr>
        <w:pStyle w:val="16"/>
        <w:bidi w:val="0"/>
        <w:rPr>
          <w:rFonts w:hint="eastAsia"/>
          <w:color w:val="auto"/>
        </w:rPr>
      </w:pPr>
      <w:r>
        <w:rPr>
          <w:rFonts w:hint="eastAsia"/>
          <w:color w:val="auto"/>
        </w:rPr>
        <w:t>按照科学、严谨、客观、公正的原则，本着对工作高度负责的精神，依据国家及地方政府的相关法律、法规、文件及规范的规定，我辽宁诺诚安全科技有限公司综合认定：</w:t>
      </w:r>
      <w:r>
        <w:rPr>
          <w:rFonts w:hint="eastAsia"/>
          <w:color w:val="auto"/>
          <w:lang w:eastAsia="zh-CN"/>
        </w:rPr>
        <w:t>鞍山东盛源矿业有限公司</w:t>
      </w:r>
      <w:r>
        <w:rPr>
          <w:rFonts w:hint="eastAsia"/>
          <w:color w:val="auto"/>
        </w:rPr>
        <w:t>是按照</w:t>
      </w:r>
      <w:r>
        <w:rPr>
          <w:rFonts w:hint="eastAsia"/>
          <w:color w:val="auto"/>
          <w:lang w:val="en-US" w:eastAsia="zh-CN"/>
        </w:rPr>
        <w:t>补充设计</w:t>
      </w:r>
      <w:r>
        <w:rPr>
          <w:rFonts w:hint="eastAsia"/>
          <w:color w:val="auto"/>
        </w:rPr>
        <w:t>组织生产，与设计相符，具备安全生产条件。满足《辽宁省安全生产监督管理局关于进一步规范非煤矿矿山安全生产行政许可管理工作的通知》（辽安监非煤〔2018〕29号）和《国家矿山监察局关于进一步加强非煤矿山安全生产行政许可工作的通知》（矿安〔2024〕70号）提出的安全生产许可证延期换证条件。</w:t>
      </w:r>
    </w:p>
    <w:p w14:paraId="2E1CBD4F">
      <w:pPr>
        <w:pStyle w:val="22"/>
        <w:bidi w:val="0"/>
        <w:rPr>
          <w:rFonts w:hint="default"/>
          <w:color w:val="auto"/>
          <w:lang w:val="en-US" w:eastAsia="zh-CN"/>
        </w:rPr>
      </w:pPr>
      <w:bookmarkStart w:id="62" w:name="_Toc13529"/>
      <w:r>
        <w:rPr>
          <w:rFonts w:hint="eastAsia"/>
          <w:color w:val="auto"/>
          <w:lang w:val="en-US" w:eastAsia="zh-CN"/>
        </w:rPr>
        <w:t>附件</w:t>
      </w:r>
      <w:bookmarkEnd w:id="62"/>
    </w:p>
    <w:p w14:paraId="1CEBABB9">
      <w:pPr>
        <w:pStyle w:val="16"/>
        <w:numPr>
          <w:ilvl w:val="0"/>
          <w:numId w:val="12"/>
        </w:numPr>
        <w:bidi w:val="0"/>
        <w:rPr>
          <w:rFonts w:hint="default"/>
          <w:color w:val="auto"/>
          <w:lang w:val="en-US" w:eastAsia="zh-CN"/>
        </w:rPr>
      </w:pPr>
      <w:r>
        <w:rPr>
          <w:rFonts w:hint="default"/>
          <w:color w:val="auto"/>
          <w:lang w:val="en-US" w:eastAsia="zh-CN"/>
        </w:rPr>
        <w:t>营业执照</w:t>
      </w:r>
    </w:p>
    <w:p w14:paraId="699873CA">
      <w:pPr>
        <w:pStyle w:val="16"/>
        <w:numPr>
          <w:ilvl w:val="0"/>
          <w:numId w:val="12"/>
        </w:numPr>
        <w:bidi w:val="0"/>
        <w:rPr>
          <w:rFonts w:hint="default"/>
          <w:color w:val="auto"/>
          <w:lang w:val="en-US" w:eastAsia="zh-CN"/>
        </w:rPr>
      </w:pPr>
      <w:r>
        <w:rPr>
          <w:rFonts w:hint="default"/>
          <w:color w:val="auto"/>
          <w:lang w:val="en-US" w:eastAsia="zh-CN"/>
        </w:rPr>
        <w:t>采矿许可证</w:t>
      </w:r>
    </w:p>
    <w:p w14:paraId="67CD551C">
      <w:pPr>
        <w:pStyle w:val="16"/>
        <w:numPr>
          <w:ilvl w:val="0"/>
          <w:numId w:val="12"/>
        </w:numPr>
        <w:bidi w:val="0"/>
        <w:rPr>
          <w:rFonts w:hint="default"/>
          <w:color w:val="auto"/>
          <w:lang w:val="en-US" w:eastAsia="zh-CN"/>
        </w:rPr>
      </w:pPr>
      <w:r>
        <w:rPr>
          <w:rFonts w:hint="default"/>
          <w:color w:val="auto"/>
          <w:lang w:val="en-US" w:eastAsia="zh-CN"/>
        </w:rPr>
        <w:t>安全生产许可证</w:t>
      </w:r>
    </w:p>
    <w:p w14:paraId="1E69BB5B">
      <w:pPr>
        <w:pStyle w:val="16"/>
        <w:numPr>
          <w:ilvl w:val="0"/>
          <w:numId w:val="12"/>
        </w:numPr>
        <w:bidi w:val="0"/>
        <w:rPr>
          <w:rFonts w:hint="default"/>
          <w:color w:val="auto"/>
          <w:lang w:val="en-US" w:eastAsia="zh-CN"/>
        </w:rPr>
      </w:pPr>
      <w:r>
        <w:rPr>
          <w:rFonts w:hint="default"/>
          <w:color w:val="auto"/>
          <w:lang w:val="en-US" w:eastAsia="zh-CN"/>
        </w:rPr>
        <w:t>关于成立安全科的通知</w:t>
      </w:r>
    </w:p>
    <w:p w14:paraId="213E7FC7">
      <w:pPr>
        <w:pStyle w:val="16"/>
        <w:numPr>
          <w:ilvl w:val="0"/>
          <w:numId w:val="12"/>
        </w:numPr>
        <w:bidi w:val="0"/>
        <w:rPr>
          <w:rFonts w:hint="default"/>
          <w:color w:val="auto"/>
          <w:lang w:val="en-US" w:eastAsia="zh-CN"/>
        </w:rPr>
      </w:pPr>
      <w:r>
        <w:rPr>
          <w:rFonts w:hint="default"/>
          <w:color w:val="auto"/>
          <w:lang w:val="en-US" w:eastAsia="zh-CN"/>
        </w:rPr>
        <w:t>关于任命“五职矿长”技术人员的通知</w:t>
      </w:r>
    </w:p>
    <w:p w14:paraId="349D6CDF">
      <w:pPr>
        <w:pStyle w:val="16"/>
        <w:numPr>
          <w:ilvl w:val="0"/>
          <w:numId w:val="12"/>
        </w:numPr>
        <w:bidi w:val="0"/>
        <w:rPr>
          <w:rFonts w:hint="default"/>
          <w:color w:val="auto"/>
          <w:lang w:val="en-US" w:eastAsia="zh-CN"/>
        </w:rPr>
      </w:pPr>
      <w:r>
        <w:rPr>
          <w:rFonts w:hint="default"/>
          <w:color w:val="auto"/>
          <w:lang w:val="en-US" w:eastAsia="zh-CN"/>
        </w:rPr>
        <w:t>关于任命“五科”技术人员的通知</w:t>
      </w:r>
    </w:p>
    <w:p w14:paraId="41FACE12">
      <w:pPr>
        <w:pStyle w:val="16"/>
        <w:numPr>
          <w:ilvl w:val="0"/>
          <w:numId w:val="12"/>
        </w:numPr>
        <w:bidi w:val="0"/>
        <w:rPr>
          <w:rFonts w:hint="default"/>
          <w:color w:val="auto"/>
          <w:lang w:val="en-US" w:eastAsia="zh-CN"/>
        </w:rPr>
      </w:pPr>
      <w:r>
        <w:rPr>
          <w:rFonts w:hint="default"/>
          <w:color w:val="auto"/>
          <w:lang w:val="en-US" w:eastAsia="zh-CN"/>
        </w:rPr>
        <w:t>主要负责人和专职安全生产管理人员的资格证书</w:t>
      </w:r>
    </w:p>
    <w:p w14:paraId="191A35B5">
      <w:pPr>
        <w:pStyle w:val="16"/>
        <w:numPr>
          <w:ilvl w:val="0"/>
          <w:numId w:val="12"/>
        </w:numPr>
        <w:bidi w:val="0"/>
        <w:rPr>
          <w:rFonts w:hint="default"/>
          <w:color w:val="auto"/>
          <w:lang w:val="en-US" w:eastAsia="zh-CN"/>
        </w:rPr>
      </w:pPr>
      <w:r>
        <w:rPr>
          <w:rFonts w:hint="default"/>
          <w:color w:val="auto"/>
          <w:lang w:val="en-US" w:eastAsia="zh-CN"/>
        </w:rPr>
        <w:t>五职矿长及五科技术人员证件</w:t>
      </w:r>
    </w:p>
    <w:p w14:paraId="7203E135">
      <w:pPr>
        <w:pStyle w:val="16"/>
        <w:numPr>
          <w:ilvl w:val="0"/>
          <w:numId w:val="12"/>
        </w:numPr>
        <w:bidi w:val="0"/>
        <w:rPr>
          <w:rFonts w:hint="default"/>
          <w:color w:val="auto"/>
          <w:lang w:val="en-US" w:eastAsia="zh-CN"/>
        </w:rPr>
      </w:pPr>
      <w:r>
        <w:rPr>
          <w:rFonts w:hint="eastAsia" w:ascii="宋体" w:hAnsi="宋体" w:cs="宋体"/>
          <w:color w:val="auto"/>
          <w:sz w:val="28"/>
          <w:szCs w:val="28"/>
        </w:rPr>
        <w:t>特种作业人员资格证</w:t>
      </w:r>
    </w:p>
    <w:p w14:paraId="701818DC">
      <w:pPr>
        <w:pStyle w:val="16"/>
        <w:numPr>
          <w:ilvl w:val="0"/>
          <w:numId w:val="12"/>
        </w:numPr>
        <w:bidi w:val="0"/>
        <w:rPr>
          <w:rFonts w:hint="default"/>
          <w:color w:val="auto"/>
          <w:lang w:val="en-US" w:eastAsia="zh-CN"/>
        </w:rPr>
      </w:pPr>
      <w:r>
        <w:rPr>
          <w:rFonts w:hint="eastAsia" w:ascii="宋体" w:hAnsi="宋体" w:cs="宋体"/>
          <w:color w:val="auto"/>
          <w:sz w:val="28"/>
          <w:szCs w:val="28"/>
        </w:rPr>
        <w:t>安责险和工伤保险凭证材料</w:t>
      </w:r>
    </w:p>
    <w:p w14:paraId="69254BD8">
      <w:pPr>
        <w:pStyle w:val="16"/>
        <w:numPr>
          <w:ilvl w:val="0"/>
          <w:numId w:val="12"/>
        </w:numPr>
        <w:bidi w:val="0"/>
        <w:rPr>
          <w:rFonts w:hint="default"/>
          <w:color w:val="auto"/>
          <w:lang w:val="en-US" w:eastAsia="zh-CN"/>
        </w:rPr>
      </w:pPr>
      <w:r>
        <w:rPr>
          <w:rFonts w:hint="eastAsia"/>
          <w:color w:val="auto"/>
          <w:lang w:val="en-US" w:eastAsia="zh-CN"/>
        </w:rPr>
        <w:t>成立兼职救援队文件</w:t>
      </w:r>
    </w:p>
    <w:p w14:paraId="25A169F9">
      <w:pPr>
        <w:pStyle w:val="16"/>
        <w:numPr>
          <w:ilvl w:val="0"/>
          <w:numId w:val="12"/>
        </w:numPr>
        <w:bidi w:val="0"/>
        <w:rPr>
          <w:rFonts w:hint="eastAsia"/>
          <w:color w:val="auto"/>
          <w:lang w:val="en-US" w:eastAsia="zh-CN"/>
        </w:rPr>
      </w:pPr>
      <w:r>
        <w:rPr>
          <w:rFonts w:hint="eastAsia"/>
          <w:color w:val="auto"/>
          <w:lang w:val="en-US" w:eastAsia="zh-CN"/>
        </w:rPr>
        <w:t>安全生产事故应急救援合作协议</w:t>
      </w:r>
    </w:p>
    <w:p w14:paraId="2262B532">
      <w:pPr>
        <w:pStyle w:val="16"/>
        <w:numPr>
          <w:ilvl w:val="0"/>
          <w:numId w:val="12"/>
        </w:numPr>
        <w:bidi w:val="0"/>
        <w:rPr>
          <w:rFonts w:hint="eastAsia"/>
          <w:color w:val="auto"/>
          <w:lang w:val="en-US" w:eastAsia="zh-CN"/>
        </w:rPr>
      </w:pPr>
      <w:r>
        <w:rPr>
          <w:rFonts w:hint="eastAsia"/>
          <w:color w:val="auto"/>
          <w:lang w:val="en-US" w:eastAsia="zh-CN"/>
        </w:rPr>
        <w:t>爆破作业“一体化”服务安全责任协议书</w:t>
      </w:r>
    </w:p>
    <w:p w14:paraId="49A56DD0">
      <w:pPr>
        <w:pStyle w:val="16"/>
        <w:numPr>
          <w:ilvl w:val="0"/>
          <w:numId w:val="12"/>
        </w:numPr>
        <w:bidi w:val="0"/>
        <w:rPr>
          <w:rFonts w:hint="eastAsia"/>
          <w:color w:val="auto"/>
          <w:lang w:val="en-US" w:eastAsia="zh-CN"/>
        </w:rPr>
      </w:pPr>
      <w:r>
        <w:rPr>
          <w:rFonts w:hint="eastAsia"/>
          <w:color w:val="auto"/>
          <w:lang w:val="en-US" w:eastAsia="zh-CN"/>
        </w:rPr>
        <w:t>爆破单位营业执照及爆破单位许可证</w:t>
      </w:r>
    </w:p>
    <w:p w14:paraId="78450266">
      <w:pPr>
        <w:pStyle w:val="16"/>
        <w:numPr>
          <w:ilvl w:val="0"/>
          <w:numId w:val="12"/>
        </w:numPr>
        <w:bidi w:val="0"/>
        <w:rPr>
          <w:rFonts w:hint="eastAsia"/>
          <w:color w:val="auto"/>
          <w:lang w:val="en-US" w:eastAsia="zh-CN"/>
        </w:rPr>
      </w:pPr>
      <w:r>
        <w:rPr>
          <w:rFonts w:hint="eastAsia"/>
          <w:color w:val="auto"/>
          <w:lang w:val="en-US" w:eastAsia="zh-CN"/>
        </w:rPr>
        <w:t>应急预案登记表、计划、方案、演练记录</w:t>
      </w:r>
    </w:p>
    <w:p w14:paraId="7F91ACB6">
      <w:pPr>
        <w:pStyle w:val="16"/>
        <w:numPr>
          <w:ilvl w:val="0"/>
          <w:numId w:val="12"/>
        </w:numPr>
        <w:bidi w:val="0"/>
        <w:rPr>
          <w:rFonts w:hint="eastAsia"/>
          <w:color w:val="auto"/>
          <w:lang w:val="en-US" w:eastAsia="zh-CN"/>
        </w:rPr>
      </w:pPr>
      <w:r>
        <w:rPr>
          <w:rFonts w:hint="eastAsia"/>
          <w:color w:val="auto"/>
          <w:lang w:val="en-US" w:eastAsia="zh-CN"/>
        </w:rPr>
        <w:t>2025年安全生产费用足额提取计划及使用</w:t>
      </w:r>
    </w:p>
    <w:p w14:paraId="70FF7B3B">
      <w:pPr>
        <w:pStyle w:val="16"/>
        <w:numPr>
          <w:ilvl w:val="0"/>
          <w:numId w:val="12"/>
        </w:numPr>
        <w:bidi w:val="0"/>
        <w:rPr>
          <w:rFonts w:hint="eastAsia"/>
          <w:color w:val="auto"/>
          <w:lang w:val="en-US" w:eastAsia="zh-CN"/>
        </w:rPr>
      </w:pPr>
      <w:r>
        <w:rPr>
          <w:rFonts w:hint="eastAsia"/>
          <w:color w:val="auto"/>
          <w:lang w:val="en-US" w:eastAsia="zh-CN"/>
        </w:rPr>
        <w:t>注册安全工程师证件</w:t>
      </w:r>
    </w:p>
    <w:p w14:paraId="48BC7379">
      <w:pPr>
        <w:pStyle w:val="16"/>
        <w:numPr>
          <w:ilvl w:val="0"/>
          <w:numId w:val="12"/>
        </w:numPr>
        <w:bidi w:val="0"/>
        <w:rPr>
          <w:rFonts w:hint="eastAsia"/>
          <w:color w:val="auto"/>
          <w:lang w:val="en-US" w:eastAsia="zh-CN"/>
        </w:rPr>
      </w:pPr>
      <w:r>
        <w:rPr>
          <w:rFonts w:hint="eastAsia"/>
          <w:color w:val="auto"/>
          <w:lang w:val="en-US" w:eastAsia="zh-CN"/>
        </w:rPr>
        <w:t>安全生产责任制、安全生产规章制度、安全技术操作规程</w:t>
      </w:r>
    </w:p>
    <w:p w14:paraId="3A6909FD">
      <w:pPr>
        <w:pStyle w:val="16"/>
        <w:numPr>
          <w:ilvl w:val="0"/>
          <w:numId w:val="12"/>
        </w:numPr>
        <w:bidi w:val="0"/>
        <w:rPr>
          <w:rFonts w:hint="eastAsia"/>
          <w:color w:val="auto"/>
          <w:lang w:val="en-US" w:eastAsia="zh-CN"/>
        </w:rPr>
      </w:pPr>
      <w:r>
        <w:rPr>
          <w:rFonts w:hint="eastAsia"/>
          <w:color w:val="auto"/>
          <w:lang w:val="en-US" w:eastAsia="zh-CN"/>
        </w:rPr>
        <w:t>情况说明</w:t>
      </w:r>
    </w:p>
    <w:p w14:paraId="46A8C5FD">
      <w:pPr>
        <w:pStyle w:val="22"/>
        <w:bidi w:val="0"/>
        <w:rPr>
          <w:rFonts w:hint="eastAsia"/>
          <w:color w:val="auto"/>
          <w:lang w:val="en-US" w:eastAsia="zh-CN"/>
        </w:rPr>
      </w:pPr>
      <w:bookmarkStart w:id="63" w:name="_Toc10473"/>
      <w:r>
        <w:rPr>
          <w:rFonts w:hint="eastAsia"/>
          <w:color w:val="auto"/>
          <w:lang w:val="en-US" w:eastAsia="zh-CN"/>
        </w:rPr>
        <w:t>附图</w:t>
      </w:r>
      <w:bookmarkEnd w:id="63"/>
    </w:p>
    <w:p w14:paraId="569DB84D">
      <w:pPr>
        <w:pStyle w:val="16"/>
        <w:numPr>
          <w:ilvl w:val="0"/>
          <w:numId w:val="13"/>
        </w:numPr>
        <w:bidi w:val="0"/>
        <w:rPr>
          <w:rFonts w:hint="eastAsia"/>
          <w:color w:val="auto"/>
          <w:lang w:val="en-US" w:eastAsia="zh-CN"/>
        </w:rPr>
      </w:pPr>
      <w:r>
        <w:rPr>
          <w:rFonts w:hint="eastAsia"/>
          <w:color w:val="auto"/>
          <w:lang w:val="en-US" w:eastAsia="zh-CN"/>
        </w:rPr>
        <w:t>总平面布置图</w:t>
      </w:r>
    </w:p>
    <w:p w14:paraId="626902ED">
      <w:pPr>
        <w:pStyle w:val="16"/>
        <w:numPr>
          <w:ilvl w:val="0"/>
          <w:numId w:val="13"/>
        </w:numPr>
        <w:bidi w:val="0"/>
        <w:rPr>
          <w:rFonts w:hint="eastAsia"/>
          <w:color w:val="auto"/>
          <w:lang w:val="en-US" w:eastAsia="zh-CN"/>
        </w:rPr>
      </w:pPr>
      <w:r>
        <w:rPr>
          <w:rFonts w:hint="eastAsia"/>
          <w:color w:val="auto"/>
          <w:lang w:val="en-US" w:eastAsia="zh-CN"/>
        </w:rPr>
        <w:t>现状图</w:t>
      </w:r>
    </w:p>
    <w:p w14:paraId="3E0114B8">
      <w:pPr>
        <w:pStyle w:val="16"/>
        <w:numPr>
          <w:ilvl w:val="0"/>
          <w:numId w:val="13"/>
        </w:numPr>
        <w:bidi w:val="0"/>
        <w:rPr>
          <w:rFonts w:hint="eastAsia"/>
          <w:color w:val="auto"/>
          <w:lang w:val="en-US" w:eastAsia="zh-CN"/>
        </w:rPr>
      </w:pPr>
      <w:r>
        <w:rPr>
          <w:rFonts w:hint="eastAsia"/>
          <w:color w:val="auto"/>
          <w:lang w:val="en-US" w:eastAsia="zh-CN"/>
        </w:rPr>
        <w:t>采场剖面图</w:t>
      </w:r>
    </w:p>
    <w:sectPr>
      <w:pgSz w:w="11906" w:h="16838"/>
      <w:pgMar w:top="1417" w:right="1134" w:bottom="1134" w:left="1587" w:header="851" w:footer="992" w:gutter="0"/>
      <w:pgNumType w:fmt="decimal"/>
      <w:cols w:space="0" w:num="1"/>
      <w:rtlGutter w:val="0"/>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13"/>
      <w:pBdr>
        <w:top w:val="single" w:color="auto" w:sz="4" w:space="0"/>
      </w:pBd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1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13"/>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14"/>
      <w:pBdr>
        <w:bottom w:val="single" w:color="auto" w:sz="4" w:space="1"/>
      </w:pBdr>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鞍山东盛源矿业有限公司露天矿山安全现状评价报告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19609D"/>
    <w:multiLevelType w:val="multilevel"/>
    <w:tmpl w:val="9919609D"/>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A128D2F6"/>
    <w:multiLevelType w:val="multilevel"/>
    <w:tmpl w:val="A128D2F6"/>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BADEE957"/>
    <w:multiLevelType w:val="multilevel"/>
    <w:tmpl w:val="BADEE957"/>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C08116D2"/>
    <w:multiLevelType w:val="multilevel"/>
    <w:tmpl w:val="C08116D2"/>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D5356302"/>
    <w:multiLevelType w:val="multilevel"/>
    <w:tmpl w:val="D5356302"/>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E0A1FFED"/>
    <w:multiLevelType w:val="multilevel"/>
    <w:tmpl w:val="E0A1FFED"/>
    <w:lvl w:ilvl="0" w:tentative="0">
      <w:start w:val="1"/>
      <w:numFmt w:val="decimal"/>
      <w:pStyle w:val="22"/>
      <w:suff w:val="space"/>
      <w:lvlText w:val="%1"/>
      <w:lvlJc w:val="center"/>
      <w:pPr>
        <w:tabs>
          <w:tab w:val="left" w:pos="0"/>
        </w:tabs>
        <w:ind w:left="0" w:leftChars="0" w:firstLine="0" w:firstLineChars="0"/>
      </w:pPr>
      <w:rPr>
        <w:rFonts w:hint="default"/>
      </w:rPr>
    </w:lvl>
    <w:lvl w:ilvl="1" w:tentative="0">
      <w:start w:val="1"/>
      <w:numFmt w:val="decimal"/>
      <w:pStyle w:val="23"/>
      <w:suff w:val="space"/>
      <w:lvlText w:val="%1.%2"/>
      <w:lvlJc w:val="center"/>
      <w:pPr>
        <w:tabs>
          <w:tab w:val="left" w:pos="420"/>
        </w:tabs>
        <w:ind w:left="0" w:leftChars="0" w:firstLine="0" w:firstLineChars="0"/>
      </w:pPr>
      <w:rPr>
        <w:rFonts w:hint="default"/>
      </w:rPr>
    </w:lvl>
    <w:lvl w:ilvl="2" w:tentative="0">
      <w:start w:val="1"/>
      <w:numFmt w:val="decimal"/>
      <w:pStyle w:val="24"/>
      <w:suff w:val="space"/>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lvlText w:val="%1.%2.%3.%4.%5."/>
      <w:lvlJc w:val="left"/>
      <w:pPr>
        <w:ind w:left="1008" w:hanging="1008"/>
      </w:pPr>
      <w:rPr>
        <w:rFonts w:hint="default"/>
      </w:rPr>
    </w:lvl>
    <w:lvl w:ilvl="5" w:tentative="0">
      <w:start w:val="1"/>
      <w:numFmt w:val="decimal"/>
      <w:pStyle w:val="6"/>
      <w:lvlText w:val="%1.%2.%3.%4.%5.%6."/>
      <w:lvlJc w:val="left"/>
      <w:pPr>
        <w:ind w:left="1151" w:hanging="1151"/>
      </w:pPr>
      <w:rPr>
        <w:rFonts w:hint="default"/>
      </w:rPr>
    </w:lvl>
    <w:lvl w:ilvl="6" w:tentative="0">
      <w:start w:val="1"/>
      <w:numFmt w:val="decimal"/>
      <w:pStyle w:val="7"/>
      <w:lvlText w:val="%1.%2.%3.%4.%5.%6.%7."/>
      <w:lvlJc w:val="left"/>
      <w:pPr>
        <w:ind w:left="1296" w:hanging="1296"/>
      </w:pPr>
      <w:rPr>
        <w:rFonts w:hint="default"/>
      </w:rPr>
    </w:lvl>
    <w:lvl w:ilvl="7" w:tentative="0">
      <w:start w:val="1"/>
      <w:numFmt w:val="decimal"/>
      <w:pStyle w:val="8"/>
      <w:lvlText w:val="%1.%2.%3.%4.%5.%6.%7.%8."/>
      <w:lvlJc w:val="left"/>
      <w:pPr>
        <w:ind w:left="1440" w:hanging="1440"/>
      </w:pPr>
      <w:rPr>
        <w:rFonts w:hint="default"/>
      </w:rPr>
    </w:lvl>
    <w:lvl w:ilvl="8" w:tentative="0">
      <w:start w:val="1"/>
      <w:numFmt w:val="decimal"/>
      <w:pStyle w:val="9"/>
      <w:lvlText w:val="%1.%2.%3.%4.%5.%6.%7.%8.%9."/>
      <w:lvlJc w:val="left"/>
      <w:pPr>
        <w:ind w:left="1583" w:hanging="1583"/>
      </w:pPr>
      <w:rPr>
        <w:rFonts w:hint="default"/>
      </w:rPr>
    </w:lvl>
  </w:abstractNum>
  <w:abstractNum w:abstractNumId="6">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3"/>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7">
    <w:nsid w:val="00000001"/>
    <w:multiLevelType w:val="multilevel"/>
    <w:tmpl w:val="00000001"/>
    <w:lvl w:ilvl="0" w:tentative="0">
      <w:start w:val="1"/>
      <w:numFmt w:val="none"/>
      <w:suff w:val="nothing"/>
      <w:lvlText w:val=""/>
      <w:lvlJc w:val="left"/>
      <w:pPr>
        <w:tabs>
          <w:tab w:val="left" w:pos="0"/>
        </w:tabs>
        <w:ind w:left="0" w:firstLine="0"/>
      </w:pPr>
    </w:lvl>
    <w:lvl w:ilvl="1" w:tentative="0">
      <w:start w:val="1"/>
      <w:numFmt w:val="none"/>
      <w:pStyle w:val="2"/>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8">
    <w:nsid w:val="07B4E747"/>
    <w:multiLevelType w:val="multilevel"/>
    <w:tmpl w:val="07B4E747"/>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337E988B"/>
    <w:multiLevelType w:val="multilevel"/>
    <w:tmpl w:val="337E988B"/>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3F176504"/>
    <w:multiLevelType w:val="multilevel"/>
    <w:tmpl w:val="3F176504"/>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46DFF8FB"/>
    <w:multiLevelType w:val="multilevel"/>
    <w:tmpl w:val="46DFF8FB"/>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47CECD7D"/>
    <w:multiLevelType w:val="multilevel"/>
    <w:tmpl w:val="47CECD7D"/>
    <w:lvl w:ilvl="0" w:tentative="0">
      <w:start w:val="1"/>
      <w:numFmt w:val="decimal"/>
      <w:suff w:val="nothing"/>
      <w:lvlText w:val="（%1）"/>
      <w:lvlJc w:val="left"/>
      <w:pPr>
        <w:ind w:left="0" w:firstLine="560"/>
      </w:pPr>
      <w:rPr>
        <w:rFonts w:hint="default" w:ascii="Times New Roman" w:hAnsi="Times New Roman" w:cs="Times New Roman"/>
        <w:sz w:val="28"/>
        <w:szCs w:val="24"/>
        <w:lang w:val="en-US"/>
      </w:rPr>
    </w:lvl>
    <w:lvl w:ilvl="1" w:tentative="0">
      <w:start w:val="1"/>
      <w:numFmt w:val="decimal"/>
      <w:lvlText w:val="%2)"/>
      <w:lvlJc w:val="left"/>
      <w:pPr>
        <w:tabs>
          <w:tab w:val="left" w:pos="780"/>
        </w:tabs>
        <w:ind w:left="780" w:hanging="360"/>
      </w:pPr>
      <w:rPr>
        <w:rFonts w:hint="default"/>
      </w:rPr>
    </w:lvl>
    <w:lvl w:ilvl="2" w:tentative="0">
      <w:start w:val="1"/>
      <w:numFmt w:val="decimal"/>
      <w:lvlText w:val="%3）"/>
      <w:lvlJc w:val="left"/>
      <w:pPr>
        <w:tabs>
          <w:tab w:val="left" w:pos="1575"/>
        </w:tabs>
        <w:ind w:left="1575" w:hanging="735"/>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7"/>
  </w:num>
  <w:num w:numId="2">
    <w:abstractNumId w:val="6"/>
  </w:num>
  <w:num w:numId="3">
    <w:abstractNumId w:val="5"/>
  </w:num>
  <w:num w:numId="4">
    <w:abstractNumId w:val="4"/>
  </w:num>
  <w:num w:numId="5">
    <w:abstractNumId w:val="9"/>
  </w:num>
  <w:num w:numId="6">
    <w:abstractNumId w:val="0"/>
  </w:num>
  <w:num w:numId="7">
    <w:abstractNumId w:val="8"/>
  </w:num>
  <w:num w:numId="8">
    <w:abstractNumId w:val="2"/>
  </w:num>
  <w:num w:numId="9">
    <w:abstractNumId w:val="3"/>
  </w:num>
  <w:num w:numId="10">
    <w:abstractNumId w:val="12"/>
  </w:num>
  <w:num w:numId="11">
    <w:abstractNumId w:val="1"/>
  </w:num>
  <w:num w:numId="12">
    <w:abstractNumId w:val="11"/>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mirrorMargin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375761"/>
    <w:rsid w:val="005574FC"/>
    <w:rsid w:val="005D2854"/>
    <w:rsid w:val="00621C19"/>
    <w:rsid w:val="00645991"/>
    <w:rsid w:val="007007DA"/>
    <w:rsid w:val="00724552"/>
    <w:rsid w:val="007B1976"/>
    <w:rsid w:val="007C0F2D"/>
    <w:rsid w:val="007E4CA5"/>
    <w:rsid w:val="00846033"/>
    <w:rsid w:val="00AB1812"/>
    <w:rsid w:val="00AE4E5E"/>
    <w:rsid w:val="00AF1302"/>
    <w:rsid w:val="00C14B91"/>
    <w:rsid w:val="00C528D4"/>
    <w:rsid w:val="00D40D69"/>
    <w:rsid w:val="00D5063D"/>
    <w:rsid w:val="00D622D0"/>
    <w:rsid w:val="00DF3269"/>
    <w:rsid w:val="00EC5C36"/>
    <w:rsid w:val="00F05477"/>
    <w:rsid w:val="00F50CDF"/>
    <w:rsid w:val="00FB67BC"/>
    <w:rsid w:val="01080A12"/>
    <w:rsid w:val="010F7FF3"/>
    <w:rsid w:val="01317F69"/>
    <w:rsid w:val="013730A5"/>
    <w:rsid w:val="013C06BC"/>
    <w:rsid w:val="013E61E2"/>
    <w:rsid w:val="01527EDF"/>
    <w:rsid w:val="015B4FE6"/>
    <w:rsid w:val="0168325F"/>
    <w:rsid w:val="016C0FA1"/>
    <w:rsid w:val="016F283F"/>
    <w:rsid w:val="01875DDB"/>
    <w:rsid w:val="019D55FE"/>
    <w:rsid w:val="01AD5116"/>
    <w:rsid w:val="01B82438"/>
    <w:rsid w:val="01C06DE0"/>
    <w:rsid w:val="01C74429"/>
    <w:rsid w:val="01D408F4"/>
    <w:rsid w:val="01D45E31"/>
    <w:rsid w:val="01D46B46"/>
    <w:rsid w:val="01E66FA5"/>
    <w:rsid w:val="01F64D0F"/>
    <w:rsid w:val="01FD609D"/>
    <w:rsid w:val="022655F4"/>
    <w:rsid w:val="02272D62"/>
    <w:rsid w:val="022A49B8"/>
    <w:rsid w:val="022B3C48"/>
    <w:rsid w:val="023D66C9"/>
    <w:rsid w:val="024C0DD3"/>
    <w:rsid w:val="025008C3"/>
    <w:rsid w:val="0259657F"/>
    <w:rsid w:val="025A34EF"/>
    <w:rsid w:val="02624152"/>
    <w:rsid w:val="026A3CE8"/>
    <w:rsid w:val="028265A2"/>
    <w:rsid w:val="02D220BE"/>
    <w:rsid w:val="02DC5CB3"/>
    <w:rsid w:val="02EB239A"/>
    <w:rsid w:val="03253AFD"/>
    <w:rsid w:val="032F2286"/>
    <w:rsid w:val="035717DD"/>
    <w:rsid w:val="0361265C"/>
    <w:rsid w:val="036363D4"/>
    <w:rsid w:val="037E5914"/>
    <w:rsid w:val="03853001"/>
    <w:rsid w:val="038A1BB2"/>
    <w:rsid w:val="038B1C6A"/>
    <w:rsid w:val="03A569EC"/>
    <w:rsid w:val="03AD58A1"/>
    <w:rsid w:val="03B44E81"/>
    <w:rsid w:val="03B86720"/>
    <w:rsid w:val="03C9092D"/>
    <w:rsid w:val="03CF75C5"/>
    <w:rsid w:val="03FD2615"/>
    <w:rsid w:val="041476CE"/>
    <w:rsid w:val="042A6EF2"/>
    <w:rsid w:val="0433224A"/>
    <w:rsid w:val="04463D2B"/>
    <w:rsid w:val="044E2BE0"/>
    <w:rsid w:val="04504BAA"/>
    <w:rsid w:val="04AC5B58"/>
    <w:rsid w:val="04AE18D1"/>
    <w:rsid w:val="04B35139"/>
    <w:rsid w:val="04B52C5F"/>
    <w:rsid w:val="04EB3546"/>
    <w:rsid w:val="04F7409D"/>
    <w:rsid w:val="04FB7299"/>
    <w:rsid w:val="05171224"/>
    <w:rsid w:val="053242B0"/>
    <w:rsid w:val="053C512E"/>
    <w:rsid w:val="05761C29"/>
    <w:rsid w:val="059705B7"/>
    <w:rsid w:val="05997E8B"/>
    <w:rsid w:val="059D3E1F"/>
    <w:rsid w:val="05A04E96"/>
    <w:rsid w:val="05A827C4"/>
    <w:rsid w:val="05AA653C"/>
    <w:rsid w:val="05B44CC5"/>
    <w:rsid w:val="05C375FE"/>
    <w:rsid w:val="05C50C80"/>
    <w:rsid w:val="05D11D1B"/>
    <w:rsid w:val="05E355AA"/>
    <w:rsid w:val="05EA6938"/>
    <w:rsid w:val="05F11A75"/>
    <w:rsid w:val="05FB28F4"/>
    <w:rsid w:val="05FE4192"/>
    <w:rsid w:val="06135E8F"/>
    <w:rsid w:val="06252E2F"/>
    <w:rsid w:val="065B5A88"/>
    <w:rsid w:val="066C1A43"/>
    <w:rsid w:val="0673610D"/>
    <w:rsid w:val="067D77AC"/>
    <w:rsid w:val="06907A1C"/>
    <w:rsid w:val="069114AA"/>
    <w:rsid w:val="06986394"/>
    <w:rsid w:val="06A53383"/>
    <w:rsid w:val="06B01930"/>
    <w:rsid w:val="06B61737"/>
    <w:rsid w:val="06B70F10"/>
    <w:rsid w:val="06C90C44"/>
    <w:rsid w:val="06DF3FC3"/>
    <w:rsid w:val="06E635A4"/>
    <w:rsid w:val="06ED43D6"/>
    <w:rsid w:val="06F35CC1"/>
    <w:rsid w:val="070C4668"/>
    <w:rsid w:val="070E664D"/>
    <w:rsid w:val="071A324D"/>
    <w:rsid w:val="071C0D73"/>
    <w:rsid w:val="07464042"/>
    <w:rsid w:val="07612C2A"/>
    <w:rsid w:val="07634BF4"/>
    <w:rsid w:val="07660241"/>
    <w:rsid w:val="077961C6"/>
    <w:rsid w:val="078D1C71"/>
    <w:rsid w:val="079C0106"/>
    <w:rsid w:val="07B23486"/>
    <w:rsid w:val="07BE237F"/>
    <w:rsid w:val="07C05BA3"/>
    <w:rsid w:val="07C37441"/>
    <w:rsid w:val="07C733D5"/>
    <w:rsid w:val="07E35D35"/>
    <w:rsid w:val="07E86EA8"/>
    <w:rsid w:val="07EA2C20"/>
    <w:rsid w:val="08000695"/>
    <w:rsid w:val="08033CE1"/>
    <w:rsid w:val="08071A24"/>
    <w:rsid w:val="080812F8"/>
    <w:rsid w:val="0809228B"/>
    <w:rsid w:val="080A32C2"/>
    <w:rsid w:val="080A5070"/>
    <w:rsid w:val="08144141"/>
    <w:rsid w:val="08161C67"/>
    <w:rsid w:val="0842340F"/>
    <w:rsid w:val="08444A26"/>
    <w:rsid w:val="08560C38"/>
    <w:rsid w:val="08601134"/>
    <w:rsid w:val="08626C5A"/>
    <w:rsid w:val="08732C15"/>
    <w:rsid w:val="0889068B"/>
    <w:rsid w:val="08A16ACD"/>
    <w:rsid w:val="0902043D"/>
    <w:rsid w:val="09167A44"/>
    <w:rsid w:val="092C1016"/>
    <w:rsid w:val="092C7268"/>
    <w:rsid w:val="09310546"/>
    <w:rsid w:val="09336848"/>
    <w:rsid w:val="09410F65"/>
    <w:rsid w:val="096E7880"/>
    <w:rsid w:val="097D074F"/>
    <w:rsid w:val="09A3577C"/>
    <w:rsid w:val="09B039F5"/>
    <w:rsid w:val="09B81FF8"/>
    <w:rsid w:val="09B94F9F"/>
    <w:rsid w:val="09E0252C"/>
    <w:rsid w:val="09E813E1"/>
    <w:rsid w:val="09EF09C1"/>
    <w:rsid w:val="09F91840"/>
    <w:rsid w:val="0A0A1357"/>
    <w:rsid w:val="0A195A3E"/>
    <w:rsid w:val="0A205206"/>
    <w:rsid w:val="0A283998"/>
    <w:rsid w:val="0A2D14EA"/>
    <w:rsid w:val="0A3E36F7"/>
    <w:rsid w:val="0A432ABB"/>
    <w:rsid w:val="0A456833"/>
    <w:rsid w:val="0A4800D1"/>
    <w:rsid w:val="0A4D7496"/>
    <w:rsid w:val="0A4E56B3"/>
    <w:rsid w:val="0A5151D8"/>
    <w:rsid w:val="0A786C09"/>
    <w:rsid w:val="0A841A94"/>
    <w:rsid w:val="0A854E82"/>
    <w:rsid w:val="0A894972"/>
    <w:rsid w:val="0A9357F1"/>
    <w:rsid w:val="0AA479FE"/>
    <w:rsid w:val="0AA51080"/>
    <w:rsid w:val="0AA96DC2"/>
    <w:rsid w:val="0AAD68AE"/>
    <w:rsid w:val="0AB13EC9"/>
    <w:rsid w:val="0AD007F3"/>
    <w:rsid w:val="0ADD2F10"/>
    <w:rsid w:val="0ADD4CBE"/>
    <w:rsid w:val="0ADF4592"/>
    <w:rsid w:val="0AE0030A"/>
    <w:rsid w:val="0AE23F47"/>
    <w:rsid w:val="0AF3628F"/>
    <w:rsid w:val="0AFA5870"/>
    <w:rsid w:val="0AFF19D8"/>
    <w:rsid w:val="0B10295D"/>
    <w:rsid w:val="0B13248D"/>
    <w:rsid w:val="0B291CB1"/>
    <w:rsid w:val="0B29525B"/>
    <w:rsid w:val="0B2E376B"/>
    <w:rsid w:val="0B2F79F7"/>
    <w:rsid w:val="0B3643CE"/>
    <w:rsid w:val="0B61144B"/>
    <w:rsid w:val="0B837613"/>
    <w:rsid w:val="0B9A670B"/>
    <w:rsid w:val="0BA53A2D"/>
    <w:rsid w:val="0BA92DF2"/>
    <w:rsid w:val="0BAB6B6A"/>
    <w:rsid w:val="0BB377CC"/>
    <w:rsid w:val="0BC1638D"/>
    <w:rsid w:val="0BCA5413"/>
    <w:rsid w:val="0BCB720C"/>
    <w:rsid w:val="0BDC4F75"/>
    <w:rsid w:val="0BDC6D23"/>
    <w:rsid w:val="0BEB51B8"/>
    <w:rsid w:val="0C14470F"/>
    <w:rsid w:val="0C50326D"/>
    <w:rsid w:val="0C601702"/>
    <w:rsid w:val="0C605BA6"/>
    <w:rsid w:val="0C6133EF"/>
    <w:rsid w:val="0C6D2071"/>
    <w:rsid w:val="0C9475FE"/>
    <w:rsid w:val="0CB90E13"/>
    <w:rsid w:val="0CC223BD"/>
    <w:rsid w:val="0CC71781"/>
    <w:rsid w:val="0CC7352F"/>
    <w:rsid w:val="0CCF4ADA"/>
    <w:rsid w:val="0CDB522D"/>
    <w:rsid w:val="0CEA36C2"/>
    <w:rsid w:val="0CF12CA2"/>
    <w:rsid w:val="0CF34325"/>
    <w:rsid w:val="0D0414C3"/>
    <w:rsid w:val="0D0C53E6"/>
    <w:rsid w:val="0D10137A"/>
    <w:rsid w:val="0D1150F2"/>
    <w:rsid w:val="0D1E5F6E"/>
    <w:rsid w:val="0D314E4D"/>
    <w:rsid w:val="0D3A01A5"/>
    <w:rsid w:val="0D3A63F7"/>
    <w:rsid w:val="0D3D37F2"/>
    <w:rsid w:val="0D4032E2"/>
    <w:rsid w:val="0D4C7ED9"/>
    <w:rsid w:val="0D534ED1"/>
    <w:rsid w:val="0D58687D"/>
    <w:rsid w:val="0D7731A8"/>
    <w:rsid w:val="0D86163D"/>
    <w:rsid w:val="0D896A37"/>
    <w:rsid w:val="0DA11615"/>
    <w:rsid w:val="0DD028B8"/>
    <w:rsid w:val="0DDA54E4"/>
    <w:rsid w:val="0DE819AF"/>
    <w:rsid w:val="0DEE2D3E"/>
    <w:rsid w:val="0DF76096"/>
    <w:rsid w:val="0DFA7935"/>
    <w:rsid w:val="0E2624D8"/>
    <w:rsid w:val="0E323572"/>
    <w:rsid w:val="0E417312"/>
    <w:rsid w:val="0E6A6868"/>
    <w:rsid w:val="0E72571D"/>
    <w:rsid w:val="0E7E0566"/>
    <w:rsid w:val="0E87741A"/>
    <w:rsid w:val="0E8A6F0A"/>
    <w:rsid w:val="0E8B67DF"/>
    <w:rsid w:val="0E947D89"/>
    <w:rsid w:val="0EAF24CD"/>
    <w:rsid w:val="0EB61AAE"/>
    <w:rsid w:val="0EBB3568"/>
    <w:rsid w:val="0ECF0DC1"/>
    <w:rsid w:val="0ED32660"/>
    <w:rsid w:val="0ED40186"/>
    <w:rsid w:val="0EDA2E2B"/>
    <w:rsid w:val="0EE0414A"/>
    <w:rsid w:val="0EE91E83"/>
    <w:rsid w:val="0EF32D02"/>
    <w:rsid w:val="0EF44384"/>
    <w:rsid w:val="0F1113DA"/>
    <w:rsid w:val="0F114F36"/>
    <w:rsid w:val="0F134C17"/>
    <w:rsid w:val="0F1D38DB"/>
    <w:rsid w:val="0F2A5FF8"/>
    <w:rsid w:val="0F384BB8"/>
    <w:rsid w:val="0F8C280E"/>
    <w:rsid w:val="0F8E2A2A"/>
    <w:rsid w:val="0F953DB9"/>
    <w:rsid w:val="0FA4224E"/>
    <w:rsid w:val="0FB71F81"/>
    <w:rsid w:val="0FFA00C0"/>
    <w:rsid w:val="10173C40"/>
    <w:rsid w:val="10262C63"/>
    <w:rsid w:val="103A04BC"/>
    <w:rsid w:val="105A46BB"/>
    <w:rsid w:val="105C2F10"/>
    <w:rsid w:val="107240FA"/>
    <w:rsid w:val="107514F4"/>
    <w:rsid w:val="10833C11"/>
    <w:rsid w:val="109C4CD3"/>
    <w:rsid w:val="10A735CE"/>
    <w:rsid w:val="10A73DA4"/>
    <w:rsid w:val="10AB1068"/>
    <w:rsid w:val="10AD0C8E"/>
    <w:rsid w:val="10BE10ED"/>
    <w:rsid w:val="10CF50A9"/>
    <w:rsid w:val="10D206F5"/>
    <w:rsid w:val="10DB1C9F"/>
    <w:rsid w:val="10E072B6"/>
    <w:rsid w:val="10F13271"/>
    <w:rsid w:val="10F16DCD"/>
    <w:rsid w:val="10F93ED3"/>
    <w:rsid w:val="11072A94"/>
    <w:rsid w:val="11160F29"/>
    <w:rsid w:val="11194576"/>
    <w:rsid w:val="11273BC1"/>
    <w:rsid w:val="11317B11"/>
    <w:rsid w:val="11366ED6"/>
    <w:rsid w:val="11380EA0"/>
    <w:rsid w:val="114333A1"/>
    <w:rsid w:val="1145536B"/>
    <w:rsid w:val="114E17AD"/>
    <w:rsid w:val="11561326"/>
    <w:rsid w:val="11691059"/>
    <w:rsid w:val="116C6D9B"/>
    <w:rsid w:val="117174FD"/>
    <w:rsid w:val="11733C86"/>
    <w:rsid w:val="1178129C"/>
    <w:rsid w:val="11883E00"/>
    <w:rsid w:val="11963E18"/>
    <w:rsid w:val="11B322D4"/>
    <w:rsid w:val="11C049F1"/>
    <w:rsid w:val="11E43A59"/>
    <w:rsid w:val="11E93F48"/>
    <w:rsid w:val="120174E4"/>
    <w:rsid w:val="12135469"/>
    <w:rsid w:val="1232769D"/>
    <w:rsid w:val="12443874"/>
    <w:rsid w:val="12614426"/>
    <w:rsid w:val="12704669"/>
    <w:rsid w:val="12752BD6"/>
    <w:rsid w:val="127E0B34"/>
    <w:rsid w:val="128679E9"/>
    <w:rsid w:val="12906AB9"/>
    <w:rsid w:val="12AD766B"/>
    <w:rsid w:val="12DB3469"/>
    <w:rsid w:val="12E27315"/>
    <w:rsid w:val="12E3308D"/>
    <w:rsid w:val="12E82452"/>
    <w:rsid w:val="12E84200"/>
    <w:rsid w:val="12EC0194"/>
    <w:rsid w:val="12EF1A32"/>
    <w:rsid w:val="13031039"/>
    <w:rsid w:val="130508BC"/>
    <w:rsid w:val="130C4392"/>
    <w:rsid w:val="13180F89"/>
    <w:rsid w:val="1319085D"/>
    <w:rsid w:val="131B45D5"/>
    <w:rsid w:val="1340403C"/>
    <w:rsid w:val="134C29E0"/>
    <w:rsid w:val="1367781A"/>
    <w:rsid w:val="13741F37"/>
    <w:rsid w:val="138B0DCF"/>
    <w:rsid w:val="139454AD"/>
    <w:rsid w:val="1399374C"/>
    <w:rsid w:val="13A50343"/>
    <w:rsid w:val="13AF1D43"/>
    <w:rsid w:val="13BE59BA"/>
    <w:rsid w:val="13C407C9"/>
    <w:rsid w:val="140C03C2"/>
    <w:rsid w:val="14276FAA"/>
    <w:rsid w:val="142F46DE"/>
    <w:rsid w:val="143A4F2F"/>
    <w:rsid w:val="144E2788"/>
    <w:rsid w:val="145E6E6F"/>
    <w:rsid w:val="14634486"/>
    <w:rsid w:val="146B158C"/>
    <w:rsid w:val="148443FC"/>
    <w:rsid w:val="14B7657F"/>
    <w:rsid w:val="14FB2910"/>
    <w:rsid w:val="153876C0"/>
    <w:rsid w:val="15433117"/>
    <w:rsid w:val="15455939"/>
    <w:rsid w:val="154D2A40"/>
    <w:rsid w:val="155838BF"/>
    <w:rsid w:val="15673B02"/>
    <w:rsid w:val="1585042C"/>
    <w:rsid w:val="15997A33"/>
    <w:rsid w:val="159D39C7"/>
    <w:rsid w:val="15A43DFF"/>
    <w:rsid w:val="15A85EC8"/>
    <w:rsid w:val="15AE7982"/>
    <w:rsid w:val="15C076B6"/>
    <w:rsid w:val="15C251DC"/>
    <w:rsid w:val="15D31197"/>
    <w:rsid w:val="15EA028F"/>
    <w:rsid w:val="15F65D9C"/>
    <w:rsid w:val="161F43DC"/>
    <w:rsid w:val="162163A6"/>
    <w:rsid w:val="16265361"/>
    <w:rsid w:val="162B0FD3"/>
    <w:rsid w:val="16481B85"/>
    <w:rsid w:val="164976AB"/>
    <w:rsid w:val="165F2A2B"/>
    <w:rsid w:val="167069E6"/>
    <w:rsid w:val="167A5AB7"/>
    <w:rsid w:val="16846935"/>
    <w:rsid w:val="16921052"/>
    <w:rsid w:val="16922E00"/>
    <w:rsid w:val="16B0772A"/>
    <w:rsid w:val="16C44F84"/>
    <w:rsid w:val="16C701B3"/>
    <w:rsid w:val="16D451C7"/>
    <w:rsid w:val="16D927DD"/>
    <w:rsid w:val="16E01DBD"/>
    <w:rsid w:val="17045380"/>
    <w:rsid w:val="170B670F"/>
    <w:rsid w:val="17161E2D"/>
    <w:rsid w:val="171C4DC0"/>
    <w:rsid w:val="171E4694"/>
    <w:rsid w:val="1759391E"/>
    <w:rsid w:val="17854713"/>
    <w:rsid w:val="178B38D2"/>
    <w:rsid w:val="17936E30"/>
    <w:rsid w:val="17984446"/>
    <w:rsid w:val="17A54DB5"/>
    <w:rsid w:val="17B31280"/>
    <w:rsid w:val="17B374D2"/>
    <w:rsid w:val="17BB0135"/>
    <w:rsid w:val="17C263CF"/>
    <w:rsid w:val="17E56F60"/>
    <w:rsid w:val="18037F78"/>
    <w:rsid w:val="181B1D9C"/>
    <w:rsid w:val="18291542"/>
    <w:rsid w:val="18422604"/>
    <w:rsid w:val="185F4F64"/>
    <w:rsid w:val="1864257A"/>
    <w:rsid w:val="186A4292"/>
    <w:rsid w:val="18847172"/>
    <w:rsid w:val="18AF610D"/>
    <w:rsid w:val="18B352B0"/>
    <w:rsid w:val="18BD60C6"/>
    <w:rsid w:val="18BF3C55"/>
    <w:rsid w:val="18C354F3"/>
    <w:rsid w:val="18C461FA"/>
    <w:rsid w:val="18C92265"/>
    <w:rsid w:val="18D53478"/>
    <w:rsid w:val="18E2503E"/>
    <w:rsid w:val="18E86D07"/>
    <w:rsid w:val="18E90CD1"/>
    <w:rsid w:val="18F913E2"/>
    <w:rsid w:val="19121FD6"/>
    <w:rsid w:val="191C10A7"/>
    <w:rsid w:val="19362169"/>
    <w:rsid w:val="19434886"/>
    <w:rsid w:val="19520625"/>
    <w:rsid w:val="19597C05"/>
    <w:rsid w:val="195F2D42"/>
    <w:rsid w:val="197902A7"/>
    <w:rsid w:val="198729C4"/>
    <w:rsid w:val="19962C07"/>
    <w:rsid w:val="19A90B8D"/>
    <w:rsid w:val="19BB7A29"/>
    <w:rsid w:val="19D11E91"/>
    <w:rsid w:val="19DD25E4"/>
    <w:rsid w:val="19DE635C"/>
    <w:rsid w:val="1A0062D3"/>
    <w:rsid w:val="1A07140F"/>
    <w:rsid w:val="1A106915"/>
    <w:rsid w:val="1A1650F6"/>
    <w:rsid w:val="1A18361C"/>
    <w:rsid w:val="1A1A3838"/>
    <w:rsid w:val="1A411D4B"/>
    <w:rsid w:val="1A472154"/>
    <w:rsid w:val="1A530AF8"/>
    <w:rsid w:val="1A622AE9"/>
    <w:rsid w:val="1A66082C"/>
    <w:rsid w:val="1A6920CA"/>
    <w:rsid w:val="1A6E76E0"/>
    <w:rsid w:val="1A9B5FFB"/>
    <w:rsid w:val="1AD0039B"/>
    <w:rsid w:val="1AD734D7"/>
    <w:rsid w:val="1AE561E2"/>
    <w:rsid w:val="1AF851FC"/>
    <w:rsid w:val="1B0E15A5"/>
    <w:rsid w:val="1B18764C"/>
    <w:rsid w:val="1B1D4C62"/>
    <w:rsid w:val="1B395F40"/>
    <w:rsid w:val="1B4B0753"/>
    <w:rsid w:val="1B4D36AA"/>
    <w:rsid w:val="1B522B5E"/>
    <w:rsid w:val="1B5E7755"/>
    <w:rsid w:val="1B6259F2"/>
    <w:rsid w:val="1B6A60FA"/>
    <w:rsid w:val="1B8151F1"/>
    <w:rsid w:val="1B8A404B"/>
    <w:rsid w:val="1B8D3B96"/>
    <w:rsid w:val="1B972C67"/>
    <w:rsid w:val="1B9B4505"/>
    <w:rsid w:val="1B9E1581"/>
    <w:rsid w:val="1BAA0BEC"/>
    <w:rsid w:val="1BBE6445"/>
    <w:rsid w:val="1BE60CB7"/>
    <w:rsid w:val="1BF9747E"/>
    <w:rsid w:val="1C00080C"/>
    <w:rsid w:val="1C024584"/>
    <w:rsid w:val="1C116575"/>
    <w:rsid w:val="1C215282"/>
    <w:rsid w:val="1C395ACC"/>
    <w:rsid w:val="1C406E5A"/>
    <w:rsid w:val="1C482DA3"/>
    <w:rsid w:val="1C556DAA"/>
    <w:rsid w:val="1C632B49"/>
    <w:rsid w:val="1C715266"/>
    <w:rsid w:val="1C816AA4"/>
    <w:rsid w:val="1C8431EB"/>
    <w:rsid w:val="1C9A47BD"/>
    <w:rsid w:val="1C9B0535"/>
    <w:rsid w:val="1CB65B87"/>
    <w:rsid w:val="1CBD4126"/>
    <w:rsid w:val="1CC01D49"/>
    <w:rsid w:val="1CDC4DD5"/>
    <w:rsid w:val="1CE95744"/>
    <w:rsid w:val="1CEE104F"/>
    <w:rsid w:val="1D0D31E0"/>
    <w:rsid w:val="1D175E0D"/>
    <w:rsid w:val="1D237D0F"/>
    <w:rsid w:val="1D3D339A"/>
    <w:rsid w:val="1D497F91"/>
    <w:rsid w:val="1D4B7AEE"/>
    <w:rsid w:val="1D512BFA"/>
    <w:rsid w:val="1D5C4168"/>
    <w:rsid w:val="1D884F5D"/>
    <w:rsid w:val="1D8A4831"/>
    <w:rsid w:val="1D943902"/>
    <w:rsid w:val="1D9B4C90"/>
    <w:rsid w:val="1DAD0520"/>
    <w:rsid w:val="1DB042FE"/>
    <w:rsid w:val="1DB25B36"/>
    <w:rsid w:val="1DC1221D"/>
    <w:rsid w:val="1DCA2E80"/>
    <w:rsid w:val="1DCC309C"/>
    <w:rsid w:val="1DD3663D"/>
    <w:rsid w:val="1DDE692B"/>
    <w:rsid w:val="1E0102F8"/>
    <w:rsid w:val="1E05035C"/>
    <w:rsid w:val="1E0A7720"/>
    <w:rsid w:val="1E0F4D36"/>
    <w:rsid w:val="1E116D00"/>
    <w:rsid w:val="1E18008F"/>
    <w:rsid w:val="1E311151"/>
    <w:rsid w:val="1E3E73CA"/>
    <w:rsid w:val="1E4337F7"/>
    <w:rsid w:val="1E4F7829"/>
    <w:rsid w:val="1E51534F"/>
    <w:rsid w:val="1E544E3F"/>
    <w:rsid w:val="1E5F5CBE"/>
    <w:rsid w:val="1E74103D"/>
    <w:rsid w:val="1E761259"/>
    <w:rsid w:val="1E8F46BC"/>
    <w:rsid w:val="1E902F45"/>
    <w:rsid w:val="1EA336D1"/>
    <w:rsid w:val="1EA57449"/>
    <w:rsid w:val="1EAC4C7B"/>
    <w:rsid w:val="1EB853CE"/>
    <w:rsid w:val="1EC91389"/>
    <w:rsid w:val="1ECE699F"/>
    <w:rsid w:val="1EDB2E6A"/>
    <w:rsid w:val="1EE14925"/>
    <w:rsid w:val="1EE6018D"/>
    <w:rsid w:val="1EF1171F"/>
    <w:rsid w:val="1F073C5F"/>
    <w:rsid w:val="1F134CFA"/>
    <w:rsid w:val="1F274302"/>
    <w:rsid w:val="1F3802BD"/>
    <w:rsid w:val="1F422EEA"/>
    <w:rsid w:val="1F576995"/>
    <w:rsid w:val="1F58270D"/>
    <w:rsid w:val="1F5A35D2"/>
    <w:rsid w:val="1F5D4DAE"/>
    <w:rsid w:val="1F5D7D23"/>
    <w:rsid w:val="1F5E5F75"/>
    <w:rsid w:val="1F792DAF"/>
    <w:rsid w:val="1F811C64"/>
    <w:rsid w:val="1F9F20EA"/>
    <w:rsid w:val="1FA31BDA"/>
    <w:rsid w:val="1FAD4807"/>
    <w:rsid w:val="1FB738D7"/>
    <w:rsid w:val="1FCD6C57"/>
    <w:rsid w:val="1FCF6E73"/>
    <w:rsid w:val="1FDF13FF"/>
    <w:rsid w:val="1FF561AE"/>
    <w:rsid w:val="2000568E"/>
    <w:rsid w:val="20124E89"/>
    <w:rsid w:val="20250841"/>
    <w:rsid w:val="20341601"/>
    <w:rsid w:val="2039253E"/>
    <w:rsid w:val="205E01F7"/>
    <w:rsid w:val="20692E24"/>
    <w:rsid w:val="206C6329"/>
    <w:rsid w:val="20914128"/>
    <w:rsid w:val="209E05F3"/>
    <w:rsid w:val="20A200E4"/>
    <w:rsid w:val="20BF7061"/>
    <w:rsid w:val="20D34741"/>
    <w:rsid w:val="20D81D57"/>
    <w:rsid w:val="20DA06E7"/>
    <w:rsid w:val="20DD2ECA"/>
    <w:rsid w:val="20E71F9A"/>
    <w:rsid w:val="20EF2BFD"/>
    <w:rsid w:val="20EF35DB"/>
    <w:rsid w:val="20F6042F"/>
    <w:rsid w:val="21134B3E"/>
    <w:rsid w:val="211D3C0E"/>
    <w:rsid w:val="213845A4"/>
    <w:rsid w:val="214E3DC8"/>
    <w:rsid w:val="215D225D"/>
    <w:rsid w:val="21611D4D"/>
    <w:rsid w:val="2181419D"/>
    <w:rsid w:val="21845A3B"/>
    <w:rsid w:val="218912A4"/>
    <w:rsid w:val="21957C48"/>
    <w:rsid w:val="21AE3541"/>
    <w:rsid w:val="21BF4CC5"/>
    <w:rsid w:val="21CB5418"/>
    <w:rsid w:val="21DA1AFF"/>
    <w:rsid w:val="21F22E61"/>
    <w:rsid w:val="21F91F85"/>
    <w:rsid w:val="220152DE"/>
    <w:rsid w:val="2210107D"/>
    <w:rsid w:val="221376FD"/>
    <w:rsid w:val="2217065D"/>
    <w:rsid w:val="221B56B0"/>
    <w:rsid w:val="2230171F"/>
    <w:rsid w:val="2235037E"/>
    <w:rsid w:val="22421B7E"/>
    <w:rsid w:val="224A0A33"/>
    <w:rsid w:val="22507B57"/>
    <w:rsid w:val="22573150"/>
    <w:rsid w:val="22576CAC"/>
    <w:rsid w:val="226E2973"/>
    <w:rsid w:val="22717D6E"/>
    <w:rsid w:val="22747A1D"/>
    <w:rsid w:val="22910410"/>
    <w:rsid w:val="22A55C69"/>
    <w:rsid w:val="22AC349C"/>
    <w:rsid w:val="22C81EF9"/>
    <w:rsid w:val="22D84291"/>
    <w:rsid w:val="22DD3655"/>
    <w:rsid w:val="22FA4207"/>
    <w:rsid w:val="23052BAC"/>
    <w:rsid w:val="230C5CE8"/>
    <w:rsid w:val="230E380E"/>
    <w:rsid w:val="232B0864"/>
    <w:rsid w:val="235F22BC"/>
    <w:rsid w:val="237C2E6E"/>
    <w:rsid w:val="2389558B"/>
    <w:rsid w:val="23AD603E"/>
    <w:rsid w:val="23B73EA6"/>
    <w:rsid w:val="23C44815"/>
    <w:rsid w:val="23E66539"/>
    <w:rsid w:val="23E9602A"/>
    <w:rsid w:val="23ED5B1A"/>
    <w:rsid w:val="23FC5D5D"/>
    <w:rsid w:val="240D1D18"/>
    <w:rsid w:val="241237D2"/>
    <w:rsid w:val="241A4435"/>
    <w:rsid w:val="2426102C"/>
    <w:rsid w:val="24286B52"/>
    <w:rsid w:val="242D23BA"/>
    <w:rsid w:val="243948BB"/>
    <w:rsid w:val="245416F5"/>
    <w:rsid w:val="245B6F27"/>
    <w:rsid w:val="246833F2"/>
    <w:rsid w:val="246851A0"/>
    <w:rsid w:val="246A0F18"/>
    <w:rsid w:val="248F097F"/>
    <w:rsid w:val="24961D0D"/>
    <w:rsid w:val="24B91EA0"/>
    <w:rsid w:val="24BE1264"/>
    <w:rsid w:val="24D665AE"/>
    <w:rsid w:val="24D80578"/>
    <w:rsid w:val="24D942F0"/>
    <w:rsid w:val="24DD5B8E"/>
    <w:rsid w:val="24F1107B"/>
    <w:rsid w:val="24F15196"/>
    <w:rsid w:val="25164BFC"/>
    <w:rsid w:val="25423C43"/>
    <w:rsid w:val="255B2F57"/>
    <w:rsid w:val="255E0351"/>
    <w:rsid w:val="256736AA"/>
    <w:rsid w:val="256B4F5E"/>
    <w:rsid w:val="256C2A6E"/>
    <w:rsid w:val="25897AC4"/>
    <w:rsid w:val="258B55EA"/>
    <w:rsid w:val="258E0C37"/>
    <w:rsid w:val="259F4411"/>
    <w:rsid w:val="25A246E2"/>
    <w:rsid w:val="25B3069D"/>
    <w:rsid w:val="25C96113"/>
    <w:rsid w:val="25CC175F"/>
    <w:rsid w:val="25D36F91"/>
    <w:rsid w:val="25D43D2F"/>
    <w:rsid w:val="25E22D30"/>
    <w:rsid w:val="25E46AA9"/>
    <w:rsid w:val="25EC3BAF"/>
    <w:rsid w:val="25EE5B79"/>
    <w:rsid w:val="25F018F1"/>
    <w:rsid w:val="26282E39"/>
    <w:rsid w:val="26301CEE"/>
    <w:rsid w:val="2635171C"/>
    <w:rsid w:val="26435EC5"/>
    <w:rsid w:val="266F6CBA"/>
    <w:rsid w:val="267E514F"/>
    <w:rsid w:val="2685203A"/>
    <w:rsid w:val="268F2EB8"/>
    <w:rsid w:val="269B185D"/>
    <w:rsid w:val="26A06E73"/>
    <w:rsid w:val="26AA7CF2"/>
    <w:rsid w:val="26AD1590"/>
    <w:rsid w:val="26AF5308"/>
    <w:rsid w:val="26B02E2F"/>
    <w:rsid w:val="26EF48E0"/>
    <w:rsid w:val="26F1147D"/>
    <w:rsid w:val="26F15921"/>
    <w:rsid w:val="26FC7E22"/>
    <w:rsid w:val="26FE3B9A"/>
    <w:rsid w:val="27070CA1"/>
    <w:rsid w:val="27082C6B"/>
    <w:rsid w:val="270A253F"/>
    <w:rsid w:val="270C275B"/>
    <w:rsid w:val="27147861"/>
    <w:rsid w:val="2758774E"/>
    <w:rsid w:val="275B0FEC"/>
    <w:rsid w:val="275D4D64"/>
    <w:rsid w:val="27734588"/>
    <w:rsid w:val="27741BE7"/>
    <w:rsid w:val="27897907"/>
    <w:rsid w:val="27B23302"/>
    <w:rsid w:val="27B64475"/>
    <w:rsid w:val="27B70919"/>
    <w:rsid w:val="27CC1EEA"/>
    <w:rsid w:val="27D668C5"/>
    <w:rsid w:val="27DF39CB"/>
    <w:rsid w:val="27E27527"/>
    <w:rsid w:val="27E86D24"/>
    <w:rsid w:val="27F31225"/>
    <w:rsid w:val="27F82CDF"/>
    <w:rsid w:val="27FF7BCA"/>
    <w:rsid w:val="281A4A03"/>
    <w:rsid w:val="281F026C"/>
    <w:rsid w:val="28245882"/>
    <w:rsid w:val="283C0E1E"/>
    <w:rsid w:val="284C5056"/>
    <w:rsid w:val="285A12A4"/>
    <w:rsid w:val="289742A6"/>
    <w:rsid w:val="28991DCC"/>
    <w:rsid w:val="28AC5FA3"/>
    <w:rsid w:val="28C037FD"/>
    <w:rsid w:val="28DB0637"/>
    <w:rsid w:val="28DC615D"/>
    <w:rsid w:val="29023E15"/>
    <w:rsid w:val="29121B7F"/>
    <w:rsid w:val="291B5010"/>
    <w:rsid w:val="2936586D"/>
    <w:rsid w:val="29480D4F"/>
    <w:rsid w:val="29606D8E"/>
    <w:rsid w:val="2964062C"/>
    <w:rsid w:val="296A3769"/>
    <w:rsid w:val="2987431B"/>
    <w:rsid w:val="29AC1FD3"/>
    <w:rsid w:val="29B9024C"/>
    <w:rsid w:val="29BA46F0"/>
    <w:rsid w:val="29BD1AEA"/>
    <w:rsid w:val="29CE1F49"/>
    <w:rsid w:val="29DA269C"/>
    <w:rsid w:val="29EC0622"/>
    <w:rsid w:val="2A0B0AA8"/>
    <w:rsid w:val="2A0B6CFA"/>
    <w:rsid w:val="2A500BB0"/>
    <w:rsid w:val="2A5A1A2F"/>
    <w:rsid w:val="2A64640A"/>
    <w:rsid w:val="2A790107"/>
    <w:rsid w:val="2A8D46CE"/>
    <w:rsid w:val="2A9C5BA4"/>
    <w:rsid w:val="2AA8397E"/>
    <w:rsid w:val="2AC670C5"/>
    <w:rsid w:val="2AD510B6"/>
    <w:rsid w:val="2AD52E64"/>
    <w:rsid w:val="2AE178FD"/>
    <w:rsid w:val="2AEC6B2B"/>
    <w:rsid w:val="2B057BED"/>
    <w:rsid w:val="2B0B4AD7"/>
    <w:rsid w:val="2B1C6CE5"/>
    <w:rsid w:val="2B2D4A4E"/>
    <w:rsid w:val="2B2D7144"/>
    <w:rsid w:val="2B3202B6"/>
    <w:rsid w:val="2B325796"/>
    <w:rsid w:val="2B465B0F"/>
    <w:rsid w:val="2B473D61"/>
    <w:rsid w:val="2B4C75CA"/>
    <w:rsid w:val="2B4F70BA"/>
    <w:rsid w:val="2B514BE0"/>
    <w:rsid w:val="2B58159A"/>
    <w:rsid w:val="2B5B15BB"/>
    <w:rsid w:val="2B6C37C8"/>
    <w:rsid w:val="2B6C5576"/>
    <w:rsid w:val="2B6D0292"/>
    <w:rsid w:val="2B7164D1"/>
    <w:rsid w:val="2B7E34FB"/>
    <w:rsid w:val="2B8F395A"/>
    <w:rsid w:val="2B911481"/>
    <w:rsid w:val="2B9D6077"/>
    <w:rsid w:val="2BB05DAB"/>
    <w:rsid w:val="2BB37649"/>
    <w:rsid w:val="2BDB26FC"/>
    <w:rsid w:val="2BDF21EC"/>
    <w:rsid w:val="2BE47802"/>
    <w:rsid w:val="2BF043F9"/>
    <w:rsid w:val="2BF437BD"/>
    <w:rsid w:val="2BF832AE"/>
    <w:rsid w:val="2BF87A83"/>
    <w:rsid w:val="2C267E1B"/>
    <w:rsid w:val="2C2C2F57"/>
    <w:rsid w:val="2C4E2ECE"/>
    <w:rsid w:val="2C723060"/>
    <w:rsid w:val="2C772424"/>
    <w:rsid w:val="2C8608B9"/>
    <w:rsid w:val="2C934D84"/>
    <w:rsid w:val="2C9F197B"/>
    <w:rsid w:val="2CA9202C"/>
    <w:rsid w:val="2CBC252D"/>
    <w:rsid w:val="2CC6515A"/>
    <w:rsid w:val="2CCD0296"/>
    <w:rsid w:val="2CDA6E57"/>
    <w:rsid w:val="2CE1615C"/>
    <w:rsid w:val="2CF3049A"/>
    <w:rsid w:val="2CF4533A"/>
    <w:rsid w:val="2CF5626A"/>
    <w:rsid w:val="2CF73565"/>
    <w:rsid w:val="2D047A30"/>
    <w:rsid w:val="2D10413D"/>
    <w:rsid w:val="2D1C2FCC"/>
    <w:rsid w:val="2D202ABC"/>
    <w:rsid w:val="2D4D13D7"/>
    <w:rsid w:val="2D654973"/>
    <w:rsid w:val="2D681F9D"/>
    <w:rsid w:val="2D7256F4"/>
    <w:rsid w:val="2D7C1CBC"/>
    <w:rsid w:val="2D941D0F"/>
    <w:rsid w:val="2DA60AE7"/>
    <w:rsid w:val="2DBB0A37"/>
    <w:rsid w:val="2DBE0F66"/>
    <w:rsid w:val="2DCE2518"/>
    <w:rsid w:val="2DDD275B"/>
    <w:rsid w:val="2DDD3E0B"/>
    <w:rsid w:val="2DE03FF9"/>
    <w:rsid w:val="2DE55AB4"/>
    <w:rsid w:val="2DF45CF7"/>
    <w:rsid w:val="2E1A245A"/>
    <w:rsid w:val="2E1B14D5"/>
    <w:rsid w:val="2E222864"/>
    <w:rsid w:val="2E4564F4"/>
    <w:rsid w:val="2E4C78E1"/>
    <w:rsid w:val="2E725599"/>
    <w:rsid w:val="2E7A61FC"/>
    <w:rsid w:val="2E8B21B7"/>
    <w:rsid w:val="2E8C2CB2"/>
    <w:rsid w:val="2EB72FAC"/>
    <w:rsid w:val="2ECB4CA9"/>
    <w:rsid w:val="2ECE6548"/>
    <w:rsid w:val="2EFF6701"/>
    <w:rsid w:val="2F012479"/>
    <w:rsid w:val="2F1969EC"/>
    <w:rsid w:val="2F1E5661"/>
    <w:rsid w:val="2F391C13"/>
    <w:rsid w:val="2F3A3BDD"/>
    <w:rsid w:val="2F4D56BE"/>
    <w:rsid w:val="2F642A08"/>
    <w:rsid w:val="2F7075FF"/>
    <w:rsid w:val="2F854E58"/>
    <w:rsid w:val="2F8D1F5F"/>
    <w:rsid w:val="2F9257C7"/>
    <w:rsid w:val="2F974B8C"/>
    <w:rsid w:val="2FAF0127"/>
    <w:rsid w:val="2FB1055A"/>
    <w:rsid w:val="2FB92D54"/>
    <w:rsid w:val="2FC80D9D"/>
    <w:rsid w:val="2FD61B58"/>
    <w:rsid w:val="2FE92FD2"/>
    <w:rsid w:val="2FEE50F3"/>
    <w:rsid w:val="2FF65D56"/>
    <w:rsid w:val="301A5EE8"/>
    <w:rsid w:val="30224D9D"/>
    <w:rsid w:val="30275F10"/>
    <w:rsid w:val="303625F7"/>
    <w:rsid w:val="30415FA8"/>
    <w:rsid w:val="304F5466"/>
    <w:rsid w:val="305D7B83"/>
    <w:rsid w:val="307A6987"/>
    <w:rsid w:val="30A12166"/>
    <w:rsid w:val="30C220DC"/>
    <w:rsid w:val="30CC62CE"/>
    <w:rsid w:val="30EB33E1"/>
    <w:rsid w:val="31114115"/>
    <w:rsid w:val="312B7C81"/>
    <w:rsid w:val="31464ABB"/>
    <w:rsid w:val="31592A40"/>
    <w:rsid w:val="3159659D"/>
    <w:rsid w:val="315C7E3B"/>
    <w:rsid w:val="3163566D"/>
    <w:rsid w:val="31660CB9"/>
    <w:rsid w:val="316B4522"/>
    <w:rsid w:val="316D029A"/>
    <w:rsid w:val="31913473"/>
    <w:rsid w:val="31943F2B"/>
    <w:rsid w:val="31A83080"/>
    <w:rsid w:val="31BB1005"/>
    <w:rsid w:val="31C43C21"/>
    <w:rsid w:val="31D420C7"/>
    <w:rsid w:val="31E645B2"/>
    <w:rsid w:val="31EC5663"/>
    <w:rsid w:val="31F2079F"/>
    <w:rsid w:val="321D568F"/>
    <w:rsid w:val="321E4C6E"/>
    <w:rsid w:val="322C1F03"/>
    <w:rsid w:val="322D17D7"/>
    <w:rsid w:val="324234D5"/>
    <w:rsid w:val="324F174E"/>
    <w:rsid w:val="3268280F"/>
    <w:rsid w:val="32715B68"/>
    <w:rsid w:val="32951856"/>
    <w:rsid w:val="329F1ACF"/>
    <w:rsid w:val="32A7158A"/>
    <w:rsid w:val="32B51EF8"/>
    <w:rsid w:val="32DB1233"/>
    <w:rsid w:val="32EE540A"/>
    <w:rsid w:val="32F04CDF"/>
    <w:rsid w:val="32F50547"/>
    <w:rsid w:val="33150BE9"/>
    <w:rsid w:val="331A61FF"/>
    <w:rsid w:val="332B21BB"/>
    <w:rsid w:val="333D3C9C"/>
    <w:rsid w:val="333D5A4A"/>
    <w:rsid w:val="334D3EDF"/>
    <w:rsid w:val="33617221"/>
    <w:rsid w:val="336E3E55"/>
    <w:rsid w:val="337551E4"/>
    <w:rsid w:val="339E473B"/>
    <w:rsid w:val="33AB50A9"/>
    <w:rsid w:val="33C06DA7"/>
    <w:rsid w:val="33EF31E8"/>
    <w:rsid w:val="33F94067"/>
    <w:rsid w:val="340B78F6"/>
    <w:rsid w:val="3431735D"/>
    <w:rsid w:val="34384B8F"/>
    <w:rsid w:val="344572AC"/>
    <w:rsid w:val="34473024"/>
    <w:rsid w:val="345474EF"/>
    <w:rsid w:val="347656B7"/>
    <w:rsid w:val="348576A9"/>
    <w:rsid w:val="349E4CF3"/>
    <w:rsid w:val="34A71D15"/>
    <w:rsid w:val="34AE30A3"/>
    <w:rsid w:val="34BF705E"/>
    <w:rsid w:val="34C5219B"/>
    <w:rsid w:val="34D67F04"/>
    <w:rsid w:val="34DB551B"/>
    <w:rsid w:val="34E4491D"/>
    <w:rsid w:val="34F211E2"/>
    <w:rsid w:val="350946A0"/>
    <w:rsid w:val="351F7AFD"/>
    <w:rsid w:val="352366D3"/>
    <w:rsid w:val="352670DE"/>
    <w:rsid w:val="352868F0"/>
    <w:rsid w:val="354B08F2"/>
    <w:rsid w:val="355C48AD"/>
    <w:rsid w:val="355F439E"/>
    <w:rsid w:val="35727C2D"/>
    <w:rsid w:val="35777939"/>
    <w:rsid w:val="357B39A0"/>
    <w:rsid w:val="357C0AAC"/>
    <w:rsid w:val="35A46254"/>
    <w:rsid w:val="35A91A40"/>
    <w:rsid w:val="35C12B12"/>
    <w:rsid w:val="35D419DA"/>
    <w:rsid w:val="35FC7E3E"/>
    <w:rsid w:val="36064819"/>
    <w:rsid w:val="3611319A"/>
    <w:rsid w:val="36140CE4"/>
    <w:rsid w:val="36162CAE"/>
    <w:rsid w:val="361E7DB5"/>
    <w:rsid w:val="36545584"/>
    <w:rsid w:val="365657A0"/>
    <w:rsid w:val="365732C7"/>
    <w:rsid w:val="365C268B"/>
    <w:rsid w:val="36603F29"/>
    <w:rsid w:val="366F23BE"/>
    <w:rsid w:val="367774C5"/>
    <w:rsid w:val="36857E34"/>
    <w:rsid w:val="3698148D"/>
    <w:rsid w:val="36A007CA"/>
    <w:rsid w:val="36AD2EE7"/>
    <w:rsid w:val="36B81FB7"/>
    <w:rsid w:val="36B9188B"/>
    <w:rsid w:val="36BA1FE3"/>
    <w:rsid w:val="36C00E6C"/>
    <w:rsid w:val="36C73FA8"/>
    <w:rsid w:val="36CA5847"/>
    <w:rsid w:val="36D84407"/>
    <w:rsid w:val="36DF7544"/>
    <w:rsid w:val="36E0150E"/>
    <w:rsid w:val="36F87C76"/>
    <w:rsid w:val="36F9612C"/>
    <w:rsid w:val="37411FAD"/>
    <w:rsid w:val="374C0952"/>
    <w:rsid w:val="375A4E1C"/>
    <w:rsid w:val="37620175"/>
    <w:rsid w:val="37621F23"/>
    <w:rsid w:val="376712E7"/>
    <w:rsid w:val="3768394F"/>
    <w:rsid w:val="37691503"/>
    <w:rsid w:val="378025DA"/>
    <w:rsid w:val="37826121"/>
    <w:rsid w:val="37936580"/>
    <w:rsid w:val="37991DE9"/>
    <w:rsid w:val="379F0A81"/>
    <w:rsid w:val="37B3452D"/>
    <w:rsid w:val="37B564F7"/>
    <w:rsid w:val="37C914DF"/>
    <w:rsid w:val="37E34E12"/>
    <w:rsid w:val="37F05BF6"/>
    <w:rsid w:val="38080D1C"/>
    <w:rsid w:val="38172D0E"/>
    <w:rsid w:val="382B67B9"/>
    <w:rsid w:val="38433B03"/>
    <w:rsid w:val="38471845"/>
    <w:rsid w:val="38673C95"/>
    <w:rsid w:val="387463B2"/>
    <w:rsid w:val="387737AC"/>
    <w:rsid w:val="387D5266"/>
    <w:rsid w:val="3885408B"/>
    <w:rsid w:val="38880351"/>
    <w:rsid w:val="388859B9"/>
    <w:rsid w:val="38962C58"/>
    <w:rsid w:val="38983E4E"/>
    <w:rsid w:val="38A26A7B"/>
    <w:rsid w:val="38AC16A8"/>
    <w:rsid w:val="38B93DC5"/>
    <w:rsid w:val="38BE13DB"/>
    <w:rsid w:val="38C509BB"/>
    <w:rsid w:val="38CD161E"/>
    <w:rsid w:val="38E250CA"/>
    <w:rsid w:val="38F17A02"/>
    <w:rsid w:val="390A6409"/>
    <w:rsid w:val="39205BF2"/>
    <w:rsid w:val="39227BBC"/>
    <w:rsid w:val="392E030F"/>
    <w:rsid w:val="39331DC9"/>
    <w:rsid w:val="396C7089"/>
    <w:rsid w:val="39706B79"/>
    <w:rsid w:val="397C3D0A"/>
    <w:rsid w:val="39882115"/>
    <w:rsid w:val="398C14D9"/>
    <w:rsid w:val="39934616"/>
    <w:rsid w:val="399D5494"/>
    <w:rsid w:val="399D7242"/>
    <w:rsid w:val="39AB7BB1"/>
    <w:rsid w:val="39B27192"/>
    <w:rsid w:val="39C66799"/>
    <w:rsid w:val="39CB2002"/>
    <w:rsid w:val="39CD3FCC"/>
    <w:rsid w:val="39CD7B28"/>
    <w:rsid w:val="39D2513E"/>
    <w:rsid w:val="39D37108"/>
    <w:rsid w:val="39D96898"/>
    <w:rsid w:val="39E84962"/>
    <w:rsid w:val="3A0472C2"/>
    <w:rsid w:val="3A053765"/>
    <w:rsid w:val="3A155D47"/>
    <w:rsid w:val="3A157721"/>
    <w:rsid w:val="3A1C285D"/>
    <w:rsid w:val="3A2B2B31"/>
    <w:rsid w:val="3A414072"/>
    <w:rsid w:val="3A43603C"/>
    <w:rsid w:val="3A451310"/>
    <w:rsid w:val="3A4A561C"/>
    <w:rsid w:val="3A571AE7"/>
    <w:rsid w:val="3A5A3696"/>
    <w:rsid w:val="3A5A5133"/>
    <w:rsid w:val="3A5C534F"/>
    <w:rsid w:val="3A661D2A"/>
    <w:rsid w:val="3A836438"/>
    <w:rsid w:val="3A8F1281"/>
    <w:rsid w:val="3ABE1B66"/>
    <w:rsid w:val="3AD153F6"/>
    <w:rsid w:val="3AE315CD"/>
    <w:rsid w:val="3AFD61EB"/>
    <w:rsid w:val="3AFE01B5"/>
    <w:rsid w:val="3B0A4DAB"/>
    <w:rsid w:val="3B181276"/>
    <w:rsid w:val="3B183024"/>
    <w:rsid w:val="3B196D9D"/>
    <w:rsid w:val="3B1F2605"/>
    <w:rsid w:val="3B2319C9"/>
    <w:rsid w:val="3B2C6AD0"/>
    <w:rsid w:val="3B365BA1"/>
    <w:rsid w:val="3B3E6803"/>
    <w:rsid w:val="3B4402BD"/>
    <w:rsid w:val="3B4E6A46"/>
    <w:rsid w:val="3B5A363D"/>
    <w:rsid w:val="3B5E124B"/>
    <w:rsid w:val="3B5F6EA5"/>
    <w:rsid w:val="3B7F12F6"/>
    <w:rsid w:val="3B9823B7"/>
    <w:rsid w:val="3B985F13"/>
    <w:rsid w:val="3BA23236"/>
    <w:rsid w:val="3BAA5C47"/>
    <w:rsid w:val="3BC66F24"/>
    <w:rsid w:val="3BCB0097"/>
    <w:rsid w:val="3BE5647B"/>
    <w:rsid w:val="3BFF2436"/>
    <w:rsid w:val="3C020626"/>
    <w:rsid w:val="3C0A0ADE"/>
    <w:rsid w:val="3C0D4B53"/>
    <w:rsid w:val="3C137C90"/>
    <w:rsid w:val="3C243C4B"/>
    <w:rsid w:val="3C2D0D52"/>
    <w:rsid w:val="3C3976F6"/>
    <w:rsid w:val="3C4E0CC8"/>
    <w:rsid w:val="3C664263"/>
    <w:rsid w:val="3C6F136A"/>
    <w:rsid w:val="3C7C5835"/>
    <w:rsid w:val="3C7C75E3"/>
    <w:rsid w:val="3C812E4B"/>
    <w:rsid w:val="3C887535"/>
    <w:rsid w:val="3C8A37A3"/>
    <w:rsid w:val="3CC61931"/>
    <w:rsid w:val="3CE13968"/>
    <w:rsid w:val="3CE157B1"/>
    <w:rsid w:val="3CEC4769"/>
    <w:rsid w:val="3CFC1829"/>
    <w:rsid w:val="3D0221DE"/>
    <w:rsid w:val="3D0F2205"/>
    <w:rsid w:val="3D211F38"/>
    <w:rsid w:val="3D257C7B"/>
    <w:rsid w:val="3D2959BD"/>
    <w:rsid w:val="3D2C725B"/>
    <w:rsid w:val="3D344362"/>
    <w:rsid w:val="3D3D3216"/>
    <w:rsid w:val="3D436353"/>
    <w:rsid w:val="3D510A70"/>
    <w:rsid w:val="3D65276D"/>
    <w:rsid w:val="3D65451B"/>
    <w:rsid w:val="3D8B21D4"/>
    <w:rsid w:val="3D9700D0"/>
    <w:rsid w:val="3D9C6233"/>
    <w:rsid w:val="3D9D5A63"/>
    <w:rsid w:val="3DA768E2"/>
    <w:rsid w:val="3DAA5519"/>
    <w:rsid w:val="3DAB4624"/>
    <w:rsid w:val="3DBB413B"/>
    <w:rsid w:val="3DE73182"/>
    <w:rsid w:val="3DF5589F"/>
    <w:rsid w:val="3DFF3A68"/>
    <w:rsid w:val="3E1321C9"/>
    <w:rsid w:val="3E247F32"/>
    <w:rsid w:val="3E3E7246"/>
    <w:rsid w:val="3E3F4D6C"/>
    <w:rsid w:val="3E467EA9"/>
    <w:rsid w:val="3E491EE2"/>
    <w:rsid w:val="3E594080"/>
    <w:rsid w:val="3E725142"/>
    <w:rsid w:val="3E740EBA"/>
    <w:rsid w:val="3E7A3FF6"/>
    <w:rsid w:val="3E8E35FE"/>
    <w:rsid w:val="3E9450B8"/>
    <w:rsid w:val="3E976956"/>
    <w:rsid w:val="3E9A01F4"/>
    <w:rsid w:val="3EA82911"/>
    <w:rsid w:val="3EAE5A4E"/>
    <w:rsid w:val="3EBC63BD"/>
    <w:rsid w:val="3ECC2AA4"/>
    <w:rsid w:val="3ED454B4"/>
    <w:rsid w:val="3EDC080D"/>
    <w:rsid w:val="3F055FB6"/>
    <w:rsid w:val="3F0F473E"/>
    <w:rsid w:val="3F1B1335"/>
    <w:rsid w:val="3F220916"/>
    <w:rsid w:val="3F285800"/>
    <w:rsid w:val="3F2D2E17"/>
    <w:rsid w:val="3F364027"/>
    <w:rsid w:val="3F520ACF"/>
    <w:rsid w:val="3F5E56C6"/>
    <w:rsid w:val="3F626F64"/>
    <w:rsid w:val="3F6F1681"/>
    <w:rsid w:val="3F7A2500"/>
    <w:rsid w:val="3F8526D6"/>
    <w:rsid w:val="3F93711E"/>
    <w:rsid w:val="3F966C0E"/>
    <w:rsid w:val="3F9D7F9C"/>
    <w:rsid w:val="3FBD250E"/>
    <w:rsid w:val="3FC678A1"/>
    <w:rsid w:val="3FEB51AC"/>
    <w:rsid w:val="3FF04570"/>
    <w:rsid w:val="40063D93"/>
    <w:rsid w:val="40104C12"/>
    <w:rsid w:val="40330901"/>
    <w:rsid w:val="40493C80"/>
    <w:rsid w:val="406D3E12"/>
    <w:rsid w:val="40761B16"/>
    <w:rsid w:val="407E7DCE"/>
    <w:rsid w:val="40880C4C"/>
    <w:rsid w:val="40925627"/>
    <w:rsid w:val="40BA4B7E"/>
    <w:rsid w:val="40BF3F42"/>
    <w:rsid w:val="40CD48B1"/>
    <w:rsid w:val="40D175F5"/>
    <w:rsid w:val="40D45C40"/>
    <w:rsid w:val="40E13EB9"/>
    <w:rsid w:val="40F57964"/>
    <w:rsid w:val="40FA4F7A"/>
    <w:rsid w:val="40FD06D5"/>
    <w:rsid w:val="41087697"/>
    <w:rsid w:val="41140732"/>
    <w:rsid w:val="41175B2C"/>
    <w:rsid w:val="41434B73"/>
    <w:rsid w:val="4151103E"/>
    <w:rsid w:val="41546D80"/>
    <w:rsid w:val="4172045C"/>
    <w:rsid w:val="418807D8"/>
    <w:rsid w:val="41913B31"/>
    <w:rsid w:val="41936B67"/>
    <w:rsid w:val="419453CF"/>
    <w:rsid w:val="41AC7E24"/>
    <w:rsid w:val="41AD023F"/>
    <w:rsid w:val="41C2018E"/>
    <w:rsid w:val="41EF2605"/>
    <w:rsid w:val="41FD2F74"/>
    <w:rsid w:val="41FD4D22"/>
    <w:rsid w:val="42044303"/>
    <w:rsid w:val="420662CD"/>
    <w:rsid w:val="42075BA1"/>
    <w:rsid w:val="420D75E7"/>
    <w:rsid w:val="425132C0"/>
    <w:rsid w:val="425A6618"/>
    <w:rsid w:val="425E5BF6"/>
    <w:rsid w:val="426E5C20"/>
    <w:rsid w:val="42733236"/>
    <w:rsid w:val="427A0C3A"/>
    <w:rsid w:val="42845443"/>
    <w:rsid w:val="428B4A24"/>
    <w:rsid w:val="42997141"/>
    <w:rsid w:val="429C09DF"/>
    <w:rsid w:val="42B850ED"/>
    <w:rsid w:val="42F26851"/>
    <w:rsid w:val="43000F6E"/>
    <w:rsid w:val="430640AA"/>
    <w:rsid w:val="431E13F4"/>
    <w:rsid w:val="43215D4C"/>
    <w:rsid w:val="433C187A"/>
    <w:rsid w:val="4355293C"/>
    <w:rsid w:val="43774FF0"/>
    <w:rsid w:val="43776D56"/>
    <w:rsid w:val="4379487C"/>
    <w:rsid w:val="438A6A89"/>
    <w:rsid w:val="43913B0C"/>
    <w:rsid w:val="43931DE2"/>
    <w:rsid w:val="43996CCD"/>
    <w:rsid w:val="439F3205"/>
    <w:rsid w:val="43B34686"/>
    <w:rsid w:val="43D877F5"/>
    <w:rsid w:val="43DF111F"/>
    <w:rsid w:val="44134CD1"/>
    <w:rsid w:val="441427F7"/>
    <w:rsid w:val="44315157"/>
    <w:rsid w:val="443D1D4E"/>
    <w:rsid w:val="44486501"/>
    <w:rsid w:val="444E7AB7"/>
    <w:rsid w:val="445175A7"/>
    <w:rsid w:val="445A2900"/>
    <w:rsid w:val="44641089"/>
    <w:rsid w:val="447119F7"/>
    <w:rsid w:val="44727C49"/>
    <w:rsid w:val="4484172B"/>
    <w:rsid w:val="44B26298"/>
    <w:rsid w:val="44B738AE"/>
    <w:rsid w:val="44BA15F0"/>
    <w:rsid w:val="44BE2E8F"/>
    <w:rsid w:val="44C23E37"/>
    <w:rsid w:val="44D04970"/>
    <w:rsid w:val="44EE4DF6"/>
    <w:rsid w:val="44F512D3"/>
    <w:rsid w:val="450F5D66"/>
    <w:rsid w:val="4513234C"/>
    <w:rsid w:val="45156827"/>
    <w:rsid w:val="4519611C"/>
    <w:rsid w:val="451E1B7F"/>
    <w:rsid w:val="4521341D"/>
    <w:rsid w:val="452B429C"/>
    <w:rsid w:val="455E01CE"/>
    <w:rsid w:val="459534C4"/>
    <w:rsid w:val="45B147A1"/>
    <w:rsid w:val="45BE6EBE"/>
    <w:rsid w:val="45CA13BF"/>
    <w:rsid w:val="45D71D2E"/>
    <w:rsid w:val="45EE1552"/>
    <w:rsid w:val="45F8417E"/>
    <w:rsid w:val="45F96148"/>
    <w:rsid w:val="46026D1E"/>
    <w:rsid w:val="46072613"/>
    <w:rsid w:val="46130FB8"/>
    <w:rsid w:val="46405B25"/>
    <w:rsid w:val="464253F9"/>
    <w:rsid w:val="464E0242"/>
    <w:rsid w:val="46690BD8"/>
    <w:rsid w:val="466A4950"/>
    <w:rsid w:val="468772B0"/>
    <w:rsid w:val="46AE2A8F"/>
    <w:rsid w:val="46CB1893"/>
    <w:rsid w:val="46CC0FCD"/>
    <w:rsid w:val="46D5626E"/>
    <w:rsid w:val="46D83FB0"/>
    <w:rsid w:val="46F04DCB"/>
    <w:rsid w:val="46F26E20"/>
    <w:rsid w:val="46FA2178"/>
    <w:rsid w:val="47013507"/>
    <w:rsid w:val="47064679"/>
    <w:rsid w:val="47170634"/>
    <w:rsid w:val="472B2331"/>
    <w:rsid w:val="47376F28"/>
    <w:rsid w:val="473C62ED"/>
    <w:rsid w:val="474358CD"/>
    <w:rsid w:val="47451645"/>
    <w:rsid w:val="476D64A6"/>
    <w:rsid w:val="47941C85"/>
    <w:rsid w:val="4798433A"/>
    <w:rsid w:val="47A345BE"/>
    <w:rsid w:val="47A619B8"/>
    <w:rsid w:val="47AF2F63"/>
    <w:rsid w:val="47BC742D"/>
    <w:rsid w:val="47C84024"/>
    <w:rsid w:val="47F24BFD"/>
    <w:rsid w:val="48025817"/>
    <w:rsid w:val="48036E0A"/>
    <w:rsid w:val="48082673"/>
    <w:rsid w:val="480D1A37"/>
    <w:rsid w:val="48194880"/>
    <w:rsid w:val="4819662E"/>
    <w:rsid w:val="483416BA"/>
    <w:rsid w:val="483D40CA"/>
    <w:rsid w:val="484A4A39"/>
    <w:rsid w:val="484A67E7"/>
    <w:rsid w:val="48627FD5"/>
    <w:rsid w:val="486A0C38"/>
    <w:rsid w:val="487970CD"/>
    <w:rsid w:val="487A3570"/>
    <w:rsid w:val="4880045B"/>
    <w:rsid w:val="488066AD"/>
    <w:rsid w:val="489B7043"/>
    <w:rsid w:val="48A44149"/>
    <w:rsid w:val="48AE4FC8"/>
    <w:rsid w:val="48B00D40"/>
    <w:rsid w:val="48BB76E5"/>
    <w:rsid w:val="48D04F3E"/>
    <w:rsid w:val="48D367DD"/>
    <w:rsid w:val="48D767BD"/>
    <w:rsid w:val="48DA7B6B"/>
    <w:rsid w:val="48E21116"/>
    <w:rsid w:val="48E704DA"/>
    <w:rsid w:val="48F36E7F"/>
    <w:rsid w:val="48F50E49"/>
    <w:rsid w:val="48FF3A76"/>
    <w:rsid w:val="490177EE"/>
    <w:rsid w:val="49080B7C"/>
    <w:rsid w:val="490B5255"/>
    <w:rsid w:val="490B5F77"/>
    <w:rsid w:val="49180694"/>
    <w:rsid w:val="491A440C"/>
    <w:rsid w:val="491D0802"/>
    <w:rsid w:val="49262DB0"/>
    <w:rsid w:val="49437E06"/>
    <w:rsid w:val="49492F43"/>
    <w:rsid w:val="494E2307"/>
    <w:rsid w:val="496164DE"/>
    <w:rsid w:val="497C0C22"/>
    <w:rsid w:val="49804BB7"/>
    <w:rsid w:val="499917D4"/>
    <w:rsid w:val="49A63EF1"/>
    <w:rsid w:val="49B06B1E"/>
    <w:rsid w:val="49B20AE8"/>
    <w:rsid w:val="49B54134"/>
    <w:rsid w:val="49BB5BEF"/>
    <w:rsid w:val="49BE748D"/>
    <w:rsid w:val="49C10D2B"/>
    <w:rsid w:val="49CB1BAA"/>
    <w:rsid w:val="49D24CE6"/>
    <w:rsid w:val="49DE368B"/>
    <w:rsid w:val="49E02D90"/>
    <w:rsid w:val="49E62540"/>
    <w:rsid w:val="4A062BE2"/>
    <w:rsid w:val="4A0C644A"/>
    <w:rsid w:val="4A0D5D1E"/>
    <w:rsid w:val="4A192915"/>
    <w:rsid w:val="4A1D2195"/>
    <w:rsid w:val="4A275968"/>
    <w:rsid w:val="4A2826D6"/>
    <w:rsid w:val="4A325785"/>
    <w:rsid w:val="4A471230"/>
    <w:rsid w:val="4A4F27DB"/>
    <w:rsid w:val="4A547DF1"/>
    <w:rsid w:val="4A5C104B"/>
    <w:rsid w:val="4A653DAC"/>
    <w:rsid w:val="4A6F2535"/>
    <w:rsid w:val="4A7364C9"/>
    <w:rsid w:val="4A834233"/>
    <w:rsid w:val="4A8E3303"/>
    <w:rsid w:val="4A985F30"/>
    <w:rsid w:val="4A9D52F4"/>
    <w:rsid w:val="4AA246B9"/>
    <w:rsid w:val="4AB03279"/>
    <w:rsid w:val="4AC242EC"/>
    <w:rsid w:val="4AC97E97"/>
    <w:rsid w:val="4ADE3E57"/>
    <w:rsid w:val="4AE3590F"/>
    <w:rsid w:val="4AE72A13"/>
    <w:rsid w:val="4AE90539"/>
    <w:rsid w:val="4B0233A9"/>
    <w:rsid w:val="4B117A90"/>
    <w:rsid w:val="4B180E1F"/>
    <w:rsid w:val="4B26353C"/>
    <w:rsid w:val="4B3612A5"/>
    <w:rsid w:val="4B41360A"/>
    <w:rsid w:val="4B413ED2"/>
    <w:rsid w:val="4B4B6AFE"/>
    <w:rsid w:val="4B577B99"/>
    <w:rsid w:val="4B614574"/>
    <w:rsid w:val="4B645E12"/>
    <w:rsid w:val="4B7778F3"/>
    <w:rsid w:val="4B7A5635"/>
    <w:rsid w:val="4B7D39AD"/>
    <w:rsid w:val="4B8D1D61"/>
    <w:rsid w:val="4B8E10E1"/>
    <w:rsid w:val="4BA1473A"/>
    <w:rsid w:val="4BA34B8C"/>
    <w:rsid w:val="4BB5666E"/>
    <w:rsid w:val="4BBA3C84"/>
    <w:rsid w:val="4BCE772F"/>
    <w:rsid w:val="4BD27220"/>
    <w:rsid w:val="4BD765E4"/>
    <w:rsid w:val="4BEF7DD1"/>
    <w:rsid w:val="4BF058F8"/>
    <w:rsid w:val="4BFE1DC3"/>
    <w:rsid w:val="4C080E93"/>
    <w:rsid w:val="4C0D0258"/>
    <w:rsid w:val="4C1A4723"/>
    <w:rsid w:val="4C325F10"/>
    <w:rsid w:val="4C3A6B73"/>
    <w:rsid w:val="4C416153"/>
    <w:rsid w:val="4C567E51"/>
    <w:rsid w:val="4C592E7C"/>
    <w:rsid w:val="4C5D11DF"/>
    <w:rsid w:val="4C685C74"/>
    <w:rsid w:val="4C6D6718"/>
    <w:rsid w:val="4C742085"/>
    <w:rsid w:val="4C793B3F"/>
    <w:rsid w:val="4C7958ED"/>
    <w:rsid w:val="4C7D53DD"/>
    <w:rsid w:val="4CA54934"/>
    <w:rsid w:val="4CB54D28"/>
    <w:rsid w:val="4CB95DE5"/>
    <w:rsid w:val="4CC377BB"/>
    <w:rsid w:val="4CC50B32"/>
    <w:rsid w:val="4CCF375F"/>
    <w:rsid w:val="4CD55219"/>
    <w:rsid w:val="4CDD40CE"/>
    <w:rsid w:val="4CE0596C"/>
    <w:rsid w:val="4CE30FB8"/>
    <w:rsid w:val="4CE70AA9"/>
    <w:rsid w:val="4CEC4311"/>
    <w:rsid w:val="4CF80F08"/>
    <w:rsid w:val="4CFA4C80"/>
    <w:rsid w:val="4CFE5DF2"/>
    <w:rsid w:val="4D057181"/>
    <w:rsid w:val="4D094EC3"/>
    <w:rsid w:val="4D13189E"/>
    <w:rsid w:val="4D7560B4"/>
    <w:rsid w:val="4D761E2D"/>
    <w:rsid w:val="4D7A36CB"/>
    <w:rsid w:val="4DB72B71"/>
    <w:rsid w:val="4DC42B98"/>
    <w:rsid w:val="4DD20112"/>
    <w:rsid w:val="4DDF3E76"/>
    <w:rsid w:val="4DFA0CB0"/>
    <w:rsid w:val="4E037B64"/>
    <w:rsid w:val="4E061402"/>
    <w:rsid w:val="4E0D2791"/>
    <w:rsid w:val="4E143B1F"/>
    <w:rsid w:val="4E2B0E69"/>
    <w:rsid w:val="4E3715BC"/>
    <w:rsid w:val="4E571C5E"/>
    <w:rsid w:val="4E5E123E"/>
    <w:rsid w:val="4E6B74B7"/>
    <w:rsid w:val="4E6C395B"/>
    <w:rsid w:val="4E922C96"/>
    <w:rsid w:val="4E964534"/>
    <w:rsid w:val="4EB9036C"/>
    <w:rsid w:val="4EC512BE"/>
    <w:rsid w:val="4ECE0172"/>
    <w:rsid w:val="4ED428A1"/>
    <w:rsid w:val="4EDB288F"/>
    <w:rsid w:val="4EE74D90"/>
    <w:rsid w:val="4F11005F"/>
    <w:rsid w:val="4F155DA1"/>
    <w:rsid w:val="4F2A1121"/>
    <w:rsid w:val="4F3A5808"/>
    <w:rsid w:val="4F3D70A6"/>
    <w:rsid w:val="4F4026F2"/>
    <w:rsid w:val="4F512B51"/>
    <w:rsid w:val="4F536956"/>
    <w:rsid w:val="4F5C39D0"/>
    <w:rsid w:val="4F636E07"/>
    <w:rsid w:val="4F6603AB"/>
    <w:rsid w:val="4F674123"/>
    <w:rsid w:val="4F764366"/>
    <w:rsid w:val="4FA90297"/>
    <w:rsid w:val="4FAC214A"/>
    <w:rsid w:val="4FBC446F"/>
    <w:rsid w:val="4FBF7ABB"/>
    <w:rsid w:val="4FC357FD"/>
    <w:rsid w:val="4FCC21D8"/>
    <w:rsid w:val="4FD572DE"/>
    <w:rsid w:val="4FDA66A3"/>
    <w:rsid w:val="4FDC241B"/>
    <w:rsid w:val="4FE90FDC"/>
    <w:rsid w:val="4FF84D7B"/>
    <w:rsid w:val="4FF97471"/>
    <w:rsid w:val="500374D1"/>
    <w:rsid w:val="5039786D"/>
    <w:rsid w:val="5043249A"/>
    <w:rsid w:val="50463D38"/>
    <w:rsid w:val="506568B4"/>
    <w:rsid w:val="50681F00"/>
    <w:rsid w:val="506F328F"/>
    <w:rsid w:val="50720FD1"/>
    <w:rsid w:val="508634F7"/>
    <w:rsid w:val="509176A9"/>
    <w:rsid w:val="5092502A"/>
    <w:rsid w:val="50966A6E"/>
    <w:rsid w:val="509727E6"/>
    <w:rsid w:val="50A05B3E"/>
    <w:rsid w:val="50A3118B"/>
    <w:rsid w:val="50A82C45"/>
    <w:rsid w:val="50BB4726"/>
    <w:rsid w:val="50C11611"/>
    <w:rsid w:val="50C3182D"/>
    <w:rsid w:val="50CC06E1"/>
    <w:rsid w:val="50D2323B"/>
    <w:rsid w:val="50D650BC"/>
    <w:rsid w:val="50E7551B"/>
    <w:rsid w:val="50E84DEF"/>
    <w:rsid w:val="50EE4AFC"/>
    <w:rsid w:val="51131C31"/>
    <w:rsid w:val="511B6F73"/>
    <w:rsid w:val="513308E8"/>
    <w:rsid w:val="513D338D"/>
    <w:rsid w:val="514E5C3F"/>
    <w:rsid w:val="515D758B"/>
    <w:rsid w:val="517174DB"/>
    <w:rsid w:val="518C7E71"/>
    <w:rsid w:val="519377B6"/>
    <w:rsid w:val="519F5DF6"/>
    <w:rsid w:val="51A056CA"/>
    <w:rsid w:val="51A74CAA"/>
    <w:rsid w:val="51E8779D"/>
    <w:rsid w:val="51F3109A"/>
    <w:rsid w:val="52043EAB"/>
    <w:rsid w:val="521C7446"/>
    <w:rsid w:val="521F0CE5"/>
    <w:rsid w:val="522E717A"/>
    <w:rsid w:val="524F07B7"/>
    <w:rsid w:val="525A7F6F"/>
    <w:rsid w:val="52720E14"/>
    <w:rsid w:val="528374C6"/>
    <w:rsid w:val="52860D64"/>
    <w:rsid w:val="52943481"/>
    <w:rsid w:val="52992845"/>
    <w:rsid w:val="52993FA0"/>
    <w:rsid w:val="52AA2CA4"/>
    <w:rsid w:val="52AB4326"/>
    <w:rsid w:val="52AC0CD5"/>
    <w:rsid w:val="52BE405A"/>
    <w:rsid w:val="52C11D9C"/>
    <w:rsid w:val="52D10231"/>
    <w:rsid w:val="53035F10"/>
    <w:rsid w:val="53081465"/>
    <w:rsid w:val="5311062D"/>
    <w:rsid w:val="53114AD1"/>
    <w:rsid w:val="531243A6"/>
    <w:rsid w:val="53193986"/>
    <w:rsid w:val="532C5467"/>
    <w:rsid w:val="53365E35"/>
    <w:rsid w:val="53370970"/>
    <w:rsid w:val="533B7B79"/>
    <w:rsid w:val="53513120"/>
    <w:rsid w:val="539D138E"/>
    <w:rsid w:val="539E5E24"/>
    <w:rsid w:val="53A45945"/>
    <w:rsid w:val="53BD6A07"/>
    <w:rsid w:val="53C41B44"/>
    <w:rsid w:val="53CC6C4A"/>
    <w:rsid w:val="53E73A84"/>
    <w:rsid w:val="53F1045F"/>
    <w:rsid w:val="54001829"/>
    <w:rsid w:val="54212AF2"/>
    <w:rsid w:val="5422686A"/>
    <w:rsid w:val="542720D3"/>
    <w:rsid w:val="542E520F"/>
    <w:rsid w:val="54430E5E"/>
    <w:rsid w:val="544762D1"/>
    <w:rsid w:val="54482775"/>
    <w:rsid w:val="54817A35"/>
    <w:rsid w:val="54822C8B"/>
    <w:rsid w:val="54BA4CF5"/>
    <w:rsid w:val="54C618EB"/>
    <w:rsid w:val="54D9517B"/>
    <w:rsid w:val="54E56216"/>
    <w:rsid w:val="54E87AB4"/>
    <w:rsid w:val="550A7A2A"/>
    <w:rsid w:val="551C775D"/>
    <w:rsid w:val="55251135"/>
    <w:rsid w:val="55336EC2"/>
    <w:rsid w:val="553C395C"/>
    <w:rsid w:val="5540169E"/>
    <w:rsid w:val="55603AEE"/>
    <w:rsid w:val="55853555"/>
    <w:rsid w:val="55DA564E"/>
    <w:rsid w:val="55E77D6B"/>
    <w:rsid w:val="55EB160A"/>
    <w:rsid w:val="56044479"/>
    <w:rsid w:val="56075D18"/>
    <w:rsid w:val="562468CA"/>
    <w:rsid w:val="562B5EAA"/>
    <w:rsid w:val="56310FE7"/>
    <w:rsid w:val="563F3703"/>
    <w:rsid w:val="56496330"/>
    <w:rsid w:val="56535401"/>
    <w:rsid w:val="565D1DDC"/>
    <w:rsid w:val="567D5FDA"/>
    <w:rsid w:val="56876E58"/>
    <w:rsid w:val="56AE2637"/>
    <w:rsid w:val="56B37C4E"/>
    <w:rsid w:val="56B45E9F"/>
    <w:rsid w:val="56B714EC"/>
    <w:rsid w:val="56CA56C3"/>
    <w:rsid w:val="56F20776"/>
    <w:rsid w:val="57007337"/>
    <w:rsid w:val="570573A8"/>
    <w:rsid w:val="570F30D6"/>
    <w:rsid w:val="57122BC6"/>
    <w:rsid w:val="5713005A"/>
    <w:rsid w:val="571526B6"/>
    <w:rsid w:val="571D6CF2"/>
    <w:rsid w:val="57272B15"/>
    <w:rsid w:val="574865E8"/>
    <w:rsid w:val="575B456D"/>
    <w:rsid w:val="575C02E5"/>
    <w:rsid w:val="575E5E0B"/>
    <w:rsid w:val="576A2A02"/>
    <w:rsid w:val="576F0018"/>
    <w:rsid w:val="57743881"/>
    <w:rsid w:val="578C4726"/>
    <w:rsid w:val="579161E1"/>
    <w:rsid w:val="579932E7"/>
    <w:rsid w:val="57C2639A"/>
    <w:rsid w:val="57D32355"/>
    <w:rsid w:val="57E43880"/>
    <w:rsid w:val="57E738F8"/>
    <w:rsid w:val="57EE718F"/>
    <w:rsid w:val="57FF139C"/>
    <w:rsid w:val="58070251"/>
    <w:rsid w:val="580E7831"/>
    <w:rsid w:val="5814471C"/>
    <w:rsid w:val="58207565"/>
    <w:rsid w:val="582E1C82"/>
    <w:rsid w:val="583A6878"/>
    <w:rsid w:val="58417C07"/>
    <w:rsid w:val="58445001"/>
    <w:rsid w:val="585711D8"/>
    <w:rsid w:val="585B2DA9"/>
    <w:rsid w:val="58666421"/>
    <w:rsid w:val="586E207E"/>
    <w:rsid w:val="58737694"/>
    <w:rsid w:val="587D6765"/>
    <w:rsid w:val="58810003"/>
    <w:rsid w:val="58871392"/>
    <w:rsid w:val="588C69A8"/>
    <w:rsid w:val="58931AE5"/>
    <w:rsid w:val="589A10C5"/>
    <w:rsid w:val="589C6BEB"/>
    <w:rsid w:val="589F3BEB"/>
    <w:rsid w:val="58A3441E"/>
    <w:rsid w:val="58B24661"/>
    <w:rsid w:val="58B32187"/>
    <w:rsid w:val="58B51F19"/>
    <w:rsid w:val="58B55EFF"/>
    <w:rsid w:val="58C779E0"/>
    <w:rsid w:val="58D42829"/>
    <w:rsid w:val="58F702C5"/>
    <w:rsid w:val="5906675A"/>
    <w:rsid w:val="590D7AE9"/>
    <w:rsid w:val="591C41D0"/>
    <w:rsid w:val="593432C8"/>
    <w:rsid w:val="593C4897"/>
    <w:rsid w:val="593F3A1A"/>
    <w:rsid w:val="594828CF"/>
    <w:rsid w:val="597072EF"/>
    <w:rsid w:val="5975743C"/>
    <w:rsid w:val="5987789B"/>
    <w:rsid w:val="5999137D"/>
    <w:rsid w:val="59AC10B0"/>
    <w:rsid w:val="59B66EB3"/>
    <w:rsid w:val="59C3464B"/>
    <w:rsid w:val="59C83A10"/>
    <w:rsid w:val="59CF65CA"/>
    <w:rsid w:val="59EC5950"/>
    <w:rsid w:val="59FB3DE5"/>
    <w:rsid w:val="5A1F5D26"/>
    <w:rsid w:val="5A210922"/>
    <w:rsid w:val="5A296BA4"/>
    <w:rsid w:val="5A307F33"/>
    <w:rsid w:val="5A33532D"/>
    <w:rsid w:val="5A582FE6"/>
    <w:rsid w:val="5A5A0B0C"/>
    <w:rsid w:val="5A6C4CE3"/>
    <w:rsid w:val="5A785436"/>
    <w:rsid w:val="5A8B33BB"/>
    <w:rsid w:val="5A971D60"/>
    <w:rsid w:val="5AAA63F0"/>
    <w:rsid w:val="5B070568"/>
    <w:rsid w:val="5B182775"/>
    <w:rsid w:val="5B215ACE"/>
    <w:rsid w:val="5B264E92"/>
    <w:rsid w:val="5B4377F2"/>
    <w:rsid w:val="5B5419FF"/>
    <w:rsid w:val="5B5D1BCF"/>
    <w:rsid w:val="5B5E63DA"/>
    <w:rsid w:val="5B61411C"/>
    <w:rsid w:val="5B661732"/>
    <w:rsid w:val="5B7B1CE2"/>
    <w:rsid w:val="5B7C0F56"/>
    <w:rsid w:val="5B865F53"/>
    <w:rsid w:val="5B94475D"/>
    <w:rsid w:val="5BA04C44"/>
    <w:rsid w:val="5BA54009"/>
    <w:rsid w:val="5BB029AE"/>
    <w:rsid w:val="5BC052E6"/>
    <w:rsid w:val="5BD112A2"/>
    <w:rsid w:val="5BD963A8"/>
    <w:rsid w:val="5BDB5C7C"/>
    <w:rsid w:val="5BEC60DC"/>
    <w:rsid w:val="5C036F81"/>
    <w:rsid w:val="5C272C70"/>
    <w:rsid w:val="5C381321"/>
    <w:rsid w:val="5C527136"/>
    <w:rsid w:val="5C583771"/>
    <w:rsid w:val="5C877BB2"/>
    <w:rsid w:val="5CDB3A5A"/>
    <w:rsid w:val="5CEE378D"/>
    <w:rsid w:val="5D177188"/>
    <w:rsid w:val="5D347D3A"/>
    <w:rsid w:val="5D423AD9"/>
    <w:rsid w:val="5D443CF5"/>
    <w:rsid w:val="5D6677C8"/>
    <w:rsid w:val="5D7A09BD"/>
    <w:rsid w:val="5D7F0889"/>
    <w:rsid w:val="5D964551"/>
    <w:rsid w:val="5DAB167E"/>
    <w:rsid w:val="5DAF116F"/>
    <w:rsid w:val="5DB06C95"/>
    <w:rsid w:val="5DC42740"/>
    <w:rsid w:val="5DCA5FA9"/>
    <w:rsid w:val="5DF474C9"/>
    <w:rsid w:val="5E22791D"/>
    <w:rsid w:val="5E2A2EEB"/>
    <w:rsid w:val="5E2A4C99"/>
    <w:rsid w:val="5E2A6EC2"/>
    <w:rsid w:val="5E2D4789"/>
    <w:rsid w:val="5E481638"/>
    <w:rsid w:val="5E4A70E9"/>
    <w:rsid w:val="5E5B12F6"/>
    <w:rsid w:val="5E5B391D"/>
    <w:rsid w:val="5E767EDE"/>
    <w:rsid w:val="5E783C56"/>
    <w:rsid w:val="5E895E64"/>
    <w:rsid w:val="5E8A5738"/>
    <w:rsid w:val="5E9D546B"/>
    <w:rsid w:val="5EA66A16"/>
    <w:rsid w:val="5EB10F16"/>
    <w:rsid w:val="5EB436A1"/>
    <w:rsid w:val="5EE96902"/>
    <w:rsid w:val="5EF37781"/>
    <w:rsid w:val="5EFD1B0C"/>
    <w:rsid w:val="5F076D88"/>
    <w:rsid w:val="5F0E0117"/>
    <w:rsid w:val="5F2913F5"/>
    <w:rsid w:val="5F37766E"/>
    <w:rsid w:val="5F3F4090"/>
    <w:rsid w:val="5F4E2C09"/>
    <w:rsid w:val="5F506981"/>
    <w:rsid w:val="5F5244A8"/>
    <w:rsid w:val="5F5D2E4C"/>
    <w:rsid w:val="5F610B8F"/>
    <w:rsid w:val="5F667F53"/>
    <w:rsid w:val="5F6A335E"/>
    <w:rsid w:val="5F954394"/>
    <w:rsid w:val="5F9E593F"/>
    <w:rsid w:val="5FAE5456"/>
    <w:rsid w:val="5FAF0C51"/>
    <w:rsid w:val="5FBB4342"/>
    <w:rsid w:val="5FDA449D"/>
    <w:rsid w:val="5FEB0458"/>
    <w:rsid w:val="5FF90DC7"/>
    <w:rsid w:val="5FFB68ED"/>
    <w:rsid w:val="60250735"/>
    <w:rsid w:val="60251BBC"/>
    <w:rsid w:val="602F47E9"/>
    <w:rsid w:val="603242D9"/>
    <w:rsid w:val="604C539B"/>
    <w:rsid w:val="60522285"/>
    <w:rsid w:val="6054424F"/>
    <w:rsid w:val="60602BF4"/>
    <w:rsid w:val="6062696C"/>
    <w:rsid w:val="607246D5"/>
    <w:rsid w:val="607E751E"/>
    <w:rsid w:val="608F5287"/>
    <w:rsid w:val="6094289E"/>
    <w:rsid w:val="60996106"/>
    <w:rsid w:val="609B3C2C"/>
    <w:rsid w:val="60A46F86"/>
    <w:rsid w:val="60C969EB"/>
    <w:rsid w:val="60DD4245"/>
    <w:rsid w:val="60E5134B"/>
    <w:rsid w:val="61167757"/>
    <w:rsid w:val="6122434D"/>
    <w:rsid w:val="612A5791"/>
    <w:rsid w:val="614007DA"/>
    <w:rsid w:val="61461DEA"/>
    <w:rsid w:val="614D1FBB"/>
    <w:rsid w:val="61500EBB"/>
    <w:rsid w:val="61532759"/>
    <w:rsid w:val="61565DA5"/>
    <w:rsid w:val="61616C24"/>
    <w:rsid w:val="6162299C"/>
    <w:rsid w:val="61646714"/>
    <w:rsid w:val="6189617B"/>
    <w:rsid w:val="618B3CA1"/>
    <w:rsid w:val="61952D71"/>
    <w:rsid w:val="61970898"/>
    <w:rsid w:val="61CB6793"/>
    <w:rsid w:val="61F950AE"/>
    <w:rsid w:val="61FC06FB"/>
    <w:rsid w:val="62051CA5"/>
    <w:rsid w:val="620F6680"/>
    <w:rsid w:val="62177D07"/>
    <w:rsid w:val="622540F5"/>
    <w:rsid w:val="623C143F"/>
    <w:rsid w:val="6243457B"/>
    <w:rsid w:val="62606EDB"/>
    <w:rsid w:val="626562A0"/>
    <w:rsid w:val="62707C48"/>
    <w:rsid w:val="628030DA"/>
    <w:rsid w:val="628506F0"/>
    <w:rsid w:val="62A3501A"/>
    <w:rsid w:val="62A64F57"/>
    <w:rsid w:val="62AC0373"/>
    <w:rsid w:val="62B92A90"/>
    <w:rsid w:val="62BB05B6"/>
    <w:rsid w:val="62D715B9"/>
    <w:rsid w:val="62DD422B"/>
    <w:rsid w:val="62F15D85"/>
    <w:rsid w:val="62FA10DE"/>
    <w:rsid w:val="63035AB9"/>
    <w:rsid w:val="630930CF"/>
    <w:rsid w:val="6315416A"/>
    <w:rsid w:val="63247F09"/>
    <w:rsid w:val="632C5010"/>
    <w:rsid w:val="633A597E"/>
    <w:rsid w:val="6341070D"/>
    <w:rsid w:val="63424833"/>
    <w:rsid w:val="636D5D54"/>
    <w:rsid w:val="637644DD"/>
    <w:rsid w:val="63893169"/>
    <w:rsid w:val="63894210"/>
    <w:rsid w:val="638E5CCA"/>
    <w:rsid w:val="63A1155A"/>
    <w:rsid w:val="63AD3C4E"/>
    <w:rsid w:val="63C926FE"/>
    <w:rsid w:val="63C96D02"/>
    <w:rsid w:val="63CB4828"/>
    <w:rsid w:val="63D062E3"/>
    <w:rsid w:val="63D7141F"/>
    <w:rsid w:val="63DC4C88"/>
    <w:rsid w:val="63DD455C"/>
    <w:rsid w:val="63EF49BB"/>
    <w:rsid w:val="63F7561D"/>
    <w:rsid w:val="63FA6EBC"/>
    <w:rsid w:val="63FF44D2"/>
    <w:rsid w:val="64117276"/>
    <w:rsid w:val="64187F90"/>
    <w:rsid w:val="64191A38"/>
    <w:rsid w:val="645E38EF"/>
    <w:rsid w:val="6468651B"/>
    <w:rsid w:val="6477675E"/>
    <w:rsid w:val="647C5B23"/>
    <w:rsid w:val="64A62BA0"/>
    <w:rsid w:val="64AB13D7"/>
    <w:rsid w:val="64AC5906"/>
    <w:rsid w:val="64B81251"/>
    <w:rsid w:val="64C00105"/>
    <w:rsid w:val="64C64FF0"/>
    <w:rsid w:val="64D709C5"/>
    <w:rsid w:val="64DF6D0B"/>
    <w:rsid w:val="651915C4"/>
    <w:rsid w:val="651B17E0"/>
    <w:rsid w:val="651B533C"/>
    <w:rsid w:val="65273CE0"/>
    <w:rsid w:val="653463FD"/>
    <w:rsid w:val="653A7EB8"/>
    <w:rsid w:val="65493C57"/>
    <w:rsid w:val="655A2308"/>
    <w:rsid w:val="655D5954"/>
    <w:rsid w:val="65711400"/>
    <w:rsid w:val="65815AE7"/>
    <w:rsid w:val="658B0713"/>
    <w:rsid w:val="65982E30"/>
    <w:rsid w:val="65A2780B"/>
    <w:rsid w:val="65A92947"/>
    <w:rsid w:val="65AB2B63"/>
    <w:rsid w:val="65D11E9E"/>
    <w:rsid w:val="65D26342"/>
    <w:rsid w:val="65F77B57"/>
    <w:rsid w:val="65FC516D"/>
    <w:rsid w:val="661324B7"/>
    <w:rsid w:val="6623094C"/>
    <w:rsid w:val="662621EA"/>
    <w:rsid w:val="66267799"/>
    <w:rsid w:val="663366B5"/>
    <w:rsid w:val="664C0223"/>
    <w:rsid w:val="664D3C1B"/>
    <w:rsid w:val="66576847"/>
    <w:rsid w:val="666F1DE3"/>
    <w:rsid w:val="667271DD"/>
    <w:rsid w:val="66823B40"/>
    <w:rsid w:val="669B6734"/>
    <w:rsid w:val="66A35A4A"/>
    <w:rsid w:val="66B028AC"/>
    <w:rsid w:val="66BE0674"/>
    <w:rsid w:val="66C814F3"/>
    <w:rsid w:val="66F37E01"/>
    <w:rsid w:val="66FE6CC3"/>
    <w:rsid w:val="670047E9"/>
    <w:rsid w:val="670F2C7E"/>
    <w:rsid w:val="6712451C"/>
    <w:rsid w:val="671F55B7"/>
    <w:rsid w:val="673D77D6"/>
    <w:rsid w:val="675608AD"/>
    <w:rsid w:val="676459AA"/>
    <w:rsid w:val="677E43BB"/>
    <w:rsid w:val="678418BE"/>
    <w:rsid w:val="67926549"/>
    <w:rsid w:val="679C6C08"/>
    <w:rsid w:val="67A21D44"/>
    <w:rsid w:val="67B56EC9"/>
    <w:rsid w:val="67BD4D11"/>
    <w:rsid w:val="67CE7AFB"/>
    <w:rsid w:val="67D0065F"/>
    <w:rsid w:val="67DA7730"/>
    <w:rsid w:val="67FC1454"/>
    <w:rsid w:val="68091DC3"/>
    <w:rsid w:val="680D3662"/>
    <w:rsid w:val="68282249"/>
    <w:rsid w:val="68421AF2"/>
    <w:rsid w:val="68424C4D"/>
    <w:rsid w:val="68757459"/>
    <w:rsid w:val="6884144A"/>
    <w:rsid w:val="68866F70"/>
    <w:rsid w:val="689A0C6D"/>
    <w:rsid w:val="689E250C"/>
    <w:rsid w:val="68BE2BAE"/>
    <w:rsid w:val="68C41A78"/>
    <w:rsid w:val="68D4417F"/>
    <w:rsid w:val="68E1689C"/>
    <w:rsid w:val="68E72104"/>
    <w:rsid w:val="68F93BE6"/>
    <w:rsid w:val="68FF70FA"/>
    <w:rsid w:val="6922138F"/>
    <w:rsid w:val="69407A67"/>
    <w:rsid w:val="69431305"/>
    <w:rsid w:val="69442C7A"/>
    <w:rsid w:val="694A4441"/>
    <w:rsid w:val="6954706E"/>
    <w:rsid w:val="695D5F23"/>
    <w:rsid w:val="69676DA1"/>
    <w:rsid w:val="696C43B8"/>
    <w:rsid w:val="69807E63"/>
    <w:rsid w:val="69855479"/>
    <w:rsid w:val="699658D9"/>
    <w:rsid w:val="69B30239"/>
    <w:rsid w:val="69C9180A"/>
    <w:rsid w:val="69C935B8"/>
    <w:rsid w:val="69D1246D"/>
    <w:rsid w:val="69FB573C"/>
    <w:rsid w:val="6A2904FB"/>
    <w:rsid w:val="6A3053E5"/>
    <w:rsid w:val="6A503CD9"/>
    <w:rsid w:val="6A527A52"/>
    <w:rsid w:val="6A5C442C"/>
    <w:rsid w:val="6A615EE7"/>
    <w:rsid w:val="6A6652AB"/>
    <w:rsid w:val="6A6E5F0E"/>
    <w:rsid w:val="6A815C41"/>
    <w:rsid w:val="6A890F99"/>
    <w:rsid w:val="6A906F5C"/>
    <w:rsid w:val="6AA162E3"/>
    <w:rsid w:val="6AA3205B"/>
    <w:rsid w:val="6ABC311D"/>
    <w:rsid w:val="6ABD403C"/>
    <w:rsid w:val="6AC326FD"/>
    <w:rsid w:val="6AD00976"/>
    <w:rsid w:val="6B2036AC"/>
    <w:rsid w:val="6B3929BF"/>
    <w:rsid w:val="6B4A616F"/>
    <w:rsid w:val="6B4C44A1"/>
    <w:rsid w:val="6B4D0219"/>
    <w:rsid w:val="6B6712DB"/>
    <w:rsid w:val="6B685053"/>
    <w:rsid w:val="6B7E6624"/>
    <w:rsid w:val="6B841E8D"/>
    <w:rsid w:val="6B9E0A74"/>
    <w:rsid w:val="6BA134EC"/>
    <w:rsid w:val="6BB87D88"/>
    <w:rsid w:val="6BC32289"/>
    <w:rsid w:val="6BC56001"/>
    <w:rsid w:val="6BCC55E2"/>
    <w:rsid w:val="6BEC17E0"/>
    <w:rsid w:val="6C0E5BFA"/>
    <w:rsid w:val="6C164AAF"/>
    <w:rsid w:val="6C2076DB"/>
    <w:rsid w:val="6C3513D9"/>
    <w:rsid w:val="6C5F6456"/>
    <w:rsid w:val="6C6B4DFB"/>
    <w:rsid w:val="6C7A503E"/>
    <w:rsid w:val="6C841A18"/>
    <w:rsid w:val="6C922387"/>
    <w:rsid w:val="6C953C26"/>
    <w:rsid w:val="6C9A123C"/>
    <w:rsid w:val="6CA420BB"/>
    <w:rsid w:val="6CA67BE1"/>
    <w:rsid w:val="6CBE13CE"/>
    <w:rsid w:val="6CC10EBE"/>
    <w:rsid w:val="6CC62031"/>
    <w:rsid w:val="6CC938CF"/>
    <w:rsid w:val="6CE54BAD"/>
    <w:rsid w:val="6CEA21C3"/>
    <w:rsid w:val="6D0019E7"/>
    <w:rsid w:val="6D0112BB"/>
    <w:rsid w:val="6D1014FE"/>
    <w:rsid w:val="6D1C037E"/>
    <w:rsid w:val="6D203E37"/>
    <w:rsid w:val="6D205BE5"/>
    <w:rsid w:val="6D260D22"/>
    <w:rsid w:val="6D401DE3"/>
    <w:rsid w:val="6D4A0EB4"/>
    <w:rsid w:val="6D505D9E"/>
    <w:rsid w:val="6D8819DC"/>
    <w:rsid w:val="6D8A25D8"/>
    <w:rsid w:val="6D9B526C"/>
    <w:rsid w:val="6DA71E62"/>
    <w:rsid w:val="6DB261F4"/>
    <w:rsid w:val="6DC9627D"/>
    <w:rsid w:val="6DCF3167"/>
    <w:rsid w:val="6DD72B83"/>
    <w:rsid w:val="6DDD3AD6"/>
    <w:rsid w:val="6DE36C13"/>
    <w:rsid w:val="6DF350A8"/>
    <w:rsid w:val="6DFF3A4C"/>
    <w:rsid w:val="6E0033A7"/>
    <w:rsid w:val="6E184B0E"/>
    <w:rsid w:val="6E192634"/>
    <w:rsid w:val="6E301E58"/>
    <w:rsid w:val="6E3A4A84"/>
    <w:rsid w:val="6E531FEA"/>
    <w:rsid w:val="6E5F44EB"/>
    <w:rsid w:val="6E7A1325"/>
    <w:rsid w:val="6E8B3532"/>
    <w:rsid w:val="6EB34837"/>
    <w:rsid w:val="6EBE3907"/>
    <w:rsid w:val="6ECD58F9"/>
    <w:rsid w:val="6ECE5922"/>
    <w:rsid w:val="6ED00F45"/>
    <w:rsid w:val="6ED053E9"/>
    <w:rsid w:val="6EF94940"/>
    <w:rsid w:val="6EFA06B8"/>
    <w:rsid w:val="6F173018"/>
    <w:rsid w:val="6F1A3BE3"/>
    <w:rsid w:val="6F1F3C7A"/>
    <w:rsid w:val="6F3C482C"/>
    <w:rsid w:val="6F4B4A6F"/>
    <w:rsid w:val="6F54601A"/>
    <w:rsid w:val="6F5558EE"/>
    <w:rsid w:val="6F5E6D24"/>
    <w:rsid w:val="6F683873"/>
    <w:rsid w:val="6F6C3363"/>
    <w:rsid w:val="6F8166E3"/>
    <w:rsid w:val="6F8C5FF1"/>
    <w:rsid w:val="6F9208F0"/>
    <w:rsid w:val="6F984159"/>
    <w:rsid w:val="6FB70357"/>
    <w:rsid w:val="6FBB1BF5"/>
    <w:rsid w:val="6FC84312"/>
    <w:rsid w:val="6FD448D3"/>
    <w:rsid w:val="6FD66A2F"/>
    <w:rsid w:val="6FF3138F"/>
    <w:rsid w:val="6FFB47F8"/>
    <w:rsid w:val="6FFE7D34"/>
    <w:rsid w:val="700F1F41"/>
    <w:rsid w:val="70117A67"/>
    <w:rsid w:val="70182BA3"/>
    <w:rsid w:val="701D465E"/>
    <w:rsid w:val="702A6D7B"/>
    <w:rsid w:val="70301BC4"/>
    <w:rsid w:val="70366EC6"/>
    <w:rsid w:val="7039446C"/>
    <w:rsid w:val="703D260A"/>
    <w:rsid w:val="70512559"/>
    <w:rsid w:val="70700C31"/>
    <w:rsid w:val="707149AA"/>
    <w:rsid w:val="7086127D"/>
    <w:rsid w:val="708E3A71"/>
    <w:rsid w:val="70A73F27"/>
    <w:rsid w:val="70B07280"/>
    <w:rsid w:val="70D25448"/>
    <w:rsid w:val="70DA60AB"/>
    <w:rsid w:val="70E909E4"/>
    <w:rsid w:val="70F21D21"/>
    <w:rsid w:val="70F57389"/>
    <w:rsid w:val="70F66FCB"/>
    <w:rsid w:val="71031AA6"/>
    <w:rsid w:val="713E488C"/>
    <w:rsid w:val="713F0604"/>
    <w:rsid w:val="71597917"/>
    <w:rsid w:val="715D2A57"/>
    <w:rsid w:val="716D6F1F"/>
    <w:rsid w:val="717464FF"/>
    <w:rsid w:val="71807A85"/>
    <w:rsid w:val="718524BB"/>
    <w:rsid w:val="718A5D23"/>
    <w:rsid w:val="71973F9C"/>
    <w:rsid w:val="71A212BE"/>
    <w:rsid w:val="71AA3CCF"/>
    <w:rsid w:val="71AF12E6"/>
    <w:rsid w:val="71B52674"/>
    <w:rsid w:val="71C2716C"/>
    <w:rsid w:val="71D074AE"/>
    <w:rsid w:val="71DF7FBC"/>
    <w:rsid w:val="71E573FD"/>
    <w:rsid w:val="72021D5D"/>
    <w:rsid w:val="72043C50"/>
    <w:rsid w:val="720553A9"/>
    <w:rsid w:val="721B697B"/>
    <w:rsid w:val="7239220A"/>
    <w:rsid w:val="724834E8"/>
    <w:rsid w:val="724C4D86"/>
    <w:rsid w:val="7260565A"/>
    <w:rsid w:val="7260622C"/>
    <w:rsid w:val="72676064"/>
    <w:rsid w:val="726A16B0"/>
    <w:rsid w:val="726C71D7"/>
    <w:rsid w:val="727367B7"/>
    <w:rsid w:val="727662A7"/>
    <w:rsid w:val="728409C4"/>
    <w:rsid w:val="728E1521"/>
    <w:rsid w:val="728E1843"/>
    <w:rsid w:val="729624A5"/>
    <w:rsid w:val="729C1185"/>
    <w:rsid w:val="72A93F87"/>
    <w:rsid w:val="72D0112D"/>
    <w:rsid w:val="72E632D7"/>
    <w:rsid w:val="72ED47BB"/>
    <w:rsid w:val="72F21DD2"/>
    <w:rsid w:val="72FA3685"/>
    <w:rsid w:val="73090EC9"/>
    <w:rsid w:val="730E028E"/>
    <w:rsid w:val="73104006"/>
    <w:rsid w:val="7318110C"/>
    <w:rsid w:val="73320420"/>
    <w:rsid w:val="733221CE"/>
    <w:rsid w:val="7354691F"/>
    <w:rsid w:val="73577E87"/>
    <w:rsid w:val="735841A0"/>
    <w:rsid w:val="735C549D"/>
    <w:rsid w:val="735E1215"/>
    <w:rsid w:val="739E1612"/>
    <w:rsid w:val="73A806E2"/>
    <w:rsid w:val="73AB3D2F"/>
    <w:rsid w:val="73B057E9"/>
    <w:rsid w:val="73BD0A2D"/>
    <w:rsid w:val="73C117A4"/>
    <w:rsid w:val="73C53042"/>
    <w:rsid w:val="73D43285"/>
    <w:rsid w:val="73D47729"/>
    <w:rsid w:val="73DE2356"/>
    <w:rsid w:val="73F275CC"/>
    <w:rsid w:val="73F97EC0"/>
    <w:rsid w:val="73FC27DC"/>
    <w:rsid w:val="740873D3"/>
    <w:rsid w:val="74097195"/>
    <w:rsid w:val="74144967"/>
    <w:rsid w:val="74145D78"/>
    <w:rsid w:val="74251D33"/>
    <w:rsid w:val="74367A9C"/>
    <w:rsid w:val="74503B27"/>
    <w:rsid w:val="74582108"/>
    <w:rsid w:val="745A5E80"/>
    <w:rsid w:val="74793E2D"/>
    <w:rsid w:val="749F7D37"/>
    <w:rsid w:val="74BE7A92"/>
    <w:rsid w:val="74BF5CE3"/>
    <w:rsid w:val="74E7348C"/>
    <w:rsid w:val="74F00593"/>
    <w:rsid w:val="74F51705"/>
    <w:rsid w:val="75041948"/>
    <w:rsid w:val="750556C0"/>
    <w:rsid w:val="750951B1"/>
    <w:rsid w:val="75114065"/>
    <w:rsid w:val="75175B20"/>
    <w:rsid w:val="751F6782"/>
    <w:rsid w:val="753541F8"/>
    <w:rsid w:val="753D4E5A"/>
    <w:rsid w:val="754E66A1"/>
    <w:rsid w:val="7568637B"/>
    <w:rsid w:val="75B0387E"/>
    <w:rsid w:val="75CD4430"/>
    <w:rsid w:val="75CF202C"/>
    <w:rsid w:val="75D7705D"/>
    <w:rsid w:val="75D8638B"/>
    <w:rsid w:val="75DF5F11"/>
    <w:rsid w:val="75E63F5C"/>
    <w:rsid w:val="75E83018"/>
    <w:rsid w:val="760065B4"/>
    <w:rsid w:val="760D0CD1"/>
    <w:rsid w:val="761340A0"/>
    <w:rsid w:val="76143E0D"/>
    <w:rsid w:val="7616632D"/>
    <w:rsid w:val="76301029"/>
    <w:rsid w:val="76373F9F"/>
    <w:rsid w:val="764364A0"/>
    <w:rsid w:val="764F12E9"/>
    <w:rsid w:val="765A0AEB"/>
    <w:rsid w:val="765C7562"/>
    <w:rsid w:val="76724FD8"/>
    <w:rsid w:val="76876CD5"/>
    <w:rsid w:val="768F7938"/>
    <w:rsid w:val="76984A3E"/>
    <w:rsid w:val="769B452E"/>
    <w:rsid w:val="76A9033B"/>
    <w:rsid w:val="76BB697E"/>
    <w:rsid w:val="76D57A40"/>
    <w:rsid w:val="76EF6628"/>
    <w:rsid w:val="76F31C74"/>
    <w:rsid w:val="76F459ED"/>
    <w:rsid w:val="76F679B7"/>
    <w:rsid w:val="76F93003"/>
    <w:rsid w:val="76FB6D7B"/>
    <w:rsid w:val="770C0F88"/>
    <w:rsid w:val="771D3195"/>
    <w:rsid w:val="77275DC2"/>
    <w:rsid w:val="77304C77"/>
    <w:rsid w:val="774249AA"/>
    <w:rsid w:val="77435AB2"/>
    <w:rsid w:val="774B1AB0"/>
    <w:rsid w:val="77514BED"/>
    <w:rsid w:val="77541DD9"/>
    <w:rsid w:val="77711DCE"/>
    <w:rsid w:val="777C4360"/>
    <w:rsid w:val="778154D2"/>
    <w:rsid w:val="77A613DD"/>
    <w:rsid w:val="77A967D7"/>
    <w:rsid w:val="77AD6C05"/>
    <w:rsid w:val="77B05DB7"/>
    <w:rsid w:val="77B5517C"/>
    <w:rsid w:val="77BD2282"/>
    <w:rsid w:val="77D00208"/>
    <w:rsid w:val="77D53A70"/>
    <w:rsid w:val="77E3618D"/>
    <w:rsid w:val="77F263D0"/>
    <w:rsid w:val="78174088"/>
    <w:rsid w:val="78393FFF"/>
    <w:rsid w:val="783E1615"/>
    <w:rsid w:val="786170B2"/>
    <w:rsid w:val="7869138E"/>
    <w:rsid w:val="78850FF2"/>
    <w:rsid w:val="789D458E"/>
    <w:rsid w:val="78C41FC5"/>
    <w:rsid w:val="78D12489"/>
    <w:rsid w:val="790E2D96"/>
    <w:rsid w:val="79294BA1"/>
    <w:rsid w:val="79330A4E"/>
    <w:rsid w:val="796C3F60"/>
    <w:rsid w:val="798474FC"/>
    <w:rsid w:val="79B7167F"/>
    <w:rsid w:val="79B778D1"/>
    <w:rsid w:val="79C21DD2"/>
    <w:rsid w:val="79C63670"/>
    <w:rsid w:val="79D833A4"/>
    <w:rsid w:val="79DF2984"/>
    <w:rsid w:val="79E41D48"/>
    <w:rsid w:val="7A0B19CB"/>
    <w:rsid w:val="7A206084"/>
    <w:rsid w:val="7A236D15"/>
    <w:rsid w:val="7A3525A4"/>
    <w:rsid w:val="7A3727B5"/>
    <w:rsid w:val="7A3E03B2"/>
    <w:rsid w:val="7A434CC1"/>
    <w:rsid w:val="7A456C8B"/>
    <w:rsid w:val="7A4A24F3"/>
    <w:rsid w:val="7A4B626B"/>
    <w:rsid w:val="7A667EE0"/>
    <w:rsid w:val="7A6F5AB6"/>
    <w:rsid w:val="7A747570"/>
    <w:rsid w:val="7A7A6EC4"/>
    <w:rsid w:val="7A804167"/>
    <w:rsid w:val="7A8F43AA"/>
    <w:rsid w:val="7A911ED0"/>
    <w:rsid w:val="7A990D85"/>
    <w:rsid w:val="7A9E283F"/>
    <w:rsid w:val="7A9E45ED"/>
    <w:rsid w:val="7AA634A2"/>
    <w:rsid w:val="7ABD0F17"/>
    <w:rsid w:val="7ABD5BC0"/>
    <w:rsid w:val="7AD46261"/>
    <w:rsid w:val="7AE83ABA"/>
    <w:rsid w:val="7AEE3247"/>
    <w:rsid w:val="7AF10BC1"/>
    <w:rsid w:val="7B022DCE"/>
    <w:rsid w:val="7B046B46"/>
    <w:rsid w:val="7B2C39A7"/>
    <w:rsid w:val="7B346CFF"/>
    <w:rsid w:val="7B362A78"/>
    <w:rsid w:val="7B3665D4"/>
    <w:rsid w:val="7B3867F0"/>
    <w:rsid w:val="7B3F7B7E"/>
    <w:rsid w:val="7B4C229B"/>
    <w:rsid w:val="7B707D38"/>
    <w:rsid w:val="7B7517F2"/>
    <w:rsid w:val="7B89704B"/>
    <w:rsid w:val="7BAA061D"/>
    <w:rsid w:val="7BB06386"/>
    <w:rsid w:val="7BD75A22"/>
    <w:rsid w:val="7BDA1655"/>
    <w:rsid w:val="7BDF6C6B"/>
    <w:rsid w:val="7BF2699E"/>
    <w:rsid w:val="7BF72207"/>
    <w:rsid w:val="7C091F3A"/>
    <w:rsid w:val="7C1C7EBF"/>
    <w:rsid w:val="7C1F350C"/>
    <w:rsid w:val="7C2D3E7B"/>
    <w:rsid w:val="7C2F7BF3"/>
    <w:rsid w:val="7C3A6597"/>
    <w:rsid w:val="7C4D0EAE"/>
    <w:rsid w:val="7C613B24"/>
    <w:rsid w:val="7C6453C2"/>
    <w:rsid w:val="7C686C61"/>
    <w:rsid w:val="7C6B49A3"/>
    <w:rsid w:val="7C6F4C63"/>
    <w:rsid w:val="7C727ADF"/>
    <w:rsid w:val="7C7E46D6"/>
    <w:rsid w:val="7C8A4E29"/>
    <w:rsid w:val="7C8B294F"/>
    <w:rsid w:val="7C9932BE"/>
    <w:rsid w:val="7C9E08D4"/>
    <w:rsid w:val="7CA57EB5"/>
    <w:rsid w:val="7CBE4AD3"/>
    <w:rsid w:val="7CE00EED"/>
    <w:rsid w:val="7CEF3F9C"/>
    <w:rsid w:val="7CF600D5"/>
    <w:rsid w:val="7CF84488"/>
    <w:rsid w:val="7CF95B0B"/>
    <w:rsid w:val="7CFB1883"/>
    <w:rsid w:val="7D00333D"/>
    <w:rsid w:val="7D11554A"/>
    <w:rsid w:val="7D142945"/>
    <w:rsid w:val="7D225061"/>
    <w:rsid w:val="7D3905FD"/>
    <w:rsid w:val="7D5C301D"/>
    <w:rsid w:val="7D6306FA"/>
    <w:rsid w:val="7D63567A"/>
    <w:rsid w:val="7D6E64F9"/>
    <w:rsid w:val="7D787377"/>
    <w:rsid w:val="7D7F0706"/>
    <w:rsid w:val="7D847ACA"/>
    <w:rsid w:val="7D9817C8"/>
    <w:rsid w:val="7DAC7021"/>
    <w:rsid w:val="7DBA34EC"/>
    <w:rsid w:val="7DC10D1E"/>
    <w:rsid w:val="7DC223A1"/>
    <w:rsid w:val="7DC91981"/>
    <w:rsid w:val="7DCC321F"/>
    <w:rsid w:val="7DCF4ABD"/>
    <w:rsid w:val="7E0230E5"/>
    <w:rsid w:val="7E1D1CCD"/>
    <w:rsid w:val="7E494870"/>
    <w:rsid w:val="7E6D055E"/>
    <w:rsid w:val="7E733348"/>
    <w:rsid w:val="7E7C2E97"/>
    <w:rsid w:val="7E861620"/>
    <w:rsid w:val="7EB663A9"/>
    <w:rsid w:val="7EB75C7D"/>
    <w:rsid w:val="7EBC3294"/>
    <w:rsid w:val="7EC30AC6"/>
    <w:rsid w:val="7EDC7492"/>
    <w:rsid w:val="7EE10F4C"/>
    <w:rsid w:val="7EE50A3C"/>
    <w:rsid w:val="7EE511F9"/>
    <w:rsid w:val="7EE66563"/>
    <w:rsid w:val="7EF173E1"/>
    <w:rsid w:val="7EF96296"/>
    <w:rsid w:val="7EFC18E2"/>
    <w:rsid w:val="7EFE1AFE"/>
    <w:rsid w:val="7F0B7D77"/>
    <w:rsid w:val="7F0D1D41"/>
    <w:rsid w:val="7F192494"/>
    <w:rsid w:val="7F2257ED"/>
    <w:rsid w:val="7F264BB1"/>
    <w:rsid w:val="7F4D0390"/>
    <w:rsid w:val="7F511C2E"/>
    <w:rsid w:val="7F531E4A"/>
    <w:rsid w:val="7F5B6CF4"/>
    <w:rsid w:val="7F5C60DF"/>
    <w:rsid w:val="7F606315"/>
    <w:rsid w:val="7F622443"/>
    <w:rsid w:val="7F7508B8"/>
    <w:rsid w:val="7F7B314F"/>
    <w:rsid w:val="7F8C2C66"/>
    <w:rsid w:val="7F9727C2"/>
    <w:rsid w:val="7F9C3A4F"/>
    <w:rsid w:val="7FAA57E2"/>
    <w:rsid w:val="7FBD72C3"/>
    <w:rsid w:val="7FC00B62"/>
    <w:rsid w:val="7FC20D7E"/>
    <w:rsid w:val="7FE900B8"/>
    <w:rsid w:val="7FFB7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keepNext/>
      <w:keepLines/>
      <w:numPr>
        <w:ilvl w:val="1"/>
        <w:numId w:val="1"/>
      </w:numPr>
      <w:spacing w:before="60" w:after="60" w:line="360" w:lineRule="auto"/>
      <w:outlineLvl w:val="1"/>
    </w:pPr>
    <w:rPr>
      <w:b/>
      <w:bCs/>
      <w:sz w:val="28"/>
      <w:szCs w:val="32"/>
    </w:rPr>
  </w:style>
  <w:style w:type="paragraph" w:styleId="3">
    <w:name w:val="heading 3"/>
    <w:basedOn w:val="1"/>
    <w:next w:val="1"/>
    <w:semiHidden/>
    <w:unhideWhenUsed/>
    <w:qFormat/>
    <w:uiPriority w:val="0"/>
    <w:pPr>
      <w:keepNext/>
      <w:keepLines/>
      <w:numPr>
        <w:ilvl w:val="2"/>
        <w:numId w:val="2"/>
      </w:numPr>
      <w:spacing w:before="260" w:beforeLines="0" w:beforeAutospacing="0" w:after="260" w:afterLines="0" w:afterAutospacing="0" w:line="413" w:lineRule="auto"/>
      <w:ind w:left="720" w:hanging="720"/>
      <w:outlineLvl w:val="2"/>
    </w:pPr>
    <w:rPr>
      <w:b/>
      <w:sz w:val="32"/>
    </w:rPr>
  </w:style>
  <w:style w:type="paragraph" w:styleId="4">
    <w:name w:val="heading 4"/>
    <w:basedOn w:val="1"/>
    <w:next w:val="1"/>
    <w:semiHidden/>
    <w:unhideWhenUsed/>
    <w:qFormat/>
    <w:uiPriority w:val="0"/>
    <w:pPr>
      <w:keepNext/>
      <w:keepLines/>
      <w:numPr>
        <w:ilvl w:val="3"/>
        <w:numId w:val="3"/>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5">
    <w:name w:val="heading 5"/>
    <w:basedOn w:val="1"/>
    <w:next w:val="1"/>
    <w:semiHidden/>
    <w:unhideWhenUsed/>
    <w:qFormat/>
    <w:uiPriority w:val="0"/>
    <w:pPr>
      <w:keepNext/>
      <w:keepLines/>
      <w:numPr>
        <w:ilvl w:val="4"/>
        <w:numId w:val="3"/>
      </w:numPr>
      <w:spacing w:before="280" w:beforeLines="0" w:beforeAutospacing="0" w:after="290" w:afterLines="0" w:afterAutospacing="0" w:line="372" w:lineRule="auto"/>
      <w:ind w:left="1008" w:hanging="1008"/>
      <w:outlineLvl w:val="4"/>
    </w:pPr>
    <w:rPr>
      <w:b/>
      <w:sz w:val="28"/>
    </w:rPr>
  </w:style>
  <w:style w:type="paragraph" w:styleId="6">
    <w:name w:val="heading 6"/>
    <w:basedOn w:val="1"/>
    <w:next w:val="1"/>
    <w:semiHidden/>
    <w:unhideWhenUsed/>
    <w:qFormat/>
    <w:uiPriority w:val="0"/>
    <w:pPr>
      <w:keepNext/>
      <w:keepLines/>
      <w:numPr>
        <w:ilvl w:val="5"/>
        <w:numId w:val="3"/>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7">
    <w:name w:val="heading 7"/>
    <w:basedOn w:val="1"/>
    <w:next w:val="1"/>
    <w:semiHidden/>
    <w:unhideWhenUsed/>
    <w:qFormat/>
    <w:uiPriority w:val="0"/>
    <w:pPr>
      <w:keepNext/>
      <w:keepLines/>
      <w:numPr>
        <w:ilvl w:val="6"/>
        <w:numId w:val="3"/>
      </w:numPr>
      <w:spacing w:before="240" w:beforeLines="0" w:beforeAutospacing="0" w:after="64" w:afterLines="0" w:afterAutospacing="0" w:line="317" w:lineRule="auto"/>
      <w:ind w:left="1296" w:hanging="1296"/>
      <w:outlineLvl w:val="6"/>
    </w:pPr>
    <w:rPr>
      <w:b/>
      <w:sz w:val="24"/>
    </w:rPr>
  </w:style>
  <w:style w:type="paragraph" w:styleId="8">
    <w:name w:val="heading 8"/>
    <w:basedOn w:val="1"/>
    <w:next w:val="1"/>
    <w:semiHidden/>
    <w:unhideWhenUsed/>
    <w:qFormat/>
    <w:uiPriority w:val="0"/>
    <w:pPr>
      <w:keepNext/>
      <w:keepLines/>
      <w:numPr>
        <w:ilvl w:val="7"/>
        <w:numId w:val="3"/>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9">
    <w:name w:val="heading 9"/>
    <w:basedOn w:val="1"/>
    <w:next w:val="1"/>
    <w:semiHidden/>
    <w:unhideWhenUsed/>
    <w:qFormat/>
    <w:uiPriority w:val="0"/>
    <w:pPr>
      <w:keepNext/>
      <w:keepLines/>
      <w:numPr>
        <w:ilvl w:val="8"/>
        <w:numId w:val="3"/>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10">
    <w:name w:val="Document Map"/>
    <w:basedOn w:val="1"/>
    <w:next w:val="1"/>
    <w:qFormat/>
    <w:uiPriority w:val="0"/>
    <w:pPr>
      <w:shd w:val="clear" w:color="auto" w:fill="000080"/>
    </w:pPr>
  </w:style>
  <w:style w:type="paragraph" w:styleId="11">
    <w:name w:val="annotation text"/>
    <w:basedOn w:val="1"/>
    <w:qFormat/>
    <w:uiPriority w:val="0"/>
    <w:pPr>
      <w:jc w:val="left"/>
    </w:pPr>
  </w:style>
  <w:style w:type="paragraph" w:styleId="12">
    <w:name w:val="Body Text Indent"/>
    <w:basedOn w:val="1"/>
    <w:qFormat/>
    <w:uiPriority w:val="0"/>
    <w:pPr>
      <w:spacing w:after="120"/>
      <w:ind w:left="420" w:leftChars="200"/>
    </w:p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1"/>
    <w:next w:val="16"/>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16">
    <w:name w:val="文本"/>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17">
    <w:name w:val="table of figures"/>
    <w:basedOn w:val="1"/>
    <w:next w:val="1"/>
    <w:qFormat/>
    <w:uiPriority w:val="0"/>
  </w:style>
  <w:style w:type="paragraph" w:styleId="18">
    <w:name w:val="toc 2"/>
    <w:next w:val="1"/>
    <w:qFormat/>
    <w:uiPriority w:val="0"/>
    <w:pPr>
      <w:adjustRightInd w:val="0"/>
      <w:snapToGrid w:val="0"/>
      <w:spacing w:line="440" w:lineRule="exact"/>
      <w:ind w:left="420" w:leftChars="200"/>
    </w:pPr>
    <w:rPr>
      <w:rFonts w:ascii="Times New Roman" w:hAnsi="Times New Roman" w:eastAsia="宋体" w:cstheme="minorBidi"/>
      <w:sz w:val="28"/>
    </w:rPr>
  </w:style>
  <w:style w:type="character" w:styleId="21">
    <w:name w:val="annotation reference"/>
    <w:qFormat/>
    <w:uiPriority w:val="0"/>
    <w:rPr>
      <w:sz w:val="21"/>
      <w:szCs w:val="21"/>
    </w:rPr>
  </w:style>
  <w:style w:type="paragraph" w:customStyle="1" w:styleId="22">
    <w:name w:val="一级标题"/>
    <w:next w:val="23"/>
    <w:qFormat/>
    <w:uiPriority w:val="0"/>
    <w:pPr>
      <w:pageBreakBefore/>
      <w:numPr>
        <w:ilvl w:val="0"/>
        <w:numId w:val="3"/>
      </w:numPr>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23">
    <w:name w:val="二级标题"/>
    <w:next w:val="24"/>
    <w:qFormat/>
    <w:uiPriority w:val="0"/>
    <w:pPr>
      <w:numPr>
        <w:ilvl w:val="1"/>
        <w:numId w:val="3"/>
      </w:numPr>
      <w:tabs>
        <w:tab w:val="left" w:pos="0"/>
        <w:tab w:val="clear" w:pos="420"/>
      </w:tabs>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24">
    <w:name w:val="三级标题"/>
    <w:next w:val="16"/>
    <w:link w:val="29"/>
    <w:qFormat/>
    <w:uiPriority w:val="0"/>
    <w:pPr>
      <w:numPr>
        <w:ilvl w:val="2"/>
        <w:numId w:val="3"/>
      </w:numPr>
      <w:tabs>
        <w:tab w:val="left" w:pos="420"/>
      </w:tabs>
      <w:adjustRightInd w:val="0"/>
      <w:snapToGrid w:val="0"/>
      <w:spacing w:line="360" w:lineRule="auto"/>
      <w:ind w:left="720" w:hanging="720" w:firstLineChars="0"/>
      <w:outlineLvl w:val="2"/>
    </w:pPr>
    <w:rPr>
      <w:rFonts w:ascii="Times New Roman" w:hAnsi="Times New Roman" w:eastAsia="宋体" w:cstheme="minorBidi"/>
      <w:b/>
      <w:bCs/>
      <w:sz w:val="28"/>
      <w:szCs w:val="28"/>
    </w:rPr>
  </w:style>
  <w:style w:type="paragraph" w:customStyle="1" w:styleId="25">
    <w:name w:val="图表名称"/>
    <w:next w:val="16"/>
    <w:link w:val="49"/>
    <w:qFormat/>
    <w:uiPriority w:val="0"/>
    <w:pPr>
      <w:adjustRightInd w:val="0"/>
      <w:snapToGrid w:val="0"/>
      <w:jc w:val="center"/>
    </w:pPr>
    <w:rPr>
      <w:rFonts w:ascii="Times New Roman" w:hAnsi="Times New Roman" w:eastAsia="宋体" w:cs="Times New Roman"/>
      <w:b/>
      <w:bCs/>
      <w:sz w:val="24"/>
    </w:rPr>
  </w:style>
  <w:style w:type="paragraph" w:customStyle="1" w:styleId="26">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27">
    <w:name w:val="WPSOffice手动目录 1"/>
    <w:qFormat/>
    <w:uiPriority w:val="0"/>
    <w:pPr>
      <w:ind w:leftChars="0"/>
    </w:pPr>
    <w:rPr>
      <w:rFonts w:asciiTheme="minorHAnsi" w:hAnsiTheme="minorHAnsi" w:eastAsiaTheme="minorEastAsia" w:cstheme="minorBidi"/>
      <w:sz w:val="20"/>
      <w:szCs w:val="20"/>
    </w:rPr>
  </w:style>
  <w:style w:type="paragraph" w:customStyle="1" w:styleId="28">
    <w:name w:val="WPSOffice手动目录 2"/>
    <w:qFormat/>
    <w:uiPriority w:val="0"/>
    <w:pPr>
      <w:ind w:leftChars="200"/>
    </w:pPr>
    <w:rPr>
      <w:rFonts w:asciiTheme="minorHAnsi" w:hAnsiTheme="minorHAnsi" w:eastAsiaTheme="minorEastAsia" w:cstheme="minorBidi"/>
      <w:sz w:val="20"/>
      <w:szCs w:val="20"/>
    </w:rPr>
  </w:style>
  <w:style w:type="character" w:customStyle="1" w:styleId="29">
    <w:name w:val="三级标题 Char"/>
    <w:link w:val="24"/>
    <w:qFormat/>
    <w:uiPriority w:val="0"/>
    <w:rPr>
      <w:rFonts w:ascii="Times New Roman" w:hAnsi="Times New Roman" w:eastAsia="宋体" w:cstheme="minorBidi"/>
      <w:b/>
      <w:bCs/>
      <w:sz w:val="28"/>
      <w:szCs w:val="28"/>
    </w:rPr>
  </w:style>
  <w:style w:type="paragraph" w:customStyle="1" w:styleId="30">
    <w:name w:val="xl24"/>
    <w:basedOn w:val="1"/>
    <w:qFormat/>
    <w:uiPriority w:val="0"/>
    <w:pPr>
      <w:widowControl/>
      <w:pBdr>
        <w:bottom w:val="single" w:color="auto" w:sz="4" w:space="0"/>
      </w:pBdr>
      <w:spacing w:line="240" w:lineRule="atLeast"/>
      <w:jc w:val="center"/>
    </w:pPr>
    <w:rPr>
      <w:kern w:val="0"/>
      <w:sz w:val="21"/>
      <w:szCs w:val="21"/>
    </w:rPr>
  </w:style>
  <w:style w:type="character" w:customStyle="1" w:styleId="31">
    <w:name w:val="font161"/>
    <w:basedOn w:val="20"/>
    <w:qFormat/>
    <w:uiPriority w:val="0"/>
    <w:rPr>
      <w:rFonts w:hint="eastAsia" w:ascii="宋体" w:hAnsi="宋体" w:eastAsia="宋体" w:cs="宋体"/>
      <w:color w:val="3D3D3D"/>
      <w:sz w:val="26"/>
      <w:szCs w:val="26"/>
      <w:u w:val="none"/>
    </w:rPr>
  </w:style>
  <w:style w:type="character" w:customStyle="1" w:styleId="32">
    <w:name w:val="font171"/>
    <w:basedOn w:val="20"/>
    <w:qFormat/>
    <w:uiPriority w:val="0"/>
    <w:rPr>
      <w:rFonts w:hint="eastAsia" w:ascii="宋体" w:hAnsi="宋体" w:eastAsia="宋体" w:cs="宋体"/>
      <w:color w:val="2F2F2F"/>
      <w:sz w:val="28"/>
      <w:szCs w:val="28"/>
      <w:u w:val="none"/>
    </w:rPr>
  </w:style>
  <w:style w:type="character" w:customStyle="1" w:styleId="33">
    <w:name w:val="font181"/>
    <w:basedOn w:val="20"/>
    <w:qFormat/>
    <w:uiPriority w:val="0"/>
    <w:rPr>
      <w:rFonts w:hint="eastAsia" w:ascii="宋体" w:hAnsi="宋体" w:eastAsia="宋体" w:cs="宋体"/>
      <w:color w:val="2F2F2F"/>
      <w:sz w:val="26"/>
      <w:szCs w:val="26"/>
      <w:u w:val="none"/>
    </w:rPr>
  </w:style>
  <w:style w:type="character" w:customStyle="1" w:styleId="34">
    <w:name w:val="font191"/>
    <w:basedOn w:val="20"/>
    <w:qFormat/>
    <w:uiPriority w:val="0"/>
    <w:rPr>
      <w:rFonts w:hint="default" w:ascii="Arial" w:hAnsi="Arial" w:cs="Arial"/>
      <w:color w:val="2F2F2F"/>
      <w:sz w:val="21"/>
      <w:szCs w:val="21"/>
      <w:u w:val="none"/>
    </w:rPr>
  </w:style>
  <w:style w:type="character" w:customStyle="1" w:styleId="35">
    <w:name w:val="font201"/>
    <w:basedOn w:val="20"/>
    <w:qFormat/>
    <w:uiPriority w:val="0"/>
    <w:rPr>
      <w:rFonts w:hint="default" w:ascii="Arial" w:hAnsi="Arial" w:cs="Arial"/>
      <w:color w:val="3D3D3D"/>
      <w:sz w:val="22"/>
      <w:szCs w:val="22"/>
      <w:u w:val="none"/>
    </w:rPr>
  </w:style>
  <w:style w:type="character" w:customStyle="1" w:styleId="36">
    <w:name w:val="font211"/>
    <w:basedOn w:val="20"/>
    <w:qFormat/>
    <w:uiPriority w:val="0"/>
    <w:rPr>
      <w:rFonts w:hint="eastAsia" w:ascii="宋体" w:hAnsi="宋体" w:eastAsia="宋体" w:cs="宋体"/>
      <w:color w:val="3D3D3D"/>
      <w:sz w:val="24"/>
      <w:szCs w:val="24"/>
      <w:u w:val="none"/>
    </w:rPr>
  </w:style>
  <w:style w:type="character" w:customStyle="1" w:styleId="37">
    <w:name w:val="font221"/>
    <w:basedOn w:val="20"/>
    <w:qFormat/>
    <w:uiPriority w:val="0"/>
    <w:rPr>
      <w:rFonts w:hint="default" w:ascii="Times New Roman" w:hAnsi="Times New Roman" w:cs="Times New Roman"/>
      <w:color w:val="3D3D3D"/>
      <w:sz w:val="24"/>
      <w:szCs w:val="24"/>
      <w:u w:val="none"/>
    </w:rPr>
  </w:style>
  <w:style w:type="character" w:customStyle="1" w:styleId="38">
    <w:name w:val="font232"/>
    <w:basedOn w:val="20"/>
    <w:qFormat/>
    <w:uiPriority w:val="0"/>
    <w:rPr>
      <w:rFonts w:hint="default" w:ascii="Arial" w:hAnsi="Arial" w:cs="Arial"/>
      <w:color w:val="3D3D3D"/>
      <w:sz w:val="21"/>
      <w:szCs w:val="21"/>
      <w:u w:val="none"/>
    </w:rPr>
  </w:style>
  <w:style w:type="character" w:customStyle="1" w:styleId="39">
    <w:name w:val="font241"/>
    <w:basedOn w:val="20"/>
    <w:qFormat/>
    <w:uiPriority w:val="0"/>
    <w:rPr>
      <w:rFonts w:hint="eastAsia" w:ascii="宋体" w:hAnsi="宋体" w:eastAsia="宋体" w:cs="宋体"/>
      <w:color w:val="525252"/>
      <w:sz w:val="24"/>
      <w:szCs w:val="24"/>
      <w:u w:val="none"/>
    </w:rPr>
  </w:style>
  <w:style w:type="character" w:customStyle="1" w:styleId="40">
    <w:name w:val="font251"/>
    <w:basedOn w:val="20"/>
    <w:qFormat/>
    <w:uiPriority w:val="0"/>
    <w:rPr>
      <w:rFonts w:hint="default" w:ascii="Arial" w:hAnsi="Arial" w:cs="Arial"/>
      <w:color w:val="3D3D3D"/>
      <w:sz w:val="17"/>
      <w:szCs w:val="17"/>
      <w:u w:val="none"/>
    </w:rPr>
  </w:style>
  <w:style w:type="character" w:customStyle="1" w:styleId="41">
    <w:name w:val="font261"/>
    <w:basedOn w:val="20"/>
    <w:qFormat/>
    <w:uiPriority w:val="0"/>
    <w:rPr>
      <w:rFonts w:hint="default" w:ascii="Arial" w:hAnsi="Arial" w:cs="Arial"/>
      <w:color w:val="3D3D3D"/>
      <w:sz w:val="24"/>
      <w:szCs w:val="24"/>
      <w:u w:val="none"/>
    </w:rPr>
  </w:style>
  <w:style w:type="character" w:customStyle="1" w:styleId="42">
    <w:name w:val="font271"/>
    <w:basedOn w:val="20"/>
    <w:qFormat/>
    <w:uiPriority w:val="0"/>
    <w:rPr>
      <w:rFonts w:hint="eastAsia" w:ascii="宋体" w:hAnsi="宋体" w:eastAsia="宋体" w:cs="宋体"/>
      <w:color w:val="525252"/>
      <w:sz w:val="26"/>
      <w:szCs w:val="26"/>
      <w:u w:val="none"/>
    </w:rPr>
  </w:style>
  <w:style w:type="character" w:customStyle="1" w:styleId="43">
    <w:name w:val="font281"/>
    <w:basedOn w:val="20"/>
    <w:qFormat/>
    <w:uiPriority w:val="0"/>
    <w:rPr>
      <w:rFonts w:hint="eastAsia" w:ascii="宋体" w:hAnsi="宋体" w:eastAsia="宋体" w:cs="宋体"/>
      <w:color w:val="3D3D3D"/>
      <w:sz w:val="30"/>
      <w:szCs w:val="30"/>
      <w:u w:val="none"/>
    </w:rPr>
  </w:style>
  <w:style w:type="character" w:customStyle="1" w:styleId="44">
    <w:name w:val="font291"/>
    <w:basedOn w:val="20"/>
    <w:qFormat/>
    <w:uiPriority w:val="0"/>
    <w:rPr>
      <w:rFonts w:hint="eastAsia" w:ascii="宋体" w:hAnsi="宋体" w:eastAsia="宋体" w:cs="宋体"/>
      <w:color w:val="2F2F2F"/>
      <w:sz w:val="30"/>
      <w:szCs w:val="30"/>
      <w:u w:val="none"/>
    </w:rPr>
  </w:style>
  <w:style w:type="character" w:customStyle="1" w:styleId="45">
    <w:name w:val="font301"/>
    <w:basedOn w:val="20"/>
    <w:qFormat/>
    <w:uiPriority w:val="0"/>
    <w:rPr>
      <w:rFonts w:hint="default" w:ascii="Times New Roman" w:hAnsi="Times New Roman" w:cs="Times New Roman"/>
      <w:color w:val="3D3D3D"/>
      <w:sz w:val="27"/>
      <w:szCs w:val="27"/>
      <w:u w:val="none"/>
    </w:rPr>
  </w:style>
  <w:style w:type="character" w:customStyle="1" w:styleId="46">
    <w:name w:val="font311"/>
    <w:basedOn w:val="20"/>
    <w:qFormat/>
    <w:uiPriority w:val="0"/>
    <w:rPr>
      <w:rFonts w:hint="default" w:ascii="Times New Roman" w:hAnsi="Times New Roman" w:cs="Times New Roman"/>
      <w:color w:val="2F2F2F"/>
      <w:sz w:val="27"/>
      <w:szCs w:val="27"/>
      <w:u w:val="none"/>
    </w:rPr>
  </w:style>
  <w:style w:type="character" w:customStyle="1" w:styleId="47">
    <w:name w:val="font322"/>
    <w:basedOn w:val="20"/>
    <w:qFormat/>
    <w:uiPriority w:val="0"/>
    <w:rPr>
      <w:rFonts w:hint="default" w:ascii="Times New Roman" w:hAnsi="Times New Roman" w:cs="Times New Roman"/>
      <w:color w:val="525252"/>
      <w:sz w:val="27"/>
      <w:szCs w:val="27"/>
      <w:u w:val="none"/>
    </w:rPr>
  </w:style>
  <w:style w:type="character" w:customStyle="1" w:styleId="48">
    <w:name w:val="font331"/>
    <w:basedOn w:val="20"/>
    <w:qFormat/>
    <w:uiPriority w:val="0"/>
    <w:rPr>
      <w:rFonts w:hint="default" w:ascii="Times New Roman" w:hAnsi="Times New Roman" w:cs="Times New Roman"/>
      <w:color w:val="525252"/>
      <w:sz w:val="24"/>
      <w:szCs w:val="24"/>
      <w:u w:val="none"/>
    </w:rPr>
  </w:style>
  <w:style w:type="character" w:customStyle="1" w:styleId="49">
    <w:name w:val="图表名称 Char"/>
    <w:link w:val="25"/>
    <w:qFormat/>
    <w:uiPriority w:val="0"/>
    <w:rPr>
      <w:rFonts w:ascii="Times New Roman" w:hAnsi="Times New Roman" w:eastAsia="宋体" w:cs="Times New Roman"/>
      <w:b/>
      <w:bCs/>
      <w:sz w:val="24"/>
    </w:rPr>
  </w:style>
  <w:style w:type="paragraph" w:customStyle="1" w:styleId="50">
    <w:name w:val="段"/>
    <w:qFormat/>
    <w:uiPriority w:val="0"/>
    <w:pPr>
      <w:autoSpaceDE w:val="0"/>
      <w:autoSpaceDN w:val="0"/>
      <w:ind w:firstLine="200" w:firstLineChars="200"/>
      <w:jc w:val="both"/>
    </w:pPr>
    <w:rPr>
      <w:rFonts w:ascii="宋体" w:hAnsi="Calibri" w:eastAsia="宋体" w:cs="Times New Roman"/>
      <w:sz w:val="21"/>
      <w:szCs w:val="22"/>
      <w:lang w:val="en-US" w:eastAsia="zh-CN" w:bidi="ar-SA"/>
    </w:rPr>
  </w:style>
  <w:style w:type="paragraph" w:customStyle="1" w:styleId="51">
    <w:name w:val="7"/>
    <w:basedOn w:val="1"/>
    <w:qFormat/>
    <w:uiPriority w:val="0"/>
    <w:pPr>
      <w:autoSpaceDE w:val="0"/>
      <w:autoSpaceDN w:val="0"/>
      <w:adjustRightInd w:val="0"/>
      <w:snapToGrid w:val="0"/>
      <w:spacing w:line="360" w:lineRule="auto"/>
      <w:ind w:firstLine="200" w:firstLineChars="200"/>
      <w:textAlignment w:val="baseline"/>
    </w:pPr>
    <w:rPr>
      <w:rFonts w:ascii="Times New Roman" w:hAnsi="Times New Roman"/>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microsoft.com/office/2006/relationships/keyMapCustomizations" Target="customizations.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46</Pages>
  <Words>19265</Words>
  <Characters>21442</Characters>
  <Lines>0</Lines>
  <Paragraphs>0</Paragraphs>
  <TotalTime>0</TotalTime>
  <ScaleCrop>false</ScaleCrop>
  <LinksUpToDate>false</LinksUpToDate>
  <CharactersWithSpaces>21655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