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895745" w14:textId="77777777" w:rsidR="008D7DB0" w:rsidRDefault="00000000">
      <w:pPr>
        <w:snapToGrid w:val="0"/>
        <w:ind w:firstLineChars="0" w:firstLine="0"/>
        <w:jc w:val="center"/>
        <w:outlineLvl w:val="0"/>
        <w:rPr>
          <w:b/>
          <w:bCs/>
          <w:snapToGrid w:val="0"/>
          <w:kern w:val="0"/>
          <w:sz w:val="32"/>
          <w:szCs w:val="32"/>
        </w:rPr>
      </w:pPr>
      <w:bookmarkStart w:id="0" w:name="_Toc80883220"/>
      <w:bookmarkStart w:id="1" w:name="_Toc140292229"/>
      <w:bookmarkStart w:id="2" w:name="_Toc141753573"/>
      <w:bookmarkStart w:id="3" w:name="_Toc102"/>
      <w:bookmarkStart w:id="4" w:name="_Toc22849"/>
      <w:bookmarkStart w:id="5" w:name="_Toc19138"/>
      <w:bookmarkStart w:id="6" w:name="_Toc19024"/>
      <w:bookmarkStart w:id="7" w:name="_Toc1979"/>
      <w:bookmarkStart w:id="8" w:name="_Toc132941135"/>
      <w:bookmarkStart w:id="9" w:name="_Toc1254"/>
      <w:bookmarkStart w:id="10" w:name="_Toc7264"/>
      <w:bookmarkStart w:id="11" w:name="_Toc56554631"/>
      <w:bookmarkStart w:id="12" w:name="_Toc122427237"/>
      <w:bookmarkStart w:id="13" w:name="_Toc19857"/>
      <w:bookmarkStart w:id="14" w:name="_Toc127330216"/>
      <w:bookmarkStart w:id="15" w:name="_Toc205883207"/>
      <w:r>
        <w:rPr>
          <w:b/>
          <w:bCs/>
          <w:snapToGrid w:val="0"/>
          <w:kern w:val="0"/>
          <w:sz w:val="32"/>
          <w:szCs w:val="32"/>
        </w:rPr>
        <w:t>前言</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3EE5D652" w14:textId="77777777" w:rsidR="008D7DB0" w:rsidRDefault="00000000">
      <w:pPr>
        <w:ind w:firstLine="560"/>
        <w:rPr>
          <w:rFonts w:eastAsiaTheme="minorEastAsia"/>
        </w:rPr>
      </w:pPr>
      <w:r>
        <w:rPr>
          <w:rFonts w:eastAsiaTheme="minorEastAsia"/>
        </w:rPr>
        <w:t>北票市富贵鸟矿业有限责任公司位于辽宁省朝阳市北票市龙潭乡马架子村，企业类型为有限责任公司，成立于</w:t>
      </w:r>
      <w:r>
        <w:rPr>
          <w:rFonts w:eastAsiaTheme="minorEastAsia"/>
        </w:rPr>
        <w:t>2010</w:t>
      </w:r>
      <w:r>
        <w:rPr>
          <w:rFonts w:eastAsiaTheme="minorEastAsia"/>
        </w:rPr>
        <w:t>年</w:t>
      </w:r>
      <w:r>
        <w:rPr>
          <w:rFonts w:eastAsiaTheme="minorEastAsia"/>
        </w:rPr>
        <w:t>3</w:t>
      </w:r>
      <w:r>
        <w:rPr>
          <w:rFonts w:eastAsiaTheme="minorEastAsia"/>
        </w:rPr>
        <w:t>月</w:t>
      </w:r>
      <w:r>
        <w:rPr>
          <w:rFonts w:eastAsiaTheme="minorEastAsia"/>
        </w:rPr>
        <w:t>31</w:t>
      </w:r>
      <w:r>
        <w:rPr>
          <w:rFonts w:eastAsiaTheme="minorEastAsia"/>
        </w:rPr>
        <w:t>日，法定代表人为陈秀生，登记机关为北票市市场监督管理局。本次评价对象为北票市富贵鸟矿业有限公司铁帽子采区露天开采建设项目初步设计重大变更的排土场</w:t>
      </w:r>
      <w:r>
        <w:rPr>
          <w:rFonts w:eastAsiaTheme="minorEastAsia" w:hint="eastAsia"/>
        </w:rPr>
        <w:t>单元</w:t>
      </w:r>
      <w:r>
        <w:rPr>
          <w:rFonts w:eastAsiaTheme="minorEastAsia"/>
        </w:rPr>
        <w:t>。</w:t>
      </w:r>
    </w:p>
    <w:p w14:paraId="125BE2FB" w14:textId="77777777" w:rsidR="008D7DB0" w:rsidRDefault="00000000">
      <w:pPr>
        <w:ind w:firstLine="560"/>
        <w:rPr>
          <w:rFonts w:eastAsiaTheme="minorEastAsia"/>
        </w:rPr>
      </w:pPr>
      <w:r>
        <w:rPr>
          <w:rFonts w:eastAsiaTheme="minorEastAsia"/>
        </w:rPr>
        <w:t>北票市富贵鸟矿业有限公司铁帽子采区露天开采建设项目于</w:t>
      </w:r>
      <w:r>
        <w:rPr>
          <w:rFonts w:eastAsiaTheme="minorEastAsia"/>
        </w:rPr>
        <w:t>2021</w:t>
      </w:r>
      <w:r>
        <w:rPr>
          <w:rFonts w:eastAsiaTheme="minorEastAsia"/>
        </w:rPr>
        <w:t>年</w:t>
      </w:r>
      <w:r>
        <w:rPr>
          <w:rFonts w:eastAsiaTheme="minorEastAsia"/>
        </w:rPr>
        <w:t>4</w:t>
      </w:r>
      <w:r>
        <w:rPr>
          <w:rFonts w:eastAsiaTheme="minorEastAsia"/>
        </w:rPr>
        <w:t>月由辽宁力康职业卫生与安全技术咨询服务有限公司编制了《北票市富贵鸟矿业有限公司铁帽子采区露天开采建设项目安全预评价报告》；</w:t>
      </w:r>
      <w:r>
        <w:rPr>
          <w:rFonts w:eastAsiaTheme="minorEastAsia"/>
        </w:rPr>
        <w:t>2021</w:t>
      </w:r>
      <w:r>
        <w:rPr>
          <w:rFonts w:eastAsiaTheme="minorEastAsia"/>
        </w:rPr>
        <w:t>年</w:t>
      </w:r>
      <w:r>
        <w:rPr>
          <w:rFonts w:eastAsiaTheme="minorEastAsia"/>
        </w:rPr>
        <w:t>4</w:t>
      </w:r>
      <w:r>
        <w:rPr>
          <w:rFonts w:eastAsiaTheme="minorEastAsia"/>
        </w:rPr>
        <w:t>月《北票市富贵鸟矿业有限公司铁帽子采区露天开采建设项目初步设计及安全设施设计》由兰州有色冶金设计研究院有限公司沈阳分公司编制</w:t>
      </w:r>
      <w:r>
        <w:rPr>
          <w:rFonts w:eastAsiaTheme="minorEastAsia"/>
        </w:rPr>
        <w:t>,</w:t>
      </w:r>
      <w:r>
        <w:rPr>
          <w:rFonts w:eastAsiaTheme="minorEastAsia"/>
        </w:rPr>
        <w:t>经专家评审后通过，于</w:t>
      </w:r>
      <w:r>
        <w:rPr>
          <w:rFonts w:eastAsiaTheme="minorEastAsia"/>
        </w:rPr>
        <w:t>2021</w:t>
      </w:r>
      <w:r>
        <w:rPr>
          <w:rFonts w:eastAsiaTheme="minorEastAsia"/>
        </w:rPr>
        <w:t>年</w:t>
      </w:r>
      <w:r>
        <w:rPr>
          <w:rFonts w:eastAsiaTheme="minorEastAsia"/>
        </w:rPr>
        <w:t>4</w:t>
      </w:r>
      <w:r>
        <w:rPr>
          <w:rFonts w:eastAsiaTheme="minorEastAsia"/>
        </w:rPr>
        <w:t>月</w:t>
      </w:r>
      <w:r>
        <w:rPr>
          <w:rFonts w:eastAsiaTheme="minorEastAsia"/>
        </w:rPr>
        <w:t>13</w:t>
      </w:r>
      <w:r>
        <w:rPr>
          <w:rFonts w:eastAsiaTheme="minorEastAsia"/>
        </w:rPr>
        <w:t>日取得由辽宁省应急管理厅下发的关于北票市富贵鸟矿业有限公司铁帽子采区露天开采建设项目安全设施设计的批复（辽应急函字</w:t>
      </w:r>
      <w:r>
        <w:rPr>
          <w:rFonts w:eastAsiaTheme="minorEastAsia"/>
        </w:rPr>
        <w:t>[2021]17</w:t>
      </w:r>
      <w:r>
        <w:rPr>
          <w:rFonts w:eastAsiaTheme="minorEastAsia"/>
        </w:rPr>
        <w:t>号），基建期为</w:t>
      </w:r>
      <w:r>
        <w:rPr>
          <w:rFonts w:eastAsiaTheme="minorEastAsia"/>
        </w:rPr>
        <w:t>0.5</w:t>
      </w:r>
      <w:r>
        <w:rPr>
          <w:rFonts w:eastAsiaTheme="minorEastAsia"/>
        </w:rPr>
        <w:t>年，后经验收通过后，于</w:t>
      </w:r>
      <w:r>
        <w:rPr>
          <w:rFonts w:eastAsiaTheme="minorEastAsia"/>
        </w:rPr>
        <w:t>2021</w:t>
      </w:r>
      <w:r>
        <w:rPr>
          <w:rFonts w:eastAsiaTheme="minorEastAsia"/>
        </w:rPr>
        <w:t>年</w:t>
      </w:r>
      <w:r>
        <w:rPr>
          <w:rFonts w:eastAsiaTheme="minorEastAsia"/>
        </w:rPr>
        <w:t>10</w:t>
      </w:r>
      <w:r>
        <w:rPr>
          <w:rFonts w:eastAsiaTheme="minorEastAsia"/>
        </w:rPr>
        <w:t>月</w:t>
      </w:r>
      <w:r>
        <w:rPr>
          <w:rFonts w:eastAsiaTheme="minorEastAsia"/>
        </w:rPr>
        <w:t>11</w:t>
      </w:r>
      <w:r>
        <w:rPr>
          <w:rFonts w:eastAsiaTheme="minorEastAsia"/>
        </w:rPr>
        <w:t>日取得由辽宁省应急管理厅所颁发的《安全生产许可证》编号：（辽）</w:t>
      </w:r>
      <w:r>
        <w:rPr>
          <w:rFonts w:eastAsiaTheme="minorEastAsia"/>
        </w:rPr>
        <w:t>FM</w:t>
      </w:r>
      <w:r>
        <w:rPr>
          <w:rFonts w:eastAsiaTheme="minorEastAsia"/>
        </w:rPr>
        <w:t>安许证字</w:t>
      </w:r>
      <w:r>
        <w:rPr>
          <w:rFonts w:eastAsiaTheme="minorEastAsia"/>
        </w:rPr>
        <w:t>[2021]XN014008L</w:t>
      </w:r>
      <w:r>
        <w:rPr>
          <w:rFonts w:eastAsiaTheme="minorEastAsia"/>
        </w:rPr>
        <w:t>，有效期至</w:t>
      </w:r>
      <w:r>
        <w:rPr>
          <w:rFonts w:eastAsiaTheme="minorEastAsia"/>
        </w:rPr>
        <w:t>2024</w:t>
      </w:r>
      <w:r>
        <w:rPr>
          <w:rFonts w:eastAsiaTheme="minorEastAsia"/>
        </w:rPr>
        <w:t>年</w:t>
      </w:r>
      <w:r>
        <w:rPr>
          <w:rFonts w:eastAsiaTheme="minorEastAsia"/>
        </w:rPr>
        <w:t>10</w:t>
      </w:r>
      <w:r>
        <w:rPr>
          <w:rFonts w:eastAsiaTheme="minorEastAsia"/>
        </w:rPr>
        <w:t>月</w:t>
      </w:r>
      <w:r>
        <w:rPr>
          <w:rFonts w:eastAsiaTheme="minorEastAsia"/>
        </w:rPr>
        <w:t>10</w:t>
      </w:r>
      <w:r>
        <w:rPr>
          <w:rFonts w:eastAsiaTheme="minorEastAsia"/>
        </w:rPr>
        <w:t>日，于</w:t>
      </w:r>
      <w:r>
        <w:rPr>
          <w:rFonts w:eastAsiaTheme="minorEastAsia"/>
        </w:rPr>
        <w:t>2024</w:t>
      </w:r>
      <w:r>
        <w:rPr>
          <w:rFonts w:eastAsiaTheme="minorEastAsia"/>
        </w:rPr>
        <w:t>年</w:t>
      </w:r>
      <w:r>
        <w:rPr>
          <w:rFonts w:eastAsiaTheme="minorEastAsia"/>
        </w:rPr>
        <w:t>9</w:t>
      </w:r>
      <w:r>
        <w:rPr>
          <w:rFonts w:eastAsiaTheme="minorEastAsia"/>
        </w:rPr>
        <w:t>月</w:t>
      </w:r>
      <w:r>
        <w:rPr>
          <w:rFonts w:eastAsiaTheme="minorEastAsia"/>
        </w:rPr>
        <w:t>30</w:t>
      </w:r>
      <w:r>
        <w:rPr>
          <w:rFonts w:eastAsiaTheme="minorEastAsia"/>
        </w:rPr>
        <w:t>日对安全生产许可证进行了重新换证，现持有安全生产许可证：（辽）</w:t>
      </w:r>
      <w:r>
        <w:rPr>
          <w:rFonts w:eastAsiaTheme="minorEastAsia"/>
        </w:rPr>
        <w:t>FM</w:t>
      </w:r>
      <w:r>
        <w:rPr>
          <w:rFonts w:eastAsiaTheme="minorEastAsia"/>
        </w:rPr>
        <w:t>安许证字</w:t>
      </w:r>
      <w:r>
        <w:rPr>
          <w:rFonts w:eastAsiaTheme="minorEastAsia"/>
        </w:rPr>
        <w:t>[2024]N0108</w:t>
      </w:r>
      <w:r>
        <w:rPr>
          <w:rFonts w:eastAsiaTheme="minorEastAsia"/>
        </w:rPr>
        <w:t>，有效期至</w:t>
      </w:r>
      <w:r>
        <w:rPr>
          <w:rFonts w:eastAsiaTheme="minorEastAsia"/>
        </w:rPr>
        <w:t>2027</w:t>
      </w:r>
      <w:r>
        <w:rPr>
          <w:rFonts w:eastAsiaTheme="minorEastAsia"/>
        </w:rPr>
        <w:t>年</w:t>
      </w:r>
      <w:r>
        <w:rPr>
          <w:rFonts w:eastAsiaTheme="minorEastAsia"/>
        </w:rPr>
        <w:t>10</w:t>
      </w:r>
      <w:r>
        <w:rPr>
          <w:rFonts w:eastAsiaTheme="minorEastAsia"/>
        </w:rPr>
        <w:t>月</w:t>
      </w:r>
      <w:r>
        <w:rPr>
          <w:rFonts w:eastAsiaTheme="minorEastAsia"/>
        </w:rPr>
        <w:t>10</w:t>
      </w:r>
      <w:r>
        <w:rPr>
          <w:rFonts w:eastAsiaTheme="minorEastAsia"/>
        </w:rPr>
        <w:t>日。</w:t>
      </w:r>
    </w:p>
    <w:p w14:paraId="6A1F6CD4" w14:textId="77777777" w:rsidR="008D7DB0" w:rsidRDefault="00000000">
      <w:pPr>
        <w:ind w:firstLine="560"/>
        <w:rPr>
          <w:rFonts w:eastAsiaTheme="minorEastAsia"/>
        </w:rPr>
      </w:pPr>
      <w:r>
        <w:rPr>
          <w:rFonts w:eastAsiaTheme="minorEastAsia"/>
        </w:rPr>
        <w:t>由于该矿山生产期剥离量较大，企业考虑未来拟提升产能及扩大开采范围，同时根据矿山征地范围，</w:t>
      </w:r>
      <w:r>
        <w:rPr>
          <w:rFonts w:eastAsiaTheme="minorEastAsia"/>
        </w:rPr>
        <w:t>2024</w:t>
      </w:r>
      <w:r>
        <w:rPr>
          <w:rFonts w:eastAsiaTheme="minorEastAsia"/>
        </w:rPr>
        <w:t>年该企业在矿区范围外东北侧建设一座排土场。</w:t>
      </w:r>
      <w:r>
        <w:rPr>
          <w:rFonts w:eastAsiaTheme="minorEastAsia"/>
        </w:rPr>
        <w:t>2024</w:t>
      </w:r>
      <w:r>
        <w:rPr>
          <w:rFonts w:eastAsiaTheme="minorEastAsia"/>
        </w:rPr>
        <w:t>年</w:t>
      </w:r>
      <w:r>
        <w:rPr>
          <w:rFonts w:eastAsiaTheme="minorEastAsia"/>
        </w:rPr>
        <w:t>10</w:t>
      </w:r>
      <w:r>
        <w:rPr>
          <w:rFonts w:eastAsiaTheme="minorEastAsia"/>
        </w:rPr>
        <w:t>月北票市应急管理局检查时发现该排土场与原设</w:t>
      </w:r>
      <w:r>
        <w:rPr>
          <w:rFonts w:eastAsiaTheme="minorEastAsia"/>
        </w:rPr>
        <w:lastRenderedPageBreak/>
        <w:t>计不符，下发了《安全生产行政执法文书行政处罚告知书》（北）应急告（</w:t>
      </w:r>
      <w:r>
        <w:rPr>
          <w:rFonts w:eastAsiaTheme="minorEastAsia"/>
        </w:rPr>
        <w:t>2024</w:t>
      </w:r>
      <w:r>
        <w:rPr>
          <w:rFonts w:eastAsiaTheme="minorEastAsia"/>
        </w:rPr>
        <w:t>）</w:t>
      </w:r>
      <w:r>
        <w:rPr>
          <w:rFonts w:eastAsiaTheme="minorEastAsia"/>
        </w:rPr>
        <w:t>29</w:t>
      </w:r>
      <w:r>
        <w:rPr>
          <w:rFonts w:eastAsiaTheme="minorEastAsia"/>
        </w:rPr>
        <w:t>号，故设计重大变更取消原设计设置的临时废石场，根据现已经形成排土场的现状，拟建设一永久排土场。</w:t>
      </w:r>
    </w:p>
    <w:p w14:paraId="529F0351" w14:textId="77777777" w:rsidR="008D7DB0" w:rsidRDefault="00000000">
      <w:pPr>
        <w:ind w:firstLine="560"/>
        <w:rPr>
          <w:rFonts w:eastAsiaTheme="minorEastAsia"/>
        </w:rPr>
      </w:pPr>
      <w:r>
        <w:rPr>
          <w:rFonts w:eastAsiaTheme="minorEastAsia"/>
        </w:rPr>
        <w:t>基于以上原因，根据《国家矿山安全监察局关于印发</w:t>
      </w:r>
      <w:r>
        <w:rPr>
          <w:rFonts w:eastAsiaTheme="minorEastAsia"/>
        </w:rPr>
        <w:t>&lt;</w:t>
      </w:r>
      <w:r>
        <w:rPr>
          <w:rFonts w:eastAsiaTheme="minorEastAsia"/>
        </w:rPr>
        <w:t>非煤矿山建设项目安全设施重大变更范围</w:t>
      </w:r>
      <w:r>
        <w:rPr>
          <w:rFonts w:eastAsiaTheme="minorEastAsia"/>
        </w:rPr>
        <w:t>&gt;</w:t>
      </w:r>
      <w:r>
        <w:rPr>
          <w:rFonts w:eastAsiaTheme="minorEastAsia"/>
        </w:rPr>
        <w:t>的通知》（矿安〔</w:t>
      </w:r>
      <w:r>
        <w:rPr>
          <w:rFonts w:eastAsiaTheme="minorEastAsia"/>
        </w:rPr>
        <w:t>2023</w:t>
      </w:r>
      <w:r>
        <w:rPr>
          <w:rFonts w:eastAsiaTheme="minorEastAsia"/>
        </w:rPr>
        <w:t>〕</w:t>
      </w:r>
      <w:r>
        <w:rPr>
          <w:rFonts w:eastAsiaTheme="minorEastAsia"/>
        </w:rPr>
        <w:t>147</w:t>
      </w:r>
      <w:r>
        <w:rPr>
          <w:rFonts w:eastAsiaTheme="minorEastAsia"/>
        </w:rPr>
        <w:t>号）》等相关文件要求，企业委托兰州有色冶金设计研究院有限公司沈阳分公司编制《北票市富贵鸟矿业有限公司铁帽子采区露天开采建设项目初步设计重大变更》（以下简称《初步设计重大变更》）（代可研），对该项目的排土场进行变更。</w:t>
      </w:r>
    </w:p>
    <w:p w14:paraId="394F0F65" w14:textId="77777777" w:rsidR="008D7DB0" w:rsidRDefault="00000000">
      <w:pPr>
        <w:ind w:firstLine="560"/>
        <w:rPr>
          <w:rFonts w:eastAsiaTheme="minorEastAsia"/>
        </w:rPr>
      </w:pPr>
      <w:r>
        <w:rPr>
          <w:rFonts w:eastAsiaTheme="minorEastAsia"/>
        </w:rPr>
        <w:t>北票市</w:t>
      </w:r>
      <w:r>
        <w:rPr>
          <w:rFonts w:eastAsiaTheme="minorEastAsia" w:hint="eastAsia"/>
        </w:rPr>
        <w:t>富贵鸟</w:t>
      </w:r>
      <w:r>
        <w:rPr>
          <w:rFonts w:eastAsiaTheme="minorEastAsia"/>
        </w:rPr>
        <w:t>矿业有限责任公司为了贯彻</w:t>
      </w:r>
      <w:r>
        <w:rPr>
          <w:rFonts w:eastAsiaTheme="minorEastAsia" w:hint="eastAsia"/>
        </w:rPr>
        <w:t>“</w:t>
      </w:r>
      <w:r>
        <w:rPr>
          <w:rFonts w:eastAsiaTheme="minorEastAsia"/>
        </w:rPr>
        <w:t>安全第一，预防为主，综合治理</w:t>
      </w:r>
      <w:r>
        <w:rPr>
          <w:rFonts w:eastAsiaTheme="minorEastAsia" w:hint="eastAsia"/>
        </w:rPr>
        <w:t>”</w:t>
      </w:r>
      <w:r>
        <w:rPr>
          <w:rFonts w:eastAsiaTheme="minorEastAsia"/>
        </w:rPr>
        <w:t>的方针，确保建设工程项目符合国家相关规定，保障劳动者在生产过程中的安全，根据《中华人民共和国安全生产法》、《建设项目安全设施</w:t>
      </w:r>
      <w:r>
        <w:rPr>
          <w:rFonts w:eastAsiaTheme="minorEastAsia" w:hint="eastAsia"/>
        </w:rPr>
        <w:t>“</w:t>
      </w:r>
      <w:r>
        <w:rPr>
          <w:rFonts w:eastAsiaTheme="minorEastAsia"/>
        </w:rPr>
        <w:t>三同时</w:t>
      </w:r>
      <w:r>
        <w:rPr>
          <w:rFonts w:eastAsiaTheme="minorEastAsia" w:hint="eastAsia"/>
        </w:rPr>
        <w:t>”</w:t>
      </w:r>
      <w:r>
        <w:rPr>
          <w:rFonts w:eastAsiaTheme="minorEastAsia"/>
        </w:rPr>
        <w:t>监督管理办法》以及《辽宁省安全生产监督管理局关于进一步规范非煤矿矿山安全生产行政许可管理工作的通知》等文件精神的要求，委托我辽宁诺诚安全科技有限公司，针对</w:t>
      </w:r>
      <w:r>
        <w:rPr>
          <w:rFonts w:eastAsiaTheme="minorEastAsia" w:hint="eastAsia"/>
        </w:rPr>
        <w:t>北票市富贵鸟矿业有限公司铁帽子采区露天开采建设项目初步设计重大变更项目</w:t>
      </w:r>
      <w:r>
        <w:rPr>
          <w:rFonts w:eastAsiaTheme="minorEastAsia"/>
        </w:rPr>
        <w:t>进行安全预评价。</w:t>
      </w:r>
    </w:p>
    <w:p w14:paraId="290E6EC8" w14:textId="77777777" w:rsidR="008D7DB0" w:rsidRDefault="00000000">
      <w:pPr>
        <w:ind w:firstLine="560"/>
        <w:rPr>
          <w:rFonts w:eastAsiaTheme="minorEastAsia"/>
        </w:rPr>
        <w:sectPr w:rsidR="008D7DB0">
          <w:headerReference w:type="even" r:id="rId8"/>
          <w:headerReference w:type="default" r:id="rId9"/>
          <w:footerReference w:type="even" r:id="rId10"/>
          <w:footerReference w:type="default" r:id="rId11"/>
          <w:headerReference w:type="first" r:id="rId12"/>
          <w:footerReference w:type="first" r:id="rId13"/>
          <w:pgSz w:w="11906" w:h="16838"/>
          <w:pgMar w:top="1417" w:right="1531" w:bottom="1417" w:left="1531" w:header="851" w:footer="992" w:gutter="0"/>
          <w:cols w:space="425"/>
          <w:docGrid w:type="lines" w:linePitch="312"/>
        </w:sectPr>
      </w:pPr>
      <w:r>
        <w:rPr>
          <w:rFonts w:eastAsiaTheme="minorEastAsia"/>
        </w:rPr>
        <w:t>本次《安全预评价报告》的格式和内容，是按照《安全评价通则》（</w:t>
      </w:r>
      <w:r>
        <w:rPr>
          <w:rFonts w:eastAsiaTheme="minorEastAsia"/>
        </w:rPr>
        <w:t>AQ8001-2007</w:t>
      </w:r>
      <w:r>
        <w:rPr>
          <w:rFonts w:eastAsiaTheme="minorEastAsia"/>
        </w:rPr>
        <w:t>）和《安全预评价导则》（</w:t>
      </w:r>
      <w:r>
        <w:rPr>
          <w:rFonts w:eastAsiaTheme="minorEastAsia"/>
        </w:rPr>
        <w:t>AQ8002-2007</w:t>
      </w:r>
      <w:r>
        <w:rPr>
          <w:rFonts w:eastAsiaTheme="minorEastAsia"/>
        </w:rPr>
        <w:t>）、《建设项目安全设施</w:t>
      </w:r>
      <w:r>
        <w:rPr>
          <w:rFonts w:eastAsiaTheme="minorEastAsia"/>
        </w:rPr>
        <w:t>“</w:t>
      </w:r>
      <w:r>
        <w:rPr>
          <w:rFonts w:eastAsiaTheme="minorEastAsia"/>
        </w:rPr>
        <w:t>三同时</w:t>
      </w:r>
      <w:r>
        <w:rPr>
          <w:rFonts w:eastAsiaTheme="minorEastAsia"/>
        </w:rPr>
        <w:t>”</w:t>
      </w:r>
      <w:r>
        <w:rPr>
          <w:rFonts w:eastAsiaTheme="minorEastAsia"/>
        </w:rPr>
        <w:t>监督管理办法》（国家安全生产监督管理总局令第</w:t>
      </w:r>
      <w:r>
        <w:rPr>
          <w:rFonts w:eastAsiaTheme="minorEastAsia"/>
        </w:rPr>
        <w:t>77</w:t>
      </w:r>
      <w:r>
        <w:rPr>
          <w:rFonts w:eastAsiaTheme="minorEastAsia"/>
        </w:rPr>
        <w:t>号）以及《国家安全监管总局关于印发金属非金属矿山建设项目安全评价报告编写提纲的通知》（安监总管一〔</w:t>
      </w:r>
      <w:r>
        <w:rPr>
          <w:rFonts w:eastAsiaTheme="minorEastAsia"/>
        </w:rPr>
        <w:t>2016</w:t>
      </w:r>
      <w:r>
        <w:rPr>
          <w:rFonts w:eastAsiaTheme="minorEastAsia"/>
        </w:rPr>
        <w:t>〕</w:t>
      </w:r>
      <w:r>
        <w:rPr>
          <w:rFonts w:eastAsiaTheme="minorEastAsia"/>
        </w:rPr>
        <w:t>49</w:t>
      </w:r>
      <w:r>
        <w:rPr>
          <w:rFonts w:eastAsiaTheme="minorEastAsia"/>
        </w:rPr>
        <w:t>号）等要求确定的</w:t>
      </w:r>
      <w:r>
        <w:rPr>
          <w:rFonts w:eastAsiaTheme="minorEastAsia" w:hint="eastAsia"/>
        </w:rPr>
        <w:t>。</w:t>
      </w:r>
    </w:p>
    <w:sdt>
      <w:sdtPr>
        <w:rPr>
          <w:rFonts w:ascii="黑体" w:eastAsia="黑体" w:hAnsi="黑体" w:cs="黑体" w:hint="eastAsia"/>
          <w:b/>
          <w:bCs/>
          <w:sz w:val="56"/>
          <w:szCs w:val="56"/>
        </w:rPr>
        <w:id w:val="147483243"/>
        <w15:color w:val="DBDBDB"/>
        <w:docPartObj>
          <w:docPartGallery w:val="Table of Contents"/>
          <w:docPartUnique/>
        </w:docPartObj>
      </w:sdtPr>
      <w:sdtEndPr>
        <w:rPr>
          <w:rFonts w:ascii="Times New Roman" w:eastAsiaTheme="minorEastAsia" w:hAnsi="Times New Roman" w:cs="Times New Roman" w:hint="default"/>
          <w:sz w:val="28"/>
          <w:szCs w:val="21"/>
        </w:rPr>
      </w:sdtEndPr>
      <w:sdtContent>
        <w:p w14:paraId="29BCC75F" w14:textId="77777777" w:rsidR="008D7DB0" w:rsidRDefault="00000000">
          <w:pPr>
            <w:spacing w:line="240" w:lineRule="auto"/>
            <w:ind w:firstLineChars="0" w:firstLine="0"/>
            <w:jc w:val="center"/>
          </w:pPr>
          <w:r>
            <w:rPr>
              <w:rFonts w:ascii="黑体" w:eastAsia="黑体" w:hAnsi="黑体" w:cs="黑体" w:hint="eastAsia"/>
              <w:b/>
              <w:bCs/>
              <w:sz w:val="56"/>
              <w:szCs w:val="56"/>
            </w:rPr>
            <w:t>目  录</w:t>
          </w:r>
        </w:p>
        <w:p w14:paraId="36B33954" w14:textId="7E15F6D5" w:rsidR="004E7858" w:rsidRDefault="00000000">
          <w:pPr>
            <w:pStyle w:val="TOC1"/>
            <w:tabs>
              <w:tab w:val="right" w:leader="dot" w:pos="8834"/>
            </w:tabs>
            <w:ind w:firstLine="560"/>
            <w:rPr>
              <w:rFonts w:asciiTheme="minorHAnsi" w:eastAsiaTheme="minorEastAsia" w:hAnsiTheme="minorHAnsi" w:cstheme="minorBidi"/>
              <w:noProof/>
              <w:sz w:val="22"/>
              <w14:ligatures w14:val="standardContextual"/>
            </w:rPr>
          </w:pPr>
          <w:r>
            <w:rPr>
              <w:rFonts w:eastAsiaTheme="minorEastAsia"/>
              <w:kern w:val="0"/>
              <w:szCs w:val="28"/>
            </w:rPr>
            <w:fldChar w:fldCharType="begin"/>
          </w:r>
          <w:r>
            <w:rPr>
              <w:rFonts w:eastAsiaTheme="minorEastAsia"/>
              <w:szCs w:val="28"/>
            </w:rPr>
            <w:instrText xml:space="preserve">TOC \o "1-3" \h \u </w:instrText>
          </w:r>
          <w:r>
            <w:rPr>
              <w:rFonts w:eastAsiaTheme="minorEastAsia"/>
              <w:kern w:val="0"/>
              <w:szCs w:val="28"/>
            </w:rPr>
            <w:fldChar w:fldCharType="separate"/>
          </w:r>
        </w:p>
        <w:p w14:paraId="14AB250F" w14:textId="2949EBF8"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08" w:history="1">
            <w:r w:rsidRPr="004E7858">
              <w:rPr>
                <w:rStyle w:val="af8"/>
                <w:rFonts w:asciiTheme="minorEastAsia" w:eastAsiaTheme="minorEastAsia" w:hAnsiTheme="minorEastAsia" w:hint="eastAsia"/>
                <w:noProof/>
                <w:szCs w:val="28"/>
                <w:u w:val="none"/>
              </w:rPr>
              <w:t>1.评价对象与依据</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_Toc205883208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1</w:t>
            </w:r>
            <w:r w:rsidRPr="004E7858">
              <w:rPr>
                <w:rFonts w:asciiTheme="minorEastAsia" w:eastAsiaTheme="minorEastAsia" w:hAnsiTheme="minorEastAsia" w:hint="eastAsia"/>
                <w:noProof/>
                <w:szCs w:val="28"/>
              </w:rPr>
              <w:fldChar w:fldCharType="end"/>
            </w:r>
          </w:hyperlink>
        </w:p>
        <w:p w14:paraId="04B96640" w14:textId="3507AB1E"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09" w:history="1">
            <w:r w:rsidRPr="004E7858">
              <w:rPr>
                <w:rStyle w:val="af8"/>
                <w:rFonts w:asciiTheme="minorEastAsia" w:eastAsiaTheme="minorEastAsia" w:hAnsiTheme="minorEastAsia" w:hint="eastAsia"/>
                <w:noProof/>
                <w:sz w:val="28"/>
                <w:szCs w:val="28"/>
                <w:u w:val="none"/>
              </w:rPr>
              <w:t>1.1评价对象和范围</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_Toc205883209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1</w:t>
            </w:r>
            <w:r w:rsidRPr="004E7858">
              <w:rPr>
                <w:rFonts w:asciiTheme="minorEastAsia" w:eastAsiaTheme="minorEastAsia" w:hAnsiTheme="minorEastAsia" w:hint="eastAsia"/>
                <w:noProof/>
                <w:sz w:val="28"/>
                <w:szCs w:val="28"/>
              </w:rPr>
              <w:fldChar w:fldCharType="end"/>
            </w:r>
          </w:hyperlink>
        </w:p>
        <w:p w14:paraId="22720D84" w14:textId="0ADE67EF" w:rsidR="004E7858" w:rsidRPr="004E7858" w:rsidRDefault="004E7858" w:rsidP="004E7858">
          <w:pPr>
            <w:pStyle w:val="TOC2"/>
            <w:ind w:rightChars="171" w:right="479" w:firstLine="400"/>
            <w:rPr>
              <w:rFonts w:asciiTheme="minorEastAsia" w:eastAsiaTheme="minorEastAsia" w:hAnsiTheme="minorEastAsia" w:cstheme="minorBidi" w:hint="eastAsia"/>
              <w:smallCaps w:val="0"/>
              <w:noProof/>
              <w:sz w:val="28"/>
              <w:szCs w:val="28"/>
              <w14:ligatures w14:val="standardContextual"/>
            </w:rPr>
          </w:pPr>
          <w:hyperlink w:anchor="_Toc205883212" w:history="1">
            <w:r w:rsidRPr="004E7858">
              <w:rPr>
                <w:rStyle w:val="af8"/>
                <w:rFonts w:asciiTheme="minorEastAsia" w:eastAsiaTheme="minorEastAsia" w:hAnsiTheme="minorEastAsia" w:hint="eastAsia"/>
                <w:noProof/>
                <w:sz w:val="28"/>
                <w:szCs w:val="28"/>
                <w:u w:val="none"/>
              </w:rPr>
              <w:t>1.2评价依据</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_Toc205883212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3</w:t>
            </w:r>
            <w:r w:rsidRPr="004E7858">
              <w:rPr>
                <w:rFonts w:asciiTheme="minorEastAsia" w:eastAsiaTheme="minorEastAsia" w:hAnsiTheme="minorEastAsia" w:hint="eastAsia"/>
                <w:noProof/>
                <w:sz w:val="28"/>
                <w:szCs w:val="28"/>
              </w:rPr>
              <w:fldChar w:fldCharType="end"/>
            </w:r>
          </w:hyperlink>
        </w:p>
        <w:p w14:paraId="3D383F94" w14:textId="77BDCCE0"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17" w:history="1">
            <w:r w:rsidRPr="004E7858">
              <w:rPr>
                <w:rStyle w:val="af8"/>
                <w:rFonts w:asciiTheme="minorEastAsia" w:eastAsiaTheme="minorEastAsia" w:hAnsiTheme="minorEastAsia" w:hint="eastAsia"/>
                <w:noProof/>
                <w:szCs w:val="28"/>
                <w:u w:val="none"/>
              </w:rPr>
              <w:t>2.建设项目概述</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_Toc205883217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9</w:t>
            </w:r>
            <w:r w:rsidRPr="004E7858">
              <w:rPr>
                <w:rFonts w:asciiTheme="minorEastAsia" w:eastAsiaTheme="minorEastAsia" w:hAnsiTheme="minorEastAsia" w:hint="eastAsia"/>
                <w:noProof/>
                <w:szCs w:val="28"/>
              </w:rPr>
              <w:fldChar w:fldCharType="end"/>
            </w:r>
          </w:hyperlink>
        </w:p>
        <w:p w14:paraId="31EBDD1E" w14:textId="2A6DF3A9"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18" w:history="1">
            <w:r w:rsidRPr="004E7858">
              <w:rPr>
                <w:rStyle w:val="af8"/>
                <w:rFonts w:asciiTheme="minorEastAsia" w:eastAsiaTheme="minorEastAsia" w:hAnsiTheme="minorEastAsia" w:hint="eastAsia"/>
                <w:noProof/>
                <w:sz w:val="28"/>
                <w:szCs w:val="28"/>
                <w:u w:val="none"/>
              </w:rPr>
              <w:t>2.1建设单位概况</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_Toc205883218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9</w:t>
            </w:r>
            <w:r w:rsidRPr="004E7858">
              <w:rPr>
                <w:rFonts w:asciiTheme="minorEastAsia" w:eastAsiaTheme="minorEastAsia" w:hAnsiTheme="minorEastAsia" w:hint="eastAsia"/>
                <w:noProof/>
                <w:sz w:val="28"/>
                <w:szCs w:val="28"/>
              </w:rPr>
              <w:fldChar w:fldCharType="end"/>
            </w:r>
          </w:hyperlink>
        </w:p>
        <w:p w14:paraId="4D1BC5D2" w14:textId="329E93C7"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22" w:history="1">
            <w:r w:rsidRPr="004E7858">
              <w:rPr>
                <w:rStyle w:val="af8"/>
                <w:rFonts w:asciiTheme="minorEastAsia" w:eastAsiaTheme="minorEastAsia" w:hAnsiTheme="minorEastAsia" w:hint="eastAsia"/>
                <w:noProof/>
                <w:sz w:val="28"/>
                <w:szCs w:val="28"/>
                <w:u w:val="none"/>
              </w:rPr>
              <w:t>2.2自然环境概况</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_Toc205883222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14</w:t>
            </w:r>
            <w:r w:rsidRPr="004E7858">
              <w:rPr>
                <w:rFonts w:asciiTheme="minorEastAsia" w:eastAsiaTheme="minorEastAsia" w:hAnsiTheme="minorEastAsia" w:hint="eastAsia"/>
                <w:noProof/>
                <w:sz w:val="28"/>
                <w:szCs w:val="28"/>
              </w:rPr>
              <w:fldChar w:fldCharType="end"/>
            </w:r>
          </w:hyperlink>
        </w:p>
        <w:p w14:paraId="7D99FC27" w14:textId="1773A254"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27" w:history="1">
            <w:r w:rsidRPr="004E7858">
              <w:rPr>
                <w:rStyle w:val="af8"/>
                <w:rFonts w:asciiTheme="minorEastAsia" w:eastAsiaTheme="minorEastAsia" w:hAnsiTheme="minorEastAsia" w:hint="eastAsia"/>
                <w:noProof/>
                <w:sz w:val="28"/>
                <w:szCs w:val="28"/>
                <w:u w:val="none"/>
              </w:rPr>
              <w:t>2.3建设项目地质概况</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_Toc205883227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15</w:t>
            </w:r>
            <w:r w:rsidRPr="004E7858">
              <w:rPr>
                <w:rFonts w:asciiTheme="minorEastAsia" w:eastAsiaTheme="minorEastAsia" w:hAnsiTheme="minorEastAsia" w:hint="eastAsia"/>
                <w:noProof/>
                <w:sz w:val="28"/>
                <w:szCs w:val="28"/>
              </w:rPr>
              <w:fldChar w:fldCharType="end"/>
            </w:r>
          </w:hyperlink>
        </w:p>
        <w:p w14:paraId="1B2A853F" w14:textId="6EC927A7"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30" w:history="1">
            <w:r w:rsidRPr="004E7858">
              <w:rPr>
                <w:rStyle w:val="af8"/>
                <w:rFonts w:asciiTheme="minorEastAsia" w:eastAsiaTheme="minorEastAsia" w:hAnsiTheme="minorEastAsia" w:hint="eastAsia"/>
                <w:noProof/>
                <w:sz w:val="28"/>
                <w:szCs w:val="28"/>
                <w:u w:val="none"/>
              </w:rPr>
              <w:t>2.4初步设计概况</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_Toc205883230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17</w:t>
            </w:r>
            <w:r w:rsidRPr="004E7858">
              <w:rPr>
                <w:rFonts w:asciiTheme="minorEastAsia" w:eastAsiaTheme="minorEastAsia" w:hAnsiTheme="minorEastAsia" w:hint="eastAsia"/>
                <w:noProof/>
                <w:sz w:val="28"/>
                <w:szCs w:val="28"/>
              </w:rPr>
              <w:fldChar w:fldCharType="end"/>
            </w:r>
          </w:hyperlink>
        </w:p>
        <w:p w14:paraId="04720650" w14:textId="3270E556" w:rsidR="004E7858" w:rsidRPr="004E7858" w:rsidRDefault="004E7858" w:rsidP="00B61BF5">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39" w:history="1">
            <w:r w:rsidRPr="004E7858">
              <w:rPr>
                <w:rStyle w:val="af8"/>
                <w:rFonts w:asciiTheme="minorEastAsia" w:eastAsiaTheme="minorEastAsia" w:hAnsiTheme="minorEastAsia" w:hint="eastAsia"/>
                <w:noProof/>
                <w:sz w:val="28"/>
                <w:szCs w:val="28"/>
                <w:u w:val="none"/>
              </w:rPr>
              <w:t>2.5初步设计重大变更</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_Toc205883239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22</w:t>
            </w:r>
            <w:r w:rsidRPr="004E7858">
              <w:rPr>
                <w:rFonts w:asciiTheme="minorEastAsia" w:eastAsiaTheme="minorEastAsia" w:hAnsiTheme="minorEastAsia" w:hint="eastAsia"/>
                <w:noProof/>
                <w:sz w:val="28"/>
                <w:szCs w:val="28"/>
              </w:rPr>
              <w:fldChar w:fldCharType="end"/>
            </w:r>
          </w:hyperlink>
        </w:p>
        <w:p w14:paraId="26D10977" w14:textId="0ADA9AF9"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48" w:history="1">
            <w:r w:rsidRPr="004E7858">
              <w:rPr>
                <w:rStyle w:val="af8"/>
                <w:rFonts w:asciiTheme="minorEastAsia" w:eastAsiaTheme="minorEastAsia" w:hAnsiTheme="minorEastAsia" w:hint="eastAsia"/>
                <w:noProof/>
                <w:szCs w:val="28"/>
                <w:u w:val="none"/>
              </w:rPr>
              <w:t>3.定性、定量评价</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_Toc205883248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29</w:t>
            </w:r>
            <w:r w:rsidRPr="004E7858">
              <w:rPr>
                <w:rFonts w:asciiTheme="minorEastAsia" w:eastAsiaTheme="minorEastAsia" w:hAnsiTheme="minorEastAsia" w:hint="eastAsia"/>
                <w:noProof/>
                <w:szCs w:val="28"/>
              </w:rPr>
              <w:fldChar w:fldCharType="end"/>
            </w:r>
          </w:hyperlink>
        </w:p>
        <w:p w14:paraId="3C64E768" w14:textId="7CEF39B5"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49" w:history="1">
            <w:r w:rsidRPr="004E7858">
              <w:rPr>
                <w:rStyle w:val="af8"/>
                <w:rFonts w:asciiTheme="minorEastAsia" w:eastAsiaTheme="minorEastAsia" w:hAnsiTheme="minorEastAsia" w:hint="eastAsia"/>
                <w:noProof/>
                <w:sz w:val="28"/>
                <w:szCs w:val="28"/>
                <w:u w:val="none"/>
              </w:rPr>
              <w:t>3.1场址选择单元</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_Toc205883249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29</w:t>
            </w:r>
            <w:r w:rsidRPr="004E7858">
              <w:rPr>
                <w:rFonts w:asciiTheme="minorEastAsia" w:eastAsiaTheme="minorEastAsia" w:hAnsiTheme="minorEastAsia" w:hint="eastAsia"/>
                <w:noProof/>
                <w:sz w:val="28"/>
                <w:szCs w:val="28"/>
              </w:rPr>
              <w:fldChar w:fldCharType="end"/>
            </w:r>
          </w:hyperlink>
        </w:p>
        <w:p w14:paraId="14CBD65B" w14:textId="030AC4FD"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54" w:history="1">
            <w:r w:rsidRPr="004E7858">
              <w:rPr>
                <w:rStyle w:val="af8"/>
                <w:rFonts w:asciiTheme="minorEastAsia" w:eastAsiaTheme="minorEastAsia" w:hAnsiTheme="minorEastAsia" w:hint="eastAsia"/>
                <w:noProof/>
                <w:sz w:val="28"/>
                <w:szCs w:val="28"/>
                <w:u w:val="none"/>
              </w:rPr>
              <w:t>3.2排土工艺单元评价</w:t>
            </w:r>
            <w:r w:rsidR="00BF3720" w:rsidRPr="00BF3720">
              <w:rPr>
                <w:rStyle w:val="af8"/>
                <w:rFonts w:asciiTheme="minorEastAsia" w:eastAsiaTheme="minorEastAsia" w:hAnsiTheme="minorEastAsia" w:hint="eastAsia"/>
                <w:noProof/>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_Toc205883254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33</w:t>
            </w:r>
            <w:r w:rsidRPr="004E7858">
              <w:rPr>
                <w:rFonts w:asciiTheme="minorEastAsia" w:eastAsiaTheme="minorEastAsia" w:hAnsiTheme="minorEastAsia" w:hint="eastAsia"/>
                <w:noProof/>
                <w:sz w:val="28"/>
                <w:szCs w:val="28"/>
              </w:rPr>
              <w:fldChar w:fldCharType="end"/>
            </w:r>
          </w:hyperlink>
        </w:p>
        <w:p w14:paraId="44E67807" w14:textId="3E674115"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58" w:history="1">
            <w:r w:rsidRPr="004E7858">
              <w:rPr>
                <w:rStyle w:val="af8"/>
                <w:rFonts w:asciiTheme="minorEastAsia" w:eastAsiaTheme="minorEastAsia" w:hAnsiTheme="minorEastAsia" w:hint="eastAsia"/>
                <w:noProof/>
                <w:snapToGrid w:val="0"/>
                <w:sz w:val="28"/>
                <w:szCs w:val="28"/>
                <w:u w:val="none"/>
              </w:rPr>
              <w:t>3.3运输单元</w:t>
            </w:r>
            <w:r w:rsidR="00BF3720" w:rsidRPr="00BF3720">
              <w:rPr>
                <w:rStyle w:val="af8"/>
                <w:rFonts w:asciiTheme="minorEastAsia" w:eastAsiaTheme="minorEastAsia" w:hAnsiTheme="minorEastAsia" w:hint="eastAsia"/>
                <w:noProof/>
                <w:snapToGrid w:val="0"/>
                <w:sz w:val="28"/>
                <w:szCs w:val="28"/>
                <w:u w:val="none"/>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_Toc205883258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42</w:t>
            </w:r>
            <w:r w:rsidRPr="004E7858">
              <w:rPr>
                <w:rFonts w:asciiTheme="minorEastAsia" w:eastAsiaTheme="minorEastAsia" w:hAnsiTheme="minorEastAsia" w:hint="eastAsia"/>
                <w:noProof/>
                <w:sz w:val="28"/>
                <w:szCs w:val="28"/>
              </w:rPr>
              <w:fldChar w:fldCharType="end"/>
            </w:r>
          </w:hyperlink>
        </w:p>
        <w:p w14:paraId="7C8C5890" w14:textId="431B1C81"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62" w:history="1">
            <w:r w:rsidRPr="004E7858">
              <w:rPr>
                <w:rStyle w:val="af8"/>
                <w:rFonts w:asciiTheme="minorEastAsia" w:eastAsiaTheme="minorEastAsia" w:hAnsiTheme="minorEastAsia" w:hint="eastAsia"/>
                <w:noProof/>
                <w:snapToGrid w:val="0"/>
                <w:sz w:val="28"/>
                <w:szCs w:val="28"/>
                <w:u w:val="none"/>
              </w:rPr>
              <w:t>3.4防排水单元</w:t>
            </w:r>
            <w:r w:rsidRPr="004E7858">
              <w:rPr>
                <w:rFonts w:asciiTheme="minorEastAsia" w:eastAsiaTheme="minorEastAsia" w:hAnsiTheme="minorEastAsia" w:hint="eastAsia"/>
                <w:noProof/>
                <w:sz w:val="28"/>
                <w:szCs w:val="28"/>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_Toc205883262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45</w:t>
            </w:r>
            <w:r w:rsidRPr="004E7858">
              <w:rPr>
                <w:rFonts w:asciiTheme="minorEastAsia" w:eastAsiaTheme="minorEastAsia" w:hAnsiTheme="minorEastAsia" w:hint="eastAsia"/>
                <w:noProof/>
                <w:sz w:val="28"/>
                <w:szCs w:val="28"/>
              </w:rPr>
              <w:fldChar w:fldCharType="end"/>
            </w:r>
          </w:hyperlink>
        </w:p>
        <w:p w14:paraId="25B9C72E" w14:textId="1550768E"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67" w:history="1">
            <w:r w:rsidRPr="004E7858">
              <w:rPr>
                <w:rStyle w:val="af8"/>
                <w:rFonts w:asciiTheme="minorEastAsia" w:eastAsiaTheme="minorEastAsia" w:hAnsiTheme="minorEastAsia" w:hint="eastAsia"/>
                <w:noProof/>
                <w:snapToGrid w:val="0"/>
                <w:sz w:val="28"/>
                <w:szCs w:val="28"/>
                <w:u w:val="none"/>
              </w:rPr>
              <w:t>3.5安全管理与监测单元</w:t>
            </w:r>
            <w:r w:rsidRPr="004E7858">
              <w:rPr>
                <w:rFonts w:asciiTheme="minorEastAsia" w:eastAsiaTheme="minorEastAsia" w:hAnsiTheme="minorEastAsia" w:hint="eastAsia"/>
                <w:noProof/>
                <w:sz w:val="28"/>
                <w:szCs w:val="28"/>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_Toc205883267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46</w:t>
            </w:r>
            <w:r w:rsidRPr="004E7858">
              <w:rPr>
                <w:rFonts w:asciiTheme="minorEastAsia" w:eastAsiaTheme="minorEastAsia" w:hAnsiTheme="minorEastAsia" w:hint="eastAsia"/>
                <w:noProof/>
                <w:sz w:val="28"/>
                <w:szCs w:val="28"/>
              </w:rPr>
              <w:fldChar w:fldCharType="end"/>
            </w:r>
          </w:hyperlink>
        </w:p>
        <w:p w14:paraId="64575689" w14:textId="17921FD9"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70" w:history="1">
            <w:r w:rsidRPr="004E7858">
              <w:rPr>
                <w:rStyle w:val="af8"/>
                <w:rFonts w:asciiTheme="minorEastAsia" w:eastAsiaTheme="minorEastAsia" w:hAnsiTheme="minorEastAsia" w:hint="eastAsia"/>
                <w:noProof/>
                <w:sz w:val="28"/>
                <w:szCs w:val="28"/>
                <w:u w:val="none"/>
              </w:rPr>
              <w:t>3.6重大危险源辨识单元</w:t>
            </w:r>
            <w:r w:rsidRPr="004E7858">
              <w:rPr>
                <w:rFonts w:asciiTheme="minorEastAsia" w:eastAsiaTheme="minorEastAsia" w:hAnsiTheme="minorEastAsia" w:hint="eastAsia"/>
                <w:noProof/>
                <w:sz w:val="28"/>
                <w:szCs w:val="28"/>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_Toc205883270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48</w:t>
            </w:r>
            <w:r w:rsidRPr="004E7858">
              <w:rPr>
                <w:rFonts w:asciiTheme="minorEastAsia" w:eastAsiaTheme="minorEastAsia" w:hAnsiTheme="minorEastAsia" w:hint="eastAsia"/>
                <w:noProof/>
                <w:sz w:val="28"/>
                <w:szCs w:val="28"/>
              </w:rPr>
              <w:fldChar w:fldCharType="end"/>
            </w:r>
          </w:hyperlink>
        </w:p>
        <w:p w14:paraId="059FAED3" w14:textId="451F9CF4"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71" w:history="1">
            <w:r w:rsidRPr="004E7858">
              <w:rPr>
                <w:rStyle w:val="af8"/>
                <w:rFonts w:asciiTheme="minorEastAsia" w:eastAsiaTheme="minorEastAsia" w:hAnsiTheme="minorEastAsia" w:hint="eastAsia"/>
                <w:noProof/>
                <w:szCs w:val="28"/>
                <w:u w:val="none"/>
              </w:rPr>
              <w:t>4安全对策措施建议</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_Toc205883271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49</w:t>
            </w:r>
            <w:r w:rsidRPr="004E7858">
              <w:rPr>
                <w:rFonts w:asciiTheme="minorEastAsia" w:eastAsiaTheme="minorEastAsia" w:hAnsiTheme="minorEastAsia" w:hint="eastAsia"/>
                <w:noProof/>
                <w:szCs w:val="28"/>
              </w:rPr>
              <w:fldChar w:fldCharType="end"/>
            </w:r>
          </w:hyperlink>
        </w:p>
        <w:p w14:paraId="5A027B17" w14:textId="4FE7A8D9"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72" w:history="1">
            <w:r w:rsidRPr="004E7858">
              <w:rPr>
                <w:rStyle w:val="af8"/>
                <w:rFonts w:asciiTheme="minorEastAsia" w:eastAsiaTheme="minorEastAsia" w:hAnsiTheme="minorEastAsia" w:hint="eastAsia"/>
                <w:noProof/>
                <w:sz w:val="28"/>
                <w:szCs w:val="28"/>
                <w:u w:val="none"/>
              </w:rPr>
              <w:t>4.1本预评价补充的安全对策措施</w:t>
            </w:r>
            <w:r w:rsidRPr="004E7858">
              <w:rPr>
                <w:rFonts w:asciiTheme="minorEastAsia" w:eastAsiaTheme="minorEastAsia" w:hAnsiTheme="minorEastAsia" w:hint="eastAsia"/>
                <w:noProof/>
                <w:sz w:val="28"/>
                <w:szCs w:val="28"/>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_Toc205883272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49</w:t>
            </w:r>
            <w:r w:rsidRPr="004E7858">
              <w:rPr>
                <w:rFonts w:asciiTheme="minorEastAsia" w:eastAsiaTheme="minorEastAsia" w:hAnsiTheme="minorEastAsia" w:hint="eastAsia"/>
                <w:noProof/>
                <w:sz w:val="28"/>
                <w:szCs w:val="28"/>
              </w:rPr>
              <w:fldChar w:fldCharType="end"/>
            </w:r>
          </w:hyperlink>
        </w:p>
        <w:p w14:paraId="13E828F7" w14:textId="1595AFAC" w:rsidR="004E7858" w:rsidRPr="004E7858" w:rsidRDefault="004E7858">
          <w:pPr>
            <w:pStyle w:val="TOC2"/>
            <w:ind w:firstLine="400"/>
            <w:rPr>
              <w:rFonts w:asciiTheme="minorEastAsia" w:eastAsiaTheme="minorEastAsia" w:hAnsiTheme="minorEastAsia" w:cstheme="minorBidi" w:hint="eastAsia"/>
              <w:smallCaps w:val="0"/>
              <w:noProof/>
              <w:sz w:val="28"/>
              <w:szCs w:val="28"/>
              <w14:ligatures w14:val="standardContextual"/>
            </w:rPr>
          </w:pPr>
          <w:hyperlink w:anchor="_Toc205883275" w:history="1">
            <w:r w:rsidRPr="004E7858">
              <w:rPr>
                <w:rStyle w:val="af8"/>
                <w:rFonts w:asciiTheme="minorEastAsia" w:eastAsiaTheme="minorEastAsia" w:hAnsiTheme="minorEastAsia" w:hint="eastAsia"/>
                <w:noProof/>
                <w:sz w:val="28"/>
                <w:szCs w:val="28"/>
                <w:u w:val="none"/>
              </w:rPr>
              <w:t>4.2安全设施设计原则</w:t>
            </w:r>
            <w:r w:rsidRPr="004E7858">
              <w:rPr>
                <w:rFonts w:asciiTheme="minorEastAsia" w:eastAsiaTheme="minorEastAsia" w:hAnsiTheme="minorEastAsia" w:hint="eastAsia"/>
                <w:noProof/>
                <w:sz w:val="28"/>
                <w:szCs w:val="28"/>
              </w:rPr>
              <w:tab/>
            </w:r>
            <w:r w:rsidRPr="004E7858">
              <w:rPr>
                <w:rFonts w:asciiTheme="minorEastAsia" w:eastAsiaTheme="minorEastAsia" w:hAnsiTheme="minorEastAsia" w:hint="eastAsia"/>
                <w:noProof/>
                <w:sz w:val="28"/>
                <w:szCs w:val="28"/>
              </w:rPr>
              <w:fldChar w:fldCharType="begin"/>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noProof/>
                <w:sz w:val="28"/>
                <w:szCs w:val="28"/>
              </w:rPr>
              <w:instrText>PAGEREF _Toc205883275 \h</w:instrText>
            </w:r>
            <w:r w:rsidRPr="004E7858">
              <w:rPr>
                <w:rFonts w:asciiTheme="minorEastAsia" w:eastAsiaTheme="minorEastAsia" w:hAnsiTheme="minorEastAsia" w:hint="eastAsia"/>
                <w:noProof/>
                <w:sz w:val="28"/>
                <w:szCs w:val="28"/>
              </w:rPr>
              <w:instrText xml:space="preserve"> </w:instrText>
            </w:r>
            <w:r w:rsidRPr="004E7858">
              <w:rPr>
                <w:rFonts w:asciiTheme="minorEastAsia" w:eastAsiaTheme="minorEastAsia" w:hAnsiTheme="minorEastAsia" w:hint="eastAsia"/>
                <w:noProof/>
                <w:sz w:val="28"/>
                <w:szCs w:val="28"/>
              </w:rPr>
            </w:r>
            <w:r w:rsidRPr="004E7858">
              <w:rPr>
                <w:rFonts w:asciiTheme="minorEastAsia" w:eastAsiaTheme="minorEastAsia" w:hAnsiTheme="minorEastAsia" w:hint="eastAsia"/>
                <w:noProof/>
                <w:sz w:val="28"/>
                <w:szCs w:val="28"/>
              </w:rPr>
              <w:fldChar w:fldCharType="separate"/>
            </w:r>
            <w:r w:rsidR="005B2DAF">
              <w:rPr>
                <w:rFonts w:asciiTheme="minorEastAsia" w:eastAsiaTheme="minorEastAsia" w:hAnsiTheme="minorEastAsia" w:hint="eastAsia"/>
                <w:noProof/>
                <w:sz w:val="28"/>
                <w:szCs w:val="28"/>
              </w:rPr>
              <w:t>51</w:t>
            </w:r>
            <w:r w:rsidRPr="004E7858">
              <w:rPr>
                <w:rFonts w:asciiTheme="minorEastAsia" w:eastAsiaTheme="minorEastAsia" w:hAnsiTheme="minorEastAsia" w:hint="eastAsia"/>
                <w:noProof/>
                <w:sz w:val="28"/>
                <w:szCs w:val="28"/>
              </w:rPr>
              <w:fldChar w:fldCharType="end"/>
            </w:r>
          </w:hyperlink>
        </w:p>
        <w:p w14:paraId="4C78566F" w14:textId="0C75E938"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76" w:history="1">
            <w:r w:rsidRPr="004E7858">
              <w:rPr>
                <w:rStyle w:val="af8"/>
                <w:rFonts w:asciiTheme="minorEastAsia" w:eastAsiaTheme="minorEastAsia" w:hAnsiTheme="minorEastAsia" w:hint="eastAsia"/>
                <w:noProof/>
                <w:szCs w:val="28"/>
                <w:u w:val="none"/>
              </w:rPr>
              <w:t>5评价结论</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_Toc205883276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52</w:t>
            </w:r>
            <w:r w:rsidRPr="004E7858">
              <w:rPr>
                <w:rFonts w:asciiTheme="minorEastAsia" w:eastAsiaTheme="minorEastAsia" w:hAnsiTheme="minorEastAsia" w:hint="eastAsia"/>
                <w:noProof/>
                <w:szCs w:val="28"/>
              </w:rPr>
              <w:fldChar w:fldCharType="end"/>
            </w:r>
          </w:hyperlink>
        </w:p>
        <w:p w14:paraId="3F98BDD6" w14:textId="570E6F97"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77" w:history="1">
            <w:r w:rsidRPr="004E7858">
              <w:rPr>
                <w:rStyle w:val="af8"/>
                <w:rFonts w:asciiTheme="minorEastAsia" w:eastAsiaTheme="minorEastAsia" w:hAnsiTheme="minorEastAsia" w:hint="eastAsia"/>
                <w:noProof/>
                <w:szCs w:val="28"/>
                <w:u w:val="none"/>
              </w:rPr>
              <w:t>6附件</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_Toc205883277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53</w:t>
            </w:r>
            <w:r w:rsidRPr="004E7858">
              <w:rPr>
                <w:rFonts w:asciiTheme="minorEastAsia" w:eastAsiaTheme="minorEastAsia" w:hAnsiTheme="minorEastAsia" w:hint="eastAsia"/>
                <w:noProof/>
                <w:szCs w:val="28"/>
              </w:rPr>
              <w:fldChar w:fldCharType="end"/>
            </w:r>
          </w:hyperlink>
        </w:p>
        <w:p w14:paraId="61B78897" w14:textId="599B0805" w:rsidR="004E7858" w:rsidRPr="004E7858" w:rsidRDefault="004E7858">
          <w:pPr>
            <w:pStyle w:val="TOC1"/>
            <w:tabs>
              <w:tab w:val="right" w:leader="dot" w:pos="8834"/>
            </w:tabs>
            <w:ind w:firstLine="560"/>
            <w:rPr>
              <w:rFonts w:asciiTheme="minorEastAsia" w:eastAsiaTheme="minorEastAsia" w:hAnsiTheme="minorEastAsia" w:cstheme="minorBidi" w:hint="eastAsia"/>
              <w:noProof/>
              <w:szCs w:val="28"/>
              <w14:ligatures w14:val="standardContextual"/>
            </w:rPr>
          </w:pPr>
          <w:hyperlink w:anchor="_Toc205883278" w:history="1">
            <w:r w:rsidRPr="004E7858">
              <w:rPr>
                <w:rStyle w:val="af8"/>
                <w:rFonts w:asciiTheme="minorEastAsia" w:eastAsiaTheme="minorEastAsia" w:hAnsiTheme="minorEastAsia" w:hint="eastAsia"/>
                <w:noProof/>
                <w:szCs w:val="28"/>
                <w:u w:val="none"/>
              </w:rPr>
              <w:t>7附图</w:t>
            </w:r>
            <w:r w:rsidR="00BF3720" w:rsidRPr="00BF3720">
              <w:rPr>
                <w:rStyle w:val="af8"/>
                <w:rFonts w:asciiTheme="minorEastAsia" w:eastAsiaTheme="minorEastAsia" w:hAnsiTheme="minorEastAsia" w:hint="eastAsia"/>
                <w:noProof/>
                <w:szCs w:val="28"/>
                <w:u w:val="none"/>
              </w:rPr>
              <w:tab/>
            </w:r>
            <w:r w:rsidRPr="004E7858">
              <w:rPr>
                <w:rFonts w:asciiTheme="minorEastAsia" w:eastAsiaTheme="minorEastAsia" w:hAnsiTheme="minorEastAsia" w:hint="eastAsia"/>
                <w:noProof/>
                <w:szCs w:val="28"/>
              </w:rPr>
              <w:fldChar w:fldCharType="begin"/>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noProof/>
                <w:szCs w:val="28"/>
              </w:rPr>
              <w:instrText>PAGEREF _Toc205883278 \h</w:instrText>
            </w:r>
            <w:r w:rsidRPr="004E7858">
              <w:rPr>
                <w:rFonts w:asciiTheme="minorEastAsia" w:eastAsiaTheme="minorEastAsia" w:hAnsiTheme="minorEastAsia" w:hint="eastAsia"/>
                <w:noProof/>
                <w:szCs w:val="28"/>
              </w:rPr>
              <w:instrText xml:space="preserve"> </w:instrText>
            </w:r>
            <w:r w:rsidRPr="004E7858">
              <w:rPr>
                <w:rFonts w:asciiTheme="minorEastAsia" w:eastAsiaTheme="minorEastAsia" w:hAnsiTheme="minorEastAsia" w:hint="eastAsia"/>
                <w:noProof/>
                <w:szCs w:val="28"/>
              </w:rPr>
            </w:r>
            <w:r w:rsidRPr="004E7858">
              <w:rPr>
                <w:rFonts w:asciiTheme="minorEastAsia" w:eastAsiaTheme="minorEastAsia" w:hAnsiTheme="minorEastAsia" w:hint="eastAsia"/>
                <w:noProof/>
                <w:szCs w:val="28"/>
              </w:rPr>
              <w:fldChar w:fldCharType="separate"/>
            </w:r>
            <w:r w:rsidR="005B2DAF">
              <w:rPr>
                <w:rFonts w:asciiTheme="minorEastAsia" w:eastAsiaTheme="minorEastAsia" w:hAnsiTheme="minorEastAsia" w:hint="eastAsia"/>
                <w:noProof/>
                <w:szCs w:val="28"/>
              </w:rPr>
              <w:t>54</w:t>
            </w:r>
            <w:r w:rsidRPr="004E7858">
              <w:rPr>
                <w:rFonts w:asciiTheme="minorEastAsia" w:eastAsiaTheme="minorEastAsia" w:hAnsiTheme="minorEastAsia" w:hint="eastAsia"/>
                <w:noProof/>
                <w:szCs w:val="28"/>
              </w:rPr>
              <w:fldChar w:fldCharType="end"/>
            </w:r>
          </w:hyperlink>
        </w:p>
        <w:p w14:paraId="66D9B6C2" w14:textId="58FFFE7E" w:rsidR="008D7DB0" w:rsidRDefault="00000000">
          <w:pPr>
            <w:ind w:firstLine="560"/>
            <w:rPr>
              <w:rFonts w:eastAsiaTheme="minorEastAsia"/>
              <w:szCs w:val="21"/>
            </w:rPr>
          </w:pPr>
          <w:r>
            <w:rPr>
              <w:rFonts w:eastAsiaTheme="minorEastAsia"/>
              <w:szCs w:val="28"/>
            </w:rPr>
            <w:fldChar w:fldCharType="end"/>
          </w:r>
        </w:p>
      </w:sdtContent>
    </w:sdt>
    <w:p w14:paraId="49452C55" w14:textId="77777777" w:rsidR="008D7DB0" w:rsidRDefault="008D7DB0">
      <w:pPr>
        <w:pStyle w:val="21"/>
        <w:ind w:left="560"/>
        <w:sectPr w:rsidR="008D7DB0">
          <w:pgSz w:w="11906" w:h="16838"/>
          <w:pgMar w:top="1418" w:right="1531" w:bottom="1418" w:left="1531" w:header="851" w:footer="992" w:gutter="0"/>
          <w:cols w:space="720"/>
          <w:docGrid w:linePitch="312"/>
        </w:sectPr>
      </w:pPr>
    </w:p>
    <w:p w14:paraId="7DC29C61" w14:textId="77777777" w:rsidR="008D7DB0" w:rsidRDefault="008D7DB0">
      <w:pPr>
        <w:pStyle w:val="a0"/>
        <w:sectPr w:rsidR="008D7DB0">
          <w:pgSz w:w="11906" w:h="16838"/>
          <w:pgMar w:top="1418" w:right="1531" w:bottom="1418" w:left="1531" w:header="851" w:footer="992" w:gutter="0"/>
          <w:cols w:space="720"/>
          <w:docGrid w:linePitch="312"/>
        </w:sectPr>
      </w:pPr>
    </w:p>
    <w:p w14:paraId="2DF63DD6" w14:textId="77777777" w:rsidR="008D7DB0" w:rsidRDefault="00000000">
      <w:pPr>
        <w:pStyle w:val="1"/>
        <w:spacing w:before="120"/>
      </w:pPr>
      <w:bookmarkStart w:id="16" w:name="_Toc205883208"/>
      <w:r>
        <w:rPr>
          <w:rFonts w:hint="eastAsia"/>
        </w:rPr>
        <w:lastRenderedPageBreak/>
        <w:t>1.</w:t>
      </w:r>
      <w:r>
        <w:rPr>
          <w:rFonts w:hint="eastAsia"/>
        </w:rPr>
        <w:t>评价对象与依据</w:t>
      </w:r>
      <w:bookmarkEnd w:id="16"/>
    </w:p>
    <w:p w14:paraId="5AAEF350" w14:textId="77777777" w:rsidR="008D7DB0" w:rsidRDefault="00000000">
      <w:pPr>
        <w:pStyle w:val="2"/>
      </w:pPr>
      <w:bookmarkStart w:id="17" w:name="_Toc205883209"/>
      <w:r>
        <w:rPr>
          <w:rFonts w:hint="eastAsia"/>
        </w:rPr>
        <w:t>1.1</w:t>
      </w:r>
      <w:r>
        <w:rPr>
          <w:rFonts w:hint="eastAsia"/>
        </w:rPr>
        <w:t>评价对象和范围</w:t>
      </w:r>
      <w:bookmarkEnd w:id="17"/>
    </w:p>
    <w:p w14:paraId="04B9233A" w14:textId="77777777" w:rsidR="008D7DB0" w:rsidRDefault="00000000">
      <w:pPr>
        <w:pStyle w:val="3"/>
      </w:pPr>
      <w:bookmarkStart w:id="18" w:name="_Toc13184"/>
      <w:bookmarkStart w:id="19" w:name="_Toc205883210"/>
      <w:r>
        <w:rPr>
          <w:rFonts w:hint="eastAsia"/>
        </w:rPr>
        <w:t>1.1.1</w:t>
      </w:r>
      <w:r>
        <w:rPr>
          <w:rFonts w:hint="eastAsia"/>
        </w:rPr>
        <w:t>评价对象</w:t>
      </w:r>
      <w:bookmarkEnd w:id="18"/>
      <w:bookmarkEnd w:id="19"/>
    </w:p>
    <w:p w14:paraId="4D890F68" w14:textId="77777777" w:rsidR="008D7DB0" w:rsidRDefault="00000000">
      <w:pPr>
        <w:ind w:firstLine="560"/>
      </w:pPr>
      <w:r>
        <w:t>根据建设项目</w:t>
      </w:r>
      <w:r>
        <w:rPr>
          <w:rFonts w:hint="eastAsia"/>
        </w:rPr>
        <w:t>《</w:t>
      </w:r>
      <w:r>
        <w:t>北票市富贵鸟矿业有限公司铁帽子采区露天开采建设项目初步设计重大变更》</w:t>
      </w:r>
      <w:r>
        <w:rPr>
          <w:rFonts w:hint="eastAsia"/>
        </w:rPr>
        <w:t>（以下简称为：《初步设计重大变更》）</w:t>
      </w:r>
      <w:r>
        <w:t>、《金属非金属矿山建设项目安全设施目录（试行）》（国家安全监管总局令第</w:t>
      </w:r>
      <w:r>
        <w:t>75</w:t>
      </w:r>
      <w:r>
        <w:t>号）和有关法律法规等，确定本次安全预评价的评价对象为</w:t>
      </w:r>
      <w:r>
        <w:rPr>
          <w:rFonts w:hint="eastAsia"/>
        </w:rPr>
        <w:t>“</w:t>
      </w:r>
      <w:r>
        <w:t>北票市富贵鸟矿业有限公司铁帽子采区露天开采建设项目初步设计重大变更</w:t>
      </w:r>
      <w:r>
        <w:rPr>
          <w:rFonts w:hint="eastAsia"/>
        </w:rPr>
        <w:t>的排土场”</w:t>
      </w:r>
      <w:r>
        <w:t>。</w:t>
      </w:r>
    </w:p>
    <w:p w14:paraId="1E20F07C" w14:textId="77777777" w:rsidR="008D7DB0" w:rsidRDefault="00000000">
      <w:pPr>
        <w:pStyle w:val="3"/>
      </w:pPr>
      <w:bookmarkStart w:id="20" w:name="_Toc30927"/>
      <w:bookmarkStart w:id="21" w:name="_Toc205883211"/>
      <w:r>
        <w:rPr>
          <w:rFonts w:hint="eastAsia"/>
        </w:rPr>
        <w:t>1.1.2</w:t>
      </w:r>
      <w:r>
        <w:rPr>
          <w:rFonts w:hint="eastAsia"/>
        </w:rPr>
        <w:t>评价范围</w:t>
      </w:r>
      <w:bookmarkEnd w:id="20"/>
      <w:bookmarkEnd w:id="21"/>
    </w:p>
    <w:p w14:paraId="70B68781" w14:textId="77777777" w:rsidR="008D7DB0" w:rsidRDefault="00000000">
      <w:pPr>
        <w:ind w:firstLine="560"/>
      </w:pPr>
      <w:r>
        <w:t>本次安全评价范围内生产系统具体评价内容包括：兰州有色冶金设计研究院有限公司沈阳分公司</w:t>
      </w:r>
      <w:r>
        <w:t>202</w:t>
      </w:r>
      <w:r>
        <w:rPr>
          <w:rFonts w:hint="eastAsia"/>
        </w:rPr>
        <w:t>5</w:t>
      </w:r>
      <w:r>
        <w:t>年</w:t>
      </w:r>
      <w:r>
        <w:rPr>
          <w:rFonts w:hint="eastAsia"/>
        </w:rPr>
        <w:t>2</w:t>
      </w:r>
      <w:r>
        <w:t>月编制的《初步设计重大变更》变更后</w:t>
      </w:r>
      <w:r>
        <w:rPr>
          <w:rFonts w:hint="eastAsia"/>
        </w:rPr>
        <w:t>涉及到的排土场单元进行安全预评价</w:t>
      </w:r>
      <w:r>
        <w:t>。因该项目于</w:t>
      </w:r>
      <w:r>
        <w:t>202</w:t>
      </w:r>
      <w:r>
        <w:rPr>
          <w:rFonts w:hint="eastAsia"/>
        </w:rPr>
        <w:t>1</w:t>
      </w:r>
      <w:r>
        <w:t>年</w:t>
      </w:r>
      <w:r>
        <w:rPr>
          <w:rFonts w:hint="eastAsia"/>
        </w:rPr>
        <w:t>4</w:t>
      </w:r>
      <w:r>
        <w:t>月由辽宁力康职业卫生与安全技术咨询服务有限公司编制了《北票市富贵鸟矿业有限公司铁帽子采区露天开采建设项目安全预评价报告》，该预评价报告对本项目进行了系统性安全评价，因此本次预评价报告仅针对</w:t>
      </w:r>
      <w:r>
        <w:t>202</w:t>
      </w:r>
      <w:r>
        <w:rPr>
          <w:rFonts w:hint="eastAsia"/>
        </w:rPr>
        <w:t>5</w:t>
      </w:r>
      <w:r>
        <w:t>年</w:t>
      </w:r>
      <w:r>
        <w:rPr>
          <w:rFonts w:hint="eastAsia"/>
        </w:rPr>
        <w:t>2</w:t>
      </w:r>
      <w:r>
        <w:t>月编制的《初步设计重大变更》所涉及到变更之处未执行的安全措施进行评价。</w:t>
      </w:r>
    </w:p>
    <w:p w14:paraId="2579647D" w14:textId="77777777" w:rsidR="008D7DB0" w:rsidRDefault="00000000">
      <w:pPr>
        <w:ind w:firstLine="560"/>
      </w:pPr>
      <w:r>
        <w:t>根据北票市</w:t>
      </w:r>
      <w:r>
        <w:rPr>
          <w:rFonts w:hint="eastAsia"/>
        </w:rPr>
        <w:t>富贵鸟</w:t>
      </w:r>
      <w:r>
        <w:t>矿业有限责任公司采矿许可证（证号：</w:t>
      </w:r>
      <w:r>
        <w:t>C2100002009092120037844</w:t>
      </w:r>
      <w:r>
        <w:t>），矿区范围由</w:t>
      </w:r>
      <w:r>
        <w:rPr>
          <w:rFonts w:hint="eastAsia"/>
        </w:rPr>
        <w:t>25</w:t>
      </w:r>
      <w:r>
        <w:t>个拐点圈定，共划分</w:t>
      </w:r>
      <w:r>
        <w:rPr>
          <w:rFonts w:hint="eastAsia"/>
        </w:rPr>
        <w:t>三</w:t>
      </w:r>
      <w:r>
        <w:t>个采区，分别为</w:t>
      </w:r>
      <w:r>
        <w:rPr>
          <w:rFonts w:hint="eastAsia"/>
        </w:rPr>
        <w:t>马架子采区、铁帽子采区和东大线采区</w:t>
      </w:r>
      <w:r>
        <w:t>。开采方式为露天</w:t>
      </w:r>
      <w:r>
        <w:t>/</w:t>
      </w:r>
      <w:r>
        <w:t>地下开采，开采矿种为</w:t>
      </w:r>
      <w:r>
        <w:rPr>
          <w:rFonts w:hint="eastAsia"/>
        </w:rPr>
        <w:t>铁</w:t>
      </w:r>
      <w:r>
        <w:t>矿</w:t>
      </w:r>
      <w:r>
        <w:rPr>
          <w:rFonts w:hint="eastAsia"/>
        </w:rPr>
        <w:t>，生产规模为</w:t>
      </w:r>
      <w:r>
        <w:rPr>
          <w:rFonts w:hint="eastAsia"/>
        </w:rPr>
        <w:t>20</w:t>
      </w:r>
      <w:r>
        <w:rPr>
          <w:rFonts w:hint="eastAsia"/>
        </w:rPr>
        <w:t>万</w:t>
      </w:r>
      <w:r>
        <w:rPr>
          <w:rFonts w:hint="eastAsia"/>
        </w:rPr>
        <w:t>t/a</w:t>
      </w:r>
      <w:r>
        <w:rPr>
          <w:rFonts w:hint="eastAsia"/>
        </w:rPr>
        <w:t>，</w:t>
      </w:r>
      <w:r>
        <w:t>矿区面积</w:t>
      </w:r>
      <w:r>
        <w:t>5.4958km</w:t>
      </w:r>
      <w:r>
        <w:rPr>
          <w:vertAlign w:val="superscript"/>
        </w:rPr>
        <w:t>2</w:t>
      </w:r>
      <w:r>
        <w:t>，有效期：壹拾肆年</w:t>
      </w:r>
      <w:r>
        <w:rPr>
          <w:rFonts w:hint="eastAsia"/>
        </w:rPr>
        <w:t>壹拾</w:t>
      </w:r>
      <w:r>
        <w:t>个月，自</w:t>
      </w:r>
      <w:r>
        <w:t>201</w:t>
      </w:r>
      <w:r>
        <w:rPr>
          <w:rFonts w:hint="eastAsia"/>
        </w:rPr>
        <w:t>6</w:t>
      </w:r>
      <w:r>
        <w:t>年</w:t>
      </w:r>
      <w:r>
        <w:rPr>
          <w:rFonts w:hint="eastAsia"/>
        </w:rPr>
        <w:t>4</w:t>
      </w:r>
      <w:r>
        <w:t>月</w:t>
      </w:r>
      <w:r>
        <w:rPr>
          <w:rFonts w:hint="eastAsia"/>
        </w:rPr>
        <w:t>7</w:t>
      </w:r>
      <w:r>
        <w:t>日至</w:t>
      </w:r>
      <w:r>
        <w:t>203</w:t>
      </w:r>
      <w:r>
        <w:rPr>
          <w:rFonts w:hint="eastAsia"/>
        </w:rPr>
        <w:t>1</w:t>
      </w:r>
      <w:r>
        <w:t>年</w:t>
      </w:r>
      <w:r>
        <w:rPr>
          <w:rFonts w:hint="eastAsia"/>
        </w:rPr>
        <w:t>2</w:t>
      </w:r>
      <w:r>
        <w:t>月</w:t>
      </w:r>
      <w:r>
        <w:rPr>
          <w:rFonts w:hint="eastAsia"/>
        </w:rPr>
        <w:t>7</w:t>
      </w:r>
      <w:r>
        <w:t>日</w:t>
      </w:r>
      <w:r>
        <w:rPr>
          <w:rFonts w:hint="eastAsia"/>
        </w:rPr>
        <w:t>，</w:t>
      </w:r>
      <w:r>
        <w:t>矿区范围拐点坐标详见表</w:t>
      </w:r>
      <w:r>
        <w:rPr>
          <w:rFonts w:hint="eastAsia"/>
        </w:rPr>
        <w:t>1.1</w:t>
      </w:r>
      <w:r>
        <w:t>-1</w:t>
      </w:r>
      <w:r>
        <w:t>。</w:t>
      </w:r>
    </w:p>
    <w:p w14:paraId="3D10D65E" w14:textId="77777777" w:rsidR="008D7DB0" w:rsidRDefault="00000000">
      <w:pPr>
        <w:ind w:firstLine="560"/>
      </w:pPr>
      <w:r>
        <w:t>《</w:t>
      </w:r>
      <w:r>
        <w:rPr>
          <w:rFonts w:hint="eastAsia"/>
        </w:rPr>
        <w:t>初步设计重大设计变更</w:t>
      </w:r>
      <w:r>
        <w:t>》</w:t>
      </w:r>
      <w:r>
        <w:rPr>
          <w:rFonts w:hint="eastAsia"/>
        </w:rPr>
        <w:t>明确变更</w:t>
      </w:r>
      <w:r>
        <w:t>对象为铁帽子采区</w:t>
      </w:r>
      <w:r>
        <w:rPr>
          <w:rFonts w:hint="eastAsia"/>
        </w:rPr>
        <w:t>排土场</w:t>
      </w:r>
      <w:r>
        <w:t>，设计</w:t>
      </w:r>
      <w:r>
        <w:lastRenderedPageBreak/>
        <w:t>范围共由</w:t>
      </w:r>
      <w:r>
        <w:rPr>
          <w:rFonts w:hint="eastAsia"/>
        </w:rPr>
        <w:t>23</w:t>
      </w:r>
      <w:r>
        <w:t>个拐点圈定，本次评价范围与设计范围一致，</w:t>
      </w:r>
      <w:r>
        <w:rPr>
          <w:rFonts w:hint="eastAsia"/>
        </w:rPr>
        <w:t>排土</w:t>
      </w:r>
      <w:r>
        <w:t>标高从</w:t>
      </w:r>
      <w:r>
        <w:rPr>
          <w:rFonts w:hint="eastAsia"/>
        </w:rPr>
        <w:t>538m</w:t>
      </w:r>
      <w:r>
        <w:rPr>
          <w:rFonts w:hint="eastAsia"/>
        </w:rPr>
        <w:t>至</w:t>
      </w:r>
      <w:r>
        <w:rPr>
          <w:rFonts w:hint="eastAsia"/>
        </w:rPr>
        <w:t>390</w:t>
      </w:r>
      <w:r>
        <w:t>m</w:t>
      </w:r>
      <w:r>
        <w:t>，具体评价范围平面各拐点坐标及高程见表</w:t>
      </w:r>
      <w:r>
        <w:t>1.1-2</w:t>
      </w:r>
      <w:r>
        <w:t>。</w:t>
      </w:r>
    </w:p>
    <w:p w14:paraId="49FCAE83" w14:textId="77777777" w:rsidR="008D7DB0" w:rsidRDefault="00000000">
      <w:pPr>
        <w:ind w:firstLineChars="0" w:firstLine="0"/>
        <w:jc w:val="center"/>
        <w:rPr>
          <w:sz w:val="21"/>
          <w:szCs w:val="21"/>
        </w:rPr>
      </w:pPr>
      <w:r>
        <w:rPr>
          <w:sz w:val="21"/>
          <w:szCs w:val="21"/>
        </w:rPr>
        <w:t>表</w:t>
      </w:r>
      <w:r>
        <w:rPr>
          <w:sz w:val="21"/>
          <w:szCs w:val="21"/>
        </w:rPr>
        <w:t>1.1-1</w:t>
      </w:r>
      <w:r>
        <w:rPr>
          <w:sz w:val="21"/>
          <w:szCs w:val="21"/>
        </w:rPr>
        <w:t>《采矿许可证》矿区范围拐点坐标表</w:t>
      </w:r>
    </w:p>
    <w:tbl>
      <w:tblPr>
        <w:tblW w:w="896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62"/>
        <w:gridCol w:w="1465"/>
        <w:gridCol w:w="3351"/>
        <w:gridCol w:w="3389"/>
      </w:tblGrid>
      <w:tr w:rsidR="008D7DB0" w14:paraId="562508D5" w14:textId="77777777">
        <w:trPr>
          <w:trHeight w:val="23"/>
          <w:tblHeader/>
          <w:jc w:val="center"/>
        </w:trPr>
        <w:tc>
          <w:tcPr>
            <w:tcW w:w="762" w:type="dxa"/>
            <w:vMerge w:val="restart"/>
            <w:vAlign w:val="center"/>
          </w:tcPr>
          <w:p w14:paraId="7DBFB3A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采区</w:t>
            </w:r>
          </w:p>
        </w:tc>
        <w:tc>
          <w:tcPr>
            <w:tcW w:w="1465" w:type="dxa"/>
            <w:vMerge w:val="restart"/>
            <w:vAlign w:val="center"/>
          </w:tcPr>
          <w:p w14:paraId="3E5CD6C1"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拐点编号</w:t>
            </w:r>
          </w:p>
        </w:tc>
        <w:tc>
          <w:tcPr>
            <w:tcW w:w="6740" w:type="dxa"/>
            <w:gridSpan w:val="2"/>
            <w:tcBorders>
              <w:right w:val="single" w:sz="4" w:space="0" w:color="auto"/>
            </w:tcBorders>
            <w:vAlign w:val="center"/>
          </w:tcPr>
          <w:p w14:paraId="0AA77AF7"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坐标（</w:t>
            </w:r>
            <w:r>
              <w:rPr>
                <w:rFonts w:eastAsiaTheme="minorEastAsia"/>
                <w:bCs/>
                <w:sz w:val="21"/>
                <w:szCs w:val="21"/>
              </w:rPr>
              <w:t>2000</w:t>
            </w:r>
            <w:r>
              <w:rPr>
                <w:rFonts w:eastAsiaTheme="minorEastAsia"/>
                <w:bCs/>
                <w:sz w:val="21"/>
                <w:szCs w:val="21"/>
              </w:rPr>
              <w:t>国家大地坐标系）</w:t>
            </w:r>
          </w:p>
        </w:tc>
      </w:tr>
      <w:tr w:rsidR="008D7DB0" w14:paraId="1D6F18B1" w14:textId="77777777">
        <w:trPr>
          <w:trHeight w:val="23"/>
          <w:tblHeader/>
          <w:jc w:val="center"/>
        </w:trPr>
        <w:tc>
          <w:tcPr>
            <w:tcW w:w="762" w:type="dxa"/>
            <w:vMerge/>
            <w:vAlign w:val="center"/>
          </w:tcPr>
          <w:p w14:paraId="65D0A892" w14:textId="77777777" w:rsidR="008D7DB0" w:rsidRDefault="008D7DB0">
            <w:pPr>
              <w:spacing w:line="240" w:lineRule="auto"/>
              <w:ind w:firstLineChars="0" w:firstLine="0"/>
              <w:jc w:val="center"/>
              <w:rPr>
                <w:rFonts w:eastAsiaTheme="minorEastAsia"/>
                <w:bCs/>
                <w:sz w:val="21"/>
                <w:szCs w:val="21"/>
              </w:rPr>
            </w:pPr>
          </w:p>
        </w:tc>
        <w:tc>
          <w:tcPr>
            <w:tcW w:w="1465" w:type="dxa"/>
            <w:vMerge/>
            <w:vAlign w:val="center"/>
          </w:tcPr>
          <w:p w14:paraId="10DFD709" w14:textId="77777777" w:rsidR="008D7DB0" w:rsidRDefault="008D7DB0">
            <w:pPr>
              <w:spacing w:line="240" w:lineRule="auto"/>
              <w:ind w:firstLineChars="0" w:firstLine="0"/>
              <w:jc w:val="center"/>
              <w:rPr>
                <w:rFonts w:eastAsiaTheme="minorEastAsia"/>
                <w:bCs/>
                <w:sz w:val="21"/>
                <w:szCs w:val="21"/>
              </w:rPr>
            </w:pPr>
          </w:p>
        </w:tc>
        <w:tc>
          <w:tcPr>
            <w:tcW w:w="3351" w:type="dxa"/>
            <w:vAlign w:val="center"/>
          </w:tcPr>
          <w:p w14:paraId="7649409E"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X</w:t>
            </w:r>
          </w:p>
        </w:tc>
        <w:tc>
          <w:tcPr>
            <w:tcW w:w="3389" w:type="dxa"/>
            <w:tcBorders>
              <w:right w:val="single" w:sz="4" w:space="0" w:color="auto"/>
            </w:tcBorders>
            <w:vAlign w:val="center"/>
          </w:tcPr>
          <w:p w14:paraId="7340F11F"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Y</w:t>
            </w:r>
          </w:p>
        </w:tc>
      </w:tr>
      <w:tr w:rsidR="008D7DB0" w14:paraId="077600BB" w14:textId="77777777">
        <w:trPr>
          <w:trHeight w:val="23"/>
          <w:jc w:val="center"/>
        </w:trPr>
        <w:tc>
          <w:tcPr>
            <w:tcW w:w="762" w:type="dxa"/>
            <w:vMerge w:val="restart"/>
            <w:vAlign w:val="center"/>
          </w:tcPr>
          <w:p w14:paraId="4A12FD77"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铁帽子采区</w:t>
            </w:r>
          </w:p>
        </w:tc>
        <w:tc>
          <w:tcPr>
            <w:tcW w:w="1465" w:type="dxa"/>
            <w:vAlign w:val="center"/>
          </w:tcPr>
          <w:p w14:paraId="55929CCA"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1</w:t>
            </w:r>
          </w:p>
        </w:tc>
        <w:tc>
          <w:tcPr>
            <w:tcW w:w="3351" w:type="dxa"/>
            <w:vAlign w:val="center"/>
          </w:tcPr>
          <w:p w14:paraId="7495D40F"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4633258.4328</w:t>
            </w:r>
          </w:p>
        </w:tc>
        <w:tc>
          <w:tcPr>
            <w:tcW w:w="3389" w:type="dxa"/>
            <w:tcBorders>
              <w:right w:val="single" w:sz="4" w:space="0" w:color="auto"/>
            </w:tcBorders>
            <w:vAlign w:val="center"/>
          </w:tcPr>
          <w:p w14:paraId="32F54C1F"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40529462.9979</w:t>
            </w:r>
          </w:p>
        </w:tc>
      </w:tr>
      <w:tr w:rsidR="008D7DB0" w14:paraId="7AAA2501" w14:textId="77777777">
        <w:trPr>
          <w:trHeight w:val="23"/>
          <w:jc w:val="center"/>
        </w:trPr>
        <w:tc>
          <w:tcPr>
            <w:tcW w:w="762" w:type="dxa"/>
            <w:vMerge/>
            <w:vAlign w:val="center"/>
          </w:tcPr>
          <w:p w14:paraId="5506B3A4"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7D266CC5"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2</w:t>
            </w:r>
          </w:p>
        </w:tc>
        <w:tc>
          <w:tcPr>
            <w:tcW w:w="3351" w:type="dxa"/>
            <w:vAlign w:val="center"/>
          </w:tcPr>
          <w:p w14:paraId="4627CBB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4633918.3966</w:t>
            </w:r>
          </w:p>
        </w:tc>
        <w:tc>
          <w:tcPr>
            <w:tcW w:w="3389" w:type="dxa"/>
            <w:tcBorders>
              <w:right w:val="single" w:sz="4" w:space="0" w:color="auto"/>
            </w:tcBorders>
            <w:vAlign w:val="center"/>
          </w:tcPr>
          <w:p w14:paraId="7FBFC309"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40529462.9960</w:t>
            </w:r>
          </w:p>
        </w:tc>
      </w:tr>
      <w:tr w:rsidR="008D7DB0" w14:paraId="4D781D2B" w14:textId="77777777">
        <w:trPr>
          <w:trHeight w:val="23"/>
          <w:jc w:val="center"/>
        </w:trPr>
        <w:tc>
          <w:tcPr>
            <w:tcW w:w="762" w:type="dxa"/>
            <w:vMerge/>
            <w:vAlign w:val="center"/>
          </w:tcPr>
          <w:p w14:paraId="6C5A9790"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6A75676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3</w:t>
            </w:r>
          </w:p>
        </w:tc>
        <w:tc>
          <w:tcPr>
            <w:tcW w:w="3351" w:type="dxa"/>
            <w:vAlign w:val="center"/>
          </w:tcPr>
          <w:p w14:paraId="350D7AAB"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4633918.4019</w:t>
            </w:r>
          </w:p>
        </w:tc>
        <w:tc>
          <w:tcPr>
            <w:tcW w:w="3389" w:type="dxa"/>
            <w:tcBorders>
              <w:right w:val="single" w:sz="4" w:space="0" w:color="auto"/>
            </w:tcBorders>
            <w:vAlign w:val="center"/>
          </w:tcPr>
          <w:p w14:paraId="6127C331"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40530157.9960</w:t>
            </w:r>
          </w:p>
        </w:tc>
      </w:tr>
      <w:tr w:rsidR="008D7DB0" w14:paraId="3CC5C104" w14:textId="77777777">
        <w:trPr>
          <w:trHeight w:val="23"/>
          <w:jc w:val="center"/>
        </w:trPr>
        <w:tc>
          <w:tcPr>
            <w:tcW w:w="762" w:type="dxa"/>
            <w:vMerge/>
            <w:vAlign w:val="center"/>
          </w:tcPr>
          <w:p w14:paraId="1403E9D1"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752DBFAE"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w:t>
            </w:r>
          </w:p>
        </w:tc>
        <w:tc>
          <w:tcPr>
            <w:tcW w:w="3351" w:type="dxa"/>
            <w:vAlign w:val="center"/>
          </w:tcPr>
          <w:p w14:paraId="771F5E5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4633218.4051</w:t>
            </w:r>
          </w:p>
        </w:tc>
        <w:tc>
          <w:tcPr>
            <w:tcW w:w="3389" w:type="dxa"/>
            <w:tcBorders>
              <w:right w:val="single" w:sz="4" w:space="0" w:color="auto"/>
            </w:tcBorders>
            <w:vAlign w:val="center"/>
          </w:tcPr>
          <w:p w14:paraId="0973DBD9"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40530337.9994</w:t>
            </w:r>
          </w:p>
        </w:tc>
      </w:tr>
      <w:tr w:rsidR="008D7DB0" w14:paraId="23F78914" w14:textId="77777777">
        <w:trPr>
          <w:trHeight w:val="23"/>
          <w:jc w:val="center"/>
        </w:trPr>
        <w:tc>
          <w:tcPr>
            <w:tcW w:w="762" w:type="dxa"/>
            <w:vMerge/>
            <w:vAlign w:val="center"/>
          </w:tcPr>
          <w:p w14:paraId="098A7E3D"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21199E16"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5</w:t>
            </w:r>
          </w:p>
        </w:tc>
        <w:tc>
          <w:tcPr>
            <w:tcW w:w="3351" w:type="dxa"/>
            <w:vAlign w:val="center"/>
          </w:tcPr>
          <w:p w14:paraId="6ED2871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4632598.4054</w:t>
            </w:r>
          </w:p>
        </w:tc>
        <w:tc>
          <w:tcPr>
            <w:tcW w:w="3389" w:type="dxa"/>
            <w:tcBorders>
              <w:right w:val="single" w:sz="4" w:space="0" w:color="auto"/>
            </w:tcBorders>
            <w:vAlign w:val="center"/>
          </w:tcPr>
          <w:p w14:paraId="1D962433"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40530157.9951</w:t>
            </w:r>
          </w:p>
        </w:tc>
      </w:tr>
      <w:tr w:rsidR="008D7DB0" w14:paraId="416715A1" w14:textId="77777777">
        <w:trPr>
          <w:trHeight w:val="23"/>
          <w:jc w:val="center"/>
        </w:trPr>
        <w:tc>
          <w:tcPr>
            <w:tcW w:w="762" w:type="dxa"/>
            <w:vMerge/>
            <w:vAlign w:val="center"/>
          </w:tcPr>
          <w:p w14:paraId="6A5281DB"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7A4C943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6</w:t>
            </w:r>
          </w:p>
        </w:tc>
        <w:tc>
          <w:tcPr>
            <w:tcW w:w="3351" w:type="dxa"/>
            <w:vAlign w:val="center"/>
          </w:tcPr>
          <w:p w14:paraId="66DFAE4A"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4632598.4073</w:t>
            </w:r>
          </w:p>
        </w:tc>
        <w:tc>
          <w:tcPr>
            <w:tcW w:w="3389" w:type="dxa"/>
            <w:tcBorders>
              <w:right w:val="single" w:sz="4" w:space="0" w:color="auto"/>
            </w:tcBorders>
            <w:vAlign w:val="center"/>
          </w:tcPr>
          <w:p w14:paraId="2E2E4DB0"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40530607.9927</w:t>
            </w:r>
          </w:p>
        </w:tc>
      </w:tr>
      <w:tr w:rsidR="008D7DB0" w14:paraId="3A0E70A1" w14:textId="77777777">
        <w:trPr>
          <w:trHeight w:val="238"/>
          <w:jc w:val="center"/>
        </w:trPr>
        <w:tc>
          <w:tcPr>
            <w:tcW w:w="762" w:type="dxa"/>
            <w:vMerge/>
            <w:vAlign w:val="center"/>
          </w:tcPr>
          <w:p w14:paraId="2AB5A046"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14D26EA8"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7</w:t>
            </w:r>
          </w:p>
        </w:tc>
        <w:tc>
          <w:tcPr>
            <w:tcW w:w="3351" w:type="dxa"/>
            <w:vAlign w:val="center"/>
          </w:tcPr>
          <w:p w14:paraId="67EBD29C"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4632158.4120</w:t>
            </w:r>
          </w:p>
        </w:tc>
        <w:tc>
          <w:tcPr>
            <w:tcW w:w="3389" w:type="dxa"/>
            <w:tcBorders>
              <w:right w:val="single" w:sz="4" w:space="0" w:color="auto"/>
            </w:tcBorders>
            <w:vAlign w:val="center"/>
          </w:tcPr>
          <w:p w14:paraId="5CFB919F"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40530608.0037</w:t>
            </w:r>
          </w:p>
        </w:tc>
      </w:tr>
      <w:tr w:rsidR="008D7DB0" w14:paraId="7B4BC411" w14:textId="77777777">
        <w:trPr>
          <w:trHeight w:val="23"/>
          <w:jc w:val="center"/>
        </w:trPr>
        <w:tc>
          <w:tcPr>
            <w:tcW w:w="762" w:type="dxa"/>
            <w:vMerge/>
            <w:vAlign w:val="center"/>
          </w:tcPr>
          <w:p w14:paraId="5703B198"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43C0FDA5"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8</w:t>
            </w:r>
          </w:p>
        </w:tc>
        <w:tc>
          <w:tcPr>
            <w:tcW w:w="3351" w:type="dxa"/>
            <w:vAlign w:val="center"/>
          </w:tcPr>
          <w:p w14:paraId="5DCF6C38"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4632158.4079</w:t>
            </w:r>
          </w:p>
        </w:tc>
        <w:tc>
          <w:tcPr>
            <w:tcW w:w="3389" w:type="dxa"/>
            <w:tcBorders>
              <w:right w:val="single" w:sz="4" w:space="0" w:color="auto"/>
            </w:tcBorders>
            <w:vAlign w:val="center"/>
          </w:tcPr>
          <w:p w14:paraId="797792E8"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40530113.0087</w:t>
            </w:r>
          </w:p>
        </w:tc>
      </w:tr>
      <w:tr w:rsidR="008D7DB0" w14:paraId="363B2A03" w14:textId="77777777">
        <w:trPr>
          <w:trHeight w:val="23"/>
          <w:jc w:val="center"/>
        </w:trPr>
        <w:tc>
          <w:tcPr>
            <w:tcW w:w="762" w:type="dxa"/>
            <w:vMerge/>
            <w:vAlign w:val="center"/>
          </w:tcPr>
          <w:p w14:paraId="24ADAEB2"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3613B982"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9</w:t>
            </w:r>
          </w:p>
        </w:tc>
        <w:tc>
          <w:tcPr>
            <w:tcW w:w="3351" w:type="dxa"/>
            <w:vAlign w:val="center"/>
          </w:tcPr>
          <w:p w14:paraId="2DC077B6"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4631358.4472</w:t>
            </w:r>
          </w:p>
        </w:tc>
        <w:tc>
          <w:tcPr>
            <w:tcW w:w="3389" w:type="dxa"/>
            <w:tcBorders>
              <w:right w:val="single" w:sz="4" w:space="0" w:color="auto"/>
            </w:tcBorders>
            <w:vAlign w:val="center"/>
          </w:tcPr>
          <w:p w14:paraId="4BBD3F88"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40530113.0196</w:t>
            </w:r>
          </w:p>
        </w:tc>
      </w:tr>
      <w:tr w:rsidR="008D7DB0" w14:paraId="70D92195" w14:textId="77777777">
        <w:trPr>
          <w:trHeight w:val="23"/>
          <w:jc w:val="center"/>
        </w:trPr>
        <w:tc>
          <w:tcPr>
            <w:tcW w:w="762" w:type="dxa"/>
            <w:vMerge/>
            <w:vAlign w:val="center"/>
          </w:tcPr>
          <w:p w14:paraId="16C77442"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7CC3C02B"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10</w:t>
            </w:r>
          </w:p>
        </w:tc>
        <w:tc>
          <w:tcPr>
            <w:tcW w:w="3351" w:type="dxa"/>
            <w:vAlign w:val="center"/>
          </w:tcPr>
          <w:p w14:paraId="7CB03AA9"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4631358.4207</w:t>
            </w:r>
          </w:p>
        </w:tc>
        <w:tc>
          <w:tcPr>
            <w:tcW w:w="3389" w:type="dxa"/>
            <w:tcBorders>
              <w:right w:val="single" w:sz="4" w:space="0" w:color="auto"/>
            </w:tcBorders>
            <w:vAlign w:val="center"/>
          </w:tcPr>
          <w:p w14:paraId="0FC76E24"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40528763.0023</w:t>
            </w:r>
          </w:p>
        </w:tc>
      </w:tr>
      <w:tr w:rsidR="008D7DB0" w14:paraId="04F918B5" w14:textId="77777777">
        <w:trPr>
          <w:trHeight w:val="23"/>
          <w:jc w:val="center"/>
        </w:trPr>
        <w:tc>
          <w:tcPr>
            <w:tcW w:w="762" w:type="dxa"/>
            <w:vMerge/>
            <w:vAlign w:val="center"/>
          </w:tcPr>
          <w:p w14:paraId="54EA4E68"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3BCEE09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11</w:t>
            </w:r>
          </w:p>
        </w:tc>
        <w:tc>
          <w:tcPr>
            <w:tcW w:w="3351" w:type="dxa"/>
            <w:vAlign w:val="center"/>
          </w:tcPr>
          <w:p w14:paraId="0A8B07E1"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4633258.4247</w:t>
            </w:r>
          </w:p>
        </w:tc>
        <w:tc>
          <w:tcPr>
            <w:tcW w:w="3389" w:type="dxa"/>
            <w:tcBorders>
              <w:right w:val="single" w:sz="4" w:space="0" w:color="auto"/>
            </w:tcBorders>
            <w:vAlign w:val="center"/>
          </w:tcPr>
          <w:p w14:paraId="12BA025B"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40528762.9979</w:t>
            </w:r>
          </w:p>
        </w:tc>
      </w:tr>
      <w:tr w:rsidR="008D7DB0" w14:paraId="785EBC60" w14:textId="77777777">
        <w:trPr>
          <w:trHeight w:val="23"/>
          <w:jc w:val="center"/>
        </w:trPr>
        <w:tc>
          <w:tcPr>
            <w:tcW w:w="762" w:type="dxa"/>
            <w:vMerge/>
            <w:vAlign w:val="center"/>
          </w:tcPr>
          <w:p w14:paraId="63357B58" w14:textId="77777777" w:rsidR="008D7DB0" w:rsidRDefault="008D7DB0">
            <w:pPr>
              <w:spacing w:line="240" w:lineRule="auto"/>
              <w:ind w:firstLineChars="0" w:firstLine="0"/>
              <w:jc w:val="center"/>
              <w:rPr>
                <w:rFonts w:eastAsiaTheme="minorEastAsia"/>
                <w:bCs/>
                <w:sz w:val="21"/>
                <w:szCs w:val="21"/>
              </w:rPr>
            </w:pPr>
          </w:p>
        </w:tc>
        <w:tc>
          <w:tcPr>
            <w:tcW w:w="8205" w:type="dxa"/>
            <w:gridSpan w:val="3"/>
            <w:tcBorders>
              <w:right w:val="single" w:sz="4" w:space="0" w:color="auto"/>
            </w:tcBorders>
            <w:vAlign w:val="center"/>
          </w:tcPr>
          <w:p w14:paraId="15C9C387"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开采深度</w:t>
            </w:r>
            <w:r>
              <w:rPr>
                <w:rFonts w:eastAsiaTheme="minorEastAsia" w:hint="eastAsia"/>
                <w:bCs/>
                <w:sz w:val="21"/>
                <w:szCs w:val="21"/>
              </w:rPr>
              <w:t>600.00</w:t>
            </w:r>
            <w:r>
              <w:rPr>
                <w:rFonts w:eastAsiaTheme="minorEastAsia"/>
                <w:bCs/>
                <w:sz w:val="21"/>
                <w:szCs w:val="21"/>
              </w:rPr>
              <w:t>-</w:t>
            </w:r>
            <w:r>
              <w:rPr>
                <w:rFonts w:eastAsiaTheme="minorEastAsia" w:hint="eastAsia"/>
                <w:bCs/>
                <w:sz w:val="21"/>
                <w:szCs w:val="21"/>
              </w:rPr>
              <w:t>330.00</w:t>
            </w:r>
            <w:r>
              <w:rPr>
                <w:rFonts w:eastAsiaTheme="minorEastAsia"/>
                <w:bCs/>
                <w:sz w:val="21"/>
                <w:szCs w:val="21"/>
              </w:rPr>
              <w:t>m</w:t>
            </w:r>
          </w:p>
        </w:tc>
      </w:tr>
      <w:tr w:rsidR="008D7DB0" w14:paraId="6AD09A8C" w14:textId="77777777">
        <w:trPr>
          <w:trHeight w:val="23"/>
          <w:jc w:val="center"/>
        </w:trPr>
        <w:tc>
          <w:tcPr>
            <w:tcW w:w="762" w:type="dxa"/>
            <w:vMerge w:val="restart"/>
            <w:vAlign w:val="center"/>
          </w:tcPr>
          <w:p w14:paraId="656DA0C4"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东大线采区</w:t>
            </w:r>
          </w:p>
        </w:tc>
        <w:tc>
          <w:tcPr>
            <w:tcW w:w="1465" w:type="dxa"/>
            <w:vAlign w:val="center"/>
          </w:tcPr>
          <w:p w14:paraId="39BD5CA4"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1</w:t>
            </w:r>
            <w:r>
              <w:rPr>
                <w:rFonts w:eastAsiaTheme="minorEastAsia" w:hint="eastAsia"/>
                <w:bCs/>
                <w:sz w:val="21"/>
                <w:szCs w:val="21"/>
              </w:rPr>
              <w:t>2</w:t>
            </w:r>
          </w:p>
        </w:tc>
        <w:tc>
          <w:tcPr>
            <w:tcW w:w="3351" w:type="dxa"/>
            <w:vAlign w:val="center"/>
          </w:tcPr>
          <w:p w14:paraId="3097C676"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4631808.4506</w:t>
            </w:r>
          </w:p>
        </w:tc>
        <w:tc>
          <w:tcPr>
            <w:tcW w:w="3389" w:type="dxa"/>
            <w:tcBorders>
              <w:right w:val="single" w:sz="4" w:space="0" w:color="auto"/>
            </w:tcBorders>
            <w:vAlign w:val="center"/>
          </w:tcPr>
          <w:p w14:paraId="49A57043"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40531062.9993</w:t>
            </w:r>
          </w:p>
        </w:tc>
      </w:tr>
      <w:tr w:rsidR="008D7DB0" w14:paraId="5FCB72D7" w14:textId="77777777">
        <w:trPr>
          <w:trHeight w:val="23"/>
          <w:jc w:val="center"/>
        </w:trPr>
        <w:tc>
          <w:tcPr>
            <w:tcW w:w="762" w:type="dxa"/>
            <w:vMerge/>
            <w:vAlign w:val="center"/>
          </w:tcPr>
          <w:p w14:paraId="5FC5CF63"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42B203C6"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13</w:t>
            </w:r>
          </w:p>
        </w:tc>
        <w:tc>
          <w:tcPr>
            <w:tcW w:w="3351" w:type="dxa"/>
            <w:vAlign w:val="center"/>
          </w:tcPr>
          <w:p w14:paraId="4247919B"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4631808.4493</w:t>
            </w:r>
          </w:p>
        </w:tc>
        <w:tc>
          <w:tcPr>
            <w:tcW w:w="3389" w:type="dxa"/>
            <w:tcBorders>
              <w:right w:val="single" w:sz="4" w:space="0" w:color="auto"/>
            </w:tcBorders>
            <w:vAlign w:val="center"/>
          </w:tcPr>
          <w:p w14:paraId="4EA9B682"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40531742.9913</w:t>
            </w:r>
          </w:p>
        </w:tc>
      </w:tr>
      <w:tr w:rsidR="008D7DB0" w14:paraId="22912F07" w14:textId="77777777">
        <w:trPr>
          <w:trHeight w:val="23"/>
          <w:jc w:val="center"/>
        </w:trPr>
        <w:tc>
          <w:tcPr>
            <w:tcW w:w="762" w:type="dxa"/>
            <w:vMerge/>
            <w:vAlign w:val="center"/>
          </w:tcPr>
          <w:p w14:paraId="1B01853D"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2461348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14</w:t>
            </w:r>
          </w:p>
        </w:tc>
        <w:tc>
          <w:tcPr>
            <w:tcW w:w="3351" w:type="dxa"/>
            <w:vAlign w:val="center"/>
          </w:tcPr>
          <w:p w14:paraId="4029D253"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4632158.4468</w:t>
            </w:r>
          </w:p>
        </w:tc>
        <w:tc>
          <w:tcPr>
            <w:tcW w:w="3389" w:type="dxa"/>
            <w:tcBorders>
              <w:right w:val="single" w:sz="4" w:space="0" w:color="auto"/>
            </w:tcBorders>
            <w:vAlign w:val="center"/>
          </w:tcPr>
          <w:p w14:paraId="1F769079"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40531742.9878</w:t>
            </w:r>
          </w:p>
        </w:tc>
      </w:tr>
      <w:tr w:rsidR="008D7DB0" w14:paraId="48CC94CA" w14:textId="77777777">
        <w:trPr>
          <w:trHeight w:val="23"/>
          <w:jc w:val="center"/>
        </w:trPr>
        <w:tc>
          <w:tcPr>
            <w:tcW w:w="762" w:type="dxa"/>
            <w:vMerge/>
            <w:vAlign w:val="center"/>
          </w:tcPr>
          <w:p w14:paraId="36C5D471"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5E73D60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15</w:t>
            </w:r>
          </w:p>
        </w:tc>
        <w:tc>
          <w:tcPr>
            <w:tcW w:w="3351" w:type="dxa"/>
            <w:vAlign w:val="center"/>
          </w:tcPr>
          <w:p w14:paraId="1CE6C8BA"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4632158.4457</w:t>
            </w:r>
          </w:p>
        </w:tc>
        <w:tc>
          <w:tcPr>
            <w:tcW w:w="3389" w:type="dxa"/>
            <w:tcBorders>
              <w:right w:val="single" w:sz="4" w:space="0" w:color="auto"/>
            </w:tcBorders>
            <w:vAlign w:val="center"/>
          </w:tcPr>
          <w:p w14:paraId="5CAF368D"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40532462.9864</w:t>
            </w:r>
          </w:p>
        </w:tc>
      </w:tr>
      <w:tr w:rsidR="008D7DB0" w14:paraId="7D488E9C" w14:textId="77777777">
        <w:trPr>
          <w:trHeight w:val="23"/>
          <w:jc w:val="center"/>
        </w:trPr>
        <w:tc>
          <w:tcPr>
            <w:tcW w:w="762" w:type="dxa"/>
            <w:vMerge/>
            <w:vAlign w:val="center"/>
          </w:tcPr>
          <w:p w14:paraId="6B74F3DB"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00BBF6A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16</w:t>
            </w:r>
          </w:p>
        </w:tc>
        <w:tc>
          <w:tcPr>
            <w:tcW w:w="3351" w:type="dxa"/>
            <w:vAlign w:val="center"/>
          </w:tcPr>
          <w:p w14:paraId="45F2DD5B"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4631258.4470</w:t>
            </w:r>
          </w:p>
        </w:tc>
        <w:tc>
          <w:tcPr>
            <w:tcW w:w="3389" w:type="dxa"/>
            <w:tcBorders>
              <w:right w:val="single" w:sz="4" w:space="0" w:color="auto"/>
            </w:tcBorders>
            <w:vAlign w:val="center"/>
          </w:tcPr>
          <w:p w14:paraId="1122C0BB"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40532462.9881</w:t>
            </w:r>
          </w:p>
        </w:tc>
      </w:tr>
      <w:tr w:rsidR="008D7DB0" w14:paraId="4D53BDF0" w14:textId="77777777">
        <w:trPr>
          <w:trHeight w:val="23"/>
          <w:jc w:val="center"/>
        </w:trPr>
        <w:tc>
          <w:tcPr>
            <w:tcW w:w="762" w:type="dxa"/>
            <w:vMerge/>
            <w:vAlign w:val="center"/>
          </w:tcPr>
          <w:p w14:paraId="6393FE37"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3F8C7473"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17</w:t>
            </w:r>
          </w:p>
        </w:tc>
        <w:tc>
          <w:tcPr>
            <w:tcW w:w="3351" w:type="dxa"/>
            <w:vAlign w:val="center"/>
          </w:tcPr>
          <w:p w14:paraId="0A5C2BE8"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4631258.4468</w:t>
            </w:r>
          </w:p>
        </w:tc>
        <w:tc>
          <w:tcPr>
            <w:tcW w:w="3389" w:type="dxa"/>
            <w:tcBorders>
              <w:right w:val="single" w:sz="4" w:space="0" w:color="auto"/>
            </w:tcBorders>
            <w:vAlign w:val="center"/>
          </w:tcPr>
          <w:p w14:paraId="0D0D2BBE"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40532262.9881</w:t>
            </w:r>
          </w:p>
        </w:tc>
      </w:tr>
      <w:tr w:rsidR="008D7DB0" w14:paraId="1E140C71" w14:textId="77777777">
        <w:trPr>
          <w:trHeight w:val="23"/>
          <w:jc w:val="center"/>
        </w:trPr>
        <w:tc>
          <w:tcPr>
            <w:tcW w:w="762" w:type="dxa"/>
            <w:vMerge/>
            <w:vAlign w:val="center"/>
          </w:tcPr>
          <w:p w14:paraId="20AA7695"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4693F62A"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18</w:t>
            </w:r>
          </w:p>
        </w:tc>
        <w:tc>
          <w:tcPr>
            <w:tcW w:w="3351" w:type="dxa"/>
            <w:vAlign w:val="center"/>
          </w:tcPr>
          <w:p w14:paraId="35578067"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4630538.4464</w:t>
            </w:r>
          </w:p>
        </w:tc>
        <w:tc>
          <w:tcPr>
            <w:tcW w:w="3389" w:type="dxa"/>
            <w:tcBorders>
              <w:right w:val="single" w:sz="4" w:space="0" w:color="auto"/>
            </w:tcBorders>
            <w:vAlign w:val="center"/>
          </w:tcPr>
          <w:p w14:paraId="78E5AC68"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40532262.9903</w:t>
            </w:r>
          </w:p>
        </w:tc>
      </w:tr>
      <w:tr w:rsidR="008D7DB0" w14:paraId="44F1A3E4" w14:textId="77777777">
        <w:trPr>
          <w:trHeight w:val="23"/>
          <w:jc w:val="center"/>
        </w:trPr>
        <w:tc>
          <w:tcPr>
            <w:tcW w:w="762" w:type="dxa"/>
            <w:vMerge/>
            <w:vAlign w:val="center"/>
          </w:tcPr>
          <w:p w14:paraId="022E0BDE"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3B89FBB2"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19</w:t>
            </w:r>
          </w:p>
        </w:tc>
        <w:tc>
          <w:tcPr>
            <w:tcW w:w="3351" w:type="dxa"/>
            <w:vAlign w:val="center"/>
          </w:tcPr>
          <w:p w14:paraId="3789B069"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4630538.4427</w:t>
            </w:r>
          </w:p>
        </w:tc>
        <w:tc>
          <w:tcPr>
            <w:tcW w:w="3389" w:type="dxa"/>
            <w:tcBorders>
              <w:right w:val="single" w:sz="4" w:space="0" w:color="auto"/>
            </w:tcBorders>
            <w:vAlign w:val="center"/>
          </w:tcPr>
          <w:p w14:paraId="38418755"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40531063.0006</w:t>
            </w:r>
          </w:p>
        </w:tc>
      </w:tr>
      <w:tr w:rsidR="008D7DB0" w14:paraId="3F8A3A13" w14:textId="77777777">
        <w:trPr>
          <w:trHeight w:val="23"/>
          <w:jc w:val="center"/>
        </w:trPr>
        <w:tc>
          <w:tcPr>
            <w:tcW w:w="762" w:type="dxa"/>
            <w:vMerge/>
            <w:vAlign w:val="center"/>
          </w:tcPr>
          <w:p w14:paraId="05293DC5" w14:textId="77777777" w:rsidR="008D7DB0" w:rsidRDefault="008D7DB0">
            <w:pPr>
              <w:spacing w:line="240" w:lineRule="auto"/>
              <w:ind w:firstLineChars="0" w:firstLine="0"/>
              <w:jc w:val="center"/>
              <w:rPr>
                <w:rFonts w:eastAsiaTheme="minorEastAsia"/>
                <w:bCs/>
                <w:sz w:val="21"/>
                <w:szCs w:val="21"/>
              </w:rPr>
            </w:pPr>
          </w:p>
        </w:tc>
        <w:tc>
          <w:tcPr>
            <w:tcW w:w="8205" w:type="dxa"/>
            <w:gridSpan w:val="3"/>
            <w:vAlign w:val="center"/>
          </w:tcPr>
          <w:p w14:paraId="1A335D2D" w14:textId="77777777" w:rsidR="008D7DB0" w:rsidRDefault="00000000">
            <w:pPr>
              <w:spacing w:line="240" w:lineRule="auto"/>
              <w:ind w:firstLineChars="0" w:firstLine="0"/>
              <w:jc w:val="center"/>
            </w:pPr>
            <w:r>
              <w:rPr>
                <w:rFonts w:eastAsiaTheme="minorEastAsia"/>
                <w:bCs/>
                <w:sz w:val="21"/>
                <w:szCs w:val="21"/>
              </w:rPr>
              <w:t>开采深度</w:t>
            </w:r>
            <w:r>
              <w:rPr>
                <w:rFonts w:eastAsiaTheme="minorEastAsia" w:hint="eastAsia"/>
                <w:bCs/>
                <w:sz w:val="21"/>
                <w:szCs w:val="21"/>
              </w:rPr>
              <w:t>440.00</w:t>
            </w:r>
            <w:r>
              <w:rPr>
                <w:rFonts w:eastAsiaTheme="minorEastAsia"/>
                <w:bCs/>
                <w:sz w:val="21"/>
                <w:szCs w:val="21"/>
              </w:rPr>
              <w:t>-</w:t>
            </w:r>
            <w:r>
              <w:rPr>
                <w:rFonts w:eastAsiaTheme="minorEastAsia" w:hint="eastAsia"/>
                <w:bCs/>
                <w:sz w:val="21"/>
                <w:szCs w:val="21"/>
              </w:rPr>
              <w:t>300.00</w:t>
            </w:r>
            <w:r>
              <w:rPr>
                <w:rFonts w:eastAsiaTheme="minorEastAsia"/>
                <w:bCs/>
                <w:sz w:val="21"/>
                <w:szCs w:val="21"/>
              </w:rPr>
              <w:t>m</w:t>
            </w:r>
          </w:p>
        </w:tc>
      </w:tr>
      <w:tr w:rsidR="008D7DB0" w14:paraId="6DF88105" w14:textId="77777777">
        <w:trPr>
          <w:trHeight w:val="23"/>
          <w:jc w:val="center"/>
        </w:trPr>
        <w:tc>
          <w:tcPr>
            <w:tcW w:w="762" w:type="dxa"/>
            <w:vMerge w:val="restart"/>
            <w:vAlign w:val="center"/>
          </w:tcPr>
          <w:p w14:paraId="34E2C39E"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马架子采区</w:t>
            </w:r>
          </w:p>
        </w:tc>
        <w:tc>
          <w:tcPr>
            <w:tcW w:w="1465" w:type="dxa"/>
            <w:vAlign w:val="center"/>
          </w:tcPr>
          <w:p w14:paraId="7A7760A2"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20</w:t>
            </w:r>
          </w:p>
        </w:tc>
        <w:tc>
          <w:tcPr>
            <w:tcW w:w="3351" w:type="dxa"/>
            <w:vAlign w:val="center"/>
          </w:tcPr>
          <w:p w14:paraId="50C317B1"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4633624.4453</w:t>
            </w:r>
          </w:p>
        </w:tc>
        <w:tc>
          <w:tcPr>
            <w:tcW w:w="3389" w:type="dxa"/>
            <w:vAlign w:val="center"/>
          </w:tcPr>
          <w:p w14:paraId="6770D06B"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40532763.0138</w:t>
            </w:r>
          </w:p>
        </w:tc>
      </w:tr>
      <w:tr w:rsidR="008D7DB0" w14:paraId="442E74B8" w14:textId="77777777">
        <w:trPr>
          <w:trHeight w:val="23"/>
          <w:jc w:val="center"/>
        </w:trPr>
        <w:tc>
          <w:tcPr>
            <w:tcW w:w="762" w:type="dxa"/>
            <w:vMerge/>
            <w:vAlign w:val="center"/>
          </w:tcPr>
          <w:p w14:paraId="717A8916"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04E9FCF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21</w:t>
            </w:r>
          </w:p>
        </w:tc>
        <w:tc>
          <w:tcPr>
            <w:tcW w:w="3351" w:type="dxa"/>
            <w:vAlign w:val="center"/>
          </w:tcPr>
          <w:p w14:paraId="1F9A5FD5"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4633624.4472</w:t>
            </w:r>
          </w:p>
        </w:tc>
        <w:tc>
          <w:tcPr>
            <w:tcW w:w="3389" w:type="dxa"/>
            <w:vAlign w:val="center"/>
          </w:tcPr>
          <w:p w14:paraId="005B2887"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40533063.0173</w:t>
            </w:r>
          </w:p>
        </w:tc>
      </w:tr>
      <w:tr w:rsidR="008D7DB0" w14:paraId="1E753B50" w14:textId="77777777">
        <w:trPr>
          <w:trHeight w:val="23"/>
          <w:jc w:val="center"/>
        </w:trPr>
        <w:tc>
          <w:tcPr>
            <w:tcW w:w="762" w:type="dxa"/>
            <w:vMerge/>
            <w:vAlign w:val="center"/>
          </w:tcPr>
          <w:p w14:paraId="4540A118"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5B70ED4F"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22</w:t>
            </w:r>
          </w:p>
        </w:tc>
        <w:tc>
          <w:tcPr>
            <w:tcW w:w="3351" w:type="dxa"/>
            <w:vAlign w:val="center"/>
          </w:tcPr>
          <w:p w14:paraId="164CD681"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4633808.4471</w:t>
            </w:r>
          </w:p>
        </w:tc>
        <w:tc>
          <w:tcPr>
            <w:tcW w:w="3389" w:type="dxa"/>
            <w:vAlign w:val="center"/>
          </w:tcPr>
          <w:p w14:paraId="1CCDCE6F"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40533063.0166</w:t>
            </w:r>
          </w:p>
        </w:tc>
      </w:tr>
      <w:tr w:rsidR="008D7DB0" w14:paraId="7906276B" w14:textId="77777777">
        <w:trPr>
          <w:trHeight w:val="23"/>
          <w:jc w:val="center"/>
        </w:trPr>
        <w:tc>
          <w:tcPr>
            <w:tcW w:w="762" w:type="dxa"/>
            <w:vMerge/>
            <w:vAlign w:val="center"/>
          </w:tcPr>
          <w:p w14:paraId="12712E61"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1B0CE933"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23</w:t>
            </w:r>
          </w:p>
        </w:tc>
        <w:tc>
          <w:tcPr>
            <w:tcW w:w="3351" w:type="dxa"/>
            <w:vAlign w:val="center"/>
          </w:tcPr>
          <w:p w14:paraId="595B1893"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4633808.4474</w:t>
            </w:r>
          </w:p>
        </w:tc>
        <w:tc>
          <w:tcPr>
            <w:tcW w:w="3389" w:type="dxa"/>
            <w:vAlign w:val="center"/>
          </w:tcPr>
          <w:p w14:paraId="16CAB172"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40533263.0197</w:t>
            </w:r>
          </w:p>
        </w:tc>
      </w:tr>
      <w:tr w:rsidR="008D7DB0" w14:paraId="40CC1AF4" w14:textId="77777777">
        <w:trPr>
          <w:trHeight w:val="23"/>
          <w:jc w:val="center"/>
        </w:trPr>
        <w:tc>
          <w:tcPr>
            <w:tcW w:w="762" w:type="dxa"/>
            <w:vMerge/>
            <w:vAlign w:val="center"/>
          </w:tcPr>
          <w:p w14:paraId="7C233F3C"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6F3DDB4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24</w:t>
            </w:r>
          </w:p>
        </w:tc>
        <w:tc>
          <w:tcPr>
            <w:tcW w:w="3351" w:type="dxa"/>
            <w:vAlign w:val="center"/>
          </w:tcPr>
          <w:p w14:paraId="33131894"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4633258.4516</w:t>
            </w:r>
          </w:p>
        </w:tc>
        <w:tc>
          <w:tcPr>
            <w:tcW w:w="3389" w:type="dxa"/>
            <w:vAlign w:val="center"/>
          </w:tcPr>
          <w:p w14:paraId="7EA2A620"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40533263.0185</w:t>
            </w:r>
          </w:p>
        </w:tc>
      </w:tr>
      <w:tr w:rsidR="008D7DB0" w14:paraId="472BFC63" w14:textId="77777777">
        <w:trPr>
          <w:trHeight w:val="23"/>
          <w:jc w:val="center"/>
        </w:trPr>
        <w:tc>
          <w:tcPr>
            <w:tcW w:w="762" w:type="dxa"/>
            <w:vMerge/>
            <w:vAlign w:val="center"/>
          </w:tcPr>
          <w:p w14:paraId="7132C9E5" w14:textId="77777777" w:rsidR="008D7DB0" w:rsidRDefault="008D7DB0">
            <w:pPr>
              <w:spacing w:line="240" w:lineRule="auto"/>
              <w:ind w:firstLineChars="0" w:firstLine="0"/>
              <w:jc w:val="center"/>
              <w:rPr>
                <w:rFonts w:eastAsiaTheme="minorEastAsia"/>
                <w:bCs/>
                <w:sz w:val="21"/>
                <w:szCs w:val="21"/>
              </w:rPr>
            </w:pPr>
          </w:p>
        </w:tc>
        <w:tc>
          <w:tcPr>
            <w:tcW w:w="1465" w:type="dxa"/>
            <w:vAlign w:val="center"/>
          </w:tcPr>
          <w:p w14:paraId="44784C6E"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25</w:t>
            </w:r>
          </w:p>
        </w:tc>
        <w:tc>
          <w:tcPr>
            <w:tcW w:w="3351" w:type="dxa"/>
            <w:vAlign w:val="center"/>
          </w:tcPr>
          <w:p w14:paraId="5618E3B6"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4633258.4495</w:t>
            </w:r>
          </w:p>
        </w:tc>
        <w:tc>
          <w:tcPr>
            <w:tcW w:w="3389" w:type="dxa"/>
            <w:vAlign w:val="center"/>
          </w:tcPr>
          <w:p w14:paraId="13E4AF76"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40532763.0135</w:t>
            </w:r>
          </w:p>
        </w:tc>
      </w:tr>
      <w:tr w:rsidR="008D7DB0" w14:paraId="1F433975" w14:textId="77777777">
        <w:trPr>
          <w:trHeight w:val="23"/>
          <w:jc w:val="center"/>
        </w:trPr>
        <w:tc>
          <w:tcPr>
            <w:tcW w:w="762" w:type="dxa"/>
            <w:vMerge/>
            <w:vAlign w:val="center"/>
          </w:tcPr>
          <w:p w14:paraId="7D7E367B" w14:textId="77777777" w:rsidR="008D7DB0" w:rsidRDefault="008D7DB0">
            <w:pPr>
              <w:spacing w:line="240" w:lineRule="auto"/>
              <w:ind w:firstLineChars="0" w:firstLine="0"/>
              <w:jc w:val="center"/>
              <w:rPr>
                <w:rFonts w:eastAsiaTheme="minorEastAsia"/>
                <w:bCs/>
                <w:sz w:val="21"/>
                <w:szCs w:val="21"/>
              </w:rPr>
            </w:pPr>
          </w:p>
        </w:tc>
        <w:tc>
          <w:tcPr>
            <w:tcW w:w="8205" w:type="dxa"/>
            <w:gridSpan w:val="3"/>
            <w:vAlign w:val="center"/>
          </w:tcPr>
          <w:p w14:paraId="6DFD08B0"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开采深度</w:t>
            </w:r>
            <w:r>
              <w:rPr>
                <w:rFonts w:eastAsiaTheme="minorEastAsia" w:hint="eastAsia"/>
                <w:bCs/>
                <w:sz w:val="21"/>
                <w:szCs w:val="21"/>
              </w:rPr>
              <w:t>347.00</w:t>
            </w:r>
            <w:r>
              <w:rPr>
                <w:rFonts w:eastAsiaTheme="minorEastAsia"/>
                <w:bCs/>
                <w:sz w:val="21"/>
                <w:szCs w:val="21"/>
              </w:rPr>
              <w:t>-</w:t>
            </w:r>
            <w:r>
              <w:rPr>
                <w:rFonts w:eastAsiaTheme="minorEastAsia" w:hint="eastAsia"/>
                <w:bCs/>
                <w:sz w:val="21"/>
                <w:szCs w:val="21"/>
              </w:rPr>
              <w:t>230.00</w:t>
            </w:r>
            <w:r>
              <w:rPr>
                <w:rFonts w:eastAsiaTheme="minorEastAsia"/>
                <w:bCs/>
                <w:sz w:val="21"/>
                <w:szCs w:val="21"/>
              </w:rPr>
              <w:t>m</w:t>
            </w:r>
          </w:p>
        </w:tc>
      </w:tr>
      <w:tr w:rsidR="008D7DB0" w14:paraId="26E09271" w14:textId="77777777">
        <w:trPr>
          <w:trHeight w:val="23"/>
          <w:jc w:val="center"/>
        </w:trPr>
        <w:tc>
          <w:tcPr>
            <w:tcW w:w="8967" w:type="dxa"/>
            <w:gridSpan w:val="4"/>
            <w:vAlign w:val="center"/>
          </w:tcPr>
          <w:p w14:paraId="70FFF82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矿区</w:t>
            </w:r>
            <w:r>
              <w:rPr>
                <w:rFonts w:eastAsiaTheme="minorEastAsia"/>
                <w:bCs/>
                <w:sz w:val="21"/>
                <w:szCs w:val="21"/>
              </w:rPr>
              <w:t>面积：</w:t>
            </w:r>
            <w:r>
              <w:rPr>
                <w:rFonts w:eastAsiaTheme="minorEastAsia"/>
                <w:bCs/>
                <w:sz w:val="21"/>
                <w:szCs w:val="21"/>
                <w:lang w:val="zh-CN"/>
              </w:rPr>
              <w:t>5.4958</w:t>
            </w:r>
            <w:r>
              <w:rPr>
                <w:rFonts w:eastAsiaTheme="minorEastAsia"/>
                <w:bCs/>
                <w:sz w:val="21"/>
                <w:szCs w:val="21"/>
              </w:rPr>
              <w:t>km</w:t>
            </w:r>
            <w:r>
              <w:rPr>
                <w:rFonts w:eastAsiaTheme="minorEastAsia"/>
                <w:bCs/>
                <w:sz w:val="21"/>
                <w:szCs w:val="21"/>
                <w:vertAlign w:val="superscript"/>
              </w:rPr>
              <w:t>2</w:t>
            </w:r>
          </w:p>
        </w:tc>
      </w:tr>
    </w:tbl>
    <w:p w14:paraId="105EC69B" w14:textId="77777777" w:rsidR="008D7DB0" w:rsidRDefault="00000000">
      <w:pPr>
        <w:ind w:firstLineChars="0" w:firstLine="0"/>
        <w:jc w:val="center"/>
        <w:rPr>
          <w:sz w:val="21"/>
          <w:szCs w:val="21"/>
        </w:rPr>
      </w:pPr>
      <w:r>
        <w:rPr>
          <w:sz w:val="21"/>
          <w:szCs w:val="21"/>
        </w:rPr>
        <w:t>表</w:t>
      </w:r>
      <w:r>
        <w:rPr>
          <w:sz w:val="21"/>
          <w:szCs w:val="21"/>
        </w:rPr>
        <w:t>1.1-2</w:t>
      </w:r>
      <w:r>
        <w:rPr>
          <w:sz w:val="21"/>
          <w:szCs w:val="21"/>
        </w:rPr>
        <w:t>《</w:t>
      </w:r>
      <w:r>
        <w:rPr>
          <w:rFonts w:hint="eastAsia"/>
          <w:sz w:val="21"/>
          <w:szCs w:val="21"/>
        </w:rPr>
        <w:t>初步设计重大变更</w:t>
      </w:r>
      <w:r>
        <w:rPr>
          <w:sz w:val="21"/>
          <w:szCs w:val="21"/>
        </w:rPr>
        <w:t>》设计范围和本次评价范围拐点坐标表</w:t>
      </w:r>
    </w:p>
    <w:tbl>
      <w:tblPr>
        <w:tblW w:w="4997"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585"/>
        <w:gridCol w:w="3629"/>
        <w:gridCol w:w="3841"/>
      </w:tblGrid>
      <w:tr w:rsidR="008D7DB0" w14:paraId="21D218CD" w14:textId="77777777">
        <w:trPr>
          <w:trHeight w:val="23"/>
          <w:tblHeader/>
          <w:jc w:val="center"/>
        </w:trPr>
        <w:tc>
          <w:tcPr>
            <w:tcW w:w="875" w:type="pct"/>
            <w:vMerge w:val="restart"/>
            <w:vAlign w:val="center"/>
          </w:tcPr>
          <w:p w14:paraId="1EF5DBB6"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拐点编号</w:t>
            </w:r>
          </w:p>
        </w:tc>
        <w:tc>
          <w:tcPr>
            <w:tcW w:w="4124" w:type="pct"/>
            <w:gridSpan w:val="2"/>
            <w:tcBorders>
              <w:right w:val="single" w:sz="4" w:space="0" w:color="auto"/>
            </w:tcBorders>
            <w:vAlign w:val="center"/>
          </w:tcPr>
          <w:p w14:paraId="58FA9FD2"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坐标（</w:t>
            </w:r>
            <w:r>
              <w:rPr>
                <w:rFonts w:eastAsiaTheme="minorEastAsia"/>
                <w:bCs/>
                <w:sz w:val="21"/>
                <w:szCs w:val="21"/>
              </w:rPr>
              <w:t>2000</w:t>
            </w:r>
            <w:r>
              <w:rPr>
                <w:rFonts w:eastAsiaTheme="minorEastAsia"/>
                <w:bCs/>
                <w:sz w:val="21"/>
                <w:szCs w:val="21"/>
              </w:rPr>
              <w:t>国家大地坐标系）</w:t>
            </w:r>
          </w:p>
        </w:tc>
      </w:tr>
      <w:tr w:rsidR="008D7DB0" w14:paraId="54C10EB8" w14:textId="77777777">
        <w:trPr>
          <w:trHeight w:val="23"/>
          <w:tblHeader/>
          <w:jc w:val="center"/>
        </w:trPr>
        <w:tc>
          <w:tcPr>
            <w:tcW w:w="875" w:type="pct"/>
            <w:vMerge/>
            <w:vAlign w:val="center"/>
          </w:tcPr>
          <w:p w14:paraId="140E3E53" w14:textId="77777777" w:rsidR="008D7DB0" w:rsidRDefault="008D7DB0">
            <w:pPr>
              <w:spacing w:line="240" w:lineRule="auto"/>
              <w:ind w:firstLineChars="0" w:firstLine="0"/>
              <w:jc w:val="center"/>
              <w:rPr>
                <w:rFonts w:eastAsiaTheme="minorEastAsia"/>
                <w:bCs/>
                <w:sz w:val="21"/>
                <w:szCs w:val="21"/>
              </w:rPr>
            </w:pPr>
          </w:p>
        </w:tc>
        <w:tc>
          <w:tcPr>
            <w:tcW w:w="2004" w:type="pct"/>
            <w:vAlign w:val="center"/>
          </w:tcPr>
          <w:p w14:paraId="0179C56E"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X</w:t>
            </w:r>
          </w:p>
        </w:tc>
        <w:tc>
          <w:tcPr>
            <w:tcW w:w="2119" w:type="pct"/>
            <w:tcBorders>
              <w:right w:val="single" w:sz="4" w:space="0" w:color="auto"/>
            </w:tcBorders>
            <w:vAlign w:val="center"/>
          </w:tcPr>
          <w:p w14:paraId="3797C72E"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Y</w:t>
            </w:r>
          </w:p>
        </w:tc>
      </w:tr>
      <w:tr w:rsidR="008D7DB0" w14:paraId="6EDAD14B" w14:textId="77777777">
        <w:trPr>
          <w:trHeight w:val="23"/>
          <w:jc w:val="center"/>
        </w:trPr>
        <w:tc>
          <w:tcPr>
            <w:tcW w:w="1585" w:type="dxa"/>
            <w:vAlign w:val="center"/>
          </w:tcPr>
          <w:p w14:paraId="0D5E9A7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w:t>
            </w:r>
          </w:p>
        </w:tc>
        <w:tc>
          <w:tcPr>
            <w:tcW w:w="3629" w:type="dxa"/>
            <w:vAlign w:val="center"/>
          </w:tcPr>
          <w:p w14:paraId="01577C41"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4635404.16</w:t>
            </w:r>
          </w:p>
        </w:tc>
        <w:tc>
          <w:tcPr>
            <w:tcW w:w="3841" w:type="dxa"/>
            <w:tcBorders>
              <w:right w:val="single" w:sz="4" w:space="0" w:color="auto"/>
            </w:tcBorders>
            <w:vAlign w:val="center"/>
          </w:tcPr>
          <w:p w14:paraId="14467A9F"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40530463.95</w:t>
            </w:r>
          </w:p>
        </w:tc>
      </w:tr>
      <w:tr w:rsidR="008D7DB0" w14:paraId="5F535374" w14:textId="77777777">
        <w:trPr>
          <w:trHeight w:val="23"/>
          <w:jc w:val="center"/>
        </w:trPr>
        <w:tc>
          <w:tcPr>
            <w:tcW w:w="1585" w:type="dxa"/>
            <w:vAlign w:val="center"/>
          </w:tcPr>
          <w:p w14:paraId="5B9C240A"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w:t>
            </w:r>
          </w:p>
        </w:tc>
        <w:tc>
          <w:tcPr>
            <w:tcW w:w="3629" w:type="dxa"/>
            <w:vAlign w:val="center"/>
          </w:tcPr>
          <w:p w14:paraId="101F8A8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4634779.76</w:t>
            </w:r>
          </w:p>
        </w:tc>
        <w:tc>
          <w:tcPr>
            <w:tcW w:w="3841" w:type="dxa"/>
            <w:tcBorders>
              <w:right w:val="single" w:sz="4" w:space="0" w:color="auto"/>
            </w:tcBorders>
            <w:vAlign w:val="center"/>
          </w:tcPr>
          <w:p w14:paraId="2512DA74"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40531138.37</w:t>
            </w:r>
          </w:p>
        </w:tc>
      </w:tr>
      <w:tr w:rsidR="008D7DB0" w14:paraId="1F2744FE" w14:textId="77777777">
        <w:trPr>
          <w:trHeight w:val="23"/>
          <w:jc w:val="center"/>
        </w:trPr>
        <w:tc>
          <w:tcPr>
            <w:tcW w:w="1585" w:type="dxa"/>
            <w:vAlign w:val="center"/>
          </w:tcPr>
          <w:p w14:paraId="1AB575A4"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3</w:t>
            </w:r>
          </w:p>
        </w:tc>
        <w:tc>
          <w:tcPr>
            <w:tcW w:w="3629" w:type="dxa"/>
            <w:vAlign w:val="center"/>
          </w:tcPr>
          <w:p w14:paraId="3E6EC8A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4634248.06</w:t>
            </w:r>
          </w:p>
        </w:tc>
        <w:tc>
          <w:tcPr>
            <w:tcW w:w="3841" w:type="dxa"/>
            <w:tcBorders>
              <w:right w:val="single" w:sz="4" w:space="0" w:color="auto"/>
            </w:tcBorders>
            <w:vAlign w:val="center"/>
          </w:tcPr>
          <w:p w14:paraId="3B1491B9"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40531335.08</w:t>
            </w:r>
          </w:p>
        </w:tc>
      </w:tr>
      <w:tr w:rsidR="008D7DB0" w14:paraId="371BF2D9" w14:textId="77777777">
        <w:trPr>
          <w:trHeight w:val="23"/>
          <w:jc w:val="center"/>
        </w:trPr>
        <w:tc>
          <w:tcPr>
            <w:tcW w:w="1585" w:type="dxa"/>
            <w:vAlign w:val="center"/>
          </w:tcPr>
          <w:p w14:paraId="408E957F"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w:t>
            </w:r>
          </w:p>
        </w:tc>
        <w:tc>
          <w:tcPr>
            <w:tcW w:w="3629" w:type="dxa"/>
            <w:vAlign w:val="center"/>
          </w:tcPr>
          <w:p w14:paraId="3909FF15"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4633906.24</w:t>
            </w:r>
          </w:p>
        </w:tc>
        <w:tc>
          <w:tcPr>
            <w:tcW w:w="3841" w:type="dxa"/>
            <w:tcBorders>
              <w:right w:val="single" w:sz="4" w:space="0" w:color="auto"/>
            </w:tcBorders>
            <w:vAlign w:val="center"/>
          </w:tcPr>
          <w:p w14:paraId="4F8B893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40531036.54</w:t>
            </w:r>
          </w:p>
        </w:tc>
      </w:tr>
      <w:tr w:rsidR="008D7DB0" w14:paraId="23E36AA1" w14:textId="77777777">
        <w:trPr>
          <w:trHeight w:val="23"/>
          <w:jc w:val="center"/>
        </w:trPr>
        <w:tc>
          <w:tcPr>
            <w:tcW w:w="1585" w:type="dxa"/>
            <w:vAlign w:val="center"/>
          </w:tcPr>
          <w:p w14:paraId="46404FF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5</w:t>
            </w:r>
          </w:p>
        </w:tc>
        <w:tc>
          <w:tcPr>
            <w:tcW w:w="3629" w:type="dxa"/>
            <w:vAlign w:val="center"/>
          </w:tcPr>
          <w:p w14:paraId="2C47939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4633891.98</w:t>
            </w:r>
          </w:p>
        </w:tc>
        <w:tc>
          <w:tcPr>
            <w:tcW w:w="3841" w:type="dxa"/>
            <w:tcBorders>
              <w:right w:val="single" w:sz="4" w:space="0" w:color="auto"/>
            </w:tcBorders>
            <w:vAlign w:val="center"/>
          </w:tcPr>
          <w:p w14:paraId="50F6B75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40530690.8</w:t>
            </w:r>
          </w:p>
        </w:tc>
      </w:tr>
      <w:tr w:rsidR="008D7DB0" w14:paraId="4693BD0E" w14:textId="77777777">
        <w:trPr>
          <w:trHeight w:val="23"/>
          <w:jc w:val="center"/>
        </w:trPr>
        <w:tc>
          <w:tcPr>
            <w:tcW w:w="1585" w:type="dxa"/>
            <w:vAlign w:val="center"/>
          </w:tcPr>
          <w:p w14:paraId="667E71E9"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6</w:t>
            </w:r>
          </w:p>
        </w:tc>
        <w:tc>
          <w:tcPr>
            <w:tcW w:w="3629" w:type="dxa"/>
            <w:vAlign w:val="center"/>
          </w:tcPr>
          <w:p w14:paraId="1BE4E62B"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4634323.85</w:t>
            </w:r>
          </w:p>
        </w:tc>
        <w:tc>
          <w:tcPr>
            <w:tcW w:w="3841" w:type="dxa"/>
            <w:tcBorders>
              <w:right w:val="single" w:sz="4" w:space="0" w:color="auto"/>
            </w:tcBorders>
            <w:vAlign w:val="center"/>
          </w:tcPr>
          <w:p w14:paraId="375EB00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40529854.79</w:t>
            </w:r>
          </w:p>
        </w:tc>
      </w:tr>
      <w:tr w:rsidR="008D7DB0" w14:paraId="272B67FD" w14:textId="77777777">
        <w:trPr>
          <w:trHeight w:val="23"/>
          <w:jc w:val="center"/>
        </w:trPr>
        <w:tc>
          <w:tcPr>
            <w:tcW w:w="1585" w:type="dxa"/>
            <w:vAlign w:val="center"/>
          </w:tcPr>
          <w:p w14:paraId="2CC8AAF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7</w:t>
            </w:r>
          </w:p>
        </w:tc>
        <w:tc>
          <w:tcPr>
            <w:tcW w:w="3629" w:type="dxa"/>
            <w:vAlign w:val="center"/>
          </w:tcPr>
          <w:p w14:paraId="29546AC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4634370.17</w:t>
            </w:r>
          </w:p>
        </w:tc>
        <w:tc>
          <w:tcPr>
            <w:tcW w:w="3841" w:type="dxa"/>
            <w:tcBorders>
              <w:right w:val="single" w:sz="4" w:space="0" w:color="auto"/>
            </w:tcBorders>
            <w:vAlign w:val="center"/>
          </w:tcPr>
          <w:p w14:paraId="269116FB"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40529814.25</w:t>
            </w:r>
          </w:p>
        </w:tc>
      </w:tr>
      <w:tr w:rsidR="008D7DB0" w14:paraId="4951E064" w14:textId="77777777">
        <w:trPr>
          <w:trHeight w:val="23"/>
          <w:jc w:val="center"/>
        </w:trPr>
        <w:tc>
          <w:tcPr>
            <w:tcW w:w="1585" w:type="dxa"/>
            <w:vAlign w:val="center"/>
          </w:tcPr>
          <w:p w14:paraId="47410F5B"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8</w:t>
            </w:r>
          </w:p>
        </w:tc>
        <w:tc>
          <w:tcPr>
            <w:tcW w:w="3629" w:type="dxa"/>
            <w:vAlign w:val="center"/>
          </w:tcPr>
          <w:p w14:paraId="25F6E39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4634546.51</w:t>
            </w:r>
          </w:p>
        </w:tc>
        <w:tc>
          <w:tcPr>
            <w:tcW w:w="3841" w:type="dxa"/>
            <w:tcBorders>
              <w:right w:val="single" w:sz="4" w:space="0" w:color="auto"/>
            </w:tcBorders>
            <w:vAlign w:val="center"/>
          </w:tcPr>
          <w:p w14:paraId="0B86B171"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40530047.02</w:t>
            </w:r>
          </w:p>
        </w:tc>
      </w:tr>
      <w:tr w:rsidR="008D7DB0" w14:paraId="150E3C61" w14:textId="77777777">
        <w:trPr>
          <w:trHeight w:val="23"/>
          <w:jc w:val="center"/>
        </w:trPr>
        <w:tc>
          <w:tcPr>
            <w:tcW w:w="1585" w:type="dxa"/>
            <w:vAlign w:val="center"/>
          </w:tcPr>
          <w:p w14:paraId="651A39D6"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9</w:t>
            </w:r>
          </w:p>
        </w:tc>
        <w:tc>
          <w:tcPr>
            <w:tcW w:w="3629" w:type="dxa"/>
            <w:vAlign w:val="center"/>
          </w:tcPr>
          <w:p w14:paraId="3A29BAF5"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4634782.07</w:t>
            </w:r>
          </w:p>
        </w:tc>
        <w:tc>
          <w:tcPr>
            <w:tcW w:w="3841" w:type="dxa"/>
            <w:tcBorders>
              <w:right w:val="single" w:sz="4" w:space="0" w:color="auto"/>
            </w:tcBorders>
            <w:vAlign w:val="center"/>
          </w:tcPr>
          <w:p w14:paraId="6DF6184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40530146.23</w:t>
            </w:r>
          </w:p>
        </w:tc>
      </w:tr>
      <w:tr w:rsidR="008D7DB0" w14:paraId="159A4D5F" w14:textId="77777777">
        <w:trPr>
          <w:trHeight w:val="23"/>
          <w:jc w:val="center"/>
        </w:trPr>
        <w:tc>
          <w:tcPr>
            <w:tcW w:w="1585" w:type="dxa"/>
            <w:vAlign w:val="center"/>
          </w:tcPr>
          <w:p w14:paraId="5E2F0DF5"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10</w:t>
            </w:r>
          </w:p>
        </w:tc>
        <w:tc>
          <w:tcPr>
            <w:tcW w:w="3629" w:type="dxa"/>
            <w:vAlign w:val="center"/>
          </w:tcPr>
          <w:p w14:paraId="4E375D19"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4634985.59</w:t>
            </w:r>
          </w:p>
        </w:tc>
        <w:tc>
          <w:tcPr>
            <w:tcW w:w="3841" w:type="dxa"/>
            <w:tcBorders>
              <w:right w:val="single" w:sz="4" w:space="0" w:color="auto"/>
            </w:tcBorders>
            <w:vAlign w:val="center"/>
          </w:tcPr>
          <w:p w14:paraId="3CFB73E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40530435.26</w:t>
            </w:r>
          </w:p>
        </w:tc>
      </w:tr>
      <w:tr w:rsidR="008D7DB0" w14:paraId="4845A609" w14:textId="77777777">
        <w:trPr>
          <w:trHeight w:val="23"/>
          <w:jc w:val="center"/>
        </w:trPr>
        <w:tc>
          <w:tcPr>
            <w:tcW w:w="1585" w:type="dxa"/>
            <w:vAlign w:val="center"/>
          </w:tcPr>
          <w:p w14:paraId="5B96F0EE"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11</w:t>
            </w:r>
          </w:p>
        </w:tc>
        <w:tc>
          <w:tcPr>
            <w:tcW w:w="3629" w:type="dxa"/>
            <w:vAlign w:val="center"/>
          </w:tcPr>
          <w:p w14:paraId="48A5B5E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4635003.72</w:t>
            </w:r>
          </w:p>
        </w:tc>
        <w:tc>
          <w:tcPr>
            <w:tcW w:w="3841" w:type="dxa"/>
            <w:tcBorders>
              <w:right w:val="single" w:sz="4" w:space="0" w:color="auto"/>
            </w:tcBorders>
            <w:vAlign w:val="center"/>
          </w:tcPr>
          <w:p w14:paraId="183F1CEE"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40530573.61</w:t>
            </w:r>
          </w:p>
        </w:tc>
      </w:tr>
      <w:tr w:rsidR="008D7DB0" w14:paraId="0734F703" w14:textId="77777777">
        <w:trPr>
          <w:trHeight w:val="23"/>
          <w:jc w:val="center"/>
        </w:trPr>
        <w:tc>
          <w:tcPr>
            <w:tcW w:w="1585" w:type="dxa"/>
            <w:vAlign w:val="center"/>
          </w:tcPr>
          <w:p w14:paraId="32FF7D5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12</w:t>
            </w:r>
          </w:p>
        </w:tc>
        <w:tc>
          <w:tcPr>
            <w:tcW w:w="3629" w:type="dxa"/>
            <w:vAlign w:val="center"/>
          </w:tcPr>
          <w:p w14:paraId="0E79275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4635089.2</w:t>
            </w:r>
          </w:p>
        </w:tc>
        <w:tc>
          <w:tcPr>
            <w:tcW w:w="3841" w:type="dxa"/>
            <w:tcBorders>
              <w:right w:val="single" w:sz="4" w:space="0" w:color="auto"/>
            </w:tcBorders>
            <w:vAlign w:val="center"/>
          </w:tcPr>
          <w:p w14:paraId="58E5E953"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40530576.04</w:t>
            </w:r>
          </w:p>
        </w:tc>
      </w:tr>
      <w:tr w:rsidR="008D7DB0" w14:paraId="42ADA29F" w14:textId="77777777">
        <w:trPr>
          <w:trHeight w:val="23"/>
          <w:jc w:val="center"/>
        </w:trPr>
        <w:tc>
          <w:tcPr>
            <w:tcW w:w="1585" w:type="dxa"/>
            <w:vAlign w:val="center"/>
          </w:tcPr>
          <w:p w14:paraId="15F4EA1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13</w:t>
            </w:r>
          </w:p>
        </w:tc>
        <w:tc>
          <w:tcPr>
            <w:tcW w:w="3629" w:type="dxa"/>
            <w:vAlign w:val="center"/>
          </w:tcPr>
          <w:p w14:paraId="6FC5FA9A"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4635102.73</w:t>
            </w:r>
          </w:p>
        </w:tc>
        <w:tc>
          <w:tcPr>
            <w:tcW w:w="3841" w:type="dxa"/>
            <w:tcBorders>
              <w:right w:val="single" w:sz="4" w:space="0" w:color="auto"/>
            </w:tcBorders>
            <w:vAlign w:val="center"/>
          </w:tcPr>
          <w:p w14:paraId="192BDC43"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40530405.04</w:t>
            </w:r>
          </w:p>
        </w:tc>
      </w:tr>
      <w:tr w:rsidR="008D7DB0" w14:paraId="2DBE45E8" w14:textId="77777777">
        <w:trPr>
          <w:trHeight w:val="23"/>
          <w:jc w:val="center"/>
        </w:trPr>
        <w:tc>
          <w:tcPr>
            <w:tcW w:w="1585" w:type="dxa"/>
            <w:vAlign w:val="center"/>
          </w:tcPr>
          <w:p w14:paraId="1A449504"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lastRenderedPageBreak/>
              <w:t>14</w:t>
            </w:r>
          </w:p>
        </w:tc>
        <w:tc>
          <w:tcPr>
            <w:tcW w:w="3629" w:type="dxa"/>
            <w:vAlign w:val="center"/>
          </w:tcPr>
          <w:p w14:paraId="5415797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4634880.54</w:t>
            </w:r>
          </w:p>
        </w:tc>
        <w:tc>
          <w:tcPr>
            <w:tcW w:w="3841" w:type="dxa"/>
            <w:tcBorders>
              <w:right w:val="single" w:sz="4" w:space="0" w:color="auto"/>
            </w:tcBorders>
            <w:vAlign w:val="center"/>
          </w:tcPr>
          <w:p w14:paraId="56E1C13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40530026.96</w:t>
            </w:r>
          </w:p>
        </w:tc>
      </w:tr>
      <w:tr w:rsidR="008D7DB0" w14:paraId="1A609C26" w14:textId="77777777">
        <w:trPr>
          <w:trHeight w:val="23"/>
          <w:jc w:val="center"/>
        </w:trPr>
        <w:tc>
          <w:tcPr>
            <w:tcW w:w="1585" w:type="dxa"/>
            <w:vAlign w:val="center"/>
          </w:tcPr>
          <w:p w14:paraId="778C9079"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15</w:t>
            </w:r>
          </w:p>
        </w:tc>
        <w:tc>
          <w:tcPr>
            <w:tcW w:w="3629" w:type="dxa"/>
            <w:vAlign w:val="center"/>
          </w:tcPr>
          <w:p w14:paraId="668F5ED3"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4634804.36</w:t>
            </w:r>
          </w:p>
        </w:tc>
        <w:tc>
          <w:tcPr>
            <w:tcW w:w="3841" w:type="dxa"/>
            <w:tcBorders>
              <w:right w:val="single" w:sz="4" w:space="0" w:color="auto"/>
            </w:tcBorders>
            <w:vAlign w:val="center"/>
          </w:tcPr>
          <w:p w14:paraId="2535C202"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40529688.42</w:t>
            </w:r>
          </w:p>
        </w:tc>
      </w:tr>
      <w:tr w:rsidR="008D7DB0" w14:paraId="7560194E" w14:textId="77777777">
        <w:trPr>
          <w:trHeight w:val="23"/>
          <w:jc w:val="center"/>
        </w:trPr>
        <w:tc>
          <w:tcPr>
            <w:tcW w:w="1585" w:type="dxa"/>
            <w:vAlign w:val="center"/>
          </w:tcPr>
          <w:p w14:paraId="075313FB"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16</w:t>
            </w:r>
          </w:p>
        </w:tc>
        <w:tc>
          <w:tcPr>
            <w:tcW w:w="3629" w:type="dxa"/>
            <w:vAlign w:val="center"/>
          </w:tcPr>
          <w:p w14:paraId="1932442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4634876.31</w:t>
            </w:r>
          </w:p>
        </w:tc>
        <w:tc>
          <w:tcPr>
            <w:tcW w:w="3841" w:type="dxa"/>
            <w:tcBorders>
              <w:right w:val="single" w:sz="4" w:space="0" w:color="auto"/>
            </w:tcBorders>
            <w:vAlign w:val="center"/>
          </w:tcPr>
          <w:p w14:paraId="386E2A7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40529564.85</w:t>
            </w:r>
          </w:p>
        </w:tc>
      </w:tr>
      <w:tr w:rsidR="008D7DB0" w14:paraId="3E90A270" w14:textId="77777777">
        <w:trPr>
          <w:trHeight w:val="23"/>
          <w:jc w:val="center"/>
        </w:trPr>
        <w:tc>
          <w:tcPr>
            <w:tcW w:w="1585" w:type="dxa"/>
            <w:vAlign w:val="center"/>
          </w:tcPr>
          <w:p w14:paraId="02B7ABC4"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17</w:t>
            </w:r>
          </w:p>
        </w:tc>
        <w:tc>
          <w:tcPr>
            <w:tcW w:w="3629" w:type="dxa"/>
            <w:vAlign w:val="center"/>
          </w:tcPr>
          <w:p w14:paraId="5B453D5E"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4635007.75</w:t>
            </w:r>
          </w:p>
        </w:tc>
        <w:tc>
          <w:tcPr>
            <w:tcW w:w="3841" w:type="dxa"/>
            <w:tcBorders>
              <w:right w:val="single" w:sz="4" w:space="0" w:color="auto"/>
            </w:tcBorders>
            <w:vAlign w:val="center"/>
          </w:tcPr>
          <w:p w14:paraId="0A501DB7"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40529590.76</w:t>
            </w:r>
          </w:p>
        </w:tc>
      </w:tr>
      <w:tr w:rsidR="008D7DB0" w14:paraId="38DFA09E" w14:textId="77777777">
        <w:trPr>
          <w:trHeight w:val="23"/>
          <w:jc w:val="center"/>
        </w:trPr>
        <w:tc>
          <w:tcPr>
            <w:tcW w:w="1585" w:type="dxa"/>
            <w:vAlign w:val="center"/>
          </w:tcPr>
          <w:p w14:paraId="4DB47BE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18</w:t>
            </w:r>
          </w:p>
        </w:tc>
        <w:tc>
          <w:tcPr>
            <w:tcW w:w="3629" w:type="dxa"/>
            <w:vAlign w:val="center"/>
          </w:tcPr>
          <w:p w14:paraId="200319C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4635161.86</w:t>
            </w:r>
          </w:p>
        </w:tc>
        <w:tc>
          <w:tcPr>
            <w:tcW w:w="3841" w:type="dxa"/>
            <w:tcBorders>
              <w:right w:val="single" w:sz="4" w:space="0" w:color="auto"/>
            </w:tcBorders>
            <w:vAlign w:val="center"/>
          </w:tcPr>
          <w:p w14:paraId="31FFAEBF"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40529533.76</w:t>
            </w:r>
          </w:p>
        </w:tc>
      </w:tr>
      <w:tr w:rsidR="008D7DB0" w14:paraId="763465D6" w14:textId="77777777">
        <w:trPr>
          <w:trHeight w:val="23"/>
          <w:jc w:val="center"/>
        </w:trPr>
        <w:tc>
          <w:tcPr>
            <w:tcW w:w="1585" w:type="dxa"/>
            <w:vAlign w:val="center"/>
          </w:tcPr>
          <w:p w14:paraId="76218EF5"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19</w:t>
            </w:r>
          </w:p>
        </w:tc>
        <w:tc>
          <w:tcPr>
            <w:tcW w:w="3629" w:type="dxa"/>
            <w:vAlign w:val="center"/>
          </w:tcPr>
          <w:p w14:paraId="00764AB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4635189.35</w:t>
            </w:r>
          </w:p>
        </w:tc>
        <w:tc>
          <w:tcPr>
            <w:tcW w:w="3841" w:type="dxa"/>
            <w:tcBorders>
              <w:right w:val="single" w:sz="4" w:space="0" w:color="auto"/>
            </w:tcBorders>
            <w:vAlign w:val="center"/>
          </w:tcPr>
          <w:p w14:paraId="551DE05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40529545.77</w:t>
            </w:r>
          </w:p>
        </w:tc>
      </w:tr>
      <w:tr w:rsidR="008D7DB0" w14:paraId="36ED25F2" w14:textId="77777777">
        <w:trPr>
          <w:trHeight w:val="23"/>
          <w:jc w:val="center"/>
        </w:trPr>
        <w:tc>
          <w:tcPr>
            <w:tcW w:w="1585" w:type="dxa"/>
            <w:vAlign w:val="center"/>
          </w:tcPr>
          <w:p w14:paraId="5333AE3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20</w:t>
            </w:r>
          </w:p>
        </w:tc>
        <w:tc>
          <w:tcPr>
            <w:tcW w:w="3629" w:type="dxa"/>
            <w:vAlign w:val="center"/>
          </w:tcPr>
          <w:p w14:paraId="00AE5390"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4635273.27</w:t>
            </w:r>
          </w:p>
        </w:tc>
        <w:tc>
          <w:tcPr>
            <w:tcW w:w="3841" w:type="dxa"/>
            <w:tcBorders>
              <w:right w:val="single" w:sz="4" w:space="0" w:color="auto"/>
            </w:tcBorders>
            <w:vAlign w:val="center"/>
          </w:tcPr>
          <w:p w14:paraId="3AC872E9"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40529654.49</w:t>
            </w:r>
          </w:p>
        </w:tc>
      </w:tr>
      <w:tr w:rsidR="008D7DB0" w14:paraId="18272CE5" w14:textId="77777777">
        <w:trPr>
          <w:trHeight w:val="23"/>
          <w:jc w:val="center"/>
        </w:trPr>
        <w:tc>
          <w:tcPr>
            <w:tcW w:w="1585" w:type="dxa"/>
            <w:vAlign w:val="center"/>
          </w:tcPr>
          <w:p w14:paraId="42D576E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21</w:t>
            </w:r>
          </w:p>
        </w:tc>
        <w:tc>
          <w:tcPr>
            <w:tcW w:w="3629" w:type="dxa"/>
            <w:vAlign w:val="center"/>
          </w:tcPr>
          <w:p w14:paraId="12403CEA"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4635278.96</w:t>
            </w:r>
          </w:p>
        </w:tc>
        <w:tc>
          <w:tcPr>
            <w:tcW w:w="3841" w:type="dxa"/>
            <w:tcBorders>
              <w:right w:val="single" w:sz="4" w:space="0" w:color="auto"/>
            </w:tcBorders>
            <w:vAlign w:val="center"/>
          </w:tcPr>
          <w:p w14:paraId="456D962E"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40529708.36</w:t>
            </w:r>
          </w:p>
        </w:tc>
      </w:tr>
      <w:tr w:rsidR="008D7DB0" w14:paraId="4889A4B1" w14:textId="77777777">
        <w:trPr>
          <w:trHeight w:val="23"/>
          <w:jc w:val="center"/>
        </w:trPr>
        <w:tc>
          <w:tcPr>
            <w:tcW w:w="1585" w:type="dxa"/>
            <w:vAlign w:val="center"/>
          </w:tcPr>
          <w:p w14:paraId="31F1F9ED"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22</w:t>
            </w:r>
          </w:p>
        </w:tc>
        <w:tc>
          <w:tcPr>
            <w:tcW w:w="3629" w:type="dxa"/>
            <w:vAlign w:val="center"/>
          </w:tcPr>
          <w:p w14:paraId="2B0DBD6F"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4635232.98</w:t>
            </w:r>
          </w:p>
        </w:tc>
        <w:tc>
          <w:tcPr>
            <w:tcW w:w="3841" w:type="dxa"/>
            <w:tcBorders>
              <w:right w:val="single" w:sz="4" w:space="0" w:color="auto"/>
            </w:tcBorders>
            <w:vAlign w:val="center"/>
          </w:tcPr>
          <w:p w14:paraId="492917FA"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40529750.16</w:t>
            </w:r>
          </w:p>
        </w:tc>
      </w:tr>
      <w:tr w:rsidR="008D7DB0" w14:paraId="75FC355A" w14:textId="77777777">
        <w:trPr>
          <w:trHeight w:val="23"/>
          <w:jc w:val="center"/>
        </w:trPr>
        <w:tc>
          <w:tcPr>
            <w:tcW w:w="1585" w:type="dxa"/>
            <w:vAlign w:val="center"/>
          </w:tcPr>
          <w:p w14:paraId="637FF018"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23</w:t>
            </w:r>
          </w:p>
        </w:tc>
        <w:tc>
          <w:tcPr>
            <w:tcW w:w="3629" w:type="dxa"/>
            <w:vAlign w:val="center"/>
          </w:tcPr>
          <w:p w14:paraId="3E2AA1B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4635031.32</w:t>
            </w:r>
          </w:p>
        </w:tc>
        <w:tc>
          <w:tcPr>
            <w:tcW w:w="3841" w:type="dxa"/>
            <w:tcBorders>
              <w:right w:val="single" w:sz="4" w:space="0" w:color="auto"/>
            </w:tcBorders>
            <w:vAlign w:val="center"/>
          </w:tcPr>
          <w:p w14:paraId="048B7B0C" w14:textId="77777777" w:rsidR="008D7DB0" w:rsidRDefault="00000000">
            <w:pPr>
              <w:spacing w:line="240" w:lineRule="auto"/>
              <w:ind w:firstLineChars="0" w:firstLine="0"/>
              <w:jc w:val="center"/>
              <w:rPr>
                <w:rFonts w:eastAsiaTheme="minorEastAsia"/>
                <w:bCs/>
                <w:sz w:val="21"/>
                <w:szCs w:val="21"/>
              </w:rPr>
            </w:pPr>
            <w:r>
              <w:rPr>
                <w:rFonts w:eastAsiaTheme="minorEastAsia" w:hint="eastAsia"/>
                <w:bCs/>
                <w:sz w:val="21"/>
                <w:szCs w:val="21"/>
              </w:rPr>
              <w:t>40529877.82</w:t>
            </w:r>
          </w:p>
        </w:tc>
      </w:tr>
      <w:tr w:rsidR="008D7DB0" w14:paraId="41014D76" w14:textId="77777777">
        <w:trPr>
          <w:trHeight w:val="23"/>
          <w:jc w:val="center"/>
        </w:trPr>
        <w:tc>
          <w:tcPr>
            <w:tcW w:w="5000" w:type="pct"/>
            <w:gridSpan w:val="3"/>
            <w:vAlign w:val="center"/>
          </w:tcPr>
          <w:p w14:paraId="6797AE29" w14:textId="77777777" w:rsidR="008D7DB0" w:rsidRDefault="00000000">
            <w:pPr>
              <w:spacing w:line="240" w:lineRule="auto"/>
              <w:ind w:firstLineChars="0" w:firstLine="0"/>
              <w:jc w:val="center"/>
              <w:rPr>
                <w:rFonts w:eastAsiaTheme="minorEastAsia"/>
                <w:bCs/>
                <w:sz w:val="21"/>
                <w:szCs w:val="21"/>
              </w:rPr>
            </w:pPr>
            <w:r>
              <w:rPr>
                <w:rFonts w:eastAsiaTheme="minorEastAsia"/>
                <w:bCs/>
                <w:sz w:val="21"/>
                <w:szCs w:val="21"/>
              </w:rPr>
              <w:t>设计</w:t>
            </w:r>
            <w:r>
              <w:rPr>
                <w:rFonts w:eastAsiaTheme="minorEastAsia" w:hint="eastAsia"/>
                <w:bCs/>
                <w:sz w:val="21"/>
                <w:szCs w:val="21"/>
              </w:rPr>
              <w:t>排土</w:t>
            </w:r>
            <w:r>
              <w:rPr>
                <w:rFonts w:eastAsiaTheme="minorEastAsia"/>
                <w:bCs/>
                <w:sz w:val="21"/>
                <w:szCs w:val="21"/>
              </w:rPr>
              <w:t>面积：</w:t>
            </w:r>
            <w:r>
              <w:rPr>
                <w:rFonts w:eastAsiaTheme="minorEastAsia"/>
                <w:bCs/>
                <w:sz w:val="21"/>
                <w:szCs w:val="21"/>
                <w:lang w:val="zh-CN"/>
              </w:rPr>
              <w:t>1.4538</w:t>
            </w:r>
            <w:r>
              <w:rPr>
                <w:rFonts w:eastAsiaTheme="minorEastAsia"/>
                <w:bCs/>
                <w:sz w:val="21"/>
                <w:szCs w:val="21"/>
              </w:rPr>
              <w:t>km</w:t>
            </w:r>
            <w:r>
              <w:rPr>
                <w:rFonts w:eastAsiaTheme="minorEastAsia"/>
                <w:bCs/>
                <w:sz w:val="21"/>
                <w:szCs w:val="21"/>
                <w:vertAlign w:val="superscript"/>
              </w:rPr>
              <w:t>2</w:t>
            </w:r>
            <w:r>
              <w:rPr>
                <w:rFonts w:eastAsiaTheme="minorEastAsia"/>
                <w:bCs/>
                <w:sz w:val="21"/>
                <w:szCs w:val="21"/>
              </w:rPr>
              <w:t>，开采深度：</w:t>
            </w:r>
            <w:r>
              <w:rPr>
                <w:rFonts w:eastAsiaTheme="minorEastAsia" w:hint="eastAsia"/>
                <w:bCs/>
                <w:sz w:val="21"/>
                <w:szCs w:val="21"/>
              </w:rPr>
              <w:t>538</w:t>
            </w:r>
            <w:r>
              <w:rPr>
                <w:rFonts w:eastAsiaTheme="minorEastAsia"/>
                <w:bCs/>
                <w:sz w:val="21"/>
                <w:szCs w:val="21"/>
              </w:rPr>
              <w:t>.00-</w:t>
            </w:r>
            <w:r>
              <w:rPr>
                <w:rFonts w:eastAsiaTheme="minorEastAsia" w:hint="eastAsia"/>
                <w:bCs/>
                <w:sz w:val="21"/>
                <w:szCs w:val="21"/>
              </w:rPr>
              <w:t>390</w:t>
            </w:r>
            <w:r>
              <w:rPr>
                <w:rFonts w:eastAsiaTheme="minorEastAsia"/>
                <w:bCs/>
                <w:sz w:val="21"/>
                <w:szCs w:val="21"/>
              </w:rPr>
              <w:t>.00m</w:t>
            </w:r>
          </w:p>
        </w:tc>
      </w:tr>
    </w:tbl>
    <w:p w14:paraId="6A05774A" w14:textId="77777777" w:rsidR="008D7DB0" w:rsidRDefault="00000000">
      <w:pPr>
        <w:pStyle w:val="2"/>
      </w:pPr>
      <w:bookmarkStart w:id="22" w:name="_Toc205883212"/>
      <w:r>
        <w:rPr>
          <w:rFonts w:hint="eastAsia"/>
        </w:rPr>
        <w:t>1.2</w:t>
      </w:r>
      <w:r>
        <w:rPr>
          <w:rFonts w:hint="eastAsia"/>
        </w:rPr>
        <w:t>评价依据</w:t>
      </w:r>
      <w:bookmarkEnd w:id="22"/>
    </w:p>
    <w:p w14:paraId="6EBE4066" w14:textId="77777777" w:rsidR="008D7DB0" w:rsidRDefault="00000000">
      <w:pPr>
        <w:pStyle w:val="3"/>
      </w:pPr>
      <w:bookmarkStart w:id="23" w:name="_Toc7944"/>
      <w:bookmarkStart w:id="24" w:name="_Toc30217"/>
      <w:bookmarkStart w:id="25" w:name="_Toc205883213"/>
      <w:r>
        <w:rPr>
          <w:rFonts w:hint="eastAsia"/>
        </w:rPr>
        <w:t>1.2.1</w:t>
      </w:r>
      <w:r>
        <w:rPr>
          <w:rFonts w:hint="eastAsia"/>
        </w:rPr>
        <w:t>法律法规</w:t>
      </w:r>
      <w:bookmarkEnd w:id="23"/>
      <w:bookmarkEnd w:id="24"/>
      <w:bookmarkEnd w:id="25"/>
    </w:p>
    <w:p w14:paraId="13B98630"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bookmarkStart w:id="26" w:name="_Toc15255"/>
      <w:r>
        <w:rPr>
          <w:rFonts w:cs="仿宋" w:hint="eastAsia"/>
          <w:color w:val="000000"/>
          <w:szCs w:val="28"/>
        </w:rPr>
        <w:t>《中华人民共和国安全生产法》（中华人民共和国主席令第十三号，</w:t>
      </w:r>
      <w:r>
        <w:rPr>
          <w:rFonts w:cs="仿宋" w:hint="eastAsia"/>
          <w:color w:val="000000"/>
          <w:szCs w:val="28"/>
        </w:rPr>
        <w:t>2014</w:t>
      </w:r>
      <w:r>
        <w:rPr>
          <w:rFonts w:cs="仿宋" w:hint="eastAsia"/>
          <w:color w:val="000000"/>
          <w:szCs w:val="28"/>
        </w:rPr>
        <w:t>年</w:t>
      </w:r>
      <w:r>
        <w:rPr>
          <w:rFonts w:cs="仿宋" w:hint="eastAsia"/>
          <w:color w:val="000000"/>
          <w:szCs w:val="28"/>
        </w:rPr>
        <w:t>08</w:t>
      </w:r>
      <w:r>
        <w:rPr>
          <w:rFonts w:cs="仿宋" w:hint="eastAsia"/>
          <w:color w:val="000000"/>
          <w:szCs w:val="28"/>
        </w:rPr>
        <w:t>月</w:t>
      </w:r>
      <w:r>
        <w:rPr>
          <w:rFonts w:cs="仿宋" w:hint="eastAsia"/>
          <w:color w:val="000000"/>
          <w:szCs w:val="28"/>
        </w:rPr>
        <w:t>31</w:t>
      </w:r>
      <w:r>
        <w:rPr>
          <w:rFonts w:cs="仿宋" w:hint="eastAsia"/>
          <w:color w:val="000000"/>
          <w:szCs w:val="28"/>
        </w:rPr>
        <w:t>日发布，中华人民共和国第十三届全国人民代表大会常务委员会第二十九次会议修改通过，自</w:t>
      </w:r>
      <w:r>
        <w:rPr>
          <w:rFonts w:cs="仿宋" w:hint="eastAsia"/>
          <w:color w:val="000000"/>
          <w:szCs w:val="28"/>
        </w:rPr>
        <w:t>2021</w:t>
      </w:r>
      <w:r>
        <w:rPr>
          <w:rFonts w:cs="仿宋" w:hint="eastAsia"/>
          <w:color w:val="000000"/>
          <w:szCs w:val="28"/>
        </w:rPr>
        <w:t>年</w:t>
      </w:r>
      <w:r>
        <w:rPr>
          <w:rFonts w:cs="仿宋" w:hint="eastAsia"/>
          <w:color w:val="000000"/>
          <w:szCs w:val="28"/>
        </w:rPr>
        <w:t>9</w:t>
      </w:r>
      <w:r>
        <w:rPr>
          <w:rFonts w:cs="仿宋" w:hint="eastAsia"/>
          <w:color w:val="000000"/>
          <w:szCs w:val="28"/>
        </w:rPr>
        <w:t>月</w:t>
      </w:r>
      <w:r>
        <w:rPr>
          <w:rFonts w:cs="仿宋" w:hint="eastAsia"/>
          <w:color w:val="000000"/>
          <w:szCs w:val="28"/>
        </w:rPr>
        <w:t>1</w:t>
      </w:r>
      <w:r>
        <w:rPr>
          <w:rFonts w:cs="仿宋" w:hint="eastAsia"/>
          <w:color w:val="000000"/>
          <w:szCs w:val="28"/>
        </w:rPr>
        <w:t>日起施行）。</w:t>
      </w:r>
    </w:p>
    <w:p w14:paraId="4F5DA01A"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《中华人民共和国矿山安全法》（中华人民共和国主席令第六十五号，</w:t>
      </w:r>
      <w:r>
        <w:rPr>
          <w:rFonts w:cs="仿宋" w:hint="eastAsia"/>
          <w:color w:val="000000"/>
          <w:szCs w:val="28"/>
        </w:rPr>
        <w:t>2009</w:t>
      </w:r>
      <w:r>
        <w:rPr>
          <w:rFonts w:cs="仿宋" w:hint="eastAsia"/>
          <w:color w:val="000000"/>
          <w:szCs w:val="28"/>
        </w:rPr>
        <w:t>年中华人民共和国第十八号令修订，</w:t>
      </w:r>
      <w:r>
        <w:rPr>
          <w:rFonts w:cs="仿宋" w:hint="eastAsia"/>
          <w:color w:val="000000"/>
          <w:szCs w:val="28"/>
        </w:rPr>
        <w:t>2009</w:t>
      </w:r>
      <w:r>
        <w:rPr>
          <w:rFonts w:cs="仿宋" w:hint="eastAsia"/>
          <w:color w:val="000000"/>
          <w:szCs w:val="28"/>
        </w:rPr>
        <w:t>年</w:t>
      </w:r>
      <w:r>
        <w:rPr>
          <w:rFonts w:cs="仿宋" w:hint="eastAsia"/>
          <w:color w:val="000000"/>
          <w:szCs w:val="28"/>
        </w:rPr>
        <w:t>08</w:t>
      </w:r>
      <w:r>
        <w:rPr>
          <w:rFonts w:cs="仿宋" w:hint="eastAsia"/>
          <w:color w:val="000000"/>
          <w:szCs w:val="28"/>
        </w:rPr>
        <w:t>月</w:t>
      </w:r>
      <w:r>
        <w:rPr>
          <w:rFonts w:cs="仿宋" w:hint="eastAsia"/>
          <w:color w:val="000000"/>
          <w:szCs w:val="28"/>
        </w:rPr>
        <w:t>27</w:t>
      </w:r>
      <w:r>
        <w:rPr>
          <w:rFonts w:cs="仿宋" w:hint="eastAsia"/>
          <w:color w:val="000000"/>
          <w:szCs w:val="28"/>
        </w:rPr>
        <w:t>日施行）。</w:t>
      </w:r>
    </w:p>
    <w:p w14:paraId="55D3D5EB"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《中华人民共和国劳动法》（中华人民共和国主席令第二十八号，</w:t>
      </w:r>
      <w:r>
        <w:rPr>
          <w:rFonts w:cs="仿宋" w:hint="eastAsia"/>
          <w:color w:val="000000"/>
          <w:szCs w:val="28"/>
        </w:rPr>
        <w:t>1995</w:t>
      </w:r>
      <w:r>
        <w:rPr>
          <w:rFonts w:cs="仿宋" w:hint="eastAsia"/>
          <w:color w:val="000000"/>
          <w:szCs w:val="28"/>
        </w:rPr>
        <w:t>年</w:t>
      </w:r>
      <w:r>
        <w:rPr>
          <w:rFonts w:cs="仿宋" w:hint="eastAsia"/>
          <w:color w:val="000000"/>
          <w:szCs w:val="28"/>
        </w:rPr>
        <w:t>1</w:t>
      </w:r>
      <w:r>
        <w:rPr>
          <w:rFonts w:cs="仿宋" w:hint="eastAsia"/>
          <w:color w:val="000000"/>
          <w:szCs w:val="28"/>
        </w:rPr>
        <w:t>月</w:t>
      </w:r>
      <w:r>
        <w:rPr>
          <w:rFonts w:cs="仿宋" w:hint="eastAsia"/>
          <w:color w:val="000000"/>
          <w:szCs w:val="28"/>
        </w:rPr>
        <w:t>1</w:t>
      </w:r>
      <w:r>
        <w:rPr>
          <w:rFonts w:cs="仿宋" w:hint="eastAsia"/>
          <w:color w:val="000000"/>
          <w:szCs w:val="28"/>
        </w:rPr>
        <w:t>日实施，</w:t>
      </w:r>
      <w:r>
        <w:rPr>
          <w:rFonts w:cs="仿宋" w:hint="eastAsia"/>
          <w:color w:val="000000"/>
          <w:szCs w:val="28"/>
        </w:rPr>
        <w:t>2018</w:t>
      </w:r>
      <w:r>
        <w:rPr>
          <w:rFonts w:cs="仿宋" w:hint="eastAsia"/>
          <w:color w:val="000000"/>
          <w:szCs w:val="28"/>
        </w:rPr>
        <w:t>年</w:t>
      </w:r>
      <w:r>
        <w:rPr>
          <w:rFonts w:cs="仿宋" w:hint="eastAsia"/>
          <w:color w:val="000000"/>
          <w:szCs w:val="28"/>
        </w:rPr>
        <w:t>12</w:t>
      </w:r>
      <w:r>
        <w:rPr>
          <w:rFonts w:cs="仿宋" w:hint="eastAsia"/>
          <w:color w:val="000000"/>
          <w:szCs w:val="28"/>
        </w:rPr>
        <w:t>月</w:t>
      </w:r>
      <w:r>
        <w:rPr>
          <w:rFonts w:cs="仿宋" w:hint="eastAsia"/>
          <w:color w:val="000000"/>
          <w:szCs w:val="28"/>
        </w:rPr>
        <w:t>29</w:t>
      </w:r>
      <w:r>
        <w:rPr>
          <w:rFonts w:cs="仿宋" w:hint="eastAsia"/>
          <w:color w:val="000000"/>
          <w:szCs w:val="28"/>
        </w:rPr>
        <w:t>日修正）。</w:t>
      </w:r>
    </w:p>
    <w:p w14:paraId="3AC2755C"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《中华人民共和国矿产资源法》（根据中华人民共和国第十四</w:t>
      </w:r>
      <w:r>
        <w:rPr>
          <w:rFonts w:cs="仿宋" w:hint="eastAsia"/>
          <w:color w:val="000000"/>
          <w:szCs w:val="28"/>
        </w:rPr>
        <w:t xml:space="preserve"> </w:t>
      </w:r>
    </w:p>
    <w:p w14:paraId="511D0DDB" w14:textId="77777777" w:rsidR="008D7DB0" w:rsidRDefault="00000000">
      <w:pPr>
        <w:tabs>
          <w:tab w:val="left" w:pos="1080"/>
          <w:tab w:val="left" w:pos="1276"/>
          <w:tab w:val="left" w:pos="1418"/>
          <w:tab w:val="left" w:pos="5257"/>
        </w:tabs>
        <w:adjustRightInd w:val="0"/>
        <w:snapToGrid w:val="0"/>
        <w:ind w:firstLineChars="0" w:firstLine="0"/>
        <w:rPr>
          <w:rFonts w:cs="仿宋"/>
          <w:color w:val="000000"/>
          <w:szCs w:val="28"/>
        </w:rPr>
      </w:pPr>
      <w:r>
        <w:rPr>
          <w:rFonts w:cs="仿宋" w:hint="eastAsia"/>
          <w:color w:val="000000"/>
          <w:szCs w:val="28"/>
        </w:rPr>
        <w:t>届全国人民代表大会常务委员会第十二次会议于</w:t>
      </w:r>
      <w:r>
        <w:rPr>
          <w:rFonts w:cs="仿宋" w:hint="eastAsia"/>
          <w:color w:val="000000"/>
          <w:szCs w:val="28"/>
        </w:rPr>
        <w:t>2024</w:t>
      </w:r>
      <w:r>
        <w:rPr>
          <w:rFonts w:cs="仿宋" w:hint="eastAsia"/>
          <w:color w:val="000000"/>
          <w:szCs w:val="28"/>
        </w:rPr>
        <w:t>年</w:t>
      </w:r>
      <w:r>
        <w:rPr>
          <w:rFonts w:cs="仿宋" w:hint="eastAsia"/>
          <w:color w:val="000000"/>
          <w:szCs w:val="28"/>
        </w:rPr>
        <w:t>11</w:t>
      </w:r>
      <w:r>
        <w:rPr>
          <w:rFonts w:cs="仿宋" w:hint="eastAsia"/>
          <w:color w:val="000000"/>
          <w:szCs w:val="28"/>
        </w:rPr>
        <w:t>月</w:t>
      </w:r>
      <w:r>
        <w:rPr>
          <w:rFonts w:cs="仿宋" w:hint="eastAsia"/>
          <w:color w:val="000000"/>
          <w:szCs w:val="28"/>
        </w:rPr>
        <w:t>8</w:t>
      </w:r>
      <w:r>
        <w:rPr>
          <w:rFonts w:cs="仿宋" w:hint="eastAsia"/>
          <w:color w:val="000000"/>
          <w:szCs w:val="28"/>
        </w:rPr>
        <w:t>日修订）。</w:t>
      </w:r>
    </w:p>
    <w:p w14:paraId="62A976AE"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《中华人民共和国特种设备安全法》（</w:t>
      </w:r>
      <w:hyperlink r:id="rId14" w:tgtFrame="_blank" w:history="1">
        <w:r w:rsidR="008D7DB0">
          <w:rPr>
            <w:rFonts w:cs="仿宋" w:hint="eastAsia"/>
            <w:color w:val="000000"/>
            <w:szCs w:val="28"/>
          </w:rPr>
          <w:t>中华人民共和国主席令</w:t>
        </w:r>
      </w:hyperlink>
      <w:r>
        <w:rPr>
          <w:rFonts w:cs="仿宋" w:hint="eastAsia"/>
          <w:color w:val="000000"/>
          <w:szCs w:val="28"/>
        </w:rPr>
        <w:t>第</w:t>
      </w:r>
      <w:r>
        <w:rPr>
          <w:rFonts w:cs="仿宋" w:hint="eastAsia"/>
          <w:color w:val="000000"/>
          <w:szCs w:val="28"/>
        </w:rPr>
        <w:t>4</w:t>
      </w:r>
      <w:r>
        <w:rPr>
          <w:rFonts w:cs="仿宋" w:hint="eastAsia"/>
          <w:color w:val="000000"/>
          <w:szCs w:val="28"/>
        </w:rPr>
        <w:t>号公布，</w:t>
      </w:r>
      <w:r>
        <w:rPr>
          <w:rFonts w:cs="仿宋" w:hint="eastAsia"/>
          <w:color w:val="000000"/>
          <w:szCs w:val="28"/>
        </w:rPr>
        <w:t>2014</w:t>
      </w:r>
      <w:r>
        <w:rPr>
          <w:rFonts w:cs="仿宋" w:hint="eastAsia"/>
          <w:color w:val="000000"/>
          <w:szCs w:val="28"/>
        </w:rPr>
        <w:t>年</w:t>
      </w:r>
      <w:r>
        <w:rPr>
          <w:rFonts w:cs="仿宋" w:hint="eastAsia"/>
          <w:color w:val="000000"/>
          <w:szCs w:val="28"/>
        </w:rPr>
        <w:t>01</w:t>
      </w:r>
      <w:r>
        <w:rPr>
          <w:rFonts w:cs="仿宋" w:hint="eastAsia"/>
          <w:color w:val="000000"/>
          <w:szCs w:val="28"/>
        </w:rPr>
        <w:t>月</w:t>
      </w:r>
      <w:r>
        <w:rPr>
          <w:rFonts w:cs="仿宋" w:hint="eastAsia"/>
          <w:color w:val="000000"/>
          <w:szCs w:val="28"/>
        </w:rPr>
        <w:t>01</w:t>
      </w:r>
      <w:r>
        <w:rPr>
          <w:rFonts w:cs="仿宋" w:hint="eastAsia"/>
          <w:color w:val="000000"/>
          <w:szCs w:val="28"/>
        </w:rPr>
        <w:t>日施行）。</w:t>
      </w:r>
    </w:p>
    <w:p w14:paraId="1A3ACF2C"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《中华人民共和国气象法》（中华人民共和国主席令第二十三号，</w:t>
      </w:r>
      <w:r>
        <w:rPr>
          <w:rFonts w:cs="仿宋" w:hint="eastAsia"/>
          <w:color w:val="000000"/>
          <w:szCs w:val="28"/>
        </w:rPr>
        <w:t>2014</w:t>
      </w:r>
      <w:r>
        <w:rPr>
          <w:rFonts w:cs="仿宋" w:hint="eastAsia"/>
          <w:color w:val="000000"/>
          <w:szCs w:val="28"/>
        </w:rPr>
        <w:t>年中华人民共和国主席令第十四号修订，</w:t>
      </w:r>
      <w:r>
        <w:rPr>
          <w:rFonts w:cs="仿宋" w:hint="eastAsia"/>
          <w:color w:val="000000"/>
          <w:szCs w:val="28"/>
        </w:rPr>
        <w:t>2014</w:t>
      </w:r>
      <w:r>
        <w:rPr>
          <w:rFonts w:cs="仿宋" w:hint="eastAsia"/>
          <w:color w:val="000000"/>
          <w:szCs w:val="28"/>
        </w:rPr>
        <w:t>年</w:t>
      </w:r>
      <w:r>
        <w:rPr>
          <w:rFonts w:cs="仿宋" w:hint="eastAsia"/>
          <w:color w:val="000000"/>
          <w:szCs w:val="28"/>
        </w:rPr>
        <w:t>08</w:t>
      </w:r>
      <w:r>
        <w:rPr>
          <w:rFonts w:cs="仿宋" w:hint="eastAsia"/>
          <w:color w:val="000000"/>
          <w:szCs w:val="28"/>
        </w:rPr>
        <w:t>月</w:t>
      </w:r>
      <w:r>
        <w:rPr>
          <w:rFonts w:cs="仿宋" w:hint="eastAsia"/>
          <w:color w:val="000000"/>
          <w:szCs w:val="28"/>
        </w:rPr>
        <w:t>31</w:t>
      </w:r>
      <w:r>
        <w:rPr>
          <w:rFonts w:cs="仿宋" w:hint="eastAsia"/>
          <w:color w:val="000000"/>
          <w:szCs w:val="28"/>
        </w:rPr>
        <w:t>日施行）。</w:t>
      </w:r>
    </w:p>
    <w:p w14:paraId="5D2A9C48"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《中华人民共和国突发事件应对法》（中华人民共和国主席令第二十五号，根据中华人民共和国第十四届全国人民代表大会常务委员会</w:t>
      </w:r>
      <w:r>
        <w:rPr>
          <w:rFonts w:cs="仿宋" w:hint="eastAsia"/>
          <w:color w:val="000000"/>
          <w:szCs w:val="28"/>
        </w:rPr>
        <w:lastRenderedPageBreak/>
        <w:t>第十次会议于</w:t>
      </w:r>
      <w:r>
        <w:rPr>
          <w:rFonts w:cs="仿宋" w:hint="eastAsia"/>
          <w:color w:val="000000"/>
          <w:szCs w:val="28"/>
        </w:rPr>
        <w:t>2024</w:t>
      </w:r>
      <w:r>
        <w:rPr>
          <w:rFonts w:cs="仿宋" w:hint="eastAsia"/>
          <w:color w:val="000000"/>
          <w:szCs w:val="28"/>
        </w:rPr>
        <w:t>年</w:t>
      </w:r>
      <w:r>
        <w:rPr>
          <w:rFonts w:cs="仿宋" w:hint="eastAsia"/>
          <w:color w:val="000000"/>
          <w:szCs w:val="28"/>
        </w:rPr>
        <w:t>6</w:t>
      </w:r>
      <w:r>
        <w:rPr>
          <w:rFonts w:cs="仿宋" w:hint="eastAsia"/>
          <w:color w:val="000000"/>
          <w:szCs w:val="28"/>
        </w:rPr>
        <w:t>月</w:t>
      </w:r>
      <w:r>
        <w:rPr>
          <w:rFonts w:cs="仿宋" w:hint="eastAsia"/>
          <w:color w:val="000000"/>
          <w:szCs w:val="28"/>
        </w:rPr>
        <w:t>28</w:t>
      </w:r>
      <w:r>
        <w:rPr>
          <w:rFonts w:cs="仿宋" w:hint="eastAsia"/>
          <w:color w:val="000000"/>
          <w:szCs w:val="28"/>
        </w:rPr>
        <w:t>日修订通过，</w:t>
      </w:r>
      <w:r>
        <w:rPr>
          <w:rFonts w:cs="仿宋" w:hint="eastAsia"/>
          <w:color w:val="000000"/>
          <w:szCs w:val="28"/>
        </w:rPr>
        <w:t>2014</w:t>
      </w:r>
      <w:r>
        <w:rPr>
          <w:rFonts w:cs="仿宋" w:hint="eastAsia"/>
          <w:color w:val="000000"/>
          <w:szCs w:val="28"/>
        </w:rPr>
        <w:t>年</w:t>
      </w:r>
      <w:r>
        <w:rPr>
          <w:rFonts w:cs="仿宋" w:hint="eastAsia"/>
          <w:color w:val="000000"/>
          <w:szCs w:val="28"/>
        </w:rPr>
        <w:t>11</w:t>
      </w:r>
      <w:r>
        <w:rPr>
          <w:rFonts w:cs="仿宋" w:hint="eastAsia"/>
          <w:color w:val="000000"/>
          <w:szCs w:val="28"/>
        </w:rPr>
        <w:t>月</w:t>
      </w:r>
      <w:r>
        <w:rPr>
          <w:rFonts w:cs="仿宋" w:hint="eastAsia"/>
          <w:color w:val="000000"/>
          <w:szCs w:val="28"/>
        </w:rPr>
        <w:t>1</w:t>
      </w:r>
      <w:r>
        <w:rPr>
          <w:rFonts w:cs="仿宋" w:hint="eastAsia"/>
          <w:color w:val="000000"/>
          <w:szCs w:val="28"/>
        </w:rPr>
        <w:t>日施行）。</w:t>
      </w:r>
    </w:p>
    <w:p w14:paraId="46BA5311"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《中华人民共和国消防法》（中华人民共和国主席令第六号，</w:t>
      </w:r>
      <w:r>
        <w:rPr>
          <w:rFonts w:cs="仿宋" w:hint="eastAsia"/>
          <w:color w:val="000000"/>
          <w:szCs w:val="28"/>
        </w:rPr>
        <w:t>2008</w:t>
      </w:r>
      <w:r>
        <w:rPr>
          <w:rFonts w:cs="仿宋" w:hint="eastAsia"/>
          <w:color w:val="000000"/>
          <w:szCs w:val="28"/>
        </w:rPr>
        <w:t>年</w:t>
      </w:r>
      <w:r>
        <w:rPr>
          <w:rFonts w:cs="仿宋" w:hint="eastAsia"/>
          <w:color w:val="000000"/>
          <w:szCs w:val="28"/>
        </w:rPr>
        <w:t>10</w:t>
      </w:r>
      <w:r>
        <w:rPr>
          <w:rFonts w:cs="仿宋" w:hint="eastAsia"/>
          <w:color w:val="000000"/>
          <w:szCs w:val="28"/>
        </w:rPr>
        <w:t>月</w:t>
      </w:r>
      <w:r>
        <w:rPr>
          <w:rFonts w:cs="仿宋" w:hint="eastAsia"/>
          <w:color w:val="000000"/>
          <w:szCs w:val="28"/>
        </w:rPr>
        <w:t>28</w:t>
      </w:r>
      <w:r>
        <w:rPr>
          <w:rFonts w:cs="仿宋" w:hint="eastAsia"/>
          <w:color w:val="000000"/>
          <w:szCs w:val="28"/>
        </w:rPr>
        <w:t>日发布，</w:t>
      </w:r>
      <w:r>
        <w:rPr>
          <w:rFonts w:cs="仿宋" w:hint="eastAsia"/>
          <w:color w:val="000000"/>
          <w:szCs w:val="28"/>
        </w:rPr>
        <w:t>2021</w:t>
      </w:r>
      <w:r>
        <w:rPr>
          <w:rFonts w:cs="仿宋" w:hint="eastAsia"/>
          <w:color w:val="000000"/>
          <w:szCs w:val="28"/>
        </w:rPr>
        <w:t>年</w:t>
      </w:r>
      <w:r>
        <w:rPr>
          <w:rFonts w:cs="仿宋" w:hint="eastAsia"/>
          <w:color w:val="000000"/>
          <w:szCs w:val="28"/>
        </w:rPr>
        <w:t>4</w:t>
      </w:r>
      <w:r>
        <w:rPr>
          <w:rFonts w:cs="仿宋" w:hint="eastAsia"/>
          <w:color w:val="000000"/>
          <w:szCs w:val="28"/>
        </w:rPr>
        <w:t>月</w:t>
      </w:r>
      <w:r>
        <w:rPr>
          <w:rFonts w:cs="仿宋" w:hint="eastAsia"/>
          <w:color w:val="000000"/>
          <w:szCs w:val="28"/>
        </w:rPr>
        <w:t>29</w:t>
      </w:r>
      <w:r>
        <w:rPr>
          <w:rFonts w:cs="仿宋" w:hint="eastAsia"/>
          <w:color w:val="000000"/>
          <w:szCs w:val="28"/>
        </w:rPr>
        <w:t>日第十三届全国人民代表大会常务委员会第二十八次会议修改）。</w:t>
      </w:r>
    </w:p>
    <w:p w14:paraId="75119601"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《地质灾害防治条例》（中华人民共和国国务院令第</w:t>
      </w:r>
      <w:r>
        <w:rPr>
          <w:rFonts w:cs="仿宋" w:hint="eastAsia"/>
          <w:color w:val="000000"/>
          <w:szCs w:val="28"/>
        </w:rPr>
        <w:t>394</w:t>
      </w:r>
      <w:r>
        <w:rPr>
          <w:rFonts w:cs="仿宋" w:hint="eastAsia"/>
          <w:color w:val="000000"/>
          <w:szCs w:val="28"/>
        </w:rPr>
        <w:t>号，</w:t>
      </w:r>
      <w:r>
        <w:rPr>
          <w:rFonts w:cs="仿宋" w:hint="eastAsia"/>
          <w:color w:val="000000"/>
          <w:szCs w:val="28"/>
        </w:rPr>
        <w:t>2004</w:t>
      </w:r>
      <w:r>
        <w:rPr>
          <w:rFonts w:cs="仿宋" w:hint="eastAsia"/>
          <w:color w:val="000000"/>
          <w:szCs w:val="28"/>
        </w:rPr>
        <w:t>年</w:t>
      </w:r>
      <w:r>
        <w:rPr>
          <w:rFonts w:cs="仿宋" w:hint="eastAsia"/>
          <w:color w:val="000000"/>
          <w:szCs w:val="28"/>
        </w:rPr>
        <w:t>03</w:t>
      </w:r>
      <w:r>
        <w:rPr>
          <w:rFonts w:cs="仿宋" w:hint="eastAsia"/>
          <w:color w:val="000000"/>
          <w:szCs w:val="28"/>
        </w:rPr>
        <w:t>月</w:t>
      </w:r>
      <w:r>
        <w:rPr>
          <w:rFonts w:cs="仿宋" w:hint="eastAsia"/>
          <w:color w:val="000000"/>
          <w:szCs w:val="28"/>
        </w:rPr>
        <w:t>01</w:t>
      </w:r>
      <w:r>
        <w:rPr>
          <w:rFonts w:cs="仿宋" w:hint="eastAsia"/>
          <w:color w:val="000000"/>
          <w:szCs w:val="28"/>
        </w:rPr>
        <w:t>日施行）。</w:t>
      </w:r>
    </w:p>
    <w:p w14:paraId="3EB4949B"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《国务院关于修改〈特种设备安全监察条例〉的决定》（中华人民共和国国务院令第</w:t>
      </w:r>
      <w:r>
        <w:rPr>
          <w:rFonts w:cs="仿宋" w:hint="eastAsia"/>
          <w:color w:val="000000"/>
          <w:szCs w:val="28"/>
        </w:rPr>
        <w:t>549</w:t>
      </w:r>
      <w:r>
        <w:rPr>
          <w:rFonts w:cs="仿宋" w:hint="eastAsia"/>
          <w:color w:val="000000"/>
          <w:szCs w:val="28"/>
        </w:rPr>
        <w:t>号，</w:t>
      </w:r>
      <w:r>
        <w:rPr>
          <w:rFonts w:cs="仿宋" w:hint="eastAsia"/>
          <w:color w:val="000000"/>
          <w:szCs w:val="28"/>
        </w:rPr>
        <w:t>2009</w:t>
      </w:r>
      <w:r>
        <w:rPr>
          <w:rFonts w:cs="仿宋" w:hint="eastAsia"/>
          <w:color w:val="000000"/>
          <w:szCs w:val="28"/>
        </w:rPr>
        <w:t>年</w:t>
      </w:r>
      <w:r>
        <w:rPr>
          <w:rFonts w:cs="仿宋" w:hint="eastAsia"/>
          <w:color w:val="000000"/>
          <w:szCs w:val="28"/>
        </w:rPr>
        <w:t>05</w:t>
      </w:r>
      <w:r>
        <w:rPr>
          <w:rFonts w:cs="仿宋" w:hint="eastAsia"/>
          <w:color w:val="000000"/>
          <w:szCs w:val="28"/>
        </w:rPr>
        <w:t>月</w:t>
      </w:r>
      <w:r>
        <w:rPr>
          <w:rFonts w:cs="仿宋" w:hint="eastAsia"/>
          <w:color w:val="000000"/>
          <w:szCs w:val="28"/>
        </w:rPr>
        <w:t>01</w:t>
      </w:r>
      <w:r>
        <w:rPr>
          <w:rFonts w:cs="仿宋" w:hint="eastAsia"/>
          <w:color w:val="000000"/>
          <w:szCs w:val="28"/>
        </w:rPr>
        <w:t>日施行）。</w:t>
      </w:r>
    </w:p>
    <w:p w14:paraId="30B5DC0C"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《民用爆炸物品安全管理条例》（中华人民共和国国务院令第</w:t>
      </w:r>
      <w:r>
        <w:rPr>
          <w:rFonts w:cs="仿宋" w:hint="eastAsia"/>
          <w:color w:val="000000"/>
          <w:szCs w:val="28"/>
        </w:rPr>
        <w:t>466</w:t>
      </w:r>
      <w:r>
        <w:rPr>
          <w:rFonts w:cs="仿宋" w:hint="eastAsia"/>
          <w:color w:val="000000"/>
          <w:szCs w:val="28"/>
        </w:rPr>
        <w:t>号，</w:t>
      </w:r>
      <w:r>
        <w:rPr>
          <w:rFonts w:cs="仿宋" w:hint="eastAsia"/>
          <w:color w:val="000000"/>
          <w:szCs w:val="28"/>
        </w:rPr>
        <w:t>2006</w:t>
      </w:r>
      <w:r>
        <w:rPr>
          <w:rFonts w:cs="仿宋" w:hint="eastAsia"/>
          <w:color w:val="000000"/>
          <w:szCs w:val="28"/>
        </w:rPr>
        <w:t>年</w:t>
      </w:r>
      <w:r>
        <w:rPr>
          <w:rFonts w:cs="仿宋" w:hint="eastAsia"/>
          <w:color w:val="000000"/>
          <w:szCs w:val="28"/>
        </w:rPr>
        <w:t>05</w:t>
      </w:r>
      <w:r>
        <w:rPr>
          <w:rFonts w:cs="仿宋" w:hint="eastAsia"/>
          <w:color w:val="000000"/>
          <w:szCs w:val="28"/>
        </w:rPr>
        <w:t>月</w:t>
      </w:r>
      <w:r>
        <w:rPr>
          <w:rFonts w:cs="仿宋" w:hint="eastAsia"/>
          <w:color w:val="000000"/>
          <w:szCs w:val="28"/>
        </w:rPr>
        <w:t>10</w:t>
      </w:r>
      <w:r>
        <w:rPr>
          <w:rFonts w:cs="仿宋" w:hint="eastAsia"/>
          <w:color w:val="000000"/>
          <w:szCs w:val="28"/>
        </w:rPr>
        <w:t>日发布，</w:t>
      </w:r>
      <w:r>
        <w:rPr>
          <w:rFonts w:cs="仿宋" w:hint="eastAsia"/>
          <w:color w:val="000000"/>
          <w:szCs w:val="28"/>
        </w:rPr>
        <w:t>2014</w:t>
      </w:r>
      <w:r>
        <w:rPr>
          <w:rFonts w:cs="仿宋" w:hint="eastAsia"/>
          <w:color w:val="000000"/>
          <w:szCs w:val="28"/>
        </w:rPr>
        <w:t>年国务院令第</w:t>
      </w:r>
      <w:r>
        <w:rPr>
          <w:rFonts w:cs="仿宋" w:hint="eastAsia"/>
          <w:color w:val="000000"/>
          <w:szCs w:val="28"/>
        </w:rPr>
        <w:t>653</w:t>
      </w:r>
      <w:r>
        <w:rPr>
          <w:rFonts w:cs="仿宋" w:hint="eastAsia"/>
          <w:color w:val="000000"/>
          <w:szCs w:val="28"/>
        </w:rPr>
        <w:t>号修订，</w:t>
      </w:r>
      <w:r>
        <w:rPr>
          <w:rFonts w:cs="仿宋" w:hint="eastAsia"/>
          <w:color w:val="000000"/>
          <w:szCs w:val="28"/>
        </w:rPr>
        <w:t>2014</w:t>
      </w:r>
      <w:r>
        <w:rPr>
          <w:rFonts w:cs="仿宋" w:hint="eastAsia"/>
          <w:color w:val="000000"/>
          <w:szCs w:val="28"/>
        </w:rPr>
        <w:t>年</w:t>
      </w:r>
      <w:r>
        <w:rPr>
          <w:rFonts w:cs="仿宋" w:hint="eastAsia"/>
          <w:color w:val="000000"/>
          <w:szCs w:val="28"/>
        </w:rPr>
        <w:t>07</w:t>
      </w:r>
      <w:r>
        <w:rPr>
          <w:rFonts w:cs="仿宋" w:hint="eastAsia"/>
          <w:color w:val="000000"/>
          <w:szCs w:val="28"/>
        </w:rPr>
        <w:t>月</w:t>
      </w:r>
      <w:r>
        <w:rPr>
          <w:rFonts w:cs="仿宋" w:hint="eastAsia"/>
          <w:color w:val="000000"/>
          <w:szCs w:val="28"/>
        </w:rPr>
        <w:t>29</w:t>
      </w:r>
      <w:r>
        <w:rPr>
          <w:rFonts w:cs="仿宋" w:hint="eastAsia"/>
          <w:color w:val="000000"/>
          <w:szCs w:val="28"/>
        </w:rPr>
        <w:t>日施行）。</w:t>
      </w:r>
    </w:p>
    <w:p w14:paraId="4BC774C0"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《非煤矿矿山企业安全生产许可证实施办法》（</w:t>
      </w:r>
      <w:r>
        <w:rPr>
          <w:rFonts w:cs="仿宋" w:hint="eastAsia"/>
          <w:color w:val="000000"/>
          <w:szCs w:val="28"/>
        </w:rPr>
        <w:t>2009</w:t>
      </w:r>
      <w:r>
        <w:rPr>
          <w:rFonts w:cs="仿宋" w:hint="eastAsia"/>
          <w:color w:val="000000"/>
          <w:szCs w:val="28"/>
        </w:rPr>
        <w:t>年</w:t>
      </w:r>
      <w:r>
        <w:rPr>
          <w:rFonts w:cs="仿宋" w:hint="eastAsia"/>
          <w:color w:val="000000"/>
          <w:szCs w:val="28"/>
        </w:rPr>
        <w:t>6</w:t>
      </w:r>
      <w:r>
        <w:rPr>
          <w:rFonts w:cs="仿宋" w:hint="eastAsia"/>
          <w:color w:val="000000"/>
          <w:szCs w:val="28"/>
        </w:rPr>
        <w:t>月</w:t>
      </w:r>
      <w:r>
        <w:rPr>
          <w:rFonts w:cs="仿宋" w:hint="eastAsia"/>
          <w:color w:val="000000"/>
          <w:szCs w:val="28"/>
        </w:rPr>
        <w:t>8</w:t>
      </w:r>
      <w:r>
        <w:rPr>
          <w:rFonts w:cs="仿宋" w:hint="eastAsia"/>
          <w:color w:val="000000"/>
          <w:szCs w:val="28"/>
        </w:rPr>
        <w:t>日国家安全监管总局令第</w:t>
      </w:r>
      <w:r>
        <w:rPr>
          <w:rFonts w:cs="仿宋" w:hint="eastAsia"/>
          <w:color w:val="000000"/>
          <w:szCs w:val="28"/>
        </w:rPr>
        <w:t>20</w:t>
      </w:r>
      <w:r>
        <w:rPr>
          <w:rFonts w:cs="仿宋" w:hint="eastAsia"/>
          <w:color w:val="000000"/>
          <w:szCs w:val="28"/>
        </w:rPr>
        <w:t>号公布，根据</w:t>
      </w:r>
      <w:r>
        <w:rPr>
          <w:rFonts w:cs="仿宋" w:hint="eastAsia"/>
          <w:color w:val="000000"/>
          <w:szCs w:val="28"/>
        </w:rPr>
        <w:t>2015</w:t>
      </w:r>
      <w:r>
        <w:rPr>
          <w:rFonts w:cs="仿宋" w:hint="eastAsia"/>
          <w:color w:val="000000"/>
          <w:szCs w:val="28"/>
        </w:rPr>
        <w:t>年</w:t>
      </w:r>
      <w:r>
        <w:rPr>
          <w:rFonts w:cs="仿宋" w:hint="eastAsia"/>
          <w:color w:val="000000"/>
          <w:szCs w:val="28"/>
        </w:rPr>
        <w:t>5</w:t>
      </w:r>
      <w:r>
        <w:rPr>
          <w:rFonts w:cs="仿宋" w:hint="eastAsia"/>
          <w:color w:val="000000"/>
          <w:szCs w:val="28"/>
        </w:rPr>
        <w:t>月</w:t>
      </w:r>
      <w:r>
        <w:rPr>
          <w:rFonts w:cs="仿宋" w:hint="eastAsia"/>
          <w:color w:val="000000"/>
          <w:szCs w:val="28"/>
        </w:rPr>
        <w:t>26</w:t>
      </w:r>
      <w:r>
        <w:rPr>
          <w:rFonts w:cs="仿宋" w:hint="eastAsia"/>
          <w:color w:val="000000"/>
          <w:szCs w:val="28"/>
        </w:rPr>
        <w:t>日国家安全监管总局令第</w:t>
      </w:r>
      <w:r>
        <w:rPr>
          <w:rFonts w:cs="仿宋" w:hint="eastAsia"/>
          <w:color w:val="000000"/>
          <w:szCs w:val="28"/>
        </w:rPr>
        <w:t>78</w:t>
      </w:r>
      <w:r>
        <w:rPr>
          <w:rFonts w:cs="仿宋" w:hint="eastAsia"/>
          <w:color w:val="000000"/>
          <w:szCs w:val="28"/>
        </w:rPr>
        <w:t>号修正）。</w:t>
      </w:r>
    </w:p>
    <w:p w14:paraId="3DD6D306"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《生产安全事故应急预案管理办法》（国家安全生产监督管理总局令第</w:t>
      </w:r>
      <w:r>
        <w:rPr>
          <w:rFonts w:cs="仿宋" w:hint="eastAsia"/>
          <w:color w:val="000000"/>
          <w:szCs w:val="28"/>
        </w:rPr>
        <w:t>88</w:t>
      </w:r>
      <w:r>
        <w:rPr>
          <w:rFonts w:cs="仿宋" w:hint="eastAsia"/>
          <w:color w:val="000000"/>
          <w:szCs w:val="28"/>
        </w:rPr>
        <w:t>号，应急部令第</w:t>
      </w:r>
      <w:r>
        <w:rPr>
          <w:rFonts w:cs="仿宋" w:hint="eastAsia"/>
          <w:color w:val="000000"/>
          <w:szCs w:val="28"/>
        </w:rPr>
        <w:t>2</w:t>
      </w:r>
      <w:r>
        <w:rPr>
          <w:rFonts w:cs="仿宋" w:hint="eastAsia"/>
          <w:color w:val="000000"/>
          <w:szCs w:val="28"/>
        </w:rPr>
        <w:t>号修订，</w:t>
      </w:r>
      <w:r>
        <w:rPr>
          <w:rFonts w:cs="仿宋" w:hint="eastAsia"/>
          <w:color w:val="000000"/>
          <w:szCs w:val="28"/>
        </w:rPr>
        <w:t>2019</w:t>
      </w:r>
      <w:r>
        <w:rPr>
          <w:rFonts w:cs="仿宋" w:hint="eastAsia"/>
          <w:color w:val="000000"/>
          <w:szCs w:val="28"/>
        </w:rPr>
        <w:t>年</w:t>
      </w:r>
      <w:r>
        <w:rPr>
          <w:rFonts w:cs="仿宋" w:hint="eastAsia"/>
          <w:color w:val="000000"/>
          <w:szCs w:val="28"/>
        </w:rPr>
        <w:t>09</w:t>
      </w:r>
      <w:r>
        <w:rPr>
          <w:rFonts w:cs="仿宋" w:hint="eastAsia"/>
          <w:color w:val="000000"/>
          <w:szCs w:val="28"/>
        </w:rPr>
        <w:t>月</w:t>
      </w:r>
      <w:r>
        <w:rPr>
          <w:rFonts w:cs="仿宋" w:hint="eastAsia"/>
          <w:color w:val="000000"/>
          <w:szCs w:val="28"/>
        </w:rPr>
        <w:t>01</w:t>
      </w:r>
      <w:r>
        <w:rPr>
          <w:rFonts w:cs="仿宋" w:hint="eastAsia"/>
          <w:color w:val="000000"/>
          <w:szCs w:val="28"/>
        </w:rPr>
        <w:t>日施行）。</w:t>
      </w:r>
    </w:p>
    <w:p w14:paraId="756A6EE2"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《矿山地质环境保护规定》（自然资源部令第五号令，</w:t>
      </w:r>
      <w:r>
        <w:rPr>
          <w:rFonts w:cs="仿宋" w:hint="eastAsia"/>
          <w:color w:val="000000"/>
          <w:szCs w:val="28"/>
        </w:rPr>
        <w:t>2015</w:t>
      </w:r>
      <w:r>
        <w:rPr>
          <w:rFonts w:cs="仿宋" w:hint="eastAsia"/>
          <w:color w:val="000000"/>
          <w:szCs w:val="28"/>
        </w:rPr>
        <w:t>年</w:t>
      </w:r>
      <w:r>
        <w:rPr>
          <w:rFonts w:cs="仿宋" w:hint="eastAsia"/>
          <w:color w:val="000000"/>
          <w:szCs w:val="28"/>
        </w:rPr>
        <w:t>05</w:t>
      </w:r>
      <w:r>
        <w:rPr>
          <w:rFonts w:cs="仿宋" w:hint="eastAsia"/>
          <w:color w:val="000000"/>
          <w:szCs w:val="28"/>
        </w:rPr>
        <w:t>月</w:t>
      </w:r>
      <w:r>
        <w:rPr>
          <w:rFonts w:cs="仿宋" w:hint="eastAsia"/>
          <w:color w:val="000000"/>
          <w:szCs w:val="28"/>
        </w:rPr>
        <w:t>06</w:t>
      </w:r>
      <w:r>
        <w:rPr>
          <w:rFonts w:cs="仿宋" w:hint="eastAsia"/>
          <w:color w:val="000000"/>
          <w:szCs w:val="28"/>
        </w:rPr>
        <w:t>日国土资源部第</w:t>
      </w:r>
      <w:r>
        <w:rPr>
          <w:rFonts w:cs="仿宋" w:hint="eastAsia"/>
          <w:color w:val="000000"/>
          <w:szCs w:val="28"/>
        </w:rPr>
        <w:t>2</w:t>
      </w:r>
      <w:r>
        <w:rPr>
          <w:rFonts w:cs="仿宋" w:hint="eastAsia"/>
          <w:color w:val="000000"/>
          <w:szCs w:val="28"/>
        </w:rPr>
        <w:t>次部务会议第一次修正，</w:t>
      </w:r>
      <w:r>
        <w:rPr>
          <w:rFonts w:cs="仿宋" w:hint="eastAsia"/>
          <w:color w:val="000000"/>
          <w:szCs w:val="28"/>
        </w:rPr>
        <w:t>2016</w:t>
      </w:r>
      <w:r>
        <w:rPr>
          <w:rFonts w:cs="仿宋" w:hint="eastAsia"/>
          <w:color w:val="000000"/>
          <w:szCs w:val="28"/>
        </w:rPr>
        <w:t>年</w:t>
      </w:r>
      <w:r>
        <w:rPr>
          <w:rFonts w:cs="仿宋" w:hint="eastAsia"/>
          <w:color w:val="000000"/>
          <w:szCs w:val="28"/>
        </w:rPr>
        <w:t>1</w:t>
      </w:r>
      <w:r>
        <w:rPr>
          <w:rFonts w:cs="仿宋" w:hint="eastAsia"/>
          <w:color w:val="000000"/>
          <w:szCs w:val="28"/>
        </w:rPr>
        <w:t>月</w:t>
      </w:r>
      <w:r>
        <w:rPr>
          <w:rFonts w:cs="仿宋" w:hint="eastAsia"/>
          <w:color w:val="000000"/>
          <w:szCs w:val="28"/>
        </w:rPr>
        <w:t>5</w:t>
      </w:r>
      <w:r>
        <w:rPr>
          <w:rFonts w:cs="仿宋" w:hint="eastAsia"/>
          <w:color w:val="000000"/>
          <w:szCs w:val="28"/>
        </w:rPr>
        <w:t>日国土资源部第</w:t>
      </w:r>
      <w:r>
        <w:rPr>
          <w:rFonts w:cs="仿宋" w:hint="eastAsia"/>
          <w:color w:val="000000"/>
          <w:szCs w:val="28"/>
        </w:rPr>
        <w:t>1</w:t>
      </w:r>
      <w:r>
        <w:rPr>
          <w:rFonts w:cs="仿宋" w:hint="eastAsia"/>
          <w:color w:val="000000"/>
          <w:szCs w:val="28"/>
        </w:rPr>
        <w:t>次部务会议第二次修正，</w:t>
      </w:r>
      <w:r>
        <w:rPr>
          <w:rFonts w:cs="仿宋" w:hint="eastAsia"/>
          <w:color w:val="000000"/>
          <w:szCs w:val="28"/>
        </w:rPr>
        <w:t>2019</w:t>
      </w:r>
      <w:r>
        <w:rPr>
          <w:rFonts w:cs="仿宋" w:hint="eastAsia"/>
          <w:color w:val="000000"/>
          <w:szCs w:val="28"/>
        </w:rPr>
        <w:t>年</w:t>
      </w:r>
      <w:r>
        <w:rPr>
          <w:rFonts w:cs="仿宋" w:hint="eastAsia"/>
          <w:color w:val="000000"/>
          <w:szCs w:val="28"/>
        </w:rPr>
        <w:t>7</w:t>
      </w:r>
      <w:r>
        <w:rPr>
          <w:rFonts w:cs="仿宋" w:hint="eastAsia"/>
          <w:color w:val="000000"/>
          <w:szCs w:val="28"/>
        </w:rPr>
        <w:t>月</w:t>
      </w:r>
      <w:r>
        <w:rPr>
          <w:rFonts w:cs="仿宋" w:hint="eastAsia"/>
          <w:color w:val="000000"/>
          <w:szCs w:val="28"/>
        </w:rPr>
        <w:t>16</w:t>
      </w:r>
      <w:r>
        <w:rPr>
          <w:rFonts w:cs="仿宋" w:hint="eastAsia"/>
          <w:color w:val="000000"/>
          <w:szCs w:val="28"/>
        </w:rPr>
        <w:t>日自然资源部第</w:t>
      </w:r>
      <w:r>
        <w:rPr>
          <w:rFonts w:cs="仿宋" w:hint="eastAsia"/>
          <w:color w:val="000000"/>
          <w:szCs w:val="28"/>
        </w:rPr>
        <w:t>2</w:t>
      </w:r>
      <w:r>
        <w:rPr>
          <w:rFonts w:cs="仿宋" w:hint="eastAsia"/>
          <w:color w:val="000000"/>
          <w:szCs w:val="28"/>
        </w:rPr>
        <w:t>次部务会议第三次修正，</w:t>
      </w:r>
      <w:r>
        <w:rPr>
          <w:rFonts w:cs="仿宋" w:hint="eastAsia"/>
          <w:color w:val="000000"/>
          <w:szCs w:val="28"/>
        </w:rPr>
        <w:t>2019</w:t>
      </w:r>
      <w:r>
        <w:rPr>
          <w:rFonts w:cs="仿宋" w:hint="eastAsia"/>
          <w:color w:val="000000"/>
          <w:szCs w:val="28"/>
        </w:rPr>
        <w:t>年</w:t>
      </w:r>
      <w:r>
        <w:rPr>
          <w:rFonts w:cs="仿宋" w:hint="eastAsia"/>
          <w:color w:val="000000"/>
          <w:szCs w:val="28"/>
        </w:rPr>
        <w:t>07</w:t>
      </w:r>
      <w:r>
        <w:rPr>
          <w:rFonts w:cs="仿宋" w:hint="eastAsia"/>
          <w:color w:val="000000"/>
          <w:szCs w:val="28"/>
        </w:rPr>
        <w:t>月</w:t>
      </w:r>
      <w:r>
        <w:rPr>
          <w:rFonts w:cs="仿宋" w:hint="eastAsia"/>
          <w:color w:val="000000"/>
          <w:szCs w:val="28"/>
        </w:rPr>
        <w:t>24</w:t>
      </w:r>
      <w:r>
        <w:rPr>
          <w:rFonts w:cs="仿宋" w:hint="eastAsia"/>
          <w:color w:val="000000"/>
          <w:szCs w:val="28"/>
        </w:rPr>
        <w:t>日施行）；</w:t>
      </w:r>
    </w:p>
    <w:p w14:paraId="0F2CCEEA"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《建设项目安全设施“三同时”监督管理办法》（国家安全生产监督管理总局令第</w:t>
      </w:r>
      <w:r>
        <w:rPr>
          <w:rFonts w:cs="仿宋" w:hint="eastAsia"/>
          <w:color w:val="000000"/>
          <w:szCs w:val="28"/>
        </w:rPr>
        <w:t>36</w:t>
      </w:r>
      <w:r>
        <w:rPr>
          <w:rFonts w:cs="仿宋" w:hint="eastAsia"/>
          <w:color w:val="000000"/>
          <w:szCs w:val="28"/>
        </w:rPr>
        <w:t>号，国家安全生产监督总局</w:t>
      </w:r>
      <w:r>
        <w:rPr>
          <w:rFonts w:cs="仿宋" w:hint="eastAsia"/>
          <w:color w:val="000000"/>
          <w:szCs w:val="28"/>
        </w:rPr>
        <w:t>77</w:t>
      </w:r>
      <w:r>
        <w:rPr>
          <w:rFonts w:cs="仿宋" w:hint="eastAsia"/>
          <w:color w:val="000000"/>
          <w:szCs w:val="28"/>
        </w:rPr>
        <w:t>号令修订，</w:t>
      </w:r>
      <w:r>
        <w:rPr>
          <w:rFonts w:cs="仿宋" w:hint="eastAsia"/>
          <w:color w:val="000000"/>
          <w:szCs w:val="28"/>
        </w:rPr>
        <w:t>2015</w:t>
      </w:r>
      <w:r>
        <w:rPr>
          <w:rFonts w:cs="仿宋" w:hint="eastAsia"/>
          <w:color w:val="000000"/>
          <w:szCs w:val="28"/>
        </w:rPr>
        <w:t>年</w:t>
      </w:r>
      <w:r>
        <w:rPr>
          <w:rFonts w:cs="仿宋" w:hint="eastAsia"/>
          <w:color w:val="000000"/>
          <w:szCs w:val="28"/>
        </w:rPr>
        <w:t>05</w:t>
      </w:r>
      <w:r>
        <w:rPr>
          <w:rFonts w:cs="仿宋" w:hint="eastAsia"/>
          <w:color w:val="000000"/>
          <w:szCs w:val="28"/>
        </w:rPr>
        <w:t>月</w:t>
      </w:r>
      <w:r>
        <w:rPr>
          <w:rFonts w:cs="仿宋" w:hint="eastAsia"/>
          <w:color w:val="000000"/>
          <w:szCs w:val="28"/>
        </w:rPr>
        <w:t>01</w:t>
      </w:r>
      <w:r>
        <w:rPr>
          <w:rFonts w:cs="仿宋" w:hint="eastAsia"/>
          <w:color w:val="000000"/>
          <w:szCs w:val="28"/>
        </w:rPr>
        <w:t>日实施）。</w:t>
      </w:r>
    </w:p>
    <w:p w14:paraId="450A8F65"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《金属非金属矿山建设项目安全设施目录（试行）》（国家安全生产监督管理总局令第</w:t>
      </w:r>
      <w:r>
        <w:rPr>
          <w:rFonts w:cs="仿宋" w:hint="eastAsia"/>
          <w:color w:val="000000"/>
          <w:szCs w:val="28"/>
        </w:rPr>
        <w:t>75</w:t>
      </w:r>
      <w:r>
        <w:rPr>
          <w:rFonts w:cs="仿宋" w:hint="eastAsia"/>
          <w:color w:val="000000"/>
          <w:szCs w:val="28"/>
        </w:rPr>
        <w:t>号，</w:t>
      </w:r>
      <w:r>
        <w:rPr>
          <w:rFonts w:cs="仿宋" w:hint="eastAsia"/>
          <w:color w:val="000000"/>
          <w:szCs w:val="28"/>
        </w:rPr>
        <w:t>2015</w:t>
      </w:r>
      <w:r>
        <w:rPr>
          <w:rFonts w:cs="仿宋" w:hint="eastAsia"/>
          <w:color w:val="000000"/>
          <w:szCs w:val="28"/>
        </w:rPr>
        <w:t>年</w:t>
      </w:r>
      <w:r>
        <w:rPr>
          <w:rFonts w:cs="仿宋" w:hint="eastAsia"/>
          <w:color w:val="000000"/>
          <w:szCs w:val="28"/>
        </w:rPr>
        <w:t>07</w:t>
      </w:r>
      <w:r>
        <w:rPr>
          <w:rFonts w:cs="仿宋" w:hint="eastAsia"/>
          <w:color w:val="000000"/>
          <w:szCs w:val="28"/>
        </w:rPr>
        <w:t>月</w:t>
      </w:r>
      <w:r>
        <w:rPr>
          <w:rFonts w:cs="仿宋" w:hint="eastAsia"/>
          <w:color w:val="000000"/>
          <w:szCs w:val="28"/>
        </w:rPr>
        <w:t>01</w:t>
      </w:r>
      <w:r>
        <w:rPr>
          <w:rFonts w:cs="仿宋" w:hint="eastAsia"/>
          <w:color w:val="000000"/>
          <w:szCs w:val="28"/>
        </w:rPr>
        <w:t>日施行）。</w:t>
      </w:r>
    </w:p>
    <w:p w14:paraId="412BEBDC"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《国务院关于进一步加强企业安全生产工作的通知》（国发</w:t>
      </w:r>
      <w:r>
        <w:rPr>
          <w:rFonts w:cs="仿宋" w:hint="eastAsia"/>
          <w:color w:val="000000"/>
          <w:szCs w:val="28"/>
        </w:rPr>
        <w:lastRenderedPageBreak/>
        <w:t>〔</w:t>
      </w:r>
      <w:r>
        <w:rPr>
          <w:rFonts w:cs="仿宋" w:hint="eastAsia"/>
          <w:color w:val="000000"/>
          <w:szCs w:val="28"/>
        </w:rPr>
        <w:t>2010</w:t>
      </w:r>
      <w:r>
        <w:rPr>
          <w:rFonts w:cs="仿宋" w:hint="eastAsia"/>
          <w:color w:val="000000"/>
          <w:szCs w:val="28"/>
        </w:rPr>
        <w:t>〕</w:t>
      </w:r>
      <w:r>
        <w:rPr>
          <w:rFonts w:cs="仿宋" w:hint="eastAsia"/>
          <w:color w:val="000000"/>
          <w:szCs w:val="28"/>
        </w:rPr>
        <w:t>23</w:t>
      </w:r>
      <w:r>
        <w:rPr>
          <w:rFonts w:cs="仿宋" w:hint="eastAsia"/>
          <w:color w:val="000000"/>
          <w:szCs w:val="28"/>
        </w:rPr>
        <w:t>号，</w:t>
      </w:r>
      <w:r>
        <w:rPr>
          <w:rFonts w:cs="仿宋" w:hint="eastAsia"/>
          <w:color w:val="000000"/>
          <w:szCs w:val="28"/>
        </w:rPr>
        <w:t>2010</w:t>
      </w:r>
      <w:r>
        <w:rPr>
          <w:rFonts w:cs="仿宋" w:hint="eastAsia"/>
          <w:color w:val="000000"/>
          <w:szCs w:val="28"/>
        </w:rPr>
        <w:t>年</w:t>
      </w:r>
      <w:r>
        <w:rPr>
          <w:rFonts w:cs="仿宋" w:hint="eastAsia"/>
          <w:color w:val="000000"/>
          <w:szCs w:val="28"/>
        </w:rPr>
        <w:t>07</w:t>
      </w:r>
      <w:r>
        <w:rPr>
          <w:rFonts w:cs="仿宋" w:hint="eastAsia"/>
          <w:color w:val="000000"/>
          <w:szCs w:val="28"/>
        </w:rPr>
        <w:t>月</w:t>
      </w:r>
      <w:r>
        <w:rPr>
          <w:rFonts w:cs="仿宋" w:hint="eastAsia"/>
          <w:color w:val="000000"/>
          <w:szCs w:val="28"/>
        </w:rPr>
        <w:t>19</w:t>
      </w:r>
      <w:r>
        <w:rPr>
          <w:rFonts w:cs="仿宋" w:hint="eastAsia"/>
          <w:color w:val="000000"/>
          <w:szCs w:val="28"/>
        </w:rPr>
        <w:t>日发布）。</w:t>
      </w:r>
    </w:p>
    <w:p w14:paraId="4D042C6A"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《关于金属非金属矿山禁止使用的设备及工艺目录（第一批）的通知》（安监总管一〔</w:t>
      </w:r>
      <w:r>
        <w:rPr>
          <w:rFonts w:cs="仿宋" w:hint="eastAsia"/>
          <w:color w:val="000000"/>
          <w:szCs w:val="28"/>
        </w:rPr>
        <w:t>2013</w:t>
      </w:r>
      <w:r>
        <w:rPr>
          <w:rFonts w:cs="仿宋" w:hint="eastAsia"/>
          <w:color w:val="000000"/>
          <w:szCs w:val="28"/>
        </w:rPr>
        <w:t>〕</w:t>
      </w:r>
      <w:r>
        <w:rPr>
          <w:rFonts w:cs="仿宋" w:hint="eastAsia"/>
          <w:color w:val="000000"/>
          <w:szCs w:val="28"/>
        </w:rPr>
        <w:t>101</w:t>
      </w:r>
      <w:r>
        <w:rPr>
          <w:rFonts w:cs="仿宋" w:hint="eastAsia"/>
          <w:color w:val="000000"/>
          <w:szCs w:val="28"/>
        </w:rPr>
        <w:t>号，</w:t>
      </w:r>
      <w:r>
        <w:rPr>
          <w:rFonts w:cs="仿宋" w:hint="eastAsia"/>
          <w:color w:val="000000"/>
          <w:szCs w:val="28"/>
        </w:rPr>
        <w:t>2013</w:t>
      </w:r>
      <w:r>
        <w:rPr>
          <w:rFonts w:cs="仿宋" w:hint="eastAsia"/>
          <w:color w:val="000000"/>
          <w:szCs w:val="28"/>
        </w:rPr>
        <w:t>年</w:t>
      </w:r>
      <w:r>
        <w:rPr>
          <w:rFonts w:cs="仿宋" w:hint="eastAsia"/>
          <w:color w:val="000000"/>
          <w:szCs w:val="28"/>
        </w:rPr>
        <w:t>09</w:t>
      </w:r>
      <w:r>
        <w:rPr>
          <w:rFonts w:cs="仿宋" w:hint="eastAsia"/>
          <w:color w:val="000000"/>
          <w:szCs w:val="28"/>
        </w:rPr>
        <w:t>月</w:t>
      </w:r>
      <w:r>
        <w:rPr>
          <w:rFonts w:cs="仿宋" w:hint="eastAsia"/>
          <w:color w:val="000000"/>
          <w:szCs w:val="28"/>
        </w:rPr>
        <w:t>06</w:t>
      </w:r>
      <w:r>
        <w:rPr>
          <w:rFonts w:cs="仿宋" w:hint="eastAsia"/>
          <w:color w:val="000000"/>
          <w:szCs w:val="28"/>
        </w:rPr>
        <w:t>日施行）。</w:t>
      </w:r>
    </w:p>
    <w:p w14:paraId="3428C203"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《国家安全监管总局关于发布金属非金属矿山禁止使用的设备及工艺目录（第二批）的通知》（安监总管一〔</w:t>
      </w:r>
      <w:r>
        <w:rPr>
          <w:rFonts w:cs="仿宋" w:hint="eastAsia"/>
          <w:color w:val="000000"/>
          <w:szCs w:val="28"/>
        </w:rPr>
        <w:t>2015</w:t>
      </w:r>
      <w:r>
        <w:rPr>
          <w:rFonts w:cs="仿宋" w:hint="eastAsia"/>
          <w:color w:val="000000"/>
          <w:szCs w:val="28"/>
        </w:rPr>
        <w:t>〕</w:t>
      </w:r>
      <w:r>
        <w:rPr>
          <w:rFonts w:cs="仿宋" w:hint="eastAsia"/>
          <w:color w:val="000000"/>
          <w:szCs w:val="28"/>
        </w:rPr>
        <w:t>13</w:t>
      </w:r>
      <w:r>
        <w:rPr>
          <w:rFonts w:cs="仿宋" w:hint="eastAsia"/>
          <w:color w:val="000000"/>
          <w:szCs w:val="28"/>
        </w:rPr>
        <w:t>号，</w:t>
      </w:r>
      <w:r>
        <w:rPr>
          <w:rFonts w:cs="仿宋" w:hint="eastAsia"/>
          <w:color w:val="000000"/>
          <w:szCs w:val="28"/>
        </w:rPr>
        <w:t>2015</w:t>
      </w:r>
      <w:r>
        <w:rPr>
          <w:rFonts w:cs="仿宋" w:hint="eastAsia"/>
          <w:color w:val="000000"/>
          <w:szCs w:val="28"/>
        </w:rPr>
        <w:t>年</w:t>
      </w:r>
      <w:r>
        <w:rPr>
          <w:rFonts w:cs="仿宋" w:hint="eastAsia"/>
          <w:color w:val="000000"/>
          <w:szCs w:val="28"/>
        </w:rPr>
        <w:t>02</w:t>
      </w:r>
      <w:r>
        <w:rPr>
          <w:rFonts w:cs="仿宋" w:hint="eastAsia"/>
          <w:color w:val="000000"/>
          <w:szCs w:val="28"/>
        </w:rPr>
        <w:t>月</w:t>
      </w:r>
      <w:r>
        <w:rPr>
          <w:rFonts w:cs="仿宋" w:hint="eastAsia"/>
          <w:color w:val="000000"/>
          <w:szCs w:val="28"/>
        </w:rPr>
        <w:t>13</w:t>
      </w:r>
      <w:r>
        <w:rPr>
          <w:rFonts w:cs="仿宋" w:hint="eastAsia"/>
          <w:color w:val="000000"/>
          <w:szCs w:val="28"/>
        </w:rPr>
        <w:t>日施行）。</w:t>
      </w:r>
    </w:p>
    <w:p w14:paraId="1AA7CF53"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《国家矿山安全监察局关于印发</w:t>
      </w:r>
      <w:r>
        <w:rPr>
          <w:rFonts w:cs="仿宋" w:hint="eastAsia"/>
          <w:color w:val="000000"/>
          <w:szCs w:val="28"/>
        </w:rPr>
        <w:t>&lt;</w:t>
      </w:r>
      <w:r>
        <w:rPr>
          <w:rFonts w:cs="仿宋" w:hint="eastAsia"/>
          <w:color w:val="000000"/>
          <w:szCs w:val="28"/>
        </w:rPr>
        <w:t>非煤矿山建设项目安全设施重大变更范围</w:t>
      </w:r>
      <w:r>
        <w:rPr>
          <w:rFonts w:cs="仿宋" w:hint="eastAsia"/>
          <w:color w:val="000000"/>
          <w:szCs w:val="28"/>
        </w:rPr>
        <w:t>&gt;</w:t>
      </w:r>
      <w:r>
        <w:rPr>
          <w:rFonts w:cs="仿宋" w:hint="eastAsia"/>
          <w:color w:val="000000"/>
          <w:szCs w:val="28"/>
        </w:rPr>
        <w:t>的通知》（矿安〔</w:t>
      </w:r>
      <w:r>
        <w:rPr>
          <w:rFonts w:cs="仿宋" w:hint="eastAsia"/>
          <w:color w:val="000000"/>
          <w:szCs w:val="28"/>
        </w:rPr>
        <w:t>2023</w:t>
      </w:r>
      <w:r>
        <w:rPr>
          <w:rFonts w:cs="仿宋" w:hint="eastAsia"/>
          <w:color w:val="000000"/>
          <w:szCs w:val="28"/>
        </w:rPr>
        <w:t>〕</w:t>
      </w:r>
      <w:r>
        <w:rPr>
          <w:rFonts w:cs="仿宋" w:hint="eastAsia"/>
          <w:color w:val="000000"/>
          <w:szCs w:val="28"/>
        </w:rPr>
        <w:t>147</w:t>
      </w:r>
      <w:r>
        <w:rPr>
          <w:rFonts w:cs="仿宋" w:hint="eastAsia"/>
          <w:color w:val="000000"/>
          <w:szCs w:val="28"/>
        </w:rPr>
        <w:t>号，</w:t>
      </w:r>
      <w:r>
        <w:rPr>
          <w:rFonts w:cs="仿宋" w:hint="eastAsia"/>
          <w:color w:val="000000"/>
          <w:szCs w:val="28"/>
        </w:rPr>
        <w:t>2023</w:t>
      </w:r>
      <w:r>
        <w:rPr>
          <w:rFonts w:cs="仿宋" w:hint="eastAsia"/>
          <w:color w:val="000000"/>
          <w:szCs w:val="28"/>
        </w:rPr>
        <w:t>年</w:t>
      </w:r>
      <w:r>
        <w:rPr>
          <w:rFonts w:cs="仿宋" w:hint="eastAsia"/>
          <w:color w:val="000000"/>
          <w:szCs w:val="28"/>
        </w:rPr>
        <w:t>11</w:t>
      </w:r>
      <w:r>
        <w:rPr>
          <w:rFonts w:cs="仿宋" w:hint="eastAsia"/>
          <w:color w:val="000000"/>
          <w:szCs w:val="28"/>
        </w:rPr>
        <w:t>月</w:t>
      </w:r>
      <w:r>
        <w:rPr>
          <w:rFonts w:cs="仿宋" w:hint="eastAsia"/>
          <w:color w:val="000000"/>
          <w:szCs w:val="28"/>
        </w:rPr>
        <w:t>14</w:t>
      </w:r>
      <w:r>
        <w:rPr>
          <w:rFonts w:cs="仿宋" w:hint="eastAsia"/>
          <w:color w:val="000000"/>
          <w:szCs w:val="28"/>
        </w:rPr>
        <w:t>日发布）。</w:t>
      </w:r>
    </w:p>
    <w:p w14:paraId="32C95BA6"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《国务院安委会办公室关于学习宣传贯彻</w:t>
      </w:r>
      <w:r>
        <w:rPr>
          <w:rFonts w:cs="仿宋" w:hint="eastAsia"/>
          <w:color w:val="000000"/>
          <w:szCs w:val="28"/>
        </w:rPr>
        <w:t>&lt;</w:t>
      </w:r>
      <w:r>
        <w:rPr>
          <w:rFonts w:cs="仿宋" w:hint="eastAsia"/>
          <w:color w:val="000000"/>
          <w:szCs w:val="28"/>
        </w:rPr>
        <w:t>中共中央办公厅</w:t>
      </w:r>
      <w:r>
        <w:rPr>
          <w:rFonts w:cs="仿宋" w:hint="eastAsia"/>
          <w:color w:val="000000"/>
          <w:szCs w:val="28"/>
        </w:rPr>
        <w:t xml:space="preserve"> </w:t>
      </w:r>
      <w:r>
        <w:rPr>
          <w:rFonts w:cs="仿宋" w:hint="eastAsia"/>
          <w:color w:val="000000"/>
          <w:szCs w:val="28"/>
        </w:rPr>
        <w:t>国务院办公厅关于进一步加强矿山安全生产工作的意见</w:t>
      </w:r>
      <w:r>
        <w:rPr>
          <w:rFonts w:cs="仿宋" w:hint="eastAsia"/>
          <w:color w:val="000000"/>
          <w:szCs w:val="28"/>
        </w:rPr>
        <w:t>&gt;</w:t>
      </w:r>
      <w:r>
        <w:rPr>
          <w:rFonts w:cs="仿宋" w:hint="eastAsia"/>
          <w:color w:val="000000"/>
          <w:szCs w:val="28"/>
        </w:rPr>
        <w:t>的通知》（安委办〔</w:t>
      </w:r>
      <w:r>
        <w:rPr>
          <w:rFonts w:cs="仿宋" w:hint="eastAsia"/>
          <w:color w:val="000000"/>
          <w:szCs w:val="28"/>
        </w:rPr>
        <w:t>2023</w:t>
      </w:r>
      <w:r>
        <w:rPr>
          <w:rFonts w:cs="仿宋" w:hint="eastAsia"/>
          <w:color w:val="000000"/>
          <w:szCs w:val="28"/>
        </w:rPr>
        <w:t>〕</w:t>
      </w:r>
      <w:r>
        <w:rPr>
          <w:rFonts w:cs="仿宋" w:hint="eastAsia"/>
          <w:color w:val="000000"/>
          <w:szCs w:val="28"/>
        </w:rPr>
        <w:t>7</w:t>
      </w:r>
      <w:r>
        <w:rPr>
          <w:rFonts w:cs="仿宋" w:hint="eastAsia"/>
          <w:color w:val="000000"/>
          <w:szCs w:val="28"/>
        </w:rPr>
        <w:t>号，</w:t>
      </w:r>
      <w:r>
        <w:rPr>
          <w:rFonts w:cs="仿宋" w:hint="eastAsia"/>
          <w:color w:val="000000"/>
          <w:szCs w:val="28"/>
        </w:rPr>
        <w:t>2023</w:t>
      </w:r>
      <w:r>
        <w:rPr>
          <w:rFonts w:cs="仿宋" w:hint="eastAsia"/>
          <w:color w:val="000000"/>
          <w:szCs w:val="28"/>
        </w:rPr>
        <w:t>年</w:t>
      </w:r>
      <w:r>
        <w:rPr>
          <w:rFonts w:cs="仿宋" w:hint="eastAsia"/>
          <w:color w:val="000000"/>
          <w:szCs w:val="28"/>
        </w:rPr>
        <w:t>9</w:t>
      </w:r>
      <w:r>
        <w:rPr>
          <w:rFonts w:cs="仿宋" w:hint="eastAsia"/>
          <w:color w:val="000000"/>
          <w:szCs w:val="28"/>
        </w:rPr>
        <w:t>月</w:t>
      </w:r>
      <w:r>
        <w:rPr>
          <w:rFonts w:cs="仿宋" w:hint="eastAsia"/>
          <w:color w:val="000000"/>
          <w:szCs w:val="28"/>
        </w:rPr>
        <w:t>9</w:t>
      </w:r>
      <w:r>
        <w:rPr>
          <w:rFonts w:cs="仿宋" w:hint="eastAsia"/>
          <w:color w:val="000000"/>
          <w:szCs w:val="28"/>
        </w:rPr>
        <w:t>日发布）。</w:t>
      </w:r>
    </w:p>
    <w:p w14:paraId="71CDC77E"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《国家矿山安全监察局关于印发</w:t>
      </w:r>
      <w:r>
        <w:rPr>
          <w:rFonts w:cs="仿宋" w:hint="eastAsia"/>
          <w:color w:val="000000"/>
          <w:szCs w:val="28"/>
        </w:rPr>
        <w:t>&lt;</w:t>
      </w:r>
      <w:r>
        <w:rPr>
          <w:rFonts w:cs="仿宋" w:hint="eastAsia"/>
          <w:color w:val="000000"/>
          <w:szCs w:val="28"/>
        </w:rPr>
        <w:t>金属非金属矿山重大事故隐患判定标准</w:t>
      </w:r>
      <w:r>
        <w:rPr>
          <w:rFonts w:cs="仿宋" w:hint="eastAsia"/>
          <w:color w:val="000000"/>
          <w:szCs w:val="28"/>
        </w:rPr>
        <w:t>&gt;</w:t>
      </w:r>
      <w:r>
        <w:rPr>
          <w:rFonts w:cs="仿宋" w:hint="eastAsia"/>
          <w:color w:val="000000"/>
          <w:szCs w:val="28"/>
        </w:rPr>
        <w:t>的通知》（矿安〔</w:t>
      </w:r>
      <w:r>
        <w:rPr>
          <w:rFonts w:cs="仿宋" w:hint="eastAsia"/>
          <w:color w:val="000000"/>
          <w:szCs w:val="28"/>
        </w:rPr>
        <w:t>2022</w:t>
      </w:r>
      <w:r>
        <w:rPr>
          <w:rFonts w:cs="仿宋" w:hint="eastAsia"/>
          <w:color w:val="000000"/>
          <w:szCs w:val="28"/>
        </w:rPr>
        <w:t>〕</w:t>
      </w:r>
      <w:r>
        <w:rPr>
          <w:rFonts w:cs="仿宋" w:hint="eastAsia"/>
          <w:color w:val="000000"/>
          <w:szCs w:val="28"/>
        </w:rPr>
        <w:t>88</w:t>
      </w:r>
      <w:r>
        <w:rPr>
          <w:rFonts w:cs="仿宋" w:hint="eastAsia"/>
          <w:color w:val="000000"/>
          <w:szCs w:val="28"/>
        </w:rPr>
        <w:t>号，</w:t>
      </w:r>
      <w:r>
        <w:rPr>
          <w:rFonts w:cs="仿宋" w:hint="eastAsia"/>
          <w:color w:val="000000"/>
          <w:szCs w:val="28"/>
        </w:rPr>
        <w:t>2022</w:t>
      </w:r>
      <w:r>
        <w:rPr>
          <w:rFonts w:cs="仿宋" w:hint="eastAsia"/>
          <w:color w:val="000000"/>
          <w:szCs w:val="28"/>
        </w:rPr>
        <w:t>年</w:t>
      </w:r>
      <w:r>
        <w:rPr>
          <w:rFonts w:cs="仿宋" w:hint="eastAsia"/>
          <w:color w:val="000000"/>
          <w:szCs w:val="28"/>
        </w:rPr>
        <w:t>7</w:t>
      </w:r>
      <w:r>
        <w:rPr>
          <w:rFonts w:cs="仿宋" w:hint="eastAsia"/>
          <w:color w:val="000000"/>
          <w:szCs w:val="28"/>
        </w:rPr>
        <w:t>月</w:t>
      </w:r>
      <w:r>
        <w:rPr>
          <w:rFonts w:cs="仿宋" w:hint="eastAsia"/>
          <w:color w:val="000000"/>
          <w:szCs w:val="28"/>
        </w:rPr>
        <w:t>8</w:t>
      </w:r>
      <w:r>
        <w:rPr>
          <w:rFonts w:cs="仿宋" w:hint="eastAsia"/>
          <w:color w:val="000000"/>
          <w:szCs w:val="28"/>
        </w:rPr>
        <w:t>日施行）</w:t>
      </w:r>
    </w:p>
    <w:p w14:paraId="7E6B24F4"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《国家安全监管总局关于印发金属非金属矿山建设项目安全评价报告编写提纲的通知》（安监总管一〔</w:t>
      </w:r>
      <w:r>
        <w:rPr>
          <w:rFonts w:cs="仿宋" w:hint="eastAsia"/>
          <w:color w:val="000000"/>
          <w:szCs w:val="28"/>
        </w:rPr>
        <w:t>2016</w:t>
      </w:r>
      <w:r>
        <w:rPr>
          <w:rFonts w:cs="仿宋" w:hint="eastAsia"/>
          <w:color w:val="000000"/>
          <w:szCs w:val="28"/>
        </w:rPr>
        <w:t>〕</w:t>
      </w:r>
      <w:r>
        <w:rPr>
          <w:rFonts w:cs="仿宋" w:hint="eastAsia"/>
          <w:color w:val="000000"/>
          <w:szCs w:val="28"/>
        </w:rPr>
        <w:t>49</w:t>
      </w:r>
      <w:r>
        <w:rPr>
          <w:rFonts w:cs="仿宋" w:hint="eastAsia"/>
          <w:color w:val="000000"/>
          <w:szCs w:val="28"/>
        </w:rPr>
        <w:t>号，</w:t>
      </w:r>
      <w:r>
        <w:rPr>
          <w:rFonts w:cs="仿宋" w:hint="eastAsia"/>
          <w:color w:val="000000"/>
          <w:szCs w:val="28"/>
        </w:rPr>
        <w:t>2016</w:t>
      </w:r>
      <w:r>
        <w:rPr>
          <w:rFonts w:cs="仿宋" w:hint="eastAsia"/>
          <w:color w:val="000000"/>
          <w:szCs w:val="28"/>
        </w:rPr>
        <w:t>年</w:t>
      </w:r>
      <w:r>
        <w:rPr>
          <w:rFonts w:cs="仿宋" w:hint="eastAsia"/>
          <w:color w:val="000000"/>
          <w:szCs w:val="28"/>
        </w:rPr>
        <w:t>05</w:t>
      </w:r>
      <w:r>
        <w:rPr>
          <w:rFonts w:cs="仿宋" w:hint="eastAsia"/>
          <w:color w:val="000000"/>
          <w:szCs w:val="28"/>
        </w:rPr>
        <w:t>月</w:t>
      </w:r>
      <w:r>
        <w:rPr>
          <w:rFonts w:cs="仿宋" w:hint="eastAsia"/>
          <w:color w:val="000000"/>
          <w:szCs w:val="28"/>
        </w:rPr>
        <w:t>30</w:t>
      </w:r>
      <w:r>
        <w:rPr>
          <w:rFonts w:cs="仿宋" w:hint="eastAsia"/>
          <w:color w:val="000000"/>
          <w:szCs w:val="28"/>
        </w:rPr>
        <w:t>日发布施行）。</w:t>
      </w:r>
    </w:p>
    <w:p w14:paraId="6F75B254"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《关于印发</w:t>
      </w:r>
      <w:r>
        <w:rPr>
          <w:rFonts w:cs="仿宋" w:hint="eastAsia"/>
          <w:color w:val="000000"/>
          <w:szCs w:val="28"/>
        </w:rPr>
        <w:t>&lt;</w:t>
      </w:r>
      <w:r>
        <w:rPr>
          <w:rFonts w:cs="仿宋" w:hint="eastAsia"/>
          <w:color w:val="000000"/>
          <w:szCs w:val="28"/>
        </w:rPr>
        <w:t>企业安全生产费用提取和使用管理办法</w:t>
      </w:r>
      <w:r>
        <w:rPr>
          <w:rFonts w:cs="仿宋" w:hint="eastAsia"/>
          <w:color w:val="000000"/>
          <w:szCs w:val="28"/>
        </w:rPr>
        <w:t>&gt;</w:t>
      </w:r>
      <w:r>
        <w:rPr>
          <w:rFonts w:cs="仿宋" w:hint="eastAsia"/>
          <w:color w:val="000000"/>
          <w:szCs w:val="28"/>
        </w:rPr>
        <w:t>的通知》（财资〔</w:t>
      </w:r>
      <w:r>
        <w:rPr>
          <w:rFonts w:cs="仿宋" w:hint="eastAsia"/>
          <w:color w:val="000000"/>
          <w:szCs w:val="28"/>
        </w:rPr>
        <w:t>2022</w:t>
      </w:r>
      <w:r>
        <w:rPr>
          <w:rFonts w:cs="仿宋" w:hint="eastAsia"/>
          <w:color w:val="000000"/>
          <w:szCs w:val="28"/>
        </w:rPr>
        <w:t>〕</w:t>
      </w:r>
      <w:r>
        <w:rPr>
          <w:rFonts w:cs="仿宋" w:hint="eastAsia"/>
          <w:color w:val="000000"/>
          <w:szCs w:val="28"/>
        </w:rPr>
        <w:t>136</w:t>
      </w:r>
      <w:r>
        <w:rPr>
          <w:rFonts w:cs="仿宋" w:hint="eastAsia"/>
          <w:color w:val="000000"/>
          <w:szCs w:val="28"/>
        </w:rPr>
        <w:t>号，</w:t>
      </w:r>
      <w:r>
        <w:rPr>
          <w:rFonts w:cs="仿宋" w:hint="eastAsia"/>
          <w:color w:val="000000"/>
          <w:szCs w:val="28"/>
        </w:rPr>
        <w:t>2022</w:t>
      </w:r>
      <w:r>
        <w:rPr>
          <w:rFonts w:cs="仿宋" w:hint="eastAsia"/>
          <w:color w:val="000000"/>
          <w:szCs w:val="28"/>
        </w:rPr>
        <w:t>年</w:t>
      </w:r>
      <w:r>
        <w:rPr>
          <w:rFonts w:cs="仿宋" w:hint="eastAsia"/>
          <w:color w:val="000000"/>
          <w:szCs w:val="28"/>
        </w:rPr>
        <w:t>11</w:t>
      </w:r>
      <w:r>
        <w:rPr>
          <w:rFonts w:cs="仿宋" w:hint="eastAsia"/>
          <w:color w:val="000000"/>
          <w:szCs w:val="28"/>
        </w:rPr>
        <w:t>月</w:t>
      </w:r>
      <w:r>
        <w:rPr>
          <w:rFonts w:cs="仿宋" w:hint="eastAsia"/>
          <w:color w:val="000000"/>
          <w:szCs w:val="28"/>
        </w:rPr>
        <w:t>21</w:t>
      </w:r>
      <w:r>
        <w:rPr>
          <w:rFonts w:cs="仿宋" w:hint="eastAsia"/>
          <w:color w:val="000000"/>
          <w:szCs w:val="28"/>
        </w:rPr>
        <w:t>日发布）。</w:t>
      </w:r>
    </w:p>
    <w:p w14:paraId="11472CF1"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《国家矿山安全监察局关于印发</w:t>
      </w:r>
      <w:r>
        <w:rPr>
          <w:rFonts w:cs="仿宋" w:hint="eastAsia"/>
          <w:color w:val="000000"/>
          <w:szCs w:val="28"/>
        </w:rPr>
        <w:t>&lt;</w:t>
      </w:r>
      <w:r>
        <w:rPr>
          <w:rFonts w:cs="仿宋" w:hint="eastAsia"/>
          <w:color w:val="000000"/>
          <w:szCs w:val="28"/>
        </w:rPr>
        <w:t>关于加强非煤矿山安全生产工作的指导意见</w:t>
      </w:r>
      <w:r>
        <w:rPr>
          <w:rFonts w:cs="仿宋" w:hint="eastAsia"/>
          <w:color w:val="000000"/>
          <w:szCs w:val="28"/>
        </w:rPr>
        <w:t>&gt;</w:t>
      </w:r>
      <w:r>
        <w:rPr>
          <w:rFonts w:cs="仿宋" w:hint="eastAsia"/>
          <w:color w:val="000000"/>
          <w:szCs w:val="28"/>
        </w:rPr>
        <w:t>的通知》（矿安〔</w:t>
      </w:r>
      <w:r>
        <w:rPr>
          <w:rFonts w:cs="仿宋" w:hint="eastAsia"/>
          <w:color w:val="000000"/>
          <w:szCs w:val="28"/>
        </w:rPr>
        <w:t>2022</w:t>
      </w:r>
      <w:r>
        <w:rPr>
          <w:rFonts w:cs="仿宋" w:hint="eastAsia"/>
          <w:color w:val="000000"/>
          <w:szCs w:val="28"/>
        </w:rPr>
        <w:t>〕</w:t>
      </w:r>
      <w:r>
        <w:rPr>
          <w:rFonts w:cs="仿宋" w:hint="eastAsia"/>
          <w:color w:val="000000"/>
          <w:szCs w:val="28"/>
        </w:rPr>
        <w:t>4</w:t>
      </w:r>
      <w:r>
        <w:rPr>
          <w:rFonts w:cs="仿宋" w:hint="eastAsia"/>
          <w:color w:val="000000"/>
          <w:szCs w:val="28"/>
        </w:rPr>
        <w:t>号，</w:t>
      </w:r>
      <w:r>
        <w:rPr>
          <w:rFonts w:cs="仿宋" w:hint="eastAsia"/>
          <w:color w:val="000000"/>
          <w:szCs w:val="28"/>
        </w:rPr>
        <w:t>2022</w:t>
      </w:r>
      <w:r>
        <w:rPr>
          <w:rFonts w:cs="仿宋" w:hint="eastAsia"/>
          <w:color w:val="000000"/>
          <w:szCs w:val="28"/>
        </w:rPr>
        <w:t>年</w:t>
      </w:r>
      <w:r>
        <w:rPr>
          <w:rFonts w:cs="仿宋" w:hint="eastAsia"/>
          <w:color w:val="000000"/>
          <w:szCs w:val="28"/>
        </w:rPr>
        <w:t>2</w:t>
      </w:r>
      <w:r>
        <w:rPr>
          <w:rFonts w:cs="仿宋" w:hint="eastAsia"/>
          <w:color w:val="000000"/>
          <w:szCs w:val="28"/>
        </w:rPr>
        <w:t>月</w:t>
      </w:r>
      <w:r>
        <w:rPr>
          <w:rFonts w:cs="仿宋" w:hint="eastAsia"/>
          <w:color w:val="000000"/>
          <w:szCs w:val="28"/>
        </w:rPr>
        <w:t>8</w:t>
      </w:r>
      <w:r>
        <w:rPr>
          <w:rFonts w:cs="仿宋" w:hint="eastAsia"/>
          <w:color w:val="000000"/>
          <w:szCs w:val="28"/>
        </w:rPr>
        <w:t>日发布）。</w:t>
      </w:r>
    </w:p>
    <w:p w14:paraId="7293C6BB"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《国家矿山安全监察局关于印发执行安全标志管理的矿用产品目录的通知》（矿安〔</w:t>
      </w:r>
      <w:r>
        <w:rPr>
          <w:rFonts w:cs="仿宋" w:hint="eastAsia"/>
          <w:color w:val="000000"/>
          <w:szCs w:val="28"/>
        </w:rPr>
        <w:t>2022</w:t>
      </w:r>
      <w:r>
        <w:rPr>
          <w:rFonts w:cs="仿宋" w:hint="eastAsia"/>
          <w:color w:val="000000"/>
          <w:szCs w:val="28"/>
        </w:rPr>
        <w:t>〕</w:t>
      </w:r>
      <w:r>
        <w:rPr>
          <w:rFonts w:cs="仿宋" w:hint="eastAsia"/>
          <w:color w:val="000000"/>
          <w:szCs w:val="28"/>
        </w:rPr>
        <w:t>123</w:t>
      </w:r>
      <w:r>
        <w:rPr>
          <w:rFonts w:cs="仿宋" w:hint="eastAsia"/>
          <w:color w:val="000000"/>
          <w:szCs w:val="28"/>
        </w:rPr>
        <w:t>号，</w:t>
      </w:r>
      <w:r>
        <w:rPr>
          <w:rFonts w:cs="仿宋" w:hint="eastAsia"/>
          <w:color w:val="000000"/>
          <w:szCs w:val="28"/>
        </w:rPr>
        <w:t>2022</w:t>
      </w:r>
      <w:r>
        <w:rPr>
          <w:rFonts w:cs="仿宋" w:hint="eastAsia"/>
          <w:color w:val="000000"/>
          <w:szCs w:val="28"/>
        </w:rPr>
        <w:t>年</w:t>
      </w:r>
      <w:r>
        <w:rPr>
          <w:rFonts w:cs="仿宋" w:hint="eastAsia"/>
          <w:color w:val="000000"/>
          <w:szCs w:val="28"/>
        </w:rPr>
        <w:t>12</w:t>
      </w:r>
      <w:r>
        <w:rPr>
          <w:rFonts w:cs="仿宋" w:hint="eastAsia"/>
          <w:color w:val="000000"/>
          <w:szCs w:val="28"/>
        </w:rPr>
        <w:t>月</w:t>
      </w:r>
      <w:r>
        <w:rPr>
          <w:rFonts w:cs="仿宋" w:hint="eastAsia"/>
          <w:color w:val="000000"/>
          <w:szCs w:val="28"/>
        </w:rPr>
        <w:t>10</w:t>
      </w:r>
      <w:r>
        <w:rPr>
          <w:rFonts w:cs="仿宋" w:hint="eastAsia"/>
          <w:color w:val="000000"/>
          <w:szCs w:val="28"/>
        </w:rPr>
        <w:t>日施行）。</w:t>
      </w:r>
    </w:p>
    <w:p w14:paraId="2A3BE214"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《辽宁省安全生产条例》（辽宁省第十届人民代表大会常务委员会公告（第</w:t>
      </w:r>
      <w:r>
        <w:rPr>
          <w:rFonts w:cs="仿宋" w:hint="eastAsia"/>
          <w:color w:val="000000"/>
          <w:szCs w:val="28"/>
        </w:rPr>
        <w:t>61</w:t>
      </w:r>
      <w:r>
        <w:rPr>
          <w:rFonts w:cs="仿宋" w:hint="eastAsia"/>
          <w:color w:val="000000"/>
          <w:szCs w:val="28"/>
        </w:rPr>
        <w:t>号）</w:t>
      </w:r>
      <w:r>
        <w:rPr>
          <w:rFonts w:cs="仿宋" w:hint="eastAsia"/>
          <w:color w:val="000000"/>
          <w:szCs w:val="28"/>
        </w:rPr>
        <w:t>2020</w:t>
      </w:r>
      <w:r>
        <w:rPr>
          <w:rFonts w:cs="仿宋" w:hint="eastAsia"/>
          <w:color w:val="000000"/>
          <w:szCs w:val="28"/>
        </w:rPr>
        <w:t>年</w:t>
      </w:r>
      <w:r>
        <w:rPr>
          <w:rFonts w:cs="仿宋" w:hint="eastAsia"/>
          <w:color w:val="000000"/>
          <w:szCs w:val="28"/>
        </w:rPr>
        <w:t>3</w:t>
      </w:r>
      <w:r>
        <w:rPr>
          <w:rFonts w:cs="仿宋" w:hint="eastAsia"/>
          <w:color w:val="000000"/>
          <w:szCs w:val="28"/>
        </w:rPr>
        <w:t>月</w:t>
      </w:r>
      <w:r>
        <w:rPr>
          <w:rFonts w:cs="仿宋" w:hint="eastAsia"/>
          <w:color w:val="000000"/>
          <w:szCs w:val="28"/>
        </w:rPr>
        <w:t>30</w:t>
      </w:r>
      <w:r>
        <w:rPr>
          <w:rFonts w:cs="仿宋" w:hint="eastAsia"/>
          <w:color w:val="000000"/>
          <w:szCs w:val="28"/>
        </w:rPr>
        <w:t>日实施，</w:t>
      </w:r>
      <w:r>
        <w:rPr>
          <w:rFonts w:cs="仿宋" w:hint="eastAsia"/>
          <w:color w:val="000000"/>
          <w:szCs w:val="28"/>
        </w:rPr>
        <w:t>2022</w:t>
      </w:r>
      <w:r>
        <w:rPr>
          <w:rFonts w:cs="仿宋" w:hint="eastAsia"/>
          <w:color w:val="000000"/>
          <w:szCs w:val="28"/>
        </w:rPr>
        <w:t>年</w:t>
      </w:r>
      <w:r>
        <w:rPr>
          <w:rFonts w:cs="仿宋" w:hint="eastAsia"/>
          <w:color w:val="000000"/>
          <w:szCs w:val="28"/>
        </w:rPr>
        <w:t>4</w:t>
      </w:r>
      <w:r>
        <w:rPr>
          <w:rFonts w:cs="仿宋" w:hint="eastAsia"/>
          <w:color w:val="000000"/>
          <w:szCs w:val="28"/>
        </w:rPr>
        <w:t>月</w:t>
      </w:r>
      <w:r>
        <w:rPr>
          <w:rFonts w:cs="仿宋" w:hint="eastAsia"/>
          <w:color w:val="000000"/>
          <w:szCs w:val="28"/>
        </w:rPr>
        <w:t>21</w:t>
      </w:r>
      <w:r>
        <w:rPr>
          <w:rFonts w:cs="仿宋" w:hint="eastAsia"/>
          <w:color w:val="000000"/>
          <w:szCs w:val="28"/>
        </w:rPr>
        <w:t>日修正）。</w:t>
      </w:r>
    </w:p>
    <w:p w14:paraId="565CF3B4"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《辽宁省安全生产监督管理局关于进一步规范非煤矿矿山安全生产行政许可管理工作的通知》（辽安监非煤〔</w:t>
      </w:r>
      <w:r>
        <w:rPr>
          <w:rFonts w:cs="仿宋" w:hint="eastAsia"/>
          <w:color w:val="000000"/>
          <w:szCs w:val="28"/>
        </w:rPr>
        <w:t>2018</w:t>
      </w:r>
      <w:r>
        <w:rPr>
          <w:rFonts w:cs="仿宋" w:hint="eastAsia"/>
          <w:color w:val="000000"/>
          <w:szCs w:val="28"/>
        </w:rPr>
        <w:t>〕</w:t>
      </w:r>
      <w:r>
        <w:rPr>
          <w:rFonts w:cs="仿宋" w:hint="eastAsia"/>
          <w:color w:val="000000"/>
          <w:szCs w:val="28"/>
        </w:rPr>
        <w:t>29</w:t>
      </w:r>
      <w:r>
        <w:rPr>
          <w:rFonts w:cs="仿宋" w:hint="eastAsia"/>
          <w:color w:val="000000"/>
          <w:szCs w:val="28"/>
        </w:rPr>
        <w:t>号，</w:t>
      </w:r>
      <w:r>
        <w:rPr>
          <w:rFonts w:cs="仿宋" w:hint="eastAsia"/>
          <w:color w:val="000000"/>
          <w:szCs w:val="28"/>
        </w:rPr>
        <w:t>2018</w:t>
      </w:r>
      <w:r>
        <w:rPr>
          <w:rFonts w:cs="仿宋" w:hint="eastAsia"/>
          <w:color w:val="000000"/>
          <w:szCs w:val="28"/>
        </w:rPr>
        <w:t>年</w:t>
      </w:r>
      <w:r>
        <w:rPr>
          <w:rFonts w:cs="仿宋" w:hint="eastAsia"/>
          <w:color w:val="000000"/>
          <w:szCs w:val="28"/>
        </w:rPr>
        <w:t>07</w:t>
      </w:r>
      <w:r>
        <w:rPr>
          <w:rFonts w:cs="仿宋" w:hint="eastAsia"/>
          <w:color w:val="000000"/>
          <w:szCs w:val="28"/>
        </w:rPr>
        <w:lastRenderedPageBreak/>
        <w:t>月</w:t>
      </w:r>
      <w:r>
        <w:rPr>
          <w:rFonts w:cs="仿宋" w:hint="eastAsia"/>
          <w:color w:val="000000"/>
          <w:szCs w:val="28"/>
        </w:rPr>
        <w:t>19</w:t>
      </w:r>
      <w:r>
        <w:rPr>
          <w:rFonts w:cs="仿宋" w:hint="eastAsia"/>
          <w:color w:val="000000"/>
          <w:szCs w:val="28"/>
        </w:rPr>
        <w:t>日施行）</w:t>
      </w:r>
    </w:p>
    <w:p w14:paraId="46FE2372"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《辽宁省应急管理厅关于印发</w:t>
      </w:r>
      <w:r>
        <w:rPr>
          <w:rFonts w:cs="仿宋" w:hint="eastAsia"/>
          <w:color w:val="000000"/>
          <w:szCs w:val="28"/>
        </w:rPr>
        <w:t>&lt;</w:t>
      </w:r>
      <w:r>
        <w:rPr>
          <w:rFonts w:cs="仿宋" w:hint="eastAsia"/>
          <w:color w:val="000000"/>
          <w:szCs w:val="28"/>
        </w:rPr>
        <w:t>辽宁省金属非金属地下矿山动火作业安全管理指导意见</w:t>
      </w:r>
      <w:r>
        <w:rPr>
          <w:rFonts w:cs="仿宋" w:hint="eastAsia"/>
          <w:color w:val="000000"/>
          <w:szCs w:val="28"/>
        </w:rPr>
        <w:t>&gt;</w:t>
      </w:r>
      <w:r>
        <w:rPr>
          <w:rFonts w:cs="仿宋" w:hint="eastAsia"/>
          <w:color w:val="000000"/>
          <w:szCs w:val="28"/>
        </w:rPr>
        <w:t>的通知》（辽应急规范〔</w:t>
      </w:r>
      <w:r>
        <w:rPr>
          <w:rFonts w:cs="仿宋" w:hint="eastAsia"/>
          <w:color w:val="000000"/>
          <w:szCs w:val="28"/>
        </w:rPr>
        <w:t>2021</w:t>
      </w:r>
      <w:r>
        <w:rPr>
          <w:rFonts w:cs="仿宋" w:hint="eastAsia"/>
          <w:color w:val="000000"/>
          <w:szCs w:val="28"/>
        </w:rPr>
        <w:t>〕</w:t>
      </w:r>
      <w:r>
        <w:rPr>
          <w:rFonts w:cs="仿宋" w:hint="eastAsia"/>
          <w:color w:val="000000"/>
          <w:szCs w:val="28"/>
        </w:rPr>
        <w:t>15</w:t>
      </w:r>
      <w:r>
        <w:rPr>
          <w:rFonts w:cs="仿宋" w:hint="eastAsia"/>
          <w:color w:val="000000"/>
          <w:szCs w:val="28"/>
        </w:rPr>
        <w:t>号，</w:t>
      </w:r>
      <w:r>
        <w:rPr>
          <w:rFonts w:cs="仿宋" w:hint="eastAsia"/>
          <w:color w:val="000000"/>
          <w:szCs w:val="28"/>
        </w:rPr>
        <w:t>2021</w:t>
      </w:r>
      <w:r>
        <w:rPr>
          <w:rFonts w:cs="仿宋" w:hint="eastAsia"/>
          <w:color w:val="000000"/>
          <w:szCs w:val="28"/>
        </w:rPr>
        <w:t>年</w:t>
      </w:r>
      <w:r>
        <w:rPr>
          <w:rFonts w:cs="仿宋" w:hint="eastAsia"/>
          <w:color w:val="000000"/>
          <w:szCs w:val="28"/>
        </w:rPr>
        <w:t>12</w:t>
      </w:r>
      <w:r>
        <w:rPr>
          <w:rFonts w:cs="仿宋" w:hint="eastAsia"/>
          <w:color w:val="000000"/>
          <w:szCs w:val="28"/>
        </w:rPr>
        <w:t>月</w:t>
      </w:r>
      <w:r>
        <w:rPr>
          <w:rFonts w:cs="仿宋" w:hint="eastAsia"/>
          <w:color w:val="000000"/>
          <w:szCs w:val="28"/>
        </w:rPr>
        <w:t>21</w:t>
      </w:r>
      <w:r>
        <w:rPr>
          <w:rFonts w:cs="仿宋" w:hint="eastAsia"/>
          <w:color w:val="000000"/>
          <w:szCs w:val="28"/>
        </w:rPr>
        <w:t>日发布）。</w:t>
      </w:r>
    </w:p>
    <w:p w14:paraId="1EA2AB33"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《辽宁省民用爆炸物品安全管理办法》（辽宁省人民政府令第</w:t>
      </w:r>
      <w:r>
        <w:rPr>
          <w:rFonts w:cs="仿宋" w:hint="eastAsia"/>
          <w:color w:val="000000"/>
          <w:szCs w:val="28"/>
        </w:rPr>
        <w:t>294</w:t>
      </w:r>
      <w:r>
        <w:rPr>
          <w:rFonts w:cs="仿宋" w:hint="eastAsia"/>
          <w:color w:val="000000"/>
          <w:szCs w:val="28"/>
        </w:rPr>
        <w:t>号修订，</w:t>
      </w:r>
      <w:r>
        <w:rPr>
          <w:rFonts w:cs="仿宋" w:hint="eastAsia"/>
          <w:color w:val="000000"/>
          <w:szCs w:val="28"/>
        </w:rPr>
        <w:t>2015</w:t>
      </w:r>
      <w:r>
        <w:rPr>
          <w:rFonts w:cs="仿宋" w:hint="eastAsia"/>
          <w:color w:val="000000"/>
          <w:szCs w:val="28"/>
        </w:rPr>
        <w:t>年</w:t>
      </w:r>
      <w:r>
        <w:rPr>
          <w:rFonts w:cs="仿宋" w:hint="eastAsia"/>
          <w:color w:val="000000"/>
          <w:szCs w:val="28"/>
        </w:rPr>
        <w:t>06</w:t>
      </w:r>
      <w:r>
        <w:rPr>
          <w:rFonts w:cs="仿宋" w:hint="eastAsia"/>
          <w:color w:val="000000"/>
          <w:szCs w:val="28"/>
        </w:rPr>
        <w:t>月</w:t>
      </w:r>
      <w:r>
        <w:rPr>
          <w:rFonts w:cs="仿宋" w:hint="eastAsia"/>
          <w:color w:val="000000"/>
          <w:szCs w:val="28"/>
        </w:rPr>
        <w:t>14</w:t>
      </w:r>
      <w:r>
        <w:rPr>
          <w:rFonts w:cs="仿宋" w:hint="eastAsia"/>
          <w:color w:val="000000"/>
          <w:szCs w:val="28"/>
        </w:rPr>
        <w:t>日施行）。</w:t>
      </w:r>
    </w:p>
    <w:p w14:paraId="618E94BF" w14:textId="77777777" w:rsidR="008D7DB0" w:rsidRDefault="00000000">
      <w:pPr>
        <w:numPr>
          <w:ilvl w:val="0"/>
          <w:numId w:val="1"/>
        </w:numPr>
        <w:tabs>
          <w:tab w:val="left" w:pos="1080"/>
          <w:tab w:val="left" w:pos="1276"/>
          <w:tab w:val="left" w:pos="1418"/>
          <w:tab w:val="left" w:pos="5257"/>
        </w:tabs>
        <w:adjustRightInd w:val="0"/>
        <w:snapToGrid w:val="0"/>
        <w:ind w:firstLine="560"/>
        <w:rPr>
          <w:rFonts w:cs="仿宋"/>
          <w:color w:val="000000"/>
          <w:szCs w:val="28"/>
        </w:rPr>
      </w:pPr>
      <w:r>
        <w:rPr>
          <w:rFonts w:cs="仿宋" w:hint="eastAsia"/>
          <w:color w:val="000000"/>
          <w:szCs w:val="28"/>
        </w:rPr>
        <w:t>《关于印发辽宁省安全生产监督管理局贯彻落实〈生产安全事故应急预案管理办法〉实施细则的通知》（辽安监应急〔</w:t>
      </w:r>
      <w:r>
        <w:rPr>
          <w:rFonts w:cs="仿宋" w:hint="eastAsia"/>
          <w:color w:val="000000"/>
          <w:szCs w:val="28"/>
        </w:rPr>
        <w:t>2017</w:t>
      </w:r>
      <w:r>
        <w:rPr>
          <w:rFonts w:cs="仿宋" w:hint="eastAsia"/>
          <w:color w:val="000000"/>
          <w:szCs w:val="28"/>
        </w:rPr>
        <w:t>〕</w:t>
      </w:r>
      <w:r>
        <w:rPr>
          <w:rFonts w:cs="仿宋" w:hint="eastAsia"/>
          <w:color w:val="000000"/>
          <w:szCs w:val="28"/>
        </w:rPr>
        <w:t>5</w:t>
      </w:r>
      <w:r>
        <w:rPr>
          <w:rFonts w:cs="仿宋" w:hint="eastAsia"/>
          <w:color w:val="000000"/>
          <w:szCs w:val="28"/>
        </w:rPr>
        <w:t>号，</w:t>
      </w:r>
      <w:r>
        <w:rPr>
          <w:rFonts w:cs="仿宋" w:hint="eastAsia"/>
          <w:color w:val="000000"/>
          <w:szCs w:val="28"/>
        </w:rPr>
        <w:t>2017</w:t>
      </w:r>
      <w:r>
        <w:rPr>
          <w:rFonts w:cs="仿宋" w:hint="eastAsia"/>
          <w:color w:val="000000"/>
          <w:szCs w:val="28"/>
        </w:rPr>
        <w:t>年</w:t>
      </w:r>
      <w:r>
        <w:rPr>
          <w:rFonts w:cs="仿宋" w:hint="eastAsia"/>
          <w:color w:val="000000"/>
          <w:szCs w:val="28"/>
        </w:rPr>
        <w:t>9</w:t>
      </w:r>
      <w:r>
        <w:rPr>
          <w:rFonts w:cs="仿宋" w:hint="eastAsia"/>
          <w:color w:val="000000"/>
          <w:szCs w:val="28"/>
        </w:rPr>
        <w:t>月</w:t>
      </w:r>
      <w:r>
        <w:rPr>
          <w:rFonts w:cs="仿宋" w:hint="eastAsia"/>
          <w:color w:val="000000"/>
          <w:szCs w:val="28"/>
        </w:rPr>
        <w:t>13</w:t>
      </w:r>
      <w:r>
        <w:rPr>
          <w:rFonts w:cs="仿宋" w:hint="eastAsia"/>
          <w:color w:val="000000"/>
          <w:szCs w:val="28"/>
        </w:rPr>
        <w:t>日施行）。</w:t>
      </w:r>
    </w:p>
    <w:p w14:paraId="35ED5FB2" w14:textId="77777777" w:rsidR="008D7DB0" w:rsidRDefault="00000000">
      <w:pPr>
        <w:snapToGrid w:val="0"/>
        <w:ind w:firstLine="562"/>
        <w:outlineLvl w:val="2"/>
        <w:rPr>
          <w:b/>
        </w:rPr>
      </w:pPr>
      <w:bookmarkStart w:id="27" w:name="_Toc271465713"/>
      <w:bookmarkStart w:id="28" w:name="_Toc270502404"/>
      <w:bookmarkStart w:id="29" w:name="_Toc30283"/>
      <w:bookmarkStart w:id="30" w:name="_Toc280772592"/>
      <w:bookmarkStart w:id="31" w:name="_Toc279954742"/>
      <w:bookmarkStart w:id="32" w:name="_Toc276303234"/>
      <w:bookmarkStart w:id="33" w:name="_Toc271458974"/>
      <w:bookmarkStart w:id="34" w:name="_Toc281196204"/>
      <w:bookmarkStart w:id="35" w:name="_Toc205883214"/>
      <w:r>
        <w:rPr>
          <w:b/>
        </w:rPr>
        <w:t>1.</w:t>
      </w:r>
      <w:r>
        <w:rPr>
          <w:rFonts w:hint="eastAsia"/>
          <w:b/>
        </w:rPr>
        <w:t>2</w:t>
      </w:r>
      <w:r>
        <w:rPr>
          <w:b/>
        </w:rPr>
        <w:t>.</w:t>
      </w:r>
      <w:r>
        <w:rPr>
          <w:rFonts w:hint="eastAsia"/>
          <w:b/>
        </w:rPr>
        <w:t>2</w:t>
      </w:r>
      <w:r>
        <w:rPr>
          <w:b/>
        </w:rPr>
        <w:t>标准和规范</w:t>
      </w:r>
      <w:bookmarkEnd w:id="27"/>
      <w:bookmarkEnd w:id="28"/>
      <w:bookmarkEnd w:id="29"/>
      <w:bookmarkEnd w:id="30"/>
      <w:bookmarkEnd w:id="31"/>
      <w:bookmarkEnd w:id="32"/>
      <w:bookmarkEnd w:id="33"/>
      <w:bookmarkEnd w:id="34"/>
      <w:bookmarkEnd w:id="35"/>
    </w:p>
    <w:p w14:paraId="6E7CF040" w14:textId="77777777" w:rsidR="008D7DB0" w:rsidRDefault="00000000">
      <w:pPr>
        <w:numPr>
          <w:ilvl w:val="0"/>
          <w:numId w:val="2"/>
        </w:numPr>
        <w:snapToGrid w:val="0"/>
        <w:ind w:left="70" w:firstLineChars="0" w:firstLine="560"/>
        <w:rPr>
          <w:snapToGrid w:val="0"/>
          <w:kern w:val="0"/>
          <w:szCs w:val="28"/>
        </w:rPr>
      </w:pPr>
      <w:r>
        <w:rPr>
          <w:snapToGrid w:val="0"/>
          <w:kern w:val="0"/>
          <w:szCs w:val="28"/>
        </w:rPr>
        <w:t>《厂矿道路设计规范》（</w:t>
      </w:r>
      <w:r>
        <w:rPr>
          <w:snapToGrid w:val="0"/>
          <w:kern w:val="0"/>
          <w:szCs w:val="28"/>
        </w:rPr>
        <w:t>GBJ22-1987</w:t>
      </w:r>
      <w:r>
        <w:rPr>
          <w:snapToGrid w:val="0"/>
          <w:kern w:val="0"/>
          <w:szCs w:val="28"/>
        </w:rPr>
        <w:t>）；</w:t>
      </w:r>
    </w:p>
    <w:p w14:paraId="4A19B71E"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《金属非金属矿山排土场安全生产规则》（</w:t>
      </w:r>
      <w:r>
        <w:rPr>
          <w:rFonts w:hint="eastAsia"/>
          <w:snapToGrid w:val="0"/>
          <w:kern w:val="0"/>
          <w:szCs w:val="28"/>
        </w:rPr>
        <w:t>AQ2005-2005</w:t>
      </w:r>
      <w:r>
        <w:rPr>
          <w:rFonts w:hint="eastAsia"/>
          <w:snapToGrid w:val="0"/>
          <w:kern w:val="0"/>
          <w:szCs w:val="28"/>
        </w:rPr>
        <w:t>）；</w:t>
      </w:r>
    </w:p>
    <w:p w14:paraId="5792DB14" w14:textId="77777777" w:rsidR="008D7DB0" w:rsidRDefault="00000000">
      <w:pPr>
        <w:numPr>
          <w:ilvl w:val="0"/>
          <w:numId w:val="2"/>
        </w:numPr>
        <w:snapToGrid w:val="0"/>
        <w:ind w:left="70" w:firstLineChars="0" w:firstLine="560"/>
        <w:rPr>
          <w:snapToGrid w:val="0"/>
          <w:kern w:val="0"/>
          <w:szCs w:val="28"/>
        </w:rPr>
      </w:pPr>
      <w:r>
        <w:rPr>
          <w:snapToGrid w:val="0"/>
          <w:kern w:val="0"/>
          <w:szCs w:val="28"/>
        </w:rPr>
        <w:t>《安全评价通则》（</w:t>
      </w:r>
      <w:r>
        <w:rPr>
          <w:snapToGrid w:val="0"/>
          <w:kern w:val="0"/>
          <w:szCs w:val="28"/>
        </w:rPr>
        <w:t>AQ8001-2007</w:t>
      </w:r>
      <w:r>
        <w:rPr>
          <w:snapToGrid w:val="0"/>
          <w:kern w:val="0"/>
          <w:szCs w:val="28"/>
        </w:rPr>
        <w:t>）；</w:t>
      </w:r>
    </w:p>
    <w:p w14:paraId="37EB7EA9"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《安全预评价导则》（</w:t>
      </w:r>
      <w:r>
        <w:rPr>
          <w:rFonts w:hint="eastAsia"/>
          <w:snapToGrid w:val="0"/>
          <w:kern w:val="0"/>
          <w:szCs w:val="28"/>
        </w:rPr>
        <w:t>AQ8002-2007</w:t>
      </w:r>
      <w:r>
        <w:rPr>
          <w:rFonts w:hint="eastAsia"/>
          <w:snapToGrid w:val="0"/>
          <w:kern w:val="0"/>
          <w:szCs w:val="28"/>
        </w:rPr>
        <w:t>）；</w:t>
      </w:r>
    </w:p>
    <w:p w14:paraId="6066DE8D" w14:textId="77777777" w:rsidR="008D7DB0" w:rsidRDefault="00000000">
      <w:pPr>
        <w:numPr>
          <w:ilvl w:val="0"/>
          <w:numId w:val="2"/>
        </w:numPr>
        <w:snapToGrid w:val="0"/>
        <w:ind w:left="70" w:firstLineChars="0" w:firstLine="560"/>
        <w:rPr>
          <w:snapToGrid w:val="0"/>
          <w:kern w:val="0"/>
          <w:szCs w:val="28"/>
        </w:rPr>
      </w:pPr>
      <w:r>
        <w:rPr>
          <w:snapToGrid w:val="0"/>
          <w:kern w:val="0"/>
          <w:szCs w:val="28"/>
        </w:rPr>
        <w:t>《矿用产品安全标志标识》（</w:t>
      </w:r>
      <w:r>
        <w:rPr>
          <w:snapToGrid w:val="0"/>
          <w:kern w:val="0"/>
          <w:szCs w:val="28"/>
        </w:rPr>
        <w:t>AQ 1043-2007</w:t>
      </w:r>
      <w:r>
        <w:rPr>
          <w:snapToGrid w:val="0"/>
          <w:kern w:val="0"/>
          <w:szCs w:val="28"/>
        </w:rPr>
        <w:t>）</w:t>
      </w:r>
    </w:p>
    <w:p w14:paraId="6574BA29" w14:textId="77777777" w:rsidR="008D7DB0" w:rsidRDefault="00000000">
      <w:pPr>
        <w:numPr>
          <w:ilvl w:val="0"/>
          <w:numId w:val="2"/>
        </w:numPr>
        <w:snapToGrid w:val="0"/>
        <w:ind w:left="70" w:firstLineChars="0" w:firstLine="560"/>
        <w:rPr>
          <w:snapToGrid w:val="0"/>
          <w:kern w:val="0"/>
          <w:szCs w:val="28"/>
        </w:rPr>
      </w:pPr>
      <w:r>
        <w:rPr>
          <w:snapToGrid w:val="0"/>
          <w:kern w:val="0"/>
          <w:szCs w:val="28"/>
        </w:rPr>
        <w:t>《安全标志及其使用导则》（</w:t>
      </w:r>
      <w:r>
        <w:rPr>
          <w:snapToGrid w:val="0"/>
          <w:kern w:val="0"/>
          <w:szCs w:val="28"/>
        </w:rPr>
        <w:t>GB2894-2008</w:t>
      </w:r>
      <w:r>
        <w:rPr>
          <w:snapToGrid w:val="0"/>
          <w:kern w:val="0"/>
          <w:szCs w:val="28"/>
        </w:rPr>
        <w:t>）</w:t>
      </w:r>
      <w:r>
        <w:rPr>
          <w:rFonts w:hint="eastAsia"/>
          <w:snapToGrid w:val="0"/>
          <w:kern w:val="0"/>
          <w:szCs w:val="28"/>
        </w:rPr>
        <w:t>；</w:t>
      </w:r>
    </w:p>
    <w:p w14:paraId="4A16A929" w14:textId="77777777" w:rsidR="008D7DB0" w:rsidRDefault="00000000">
      <w:pPr>
        <w:numPr>
          <w:ilvl w:val="0"/>
          <w:numId w:val="2"/>
        </w:numPr>
        <w:snapToGrid w:val="0"/>
        <w:ind w:left="70" w:firstLineChars="0" w:firstLine="560"/>
        <w:rPr>
          <w:snapToGrid w:val="0"/>
          <w:kern w:val="0"/>
          <w:szCs w:val="28"/>
        </w:rPr>
      </w:pPr>
      <w:r>
        <w:rPr>
          <w:snapToGrid w:val="0"/>
          <w:kern w:val="0"/>
          <w:szCs w:val="28"/>
        </w:rPr>
        <w:t>《矿山安全标志》（</w:t>
      </w:r>
      <w:r>
        <w:rPr>
          <w:snapToGrid w:val="0"/>
          <w:kern w:val="0"/>
          <w:szCs w:val="28"/>
        </w:rPr>
        <w:t>GB</w:t>
      </w:r>
      <w:r>
        <w:rPr>
          <w:rFonts w:hint="eastAsia"/>
          <w:snapToGrid w:val="0"/>
          <w:kern w:val="0"/>
          <w:szCs w:val="28"/>
        </w:rPr>
        <w:t>/T</w:t>
      </w:r>
      <w:r>
        <w:rPr>
          <w:snapToGrid w:val="0"/>
          <w:kern w:val="0"/>
          <w:szCs w:val="28"/>
        </w:rPr>
        <w:t>14161-2008</w:t>
      </w:r>
      <w:r>
        <w:rPr>
          <w:snapToGrid w:val="0"/>
          <w:kern w:val="0"/>
          <w:szCs w:val="28"/>
        </w:rPr>
        <w:t>）</w:t>
      </w:r>
      <w:r>
        <w:rPr>
          <w:rFonts w:hint="eastAsia"/>
          <w:snapToGrid w:val="0"/>
          <w:kern w:val="0"/>
          <w:szCs w:val="28"/>
        </w:rPr>
        <w:t>；</w:t>
      </w:r>
    </w:p>
    <w:p w14:paraId="626463CF"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《工业企业设计卫生标准》（</w:t>
      </w:r>
      <w:r>
        <w:rPr>
          <w:rFonts w:hint="eastAsia"/>
          <w:snapToGrid w:val="0"/>
          <w:kern w:val="0"/>
          <w:szCs w:val="28"/>
        </w:rPr>
        <w:t>GBZ1-2010</w:t>
      </w:r>
      <w:r>
        <w:rPr>
          <w:rFonts w:hint="eastAsia"/>
          <w:snapToGrid w:val="0"/>
          <w:kern w:val="0"/>
          <w:szCs w:val="28"/>
        </w:rPr>
        <w:t>）；</w:t>
      </w:r>
    </w:p>
    <w:p w14:paraId="4055D4D7" w14:textId="77777777" w:rsidR="008D7DB0" w:rsidRDefault="00000000">
      <w:pPr>
        <w:numPr>
          <w:ilvl w:val="0"/>
          <w:numId w:val="2"/>
        </w:numPr>
        <w:snapToGrid w:val="0"/>
        <w:ind w:left="70" w:firstLineChars="0" w:firstLine="560"/>
        <w:rPr>
          <w:snapToGrid w:val="0"/>
          <w:kern w:val="0"/>
          <w:szCs w:val="28"/>
        </w:rPr>
      </w:pPr>
      <w:r>
        <w:rPr>
          <w:snapToGrid w:val="0"/>
          <w:kern w:val="0"/>
          <w:szCs w:val="28"/>
        </w:rPr>
        <w:t>《</w:t>
      </w:r>
      <w:r>
        <w:rPr>
          <w:rFonts w:hint="eastAsia"/>
          <w:snapToGrid w:val="0"/>
          <w:kern w:val="0"/>
          <w:szCs w:val="28"/>
        </w:rPr>
        <w:t>建筑抗震设计标准（</w:t>
      </w:r>
      <w:r>
        <w:rPr>
          <w:rFonts w:hint="eastAsia"/>
          <w:snapToGrid w:val="0"/>
          <w:kern w:val="0"/>
          <w:szCs w:val="28"/>
        </w:rPr>
        <w:t>2024</w:t>
      </w:r>
      <w:r>
        <w:rPr>
          <w:rFonts w:hint="eastAsia"/>
          <w:snapToGrid w:val="0"/>
          <w:kern w:val="0"/>
          <w:szCs w:val="28"/>
        </w:rPr>
        <w:t>年版）</w:t>
      </w:r>
      <w:r>
        <w:rPr>
          <w:snapToGrid w:val="0"/>
          <w:kern w:val="0"/>
          <w:szCs w:val="28"/>
        </w:rPr>
        <w:t>》（</w:t>
      </w:r>
      <w:r>
        <w:rPr>
          <w:rFonts w:hint="eastAsia"/>
          <w:snapToGrid w:val="0"/>
          <w:kern w:val="0"/>
          <w:szCs w:val="28"/>
        </w:rPr>
        <w:t>GB/T 50011-2010</w:t>
      </w:r>
      <w:r>
        <w:rPr>
          <w:snapToGrid w:val="0"/>
          <w:kern w:val="0"/>
          <w:szCs w:val="28"/>
        </w:rPr>
        <w:t>）；</w:t>
      </w:r>
    </w:p>
    <w:p w14:paraId="37D31160" w14:textId="77777777" w:rsidR="008D7DB0" w:rsidRDefault="00000000">
      <w:pPr>
        <w:numPr>
          <w:ilvl w:val="0"/>
          <w:numId w:val="2"/>
        </w:numPr>
        <w:snapToGrid w:val="0"/>
        <w:ind w:left="70" w:firstLineChars="0" w:firstLine="560"/>
        <w:rPr>
          <w:snapToGrid w:val="0"/>
          <w:kern w:val="0"/>
          <w:szCs w:val="28"/>
        </w:rPr>
      </w:pPr>
      <w:r>
        <w:rPr>
          <w:snapToGrid w:val="0"/>
          <w:kern w:val="0"/>
          <w:szCs w:val="28"/>
        </w:rPr>
        <w:t>《工业企业总平面设计规范》（</w:t>
      </w:r>
      <w:r>
        <w:rPr>
          <w:snapToGrid w:val="0"/>
          <w:kern w:val="0"/>
          <w:szCs w:val="28"/>
        </w:rPr>
        <w:t>GB50187-</w:t>
      </w:r>
      <w:r>
        <w:rPr>
          <w:rFonts w:hint="eastAsia"/>
          <w:snapToGrid w:val="0"/>
          <w:kern w:val="0"/>
          <w:szCs w:val="28"/>
        </w:rPr>
        <w:t>2012</w:t>
      </w:r>
      <w:r>
        <w:rPr>
          <w:snapToGrid w:val="0"/>
          <w:kern w:val="0"/>
          <w:szCs w:val="28"/>
        </w:rPr>
        <w:t>）</w:t>
      </w:r>
      <w:r>
        <w:rPr>
          <w:rFonts w:hint="eastAsia"/>
          <w:snapToGrid w:val="0"/>
          <w:kern w:val="0"/>
          <w:szCs w:val="28"/>
        </w:rPr>
        <w:t>；</w:t>
      </w:r>
    </w:p>
    <w:p w14:paraId="374E5E7A" w14:textId="77777777" w:rsidR="008D7DB0" w:rsidRDefault="00000000">
      <w:pPr>
        <w:numPr>
          <w:ilvl w:val="0"/>
          <w:numId w:val="2"/>
        </w:numPr>
        <w:snapToGrid w:val="0"/>
        <w:ind w:left="70" w:firstLineChars="0" w:firstLine="560"/>
        <w:rPr>
          <w:snapToGrid w:val="0"/>
          <w:kern w:val="0"/>
          <w:szCs w:val="28"/>
        </w:rPr>
      </w:pPr>
      <w:r>
        <w:rPr>
          <w:snapToGrid w:val="0"/>
          <w:kern w:val="0"/>
          <w:szCs w:val="28"/>
        </w:rPr>
        <w:t>《爆破安全规程》（</w:t>
      </w:r>
      <w:r>
        <w:rPr>
          <w:snapToGrid w:val="0"/>
          <w:kern w:val="0"/>
          <w:szCs w:val="28"/>
        </w:rPr>
        <w:t>GB6722-20</w:t>
      </w:r>
      <w:r>
        <w:rPr>
          <w:rFonts w:hint="eastAsia"/>
          <w:snapToGrid w:val="0"/>
          <w:kern w:val="0"/>
          <w:szCs w:val="28"/>
        </w:rPr>
        <w:t>14</w:t>
      </w:r>
      <w:r>
        <w:rPr>
          <w:snapToGrid w:val="0"/>
          <w:kern w:val="0"/>
          <w:szCs w:val="28"/>
        </w:rPr>
        <w:t>）</w:t>
      </w:r>
      <w:r>
        <w:rPr>
          <w:rFonts w:hint="eastAsia"/>
          <w:snapToGrid w:val="0"/>
          <w:kern w:val="0"/>
          <w:szCs w:val="28"/>
        </w:rPr>
        <w:t>；</w:t>
      </w:r>
    </w:p>
    <w:p w14:paraId="548B368D" w14:textId="77777777" w:rsidR="008D7DB0" w:rsidRDefault="00000000">
      <w:pPr>
        <w:numPr>
          <w:ilvl w:val="0"/>
          <w:numId w:val="2"/>
        </w:numPr>
        <w:snapToGrid w:val="0"/>
        <w:ind w:left="70" w:firstLineChars="0" w:firstLine="560"/>
        <w:rPr>
          <w:snapToGrid w:val="0"/>
          <w:kern w:val="0"/>
          <w:szCs w:val="28"/>
        </w:rPr>
      </w:pPr>
      <w:r>
        <w:rPr>
          <w:snapToGrid w:val="0"/>
          <w:kern w:val="0"/>
          <w:szCs w:val="28"/>
        </w:rPr>
        <w:t>《防洪标准》（</w:t>
      </w:r>
      <w:r>
        <w:rPr>
          <w:snapToGrid w:val="0"/>
          <w:kern w:val="0"/>
          <w:szCs w:val="28"/>
        </w:rPr>
        <w:t>GB50201-</w:t>
      </w:r>
      <w:r>
        <w:rPr>
          <w:rFonts w:hint="eastAsia"/>
          <w:snapToGrid w:val="0"/>
          <w:kern w:val="0"/>
          <w:szCs w:val="28"/>
        </w:rPr>
        <w:t>2014</w:t>
      </w:r>
      <w:r>
        <w:rPr>
          <w:snapToGrid w:val="0"/>
          <w:kern w:val="0"/>
          <w:szCs w:val="28"/>
        </w:rPr>
        <w:t>）</w:t>
      </w:r>
      <w:r>
        <w:rPr>
          <w:rFonts w:hint="eastAsia"/>
          <w:snapToGrid w:val="0"/>
          <w:kern w:val="0"/>
          <w:szCs w:val="28"/>
        </w:rPr>
        <w:t>；</w:t>
      </w:r>
    </w:p>
    <w:p w14:paraId="7BB89CF4" w14:textId="77777777" w:rsidR="008D7DB0" w:rsidRDefault="00000000">
      <w:pPr>
        <w:numPr>
          <w:ilvl w:val="0"/>
          <w:numId w:val="2"/>
        </w:numPr>
        <w:snapToGrid w:val="0"/>
        <w:ind w:left="70" w:firstLineChars="0" w:firstLine="560"/>
        <w:rPr>
          <w:snapToGrid w:val="0"/>
          <w:kern w:val="0"/>
          <w:szCs w:val="28"/>
        </w:rPr>
      </w:pPr>
      <w:r>
        <w:rPr>
          <w:snapToGrid w:val="0"/>
          <w:kern w:val="0"/>
          <w:szCs w:val="28"/>
        </w:rPr>
        <w:t>《建筑设计防火规范</w:t>
      </w:r>
      <w:r>
        <w:rPr>
          <w:rFonts w:hint="eastAsia"/>
          <w:snapToGrid w:val="0"/>
          <w:kern w:val="0"/>
          <w:szCs w:val="28"/>
        </w:rPr>
        <w:t>（</w:t>
      </w:r>
      <w:r>
        <w:rPr>
          <w:rFonts w:hint="eastAsia"/>
          <w:snapToGrid w:val="0"/>
          <w:kern w:val="0"/>
          <w:szCs w:val="28"/>
        </w:rPr>
        <w:t>2018</w:t>
      </w:r>
      <w:r>
        <w:rPr>
          <w:rFonts w:hint="eastAsia"/>
          <w:snapToGrid w:val="0"/>
          <w:kern w:val="0"/>
          <w:szCs w:val="28"/>
        </w:rPr>
        <w:t>版）</w:t>
      </w:r>
      <w:r>
        <w:rPr>
          <w:snapToGrid w:val="0"/>
          <w:kern w:val="0"/>
          <w:szCs w:val="28"/>
        </w:rPr>
        <w:t>》（</w:t>
      </w:r>
      <w:r>
        <w:rPr>
          <w:snapToGrid w:val="0"/>
          <w:kern w:val="0"/>
          <w:szCs w:val="28"/>
        </w:rPr>
        <w:t>GB50016-20</w:t>
      </w:r>
      <w:r>
        <w:rPr>
          <w:rFonts w:hint="eastAsia"/>
          <w:snapToGrid w:val="0"/>
          <w:kern w:val="0"/>
          <w:szCs w:val="28"/>
        </w:rPr>
        <w:t>14</w:t>
      </w:r>
      <w:r>
        <w:rPr>
          <w:snapToGrid w:val="0"/>
          <w:kern w:val="0"/>
          <w:szCs w:val="28"/>
        </w:rPr>
        <w:t>）；</w:t>
      </w:r>
    </w:p>
    <w:p w14:paraId="746A45C2"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《非煤露天矿边坡工程技术规范》（</w:t>
      </w:r>
      <w:r>
        <w:rPr>
          <w:rFonts w:hint="eastAsia"/>
          <w:snapToGrid w:val="0"/>
          <w:kern w:val="0"/>
          <w:szCs w:val="28"/>
        </w:rPr>
        <w:t>GB51016-2014</w:t>
      </w:r>
      <w:r>
        <w:rPr>
          <w:rFonts w:hint="eastAsia"/>
          <w:snapToGrid w:val="0"/>
          <w:kern w:val="0"/>
          <w:szCs w:val="28"/>
        </w:rPr>
        <w:t>）；</w:t>
      </w:r>
    </w:p>
    <w:p w14:paraId="2C030CE7"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w:t>
      </w:r>
      <w:r>
        <w:rPr>
          <w:snapToGrid w:val="0"/>
          <w:kern w:val="0"/>
          <w:szCs w:val="28"/>
        </w:rPr>
        <w:t>冶金矿山排土场设计规范</w:t>
      </w:r>
      <w:r>
        <w:rPr>
          <w:rFonts w:hint="eastAsia"/>
          <w:snapToGrid w:val="0"/>
          <w:kern w:val="0"/>
          <w:szCs w:val="28"/>
        </w:rPr>
        <w:t>》（</w:t>
      </w:r>
      <w:r>
        <w:rPr>
          <w:rFonts w:hint="eastAsia"/>
          <w:snapToGrid w:val="0"/>
          <w:kern w:val="0"/>
          <w:szCs w:val="28"/>
        </w:rPr>
        <w:t>GB51119-2015</w:t>
      </w:r>
      <w:r>
        <w:rPr>
          <w:rFonts w:hint="eastAsia"/>
          <w:snapToGrid w:val="0"/>
          <w:kern w:val="0"/>
          <w:szCs w:val="28"/>
        </w:rPr>
        <w:t>）；</w:t>
      </w:r>
    </w:p>
    <w:p w14:paraId="0C12C347"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《危险化学品重大危险源辨识》（</w:t>
      </w:r>
      <w:r>
        <w:rPr>
          <w:snapToGrid w:val="0"/>
          <w:kern w:val="0"/>
          <w:szCs w:val="28"/>
        </w:rPr>
        <w:t>GB18218</w:t>
      </w:r>
      <w:r>
        <w:rPr>
          <w:rFonts w:hint="eastAsia"/>
          <w:snapToGrid w:val="0"/>
          <w:kern w:val="0"/>
          <w:szCs w:val="28"/>
        </w:rPr>
        <w:t>-20</w:t>
      </w:r>
      <w:r>
        <w:rPr>
          <w:snapToGrid w:val="0"/>
          <w:kern w:val="0"/>
          <w:szCs w:val="28"/>
        </w:rPr>
        <w:t>18</w:t>
      </w:r>
      <w:r>
        <w:rPr>
          <w:rFonts w:hint="eastAsia"/>
          <w:snapToGrid w:val="0"/>
          <w:kern w:val="0"/>
          <w:szCs w:val="28"/>
        </w:rPr>
        <w:t>）；</w:t>
      </w:r>
    </w:p>
    <w:p w14:paraId="46DA279A" w14:textId="77777777" w:rsidR="008D7DB0" w:rsidRDefault="00000000">
      <w:pPr>
        <w:numPr>
          <w:ilvl w:val="0"/>
          <w:numId w:val="2"/>
        </w:numPr>
        <w:snapToGrid w:val="0"/>
        <w:ind w:left="70" w:firstLineChars="0" w:firstLine="560"/>
        <w:rPr>
          <w:snapToGrid w:val="0"/>
          <w:kern w:val="0"/>
          <w:szCs w:val="28"/>
        </w:rPr>
      </w:pPr>
      <w:r>
        <w:rPr>
          <w:snapToGrid w:val="0"/>
          <w:kern w:val="0"/>
          <w:szCs w:val="28"/>
        </w:rPr>
        <w:lastRenderedPageBreak/>
        <w:t>《</w:t>
      </w:r>
      <w:r>
        <w:rPr>
          <w:rFonts w:hint="eastAsia"/>
          <w:snapToGrid w:val="0"/>
          <w:kern w:val="0"/>
          <w:szCs w:val="28"/>
        </w:rPr>
        <w:t>头部防护</w:t>
      </w:r>
      <w:r>
        <w:rPr>
          <w:rFonts w:hint="eastAsia"/>
          <w:snapToGrid w:val="0"/>
          <w:kern w:val="0"/>
          <w:szCs w:val="28"/>
        </w:rPr>
        <w:t xml:space="preserve"> </w:t>
      </w:r>
      <w:r>
        <w:rPr>
          <w:rFonts w:hint="eastAsia"/>
          <w:snapToGrid w:val="0"/>
          <w:kern w:val="0"/>
          <w:szCs w:val="28"/>
        </w:rPr>
        <w:t>安全帽</w:t>
      </w:r>
      <w:r>
        <w:rPr>
          <w:snapToGrid w:val="0"/>
          <w:kern w:val="0"/>
          <w:szCs w:val="28"/>
        </w:rPr>
        <w:t>》（</w:t>
      </w:r>
      <w:r>
        <w:rPr>
          <w:snapToGrid w:val="0"/>
          <w:kern w:val="0"/>
          <w:szCs w:val="28"/>
        </w:rPr>
        <w:t>GB</w:t>
      </w:r>
      <w:r>
        <w:rPr>
          <w:rFonts w:hint="eastAsia"/>
          <w:snapToGrid w:val="0"/>
          <w:kern w:val="0"/>
          <w:szCs w:val="28"/>
        </w:rPr>
        <w:t>2811</w:t>
      </w:r>
      <w:r>
        <w:rPr>
          <w:snapToGrid w:val="0"/>
          <w:kern w:val="0"/>
          <w:szCs w:val="28"/>
        </w:rPr>
        <w:t>-20</w:t>
      </w:r>
      <w:r>
        <w:rPr>
          <w:rFonts w:hint="eastAsia"/>
          <w:snapToGrid w:val="0"/>
          <w:kern w:val="0"/>
          <w:szCs w:val="28"/>
        </w:rPr>
        <w:t>19</w:t>
      </w:r>
      <w:r>
        <w:rPr>
          <w:snapToGrid w:val="0"/>
          <w:kern w:val="0"/>
          <w:szCs w:val="28"/>
        </w:rPr>
        <w:t>）</w:t>
      </w:r>
      <w:r>
        <w:rPr>
          <w:rFonts w:hint="eastAsia"/>
          <w:snapToGrid w:val="0"/>
          <w:kern w:val="0"/>
          <w:szCs w:val="28"/>
        </w:rPr>
        <w:t>；</w:t>
      </w:r>
    </w:p>
    <w:p w14:paraId="3A2E0A40"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《金属非金属矿山在用设备设施安全检测检验目录》（</w:t>
      </w:r>
      <w:r>
        <w:rPr>
          <w:rFonts w:hint="eastAsia"/>
          <w:snapToGrid w:val="0"/>
          <w:kern w:val="0"/>
          <w:szCs w:val="28"/>
        </w:rPr>
        <w:t>KA/T 2075-2019</w:t>
      </w:r>
      <w:r>
        <w:rPr>
          <w:rFonts w:hint="eastAsia"/>
          <w:snapToGrid w:val="0"/>
          <w:kern w:val="0"/>
          <w:szCs w:val="28"/>
        </w:rPr>
        <w:t>）；</w:t>
      </w:r>
    </w:p>
    <w:p w14:paraId="134C01C9" w14:textId="77777777" w:rsidR="008D7DB0" w:rsidRDefault="00000000">
      <w:pPr>
        <w:numPr>
          <w:ilvl w:val="0"/>
          <w:numId w:val="2"/>
        </w:numPr>
        <w:snapToGrid w:val="0"/>
        <w:ind w:left="70" w:firstLineChars="0" w:firstLine="560"/>
        <w:rPr>
          <w:snapToGrid w:val="0"/>
          <w:kern w:val="0"/>
          <w:szCs w:val="28"/>
        </w:rPr>
      </w:pPr>
      <w:r>
        <w:rPr>
          <w:snapToGrid w:val="0"/>
          <w:kern w:val="0"/>
          <w:szCs w:val="28"/>
        </w:rPr>
        <w:t>《金属非金属矿山安全规程》（</w:t>
      </w:r>
      <w:r>
        <w:rPr>
          <w:snapToGrid w:val="0"/>
          <w:kern w:val="0"/>
          <w:szCs w:val="28"/>
        </w:rPr>
        <w:t>GB16423-2020</w:t>
      </w:r>
      <w:r>
        <w:rPr>
          <w:snapToGrid w:val="0"/>
          <w:kern w:val="0"/>
          <w:szCs w:val="28"/>
        </w:rPr>
        <w:t>）；</w:t>
      </w:r>
    </w:p>
    <w:p w14:paraId="65ED28E6" w14:textId="77777777" w:rsidR="008D7DB0" w:rsidRDefault="00000000">
      <w:pPr>
        <w:numPr>
          <w:ilvl w:val="0"/>
          <w:numId w:val="2"/>
        </w:numPr>
        <w:snapToGrid w:val="0"/>
        <w:ind w:left="70" w:firstLineChars="0" w:firstLine="560"/>
        <w:rPr>
          <w:snapToGrid w:val="0"/>
          <w:kern w:val="0"/>
          <w:szCs w:val="28"/>
        </w:rPr>
      </w:pPr>
      <w:r>
        <w:rPr>
          <w:snapToGrid w:val="0"/>
          <w:kern w:val="0"/>
          <w:szCs w:val="28"/>
        </w:rPr>
        <w:t>《生产经营单位</w:t>
      </w:r>
      <w:r>
        <w:rPr>
          <w:rFonts w:hint="eastAsia"/>
          <w:snapToGrid w:val="0"/>
          <w:kern w:val="0"/>
          <w:szCs w:val="28"/>
        </w:rPr>
        <w:t>生产安全</w:t>
      </w:r>
      <w:r>
        <w:rPr>
          <w:snapToGrid w:val="0"/>
          <w:kern w:val="0"/>
          <w:szCs w:val="28"/>
        </w:rPr>
        <w:t>事故应急预案编制导则》（</w:t>
      </w:r>
      <w:r>
        <w:rPr>
          <w:rFonts w:hint="eastAsia"/>
          <w:snapToGrid w:val="0"/>
          <w:kern w:val="0"/>
          <w:szCs w:val="28"/>
        </w:rPr>
        <w:t>GB/T29639</w:t>
      </w:r>
      <w:r>
        <w:rPr>
          <w:snapToGrid w:val="0"/>
          <w:kern w:val="0"/>
          <w:szCs w:val="28"/>
        </w:rPr>
        <w:t>-20</w:t>
      </w:r>
      <w:r>
        <w:rPr>
          <w:rFonts w:hint="eastAsia"/>
          <w:snapToGrid w:val="0"/>
          <w:kern w:val="0"/>
          <w:szCs w:val="28"/>
        </w:rPr>
        <w:t>20</w:t>
      </w:r>
      <w:r>
        <w:rPr>
          <w:snapToGrid w:val="0"/>
          <w:kern w:val="0"/>
          <w:szCs w:val="28"/>
        </w:rPr>
        <w:t>）</w:t>
      </w:r>
      <w:r>
        <w:rPr>
          <w:rFonts w:hint="eastAsia"/>
          <w:snapToGrid w:val="0"/>
          <w:kern w:val="0"/>
          <w:szCs w:val="28"/>
        </w:rPr>
        <w:t>；</w:t>
      </w:r>
      <w:r>
        <w:rPr>
          <w:snapToGrid w:val="0"/>
          <w:kern w:val="0"/>
          <w:szCs w:val="28"/>
        </w:rPr>
        <w:t>；</w:t>
      </w:r>
    </w:p>
    <w:p w14:paraId="5646F830"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《个体防护装备配备规范</w:t>
      </w:r>
      <w:r>
        <w:rPr>
          <w:rFonts w:hint="eastAsia"/>
          <w:snapToGrid w:val="0"/>
          <w:kern w:val="0"/>
          <w:szCs w:val="28"/>
        </w:rPr>
        <w:t xml:space="preserve"> </w:t>
      </w:r>
      <w:r>
        <w:rPr>
          <w:rFonts w:hint="eastAsia"/>
          <w:snapToGrid w:val="0"/>
          <w:kern w:val="0"/>
          <w:szCs w:val="28"/>
        </w:rPr>
        <w:t>第</w:t>
      </w:r>
      <w:r>
        <w:rPr>
          <w:rFonts w:hint="eastAsia"/>
          <w:snapToGrid w:val="0"/>
          <w:kern w:val="0"/>
          <w:szCs w:val="28"/>
        </w:rPr>
        <w:t>1</w:t>
      </w:r>
      <w:r>
        <w:rPr>
          <w:rFonts w:hint="eastAsia"/>
          <w:snapToGrid w:val="0"/>
          <w:kern w:val="0"/>
          <w:szCs w:val="28"/>
        </w:rPr>
        <w:t>部分：总则》（</w:t>
      </w:r>
      <w:r>
        <w:rPr>
          <w:rFonts w:hint="eastAsia"/>
          <w:snapToGrid w:val="0"/>
          <w:kern w:val="0"/>
          <w:szCs w:val="28"/>
        </w:rPr>
        <w:t>GB 39800.1-2020</w:t>
      </w:r>
      <w:r>
        <w:rPr>
          <w:rFonts w:hint="eastAsia"/>
          <w:snapToGrid w:val="0"/>
          <w:kern w:val="0"/>
          <w:szCs w:val="28"/>
        </w:rPr>
        <w:t>）；</w:t>
      </w:r>
    </w:p>
    <w:p w14:paraId="7BAC3435"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《个体防护装备配备规范</w:t>
      </w:r>
      <w:r>
        <w:rPr>
          <w:rFonts w:hint="eastAsia"/>
          <w:snapToGrid w:val="0"/>
          <w:kern w:val="0"/>
          <w:szCs w:val="28"/>
        </w:rPr>
        <w:t xml:space="preserve"> </w:t>
      </w:r>
      <w:r>
        <w:rPr>
          <w:rFonts w:hint="eastAsia"/>
          <w:snapToGrid w:val="0"/>
          <w:kern w:val="0"/>
          <w:szCs w:val="28"/>
        </w:rPr>
        <w:t>第</w:t>
      </w:r>
      <w:r>
        <w:rPr>
          <w:rFonts w:hint="eastAsia"/>
          <w:snapToGrid w:val="0"/>
          <w:kern w:val="0"/>
          <w:szCs w:val="28"/>
        </w:rPr>
        <w:t>4</w:t>
      </w:r>
      <w:r>
        <w:rPr>
          <w:rFonts w:hint="eastAsia"/>
          <w:snapToGrid w:val="0"/>
          <w:kern w:val="0"/>
          <w:szCs w:val="28"/>
        </w:rPr>
        <w:t>部分：非煤矿山》（</w:t>
      </w:r>
      <w:r>
        <w:rPr>
          <w:rFonts w:hint="eastAsia"/>
          <w:snapToGrid w:val="0"/>
          <w:kern w:val="0"/>
          <w:szCs w:val="28"/>
        </w:rPr>
        <w:t>GB 39800.4-2020</w:t>
      </w:r>
      <w:r>
        <w:rPr>
          <w:rFonts w:hint="eastAsia"/>
          <w:snapToGrid w:val="0"/>
          <w:kern w:val="0"/>
          <w:szCs w:val="28"/>
        </w:rPr>
        <w:t>）：</w:t>
      </w:r>
    </w:p>
    <w:p w14:paraId="185BCF3D"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《一般工业固体废物贮存和填埋污染控制标准》（</w:t>
      </w:r>
      <w:r>
        <w:rPr>
          <w:rFonts w:hint="eastAsia"/>
          <w:snapToGrid w:val="0"/>
          <w:kern w:val="0"/>
          <w:szCs w:val="28"/>
        </w:rPr>
        <w:t>GB 18599-2020</w:t>
      </w:r>
      <w:r>
        <w:rPr>
          <w:rFonts w:hint="eastAsia"/>
          <w:snapToGrid w:val="0"/>
          <w:kern w:val="0"/>
          <w:szCs w:val="28"/>
        </w:rPr>
        <w:t>）；</w:t>
      </w:r>
    </w:p>
    <w:p w14:paraId="152A25EA"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《矿区水文地质工程地质勘查规范》（</w:t>
      </w:r>
      <w:r>
        <w:rPr>
          <w:rFonts w:hint="eastAsia"/>
          <w:snapToGrid w:val="0"/>
          <w:kern w:val="0"/>
          <w:szCs w:val="28"/>
        </w:rPr>
        <w:t>GB</w:t>
      </w:r>
      <w:r>
        <w:rPr>
          <w:rFonts w:hint="eastAsia"/>
          <w:snapToGrid w:val="0"/>
          <w:kern w:val="0"/>
          <w:szCs w:val="28"/>
        </w:rPr>
        <w:t>∕</w:t>
      </w:r>
      <w:r>
        <w:rPr>
          <w:rFonts w:hint="eastAsia"/>
          <w:snapToGrid w:val="0"/>
          <w:kern w:val="0"/>
          <w:szCs w:val="28"/>
        </w:rPr>
        <w:t>T 12719-2021</w:t>
      </w:r>
      <w:r>
        <w:rPr>
          <w:rFonts w:hint="eastAsia"/>
          <w:snapToGrid w:val="0"/>
          <w:kern w:val="0"/>
          <w:szCs w:val="28"/>
        </w:rPr>
        <w:t>）；</w:t>
      </w:r>
    </w:p>
    <w:p w14:paraId="0CFD31D1" w14:textId="77777777" w:rsidR="008D7DB0" w:rsidRDefault="00000000">
      <w:pPr>
        <w:numPr>
          <w:ilvl w:val="0"/>
          <w:numId w:val="2"/>
        </w:numPr>
        <w:snapToGrid w:val="0"/>
        <w:ind w:left="70" w:firstLineChars="0" w:firstLine="560"/>
        <w:rPr>
          <w:snapToGrid w:val="0"/>
          <w:kern w:val="0"/>
          <w:szCs w:val="28"/>
        </w:rPr>
      </w:pPr>
      <w:r>
        <w:rPr>
          <w:snapToGrid w:val="0"/>
          <w:kern w:val="0"/>
          <w:szCs w:val="28"/>
        </w:rPr>
        <w:t>《生产过程危险和有害因素分类与代码》（</w:t>
      </w:r>
      <w:r>
        <w:rPr>
          <w:snapToGrid w:val="0"/>
          <w:kern w:val="0"/>
          <w:szCs w:val="28"/>
        </w:rPr>
        <w:t>GB/T13861-20</w:t>
      </w:r>
      <w:r>
        <w:rPr>
          <w:rFonts w:hint="eastAsia"/>
          <w:snapToGrid w:val="0"/>
          <w:kern w:val="0"/>
          <w:szCs w:val="28"/>
        </w:rPr>
        <w:t>22</w:t>
      </w:r>
      <w:r>
        <w:rPr>
          <w:snapToGrid w:val="0"/>
          <w:kern w:val="0"/>
          <w:szCs w:val="28"/>
        </w:rPr>
        <w:t>）；</w:t>
      </w:r>
    </w:p>
    <w:p w14:paraId="686CCE0E" w14:textId="77777777" w:rsidR="008D7DB0" w:rsidRDefault="00000000">
      <w:pPr>
        <w:numPr>
          <w:ilvl w:val="0"/>
          <w:numId w:val="2"/>
        </w:numPr>
        <w:snapToGrid w:val="0"/>
        <w:ind w:left="70" w:firstLineChars="0" w:firstLine="560"/>
        <w:rPr>
          <w:snapToGrid w:val="0"/>
          <w:kern w:val="0"/>
          <w:szCs w:val="28"/>
        </w:rPr>
      </w:pPr>
      <w:r>
        <w:rPr>
          <w:rFonts w:hint="eastAsia"/>
          <w:snapToGrid w:val="0"/>
          <w:kern w:val="0"/>
          <w:szCs w:val="28"/>
        </w:rPr>
        <w:t>《建筑照明设计标准》（</w:t>
      </w:r>
      <w:r>
        <w:rPr>
          <w:rFonts w:hint="eastAsia"/>
          <w:snapToGrid w:val="0"/>
          <w:kern w:val="0"/>
          <w:szCs w:val="28"/>
        </w:rPr>
        <w:t>GB/T 50034-2024</w:t>
      </w:r>
      <w:r>
        <w:rPr>
          <w:rFonts w:hint="eastAsia"/>
          <w:snapToGrid w:val="0"/>
          <w:kern w:val="0"/>
          <w:szCs w:val="28"/>
        </w:rPr>
        <w:t>）。</w:t>
      </w:r>
    </w:p>
    <w:p w14:paraId="3129D298" w14:textId="77777777" w:rsidR="008D7DB0" w:rsidRDefault="00000000">
      <w:pPr>
        <w:pStyle w:val="3"/>
      </w:pPr>
      <w:bookmarkStart w:id="36" w:name="_Toc32467"/>
      <w:bookmarkStart w:id="37" w:name="_Toc205883215"/>
      <w:r>
        <w:rPr>
          <w:rFonts w:hint="eastAsia"/>
        </w:rPr>
        <w:t>1.2.3</w:t>
      </w:r>
      <w:r>
        <w:rPr>
          <w:rFonts w:hint="eastAsia"/>
        </w:rPr>
        <w:t>建设项目技术资料</w:t>
      </w:r>
      <w:bookmarkEnd w:id="26"/>
      <w:bookmarkEnd w:id="36"/>
      <w:bookmarkEnd w:id="37"/>
    </w:p>
    <w:p w14:paraId="6120AC8C" w14:textId="77777777" w:rsidR="00497DDF" w:rsidRDefault="00497DDF" w:rsidP="00497DDF">
      <w:pPr>
        <w:ind w:firstLine="560"/>
        <w:rPr>
          <w:rFonts w:hint="eastAsia"/>
        </w:rPr>
        <w:sectPr w:rsidR="00497DDF" w:rsidSect="00497DDF">
          <w:headerReference w:type="default" r:id="rId15"/>
          <w:footerReference w:type="default" r:id="rId16"/>
          <w:pgSz w:w="11906" w:h="16838"/>
          <w:pgMar w:top="1418" w:right="1531" w:bottom="1418" w:left="1531" w:header="851" w:footer="992" w:gutter="0"/>
          <w:pgNumType w:start="1"/>
          <w:cols w:space="720"/>
          <w:docGrid w:linePitch="312"/>
        </w:sectPr>
      </w:pPr>
      <w:r>
        <w:rPr>
          <w:rFonts w:hint="eastAsia"/>
        </w:rPr>
        <w:t>xxxxxxxxxxxxxxx</w:t>
      </w:r>
    </w:p>
    <w:p w14:paraId="4A36BB58" w14:textId="0AB1C6B4" w:rsidR="008D7DB0" w:rsidRDefault="00000000">
      <w:pPr>
        <w:ind w:firstLine="560"/>
      </w:pPr>
      <w:r>
        <w:rPr>
          <w:rFonts w:hint="eastAsia"/>
        </w:rPr>
        <w:lastRenderedPageBreak/>
        <w:t>。</w:t>
      </w:r>
    </w:p>
    <w:p w14:paraId="30BE0B51" w14:textId="77777777" w:rsidR="008D7DB0" w:rsidRDefault="00000000">
      <w:pPr>
        <w:pStyle w:val="3"/>
      </w:pPr>
      <w:bookmarkStart w:id="38" w:name="_Toc14459"/>
      <w:bookmarkStart w:id="39" w:name="_Toc1022"/>
      <w:bookmarkStart w:id="40" w:name="_Toc205883216"/>
      <w:r>
        <w:rPr>
          <w:rFonts w:hint="eastAsia"/>
        </w:rPr>
        <w:t>1.2.4</w:t>
      </w:r>
      <w:r>
        <w:rPr>
          <w:rFonts w:hint="eastAsia"/>
        </w:rPr>
        <w:t>其他评价依据</w:t>
      </w:r>
      <w:bookmarkEnd w:id="38"/>
      <w:bookmarkEnd w:id="39"/>
      <w:bookmarkEnd w:id="40"/>
    </w:p>
    <w:p w14:paraId="291784EA" w14:textId="518297DD" w:rsidR="008D7DB0" w:rsidRDefault="00497DDF">
      <w:pPr>
        <w:ind w:firstLine="560"/>
        <w:rPr>
          <w:rFonts w:hint="eastAsia"/>
        </w:rPr>
        <w:sectPr w:rsidR="008D7DB0">
          <w:headerReference w:type="default" r:id="rId17"/>
          <w:footerReference w:type="default" r:id="rId18"/>
          <w:pgSz w:w="11906" w:h="16838"/>
          <w:pgMar w:top="1418" w:right="1531" w:bottom="1418" w:left="1531" w:header="851" w:footer="992" w:gutter="0"/>
          <w:pgNumType w:start="1"/>
          <w:cols w:space="720"/>
          <w:docGrid w:linePitch="312"/>
        </w:sectPr>
      </w:pPr>
      <w:r>
        <w:rPr>
          <w:rFonts w:hint="eastAsia"/>
        </w:rPr>
        <w:t>xxxxxxxxxxxxxxx</w:t>
      </w:r>
    </w:p>
    <w:p w14:paraId="0652BE68" w14:textId="77777777" w:rsidR="008D7DB0" w:rsidRDefault="00000000">
      <w:pPr>
        <w:pStyle w:val="1"/>
        <w:spacing w:before="120"/>
      </w:pPr>
      <w:bookmarkStart w:id="41" w:name="_Toc205883217"/>
      <w:r>
        <w:rPr>
          <w:rFonts w:hint="eastAsia"/>
        </w:rPr>
        <w:lastRenderedPageBreak/>
        <w:t>2.</w:t>
      </w:r>
      <w:r>
        <w:rPr>
          <w:rFonts w:hint="eastAsia"/>
        </w:rPr>
        <w:t>建设项目概述</w:t>
      </w:r>
      <w:bookmarkEnd w:id="41"/>
    </w:p>
    <w:p w14:paraId="2F5F5481" w14:textId="77777777" w:rsidR="008D7DB0" w:rsidRDefault="00000000">
      <w:pPr>
        <w:pStyle w:val="2"/>
      </w:pPr>
      <w:bookmarkStart w:id="42" w:name="_Toc205883218"/>
      <w:r>
        <w:rPr>
          <w:rFonts w:hint="eastAsia"/>
        </w:rPr>
        <w:t>2.1</w:t>
      </w:r>
      <w:r>
        <w:rPr>
          <w:rFonts w:hint="eastAsia"/>
        </w:rPr>
        <w:t>建设单位概况</w:t>
      </w:r>
      <w:bookmarkEnd w:id="42"/>
    </w:p>
    <w:p w14:paraId="77399F98" w14:textId="77777777" w:rsidR="008D7DB0" w:rsidRDefault="00000000">
      <w:pPr>
        <w:pStyle w:val="3"/>
      </w:pPr>
      <w:bookmarkStart w:id="43" w:name="_Toc29100"/>
      <w:bookmarkStart w:id="44" w:name="_Toc17981"/>
      <w:bookmarkStart w:id="45" w:name="_Toc205883219"/>
      <w:r>
        <w:rPr>
          <w:rFonts w:hint="eastAsia"/>
        </w:rPr>
        <w:t>2.1.1</w:t>
      </w:r>
      <w:r>
        <w:rPr>
          <w:rFonts w:hint="eastAsia"/>
        </w:rPr>
        <w:t>建设项目基本情况</w:t>
      </w:r>
      <w:bookmarkEnd w:id="43"/>
      <w:bookmarkEnd w:id="44"/>
      <w:bookmarkEnd w:id="45"/>
    </w:p>
    <w:p w14:paraId="299FC650" w14:textId="77777777" w:rsidR="00497DDF" w:rsidRDefault="00497DDF" w:rsidP="00497DDF">
      <w:pPr>
        <w:ind w:firstLine="560"/>
        <w:rPr>
          <w:rFonts w:hint="eastAsia"/>
        </w:rPr>
        <w:sectPr w:rsidR="00497DDF" w:rsidSect="00497DDF">
          <w:headerReference w:type="default" r:id="rId19"/>
          <w:footerReference w:type="default" r:id="rId20"/>
          <w:pgSz w:w="11906" w:h="16838"/>
          <w:pgMar w:top="1418" w:right="1531" w:bottom="1418" w:left="1531" w:header="851" w:footer="992" w:gutter="0"/>
          <w:pgNumType w:start="1"/>
          <w:cols w:space="720"/>
          <w:docGrid w:linePitch="312"/>
        </w:sectPr>
      </w:pPr>
      <w:bookmarkStart w:id="46" w:name="_Toc21670"/>
      <w:r>
        <w:rPr>
          <w:rFonts w:hint="eastAsia"/>
        </w:rPr>
        <w:t>xxxxxxxxxxxxxxx</w:t>
      </w:r>
    </w:p>
    <w:p w14:paraId="7E553669" w14:textId="77777777" w:rsidR="008D7DB0" w:rsidRDefault="00000000">
      <w:pPr>
        <w:ind w:firstLine="560"/>
        <w:rPr>
          <w:rFonts w:eastAsiaTheme="minorEastAsia"/>
        </w:rPr>
      </w:pPr>
      <w:r>
        <w:rPr>
          <w:rFonts w:eastAsiaTheme="minorEastAsia"/>
        </w:rPr>
        <w:lastRenderedPageBreak/>
        <w:t>北票市富贵鸟矿业有限公司铁帽子采区露天开采建设项目于</w:t>
      </w:r>
      <w:r>
        <w:rPr>
          <w:rFonts w:eastAsiaTheme="minorEastAsia"/>
        </w:rPr>
        <w:t>2021</w:t>
      </w:r>
      <w:r>
        <w:rPr>
          <w:rFonts w:eastAsiaTheme="minorEastAsia"/>
        </w:rPr>
        <w:t>年</w:t>
      </w:r>
      <w:r>
        <w:rPr>
          <w:rFonts w:eastAsiaTheme="minorEastAsia"/>
        </w:rPr>
        <w:t>4</w:t>
      </w:r>
      <w:r>
        <w:rPr>
          <w:rFonts w:eastAsiaTheme="minorEastAsia"/>
        </w:rPr>
        <w:t>月由辽宁力康职业卫生与安全技术咨询服务有限公司编制了《北票市富贵鸟矿业有限公司铁帽子采区露天开采建设项目安全预评价报告》；</w:t>
      </w:r>
      <w:r>
        <w:rPr>
          <w:rFonts w:eastAsiaTheme="minorEastAsia"/>
        </w:rPr>
        <w:t>2021</w:t>
      </w:r>
      <w:r>
        <w:rPr>
          <w:rFonts w:eastAsiaTheme="minorEastAsia"/>
        </w:rPr>
        <w:t>年</w:t>
      </w:r>
      <w:r>
        <w:rPr>
          <w:rFonts w:eastAsiaTheme="minorEastAsia"/>
        </w:rPr>
        <w:t>4</w:t>
      </w:r>
      <w:r>
        <w:rPr>
          <w:rFonts w:eastAsiaTheme="minorEastAsia"/>
        </w:rPr>
        <w:t>月《北票市富贵鸟矿业有限公司铁帽子采区露天开采建设项目初步设计及安全设施设计》由兰州有色冶金设计研究院有限公司沈阳分公司编制</w:t>
      </w:r>
      <w:r>
        <w:rPr>
          <w:rFonts w:eastAsiaTheme="minorEastAsia" w:hint="eastAsia"/>
        </w:rPr>
        <w:t>，</w:t>
      </w:r>
      <w:r>
        <w:rPr>
          <w:rFonts w:eastAsiaTheme="minorEastAsia"/>
        </w:rPr>
        <w:t>经专家评审后通过，于</w:t>
      </w:r>
      <w:r>
        <w:rPr>
          <w:rFonts w:eastAsiaTheme="minorEastAsia"/>
        </w:rPr>
        <w:t>2021</w:t>
      </w:r>
      <w:r>
        <w:rPr>
          <w:rFonts w:eastAsiaTheme="minorEastAsia"/>
        </w:rPr>
        <w:t>年</w:t>
      </w:r>
      <w:r>
        <w:rPr>
          <w:rFonts w:eastAsiaTheme="minorEastAsia"/>
        </w:rPr>
        <w:t>4</w:t>
      </w:r>
      <w:r>
        <w:rPr>
          <w:rFonts w:eastAsiaTheme="minorEastAsia"/>
        </w:rPr>
        <w:t>月</w:t>
      </w:r>
      <w:r>
        <w:rPr>
          <w:rFonts w:eastAsiaTheme="minorEastAsia"/>
        </w:rPr>
        <w:t>13</w:t>
      </w:r>
      <w:r>
        <w:rPr>
          <w:rFonts w:eastAsiaTheme="minorEastAsia"/>
        </w:rPr>
        <w:t>日取得由辽宁省应急管理厅下发的关于北票市富贵鸟矿业有限公司铁帽子采区露天开采建设项目安全设施设计的批复（辽应急函字</w:t>
      </w:r>
      <w:r>
        <w:rPr>
          <w:rFonts w:eastAsiaTheme="minorEastAsia"/>
        </w:rPr>
        <w:t>[2021]17</w:t>
      </w:r>
      <w:r>
        <w:rPr>
          <w:rFonts w:eastAsiaTheme="minorEastAsia"/>
        </w:rPr>
        <w:t>号），基建期为</w:t>
      </w:r>
      <w:r>
        <w:rPr>
          <w:rFonts w:eastAsiaTheme="minorEastAsia"/>
        </w:rPr>
        <w:t>0.5</w:t>
      </w:r>
      <w:r>
        <w:rPr>
          <w:rFonts w:eastAsiaTheme="minorEastAsia"/>
        </w:rPr>
        <w:t>年，后经验收通过后，于</w:t>
      </w:r>
      <w:r>
        <w:rPr>
          <w:rFonts w:eastAsiaTheme="minorEastAsia"/>
        </w:rPr>
        <w:t>2021</w:t>
      </w:r>
      <w:r>
        <w:rPr>
          <w:rFonts w:eastAsiaTheme="minorEastAsia"/>
        </w:rPr>
        <w:t>年</w:t>
      </w:r>
      <w:r>
        <w:rPr>
          <w:rFonts w:eastAsiaTheme="minorEastAsia"/>
        </w:rPr>
        <w:t>10</w:t>
      </w:r>
      <w:r>
        <w:rPr>
          <w:rFonts w:eastAsiaTheme="minorEastAsia"/>
        </w:rPr>
        <w:t>月</w:t>
      </w:r>
      <w:r>
        <w:rPr>
          <w:rFonts w:eastAsiaTheme="minorEastAsia"/>
        </w:rPr>
        <w:t>11</w:t>
      </w:r>
      <w:r>
        <w:rPr>
          <w:rFonts w:eastAsiaTheme="minorEastAsia"/>
        </w:rPr>
        <w:t>日取得由辽宁省应急管理厅所颁发的《安全生产许可证》编号：（辽）</w:t>
      </w:r>
      <w:r>
        <w:rPr>
          <w:rFonts w:eastAsiaTheme="minorEastAsia"/>
        </w:rPr>
        <w:t>FM</w:t>
      </w:r>
      <w:r>
        <w:rPr>
          <w:rFonts w:eastAsiaTheme="minorEastAsia"/>
        </w:rPr>
        <w:t>安许证字</w:t>
      </w:r>
      <w:r>
        <w:rPr>
          <w:rFonts w:eastAsiaTheme="minorEastAsia"/>
        </w:rPr>
        <w:t>[2021]XN014008L</w:t>
      </w:r>
      <w:r>
        <w:rPr>
          <w:rFonts w:eastAsiaTheme="minorEastAsia"/>
        </w:rPr>
        <w:t>，有效期至</w:t>
      </w:r>
      <w:r>
        <w:rPr>
          <w:rFonts w:eastAsiaTheme="minorEastAsia"/>
        </w:rPr>
        <w:t>2024</w:t>
      </w:r>
      <w:r>
        <w:rPr>
          <w:rFonts w:eastAsiaTheme="minorEastAsia"/>
        </w:rPr>
        <w:t>年</w:t>
      </w:r>
      <w:r>
        <w:rPr>
          <w:rFonts w:eastAsiaTheme="minorEastAsia"/>
        </w:rPr>
        <w:t>10</w:t>
      </w:r>
      <w:r>
        <w:rPr>
          <w:rFonts w:eastAsiaTheme="minorEastAsia"/>
        </w:rPr>
        <w:t>月</w:t>
      </w:r>
      <w:r>
        <w:rPr>
          <w:rFonts w:eastAsiaTheme="minorEastAsia"/>
        </w:rPr>
        <w:t>10</w:t>
      </w:r>
      <w:r>
        <w:rPr>
          <w:rFonts w:eastAsiaTheme="minorEastAsia"/>
        </w:rPr>
        <w:t>日，于</w:t>
      </w:r>
      <w:r>
        <w:rPr>
          <w:rFonts w:eastAsiaTheme="minorEastAsia"/>
        </w:rPr>
        <w:t>2024</w:t>
      </w:r>
      <w:r>
        <w:rPr>
          <w:rFonts w:eastAsiaTheme="minorEastAsia"/>
        </w:rPr>
        <w:t>年</w:t>
      </w:r>
      <w:r>
        <w:rPr>
          <w:rFonts w:eastAsiaTheme="minorEastAsia"/>
        </w:rPr>
        <w:t>9</w:t>
      </w:r>
      <w:r>
        <w:rPr>
          <w:rFonts w:eastAsiaTheme="minorEastAsia"/>
        </w:rPr>
        <w:t>月</w:t>
      </w:r>
      <w:r>
        <w:rPr>
          <w:rFonts w:eastAsiaTheme="minorEastAsia"/>
        </w:rPr>
        <w:t>30</w:t>
      </w:r>
      <w:r>
        <w:rPr>
          <w:rFonts w:eastAsiaTheme="minorEastAsia"/>
        </w:rPr>
        <w:t>日对安全生产许可证进行了重新换证，现持有安全生产许可证：（辽）</w:t>
      </w:r>
      <w:r>
        <w:rPr>
          <w:rFonts w:eastAsiaTheme="minorEastAsia"/>
        </w:rPr>
        <w:t>FM</w:t>
      </w:r>
      <w:r>
        <w:rPr>
          <w:rFonts w:eastAsiaTheme="minorEastAsia"/>
        </w:rPr>
        <w:t>安许证字</w:t>
      </w:r>
      <w:r>
        <w:rPr>
          <w:rFonts w:eastAsiaTheme="minorEastAsia"/>
        </w:rPr>
        <w:t>[2024]N0108</w:t>
      </w:r>
      <w:r>
        <w:rPr>
          <w:rFonts w:eastAsiaTheme="minorEastAsia"/>
        </w:rPr>
        <w:t>，有效期至</w:t>
      </w:r>
      <w:r>
        <w:rPr>
          <w:rFonts w:eastAsiaTheme="minorEastAsia"/>
        </w:rPr>
        <w:t>2027</w:t>
      </w:r>
      <w:r>
        <w:rPr>
          <w:rFonts w:eastAsiaTheme="minorEastAsia"/>
        </w:rPr>
        <w:t>年</w:t>
      </w:r>
      <w:r>
        <w:rPr>
          <w:rFonts w:eastAsiaTheme="minorEastAsia"/>
        </w:rPr>
        <w:t>10</w:t>
      </w:r>
      <w:r>
        <w:rPr>
          <w:rFonts w:eastAsiaTheme="minorEastAsia"/>
        </w:rPr>
        <w:t>月</w:t>
      </w:r>
      <w:r>
        <w:rPr>
          <w:rFonts w:eastAsiaTheme="minorEastAsia"/>
        </w:rPr>
        <w:t>10</w:t>
      </w:r>
      <w:r>
        <w:rPr>
          <w:rFonts w:eastAsiaTheme="minorEastAsia"/>
        </w:rPr>
        <w:t>日。</w:t>
      </w:r>
    </w:p>
    <w:p w14:paraId="26155CD2" w14:textId="77777777" w:rsidR="008D7DB0" w:rsidRDefault="00000000">
      <w:pPr>
        <w:ind w:firstLine="560"/>
        <w:rPr>
          <w:rFonts w:eastAsiaTheme="minorEastAsia"/>
        </w:rPr>
      </w:pPr>
      <w:r>
        <w:rPr>
          <w:rFonts w:eastAsiaTheme="minorEastAsia"/>
        </w:rPr>
        <w:t>由于该矿山生产期剥离量较大，企业考虑未来拟提升产能及扩大开采范围，同时根据矿山征地范围，</w:t>
      </w:r>
      <w:r>
        <w:rPr>
          <w:rFonts w:eastAsiaTheme="minorEastAsia"/>
        </w:rPr>
        <w:t>2024</w:t>
      </w:r>
      <w:r>
        <w:rPr>
          <w:rFonts w:eastAsiaTheme="minorEastAsia"/>
        </w:rPr>
        <w:t>年该企业在矿区范围外东北侧建设一座排土场。</w:t>
      </w:r>
      <w:r>
        <w:rPr>
          <w:rFonts w:eastAsiaTheme="minorEastAsia"/>
        </w:rPr>
        <w:t>2024</w:t>
      </w:r>
      <w:r>
        <w:rPr>
          <w:rFonts w:eastAsiaTheme="minorEastAsia"/>
        </w:rPr>
        <w:t>年</w:t>
      </w:r>
      <w:r>
        <w:rPr>
          <w:rFonts w:eastAsiaTheme="minorEastAsia"/>
        </w:rPr>
        <w:t>10</w:t>
      </w:r>
      <w:r>
        <w:rPr>
          <w:rFonts w:eastAsiaTheme="minorEastAsia"/>
        </w:rPr>
        <w:t>月北票市应急管理局检查时发现该排土场与原设计不符，下发了《安全生产行政执法文书行政处罚告知书》（北）应急告（</w:t>
      </w:r>
      <w:r>
        <w:rPr>
          <w:rFonts w:eastAsiaTheme="minorEastAsia"/>
        </w:rPr>
        <w:t>2024</w:t>
      </w:r>
      <w:r>
        <w:rPr>
          <w:rFonts w:eastAsiaTheme="minorEastAsia"/>
        </w:rPr>
        <w:t>）</w:t>
      </w:r>
      <w:r>
        <w:rPr>
          <w:rFonts w:eastAsiaTheme="minorEastAsia"/>
        </w:rPr>
        <w:t>29</w:t>
      </w:r>
      <w:r>
        <w:rPr>
          <w:rFonts w:eastAsiaTheme="minorEastAsia"/>
        </w:rPr>
        <w:t>号，故设计重大变更取消原设计设置的临时废石场，根据现已经形成排土场的现状，拟建设一永久排土场。</w:t>
      </w:r>
    </w:p>
    <w:p w14:paraId="1C96B5BD" w14:textId="77777777" w:rsidR="008D7DB0" w:rsidRDefault="00000000">
      <w:pPr>
        <w:ind w:firstLine="560"/>
        <w:rPr>
          <w:rFonts w:eastAsiaTheme="minorEastAsia"/>
        </w:rPr>
      </w:pPr>
      <w:r>
        <w:rPr>
          <w:rFonts w:eastAsiaTheme="minorEastAsia"/>
        </w:rPr>
        <w:t>基于以上原因，根据《国家矿山安全监察局关于印发</w:t>
      </w:r>
      <w:r>
        <w:rPr>
          <w:rFonts w:eastAsiaTheme="minorEastAsia"/>
        </w:rPr>
        <w:t>&lt;</w:t>
      </w:r>
      <w:r>
        <w:rPr>
          <w:rFonts w:eastAsiaTheme="minorEastAsia"/>
        </w:rPr>
        <w:t>非煤矿山建设项目安全设施重大变更范围</w:t>
      </w:r>
      <w:r>
        <w:rPr>
          <w:rFonts w:eastAsiaTheme="minorEastAsia"/>
        </w:rPr>
        <w:t>&gt;</w:t>
      </w:r>
      <w:r>
        <w:rPr>
          <w:rFonts w:eastAsiaTheme="minorEastAsia"/>
        </w:rPr>
        <w:t>的通知》（矿安〔</w:t>
      </w:r>
      <w:r>
        <w:rPr>
          <w:rFonts w:eastAsiaTheme="minorEastAsia"/>
        </w:rPr>
        <w:t>2023</w:t>
      </w:r>
      <w:r>
        <w:rPr>
          <w:rFonts w:eastAsiaTheme="minorEastAsia"/>
        </w:rPr>
        <w:t>〕</w:t>
      </w:r>
      <w:r>
        <w:rPr>
          <w:rFonts w:eastAsiaTheme="minorEastAsia"/>
        </w:rPr>
        <w:t>147</w:t>
      </w:r>
      <w:r>
        <w:rPr>
          <w:rFonts w:eastAsiaTheme="minorEastAsia"/>
        </w:rPr>
        <w:t>号）》等相关文件要求，企业委托兰州有色冶金设计研究院有限公司沈阳分公司编制《北票市富贵鸟矿业有限公司铁帽子采区露天开采建设项目初步设计重大变更》，对该项目的排土场进行变更。</w:t>
      </w:r>
    </w:p>
    <w:p w14:paraId="5CC6D825" w14:textId="77777777" w:rsidR="008D7DB0" w:rsidRDefault="00000000">
      <w:pPr>
        <w:pStyle w:val="3"/>
      </w:pPr>
      <w:bookmarkStart w:id="47" w:name="_Toc2275"/>
      <w:bookmarkStart w:id="48" w:name="_Toc205883220"/>
      <w:r>
        <w:t>2.1.2</w:t>
      </w:r>
      <w:r>
        <w:rPr>
          <w:rFonts w:hint="eastAsia"/>
        </w:rPr>
        <w:t>建设项目隶属行政区划、地理位置及交通</w:t>
      </w:r>
      <w:bookmarkEnd w:id="46"/>
      <w:bookmarkEnd w:id="47"/>
      <w:bookmarkEnd w:id="48"/>
    </w:p>
    <w:p w14:paraId="535EDE07" w14:textId="77777777" w:rsidR="00CD3A07" w:rsidRDefault="00CD3A07" w:rsidP="00CD3A07">
      <w:pPr>
        <w:ind w:firstLine="560"/>
      </w:pPr>
      <w:r>
        <w:rPr>
          <w:rFonts w:hint="eastAsia"/>
        </w:rPr>
        <w:t>北票市富贵鸟矿业有限公司矿区位于朝阳市北部</w:t>
      </w:r>
      <w:r>
        <w:rPr>
          <w:rFonts w:hint="eastAsia"/>
        </w:rPr>
        <w:t>40km</w:t>
      </w:r>
      <w:r>
        <w:rPr>
          <w:rFonts w:hint="eastAsia"/>
        </w:rPr>
        <w:t>处，</w:t>
      </w:r>
      <w:r>
        <w:rPr>
          <w:rFonts w:hint="eastAsia"/>
        </w:rPr>
        <w:t xml:space="preserve"> </w:t>
      </w:r>
      <w:r>
        <w:rPr>
          <w:rFonts w:hint="eastAsia"/>
        </w:rPr>
        <w:t>行政区</w:t>
      </w:r>
      <w:r>
        <w:rPr>
          <w:rFonts w:hint="eastAsia"/>
        </w:rPr>
        <w:lastRenderedPageBreak/>
        <w:t>划隶属于辽宁省北票市龙潭乡管辖。矿区距北票市西北</w:t>
      </w:r>
      <w:r>
        <w:rPr>
          <w:rFonts w:hint="eastAsia"/>
        </w:rPr>
        <w:t>50km</w:t>
      </w:r>
      <w:r>
        <w:rPr>
          <w:rFonts w:hint="eastAsia"/>
        </w:rPr>
        <w:t>，矿区所在地与北票市、朝阳市之间有县乡道连接。北票市境内有</w:t>
      </w:r>
      <w:r>
        <w:rPr>
          <w:rFonts w:hint="eastAsia"/>
        </w:rPr>
        <w:t>6</w:t>
      </w:r>
      <w:r>
        <w:rPr>
          <w:rFonts w:hint="eastAsia"/>
        </w:rPr>
        <w:t>条铁路通过，直通北京、沈阳、大连、锦州、承德等城市，公路有贯通关内外的大动脉</w:t>
      </w:r>
      <w:r>
        <w:rPr>
          <w:rFonts w:hint="eastAsia"/>
        </w:rPr>
        <w:t xml:space="preserve"> G101</w:t>
      </w:r>
      <w:r>
        <w:rPr>
          <w:rFonts w:hint="eastAsia"/>
        </w:rPr>
        <w:t>国道、长深高速公路、</w:t>
      </w:r>
      <w:r>
        <w:rPr>
          <w:rFonts w:hint="eastAsia"/>
        </w:rPr>
        <w:t>G305</w:t>
      </w:r>
      <w:r>
        <w:rPr>
          <w:rFonts w:hint="eastAsia"/>
        </w:rPr>
        <w:t>国道，交通十分方便。（见交通位置图）。</w:t>
      </w:r>
    </w:p>
    <w:p w14:paraId="7978A388" w14:textId="77777777" w:rsidR="00CD3A07" w:rsidRDefault="00CD3A07" w:rsidP="00CD3A07">
      <w:pPr>
        <w:ind w:firstLine="560"/>
      </w:pPr>
      <w:r>
        <w:rPr>
          <w:rFonts w:hint="eastAsia"/>
        </w:rPr>
        <w:t>铁帽子山采区中心点地理坐标：</w:t>
      </w:r>
      <w:r>
        <w:rPr>
          <w:rFonts w:hint="eastAsia"/>
        </w:rPr>
        <w:t xml:space="preserve"> </w:t>
      </w:r>
    </w:p>
    <w:p w14:paraId="24269550" w14:textId="77777777" w:rsidR="008D7DB0" w:rsidRDefault="00CD3A07" w:rsidP="00CD3A07">
      <w:pPr>
        <w:ind w:firstLine="560"/>
      </w:pPr>
      <w:r>
        <w:rPr>
          <w:rFonts w:hint="eastAsia"/>
        </w:rPr>
        <w:t>东经：</w:t>
      </w:r>
      <w:r>
        <w:rPr>
          <w:rFonts w:hint="eastAsia"/>
        </w:rPr>
        <w:t>120</w:t>
      </w:r>
      <w:r>
        <w:rPr>
          <w:rFonts w:hint="eastAsia"/>
        </w:rPr>
        <w:t>°</w:t>
      </w:r>
      <w:r>
        <w:rPr>
          <w:rFonts w:hint="eastAsia"/>
        </w:rPr>
        <w:t>21</w:t>
      </w:r>
      <w:r>
        <w:rPr>
          <w:rFonts w:hint="eastAsia"/>
        </w:rPr>
        <w:t>′</w:t>
      </w:r>
      <w:r>
        <w:rPr>
          <w:rFonts w:hint="eastAsia"/>
        </w:rPr>
        <w:t>14</w:t>
      </w:r>
      <w:r>
        <w:rPr>
          <w:rFonts w:hint="eastAsia"/>
        </w:rPr>
        <w:t>″；北纬：</w:t>
      </w:r>
      <w:r>
        <w:rPr>
          <w:rFonts w:hint="eastAsia"/>
        </w:rPr>
        <w:t>41</w:t>
      </w:r>
      <w:r>
        <w:rPr>
          <w:rFonts w:hint="eastAsia"/>
        </w:rPr>
        <w:t>°</w:t>
      </w:r>
      <w:r>
        <w:rPr>
          <w:rFonts w:hint="eastAsia"/>
        </w:rPr>
        <w:t>49</w:t>
      </w:r>
      <w:r>
        <w:rPr>
          <w:rFonts w:hint="eastAsia"/>
        </w:rPr>
        <w:t>′</w:t>
      </w:r>
      <w:r>
        <w:rPr>
          <w:rFonts w:hint="eastAsia"/>
        </w:rPr>
        <w:t>45</w:t>
      </w:r>
      <w:r>
        <w:rPr>
          <w:rFonts w:hint="eastAsia"/>
        </w:rPr>
        <w:t>″</w:t>
      </w:r>
      <w:r>
        <w:t>。</w:t>
      </w:r>
    </w:p>
    <w:p w14:paraId="2B1A380B" w14:textId="77777777" w:rsidR="008D7DB0" w:rsidRDefault="00000000">
      <w:pPr>
        <w:pStyle w:val="21"/>
        <w:ind w:leftChars="0" w:left="0" w:firstLineChars="0" w:firstLine="0"/>
        <w:jc w:val="center"/>
      </w:pPr>
      <w:r>
        <w:t>2.1-1</w:t>
      </w:r>
      <w:r>
        <w:t>交通位置图</w:t>
      </w:r>
    </w:p>
    <w:p w14:paraId="27E4B7C5" w14:textId="77777777" w:rsidR="008D7DB0" w:rsidRDefault="00000000">
      <w:pPr>
        <w:pStyle w:val="3"/>
      </w:pPr>
      <w:bookmarkStart w:id="49" w:name="_Toc17486"/>
      <w:bookmarkStart w:id="50" w:name="_Toc29416"/>
      <w:bookmarkStart w:id="51" w:name="_Toc205883221"/>
      <w:r>
        <w:t>2.1.</w:t>
      </w:r>
      <w:r>
        <w:rPr>
          <w:rFonts w:hint="eastAsia"/>
        </w:rPr>
        <w:t>3</w:t>
      </w:r>
      <w:r>
        <w:rPr>
          <w:rFonts w:hint="eastAsia"/>
        </w:rPr>
        <w:t>建设项目周边环境</w:t>
      </w:r>
      <w:bookmarkEnd w:id="49"/>
      <w:bookmarkEnd w:id="50"/>
      <w:bookmarkEnd w:id="51"/>
    </w:p>
    <w:p w14:paraId="1057716D" w14:textId="77777777" w:rsidR="00497DDF" w:rsidRDefault="00497DDF" w:rsidP="00497DDF">
      <w:pPr>
        <w:ind w:firstLine="560"/>
        <w:rPr>
          <w:rFonts w:hint="eastAsia"/>
        </w:rPr>
        <w:sectPr w:rsidR="00497DDF" w:rsidSect="00497DDF">
          <w:headerReference w:type="default" r:id="rId21"/>
          <w:footerReference w:type="default" r:id="rId22"/>
          <w:pgSz w:w="11906" w:h="16838"/>
          <w:pgMar w:top="1418" w:right="1531" w:bottom="1418" w:left="1531" w:header="851" w:footer="992" w:gutter="0"/>
          <w:pgNumType w:start="1"/>
          <w:cols w:space="720"/>
          <w:docGrid w:linePitch="312"/>
        </w:sectPr>
      </w:pPr>
      <w:r>
        <w:rPr>
          <w:rFonts w:hint="eastAsia"/>
        </w:rPr>
        <w:t>xxxxxxxxxxxxxxx</w:t>
      </w:r>
    </w:p>
    <w:p w14:paraId="0CE41306" w14:textId="77777777" w:rsidR="00497DDF" w:rsidRDefault="00497DDF" w:rsidP="00497DDF">
      <w:pPr>
        <w:ind w:firstLine="560"/>
        <w:rPr>
          <w:rFonts w:hint="eastAsia"/>
        </w:rPr>
        <w:sectPr w:rsidR="00497DDF" w:rsidSect="00497DDF">
          <w:headerReference w:type="default" r:id="rId23"/>
          <w:footerReference w:type="default" r:id="rId24"/>
          <w:pgSz w:w="11906" w:h="16838"/>
          <w:pgMar w:top="1418" w:right="1531" w:bottom="1418" w:left="1531" w:header="851" w:footer="992" w:gutter="0"/>
          <w:pgNumType w:start="1"/>
          <w:cols w:space="720"/>
          <w:docGrid w:linePitch="312"/>
        </w:sectPr>
      </w:pPr>
      <w:r>
        <w:rPr>
          <w:rFonts w:hint="eastAsia"/>
        </w:rPr>
        <w:lastRenderedPageBreak/>
        <w:t>xxxxxxxxxxxxxxx</w:t>
      </w:r>
    </w:p>
    <w:p w14:paraId="51A0BF79" w14:textId="77777777" w:rsidR="008D7DB0" w:rsidRDefault="00000000">
      <w:pPr>
        <w:spacing w:after="120" w:line="240" w:lineRule="auto"/>
        <w:ind w:firstLineChars="0" w:firstLine="0"/>
        <w:jc w:val="center"/>
      </w:pPr>
      <w:r>
        <w:rPr>
          <w:rFonts w:hint="eastAsia"/>
          <w:sz w:val="21"/>
        </w:rPr>
        <w:lastRenderedPageBreak/>
        <w:t>图</w:t>
      </w:r>
      <w:r>
        <w:rPr>
          <w:rFonts w:hint="eastAsia"/>
          <w:sz w:val="21"/>
        </w:rPr>
        <w:t>2.1-3</w:t>
      </w:r>
      <w:r>
        <w:rPr>
          <w:rFonts w:hint="eastAsia"/>
          <w:sz w:val="21"/>
        </w:rPr>
        <w:t>排土场周边环境卫星图</w:t>
      </w:r>
    </w:p>
    <w:p w14:paraId="1EDE5535" w14:textId="77777777" w:rsidR="008D7DB0" w:rsidRDefault="00000000">
      <w:pPr>
        <w:pStyle w:val="2"/>
      </w:pPr>
      <w:bookmarkStart w:id="52" w:name="_Toc205883222"/>
      <w:r>
        <w:rPr>
          <w:rFonts w:hint="eastAsia"/>
        </w:rPr>
        <w:t>2.2</w:t>
      </w:r>
      <w:r>
        <w:rPr>
          <w:rFonts w:hint="eastAsia"/>
        </w:rPr>
        <w:t>自然环境概况</w:t>
      </w:r>
      <w:bookmarkEnd w:id="52"/>
    </w:p>
    <w:p w14:paraId="52779A56" w14:textId="77777777" w:rsidR="008D7DB0" w:rsidRDefault="00000000">
      <w:pPr>
        <w:pStyle w:val="3"/>
      </w:pPr>
      <w:bookmarkStart w:id="53" w:name="_Toc8660"/>
      <w:bookmarkStart w:id="54" w:name="_Toc7349"/>
      <w:bookmarkStart w:id="55" w:name="_Toc205883223"/>
      <w:r>
        <w:rPr>
          <w:rFonts w:hint="eastAsia"/>
        </w:rPr>
        <w:t>2.2.1</w:t>
      </w:r>
      <w:r>
        <w:rPr>
          <w:rFonts w:hint="eastAsia"/>
        </w:rPr>
        <w:t>地形地貌</w:t>
      </w:r>
      <w:bookmarkEnd w:id="53"/>
      <w:bookmarkEnd w:id="54"/>
      <w:bookmarkEnd w:id="55"/>
    </w:p>
    <w:p w14:paraId="5168A50A" w14:textId="77777777" w:rsidR="008D7DB0" w:rsidRDefault="00000000">
      <w:pPr>
        <w:ind w:firstLine="560"/>
        <w:rPr>
          <w:lang w:val="zh-CN"/>
        </w:rPr>
      </w:pPr>
      <w:bookmarkStart w:id="56" w:name="_Toc19584"/>
      <w:r>
        <w:rPr>
          <w:rFonts w:hint="eastAsia"/>
          <w:lang w:val="zh-CN"/>
        </w:rPr>
        <w:t>区域地貌类型可分为构造剥蚀低山和侵蚀堆积山间沟谷两种类型。山体多由混合花岗岩等变质岩组成。</w:t>
      </w:r>
    </w:p>
    <w:p w14:paraId="36905BA2" w14:textId="77777777" w:rsidR="008D7DB0" w:rsidRDefault="00000000">
      <w:pPr>
        <w:pStyle w:val="3"/>
      </w:pPr>
      <w:bookmarkStart w:id="57" w:name="_Toc24804"/>
      <w:bookmarkStart w:id="58" w:name="_Toc205883224"/>
      <w:r>
        <w:rPr>
          <w:rFonts w:hint="eastAsia"/>
        </w:rPr>
        <w:t>2.2.2</w:t>
      </w:r>
      <w:r>
        <w:rPr>
          <w:rFonts w:hint="eastAsia"/>
        </w:rPr>
        <w:t>气候条件</w:t>
      </w:r>
      <w:bookmarkEnd w:id="56"/>
      <w:bookmarkEnd w:id="57"/>
      <w:bookmarkEnd w:id="58"/>
    </w:p>
    <w:p w14:paraId="5B181803" w14:textId="77777777" w:rsidR="008D7DB0" w:rsidRDefault="00000000">
      <w:pPr>
        <w:ind w:firstLine="560"/>
      </w:pPr>
      <w:r>
        <w:t>本区雨量较少，受太平洋副热带高压影响，降雨带七月份推移到本区，故雨量多集中于七、八、九月份，其中七、八月份各占总量</w:t>
      </w:r>
      <w:r>
        <w:t>58%</w:t>
      </w:r>
      <w:r>
        <w:t>，八月份最大降雨量为</w:t>
      </w:r>
      <w:r>
        <w:t>116.5mm</w:t>
      </w:r>
      <w:r>
        <w:t>，年降雨量</w:t>
      </w:r>
      <w:r>
        <w:t>387</w:t>
      </w:r>
      <w:r>
        <w:t>～</w:t>
      </w:r>
      <w:r>
        <w:t>610mm</w:t>
      </w:r>
      <w:r>
        <w:t>，蒸发量</w:t>
      </w:r>
      <w:r>
        <w:t>1600</w:t>
      </w:r>
      <w:r>
        <w:t>～</w:t>
      </w:r>
      <w:r>
        <w:t>1850mm</w:t>
      </w:r>
      <w:r>
        <w:t>，为年降雨量的</w:t>
      </w:r>
      <w:r>
        <w:t>2.9</w:t>
      </w:r>
      <w:r>
        <w:t>倍，年平均降水量</w:t>
      </w:r>
      <w:r>
        <w:t>509mm</w:t>
      </w:r>
      <w:r>
        <w:t>，年平均湿度</w:t>
      </w:r>
      <w:r>
        <w:t>52</w:t>
      </w:r>
      <w:r>
        <w:t>～</w:t>
      </w:r>
      <w:r>
        <w:t>59%</w:t>
      </w:r>
      <w:r>
        <w:t>，冰冻期为当年</w:t>
      </w:r>
      <w:r>
        <w:t>11</w:t>
      </w:r>
      <w:r>
        <w:t>月至翌年</w:t>
      </w:r>
      <w:r>
        <w:t>4</w:t>
      </w:r>
      <w:r>
        <w:t>月，无霜期</w:t>
      </w:r>
      <w:r>
        <w:t>153</w:t>
      </w:r>
      <w:r>
        <w:t>天。</w:t>
      </w:r>
    </w:p>
    <w:p w14:paraId="465E13D7" w14:textId="77777777" w:rsidR="008D7DB0" w:rsidRDefault="00000000">
      <w:pPr>
        <w:pStyle w:val="3"/>
      </w:pPr>
      <w:bookmarkStart w:id="59" w:name="_Toc3127"/>
      <w:bookmarkStart w:id="60" w:name="_Toc30139"/>
      <w:bookmarkStart w:id="61" w:name="_Toc205883225"/>
      <w:r>
        <w:rPr>
          <w:rFonts w:hint="eastAsia"/>
        </w:rPr>
        <w:t>2.2.3</w:t>
      </w:r>
      <w:r>
        <w:rPr>
          <w:rFonts w:hint="eastAsia"/>
        </w:rPr>
        <w:t>区域经济地理概况</w:t>
      </w:r>
      <w:bookmarkEnd w:id="59"/>
      <w:bookmarkEnd w:id="60"/>
      <w:bookmarkEnd w:id="61"/>
    </w:p>
    <w:p w14:paraId="222BF666" w14:textId="77777777" w:rsidR="008D7DB0" w:rsidRDefault="00000000">
      <w:pPr>
        <w:ind w:firstLine="560"/>
      </w:pPr>
      <w:r>
        <w:t>区内工业基础雄厚、门类齐全，形成了以</w:t>
      </w:r>
      <w:hyperlink r:id="rId25" w:tooltip="机械" w:history="1">
        <w:r w:rsidR="008D7DB0">
          <w:t>机械</w:t>
        </w:r>
      </w:hyperlink>
      <w:r>
        <w:t>、</w:t>
      </w:r>
      <w:hyperlink r:id="rId26" w:tooltip="食品" w:history="1">
        <w:r w:rsidR="008D7DB0">
          <w:t>食品</w:t>
        </w:r>
      </w:hyperlink>
      <w:r>
        <w:t>、轻纺、</w:t>
      </w:r>
      <w:hyperlink r:id="rId27" w:tooltip="建材" w:history="1">
        <w:r w:rsidR="008D7DB0">
          <w:t>建材</w:t>
        </w:r>
      </w:hyperlink>
      <w:r>
        <w:t>、冶金、化工为主的六大行业，构成了该区主要的工业体系，农业主要以种植粮食作物玉米、高粱为主。该区用电为东北电网电力，电力充足。</w:t>
      </w:r>
    </w:p>
    <w:p w14:paraId="0B9871FD" w14:textId="77777777" w:rsidR="008D7DB0" w:rsidRDefault="00000000">
      <w:pPr>
        <w:pStyle w:val="3"/>
      </w:pPr>
      <w:bookmarkStart w:id="62" w:name="_Toc27170"/>
      <w:bookmarkStart w:id="63" w:name="_Toc12010"/>
      <w:bookmarkStart w:id="64" w:name="_Toc205883226"/>
      <w:r>
        <w:rPr>
          <w:rFonts w:hint="eastAsia"/>
        </w:rPr>
        <w:t>2.2.4</w:t>
      </w:r>
      <w:r>
        <w:rPr>
          <w:rFonts w:hint="eastAsia"/>
        </w:rPr>
        <w:t>地震烈度</w:t>
      </w:r>
      <w:bookmarkEnd w:id="62"/>
      <w:bookmarkEnd w:id="63"/>
      <w:bookmarkEnd w:id="64"/>
    </w:p>
    <w:p w14:paraId="72599C99" w14:textId="77777777" w:rsidR="008D7DB0" w:rsidRDefault="00000000">
      <w:pPr>
        <w:ind w:firstLine="560"/>
      </w:pPr>
      <w:r>
        <w:t>场地抗震设防烈度</w:t>
      </w:r>
      <w:r>
        <w:t>7</w:t>
      </w:r>
      <w:r>
        <w:t>度。根据《中国地震动参数区划图》</w:t>
      </w:r>
      <w:r>
        <w:t>GB18306-2015</w:t>
      </w:r>
      <w:r>
        <w:t>中附录</w:t>
      </w:r>
      <w:r>
        <w:t>C</w:t>
      </w:r>
      <w:r>
        <w:t>中表</w:t>
      </w:r>
      <w:r>
        <w:t>C.7</w:t>
      </w:r>
      <w:r>
        <w:t>数值，场地基本地震动峰值加速度值为</w:t>
      </w:r>
      <w:r>
        <w:t>0.10g</w:t>
      </w:r>
      <w:r>
        <w:t>，场地地震动加速度反应普特征周期值为</w:t>
      </w:r>
      <w:r>
        <w:t>0.35s</w:t>
      </w:r>
      <w:r>
        <w:t>。各建（构）筑物的抗震设防类别及抗震设防标准应按《工程抗震设防分类标准》（</w:t>
      </w:r>
      <w:r>
        <w:t>GB50223-2008</w:t>
      </w:r>
      <w:r>
        <w:t>）中的规定执行。</w:t>
      </w:r>
    </w:p>
    <w:p w14:paraId="72D9816E" w14:textId="77777777" w:rsidR="008D7DB0" w:rsidRDefault="00000000">
      <w:pPr>
        <w:ind w:firstLine="560"/>
      </w:pPr>
      <w:r>
        <w:t>场地抗震设防烈度为</w:t>
      </w:r>
      <w:r>
        <w:t>7</w:t>
      </w:r>
      <w:r>
        <w:t>度，设计基本地震加速度值为</w:t>
      </w:r>
      <w:r>
        <w:t>0.10g</w:t>
      </w:r>
      <w:r>
        <w:t>，设计地震分组为第一组。特征周期为</w:t>
      </w:r>
      <w:r>
        <w:t>0.35s</w:t>
      </w:r>
      <w:r>
        <w:t>，场地地基土</w:t>
      </w:r>
      <w:r>
        <w:t>20m</w:t>
      </w:r>
      <w:r>
        <w:t>内等效剪切波速度平均值</w:t>
      </w:r>
      <w:r>
        <w:t>250m/s≥υS</w:t>
      </w:r>
      <w:r>
        <w:t>＞</w:t>
      </w:r>
      <w:r>
        <w:t>150m/s</w:t>
      </w:r>
      <w:r>
        <w:t>，场地覆盖层厚度大于</w:t>
      </w:r>
      <w:r>
        <w:t>3m</w:t>
      </w:r>
      <w:r>
        <w:t>，建筑场地类别为</w:t>
      </w:r>
      <w:r>
        <w:t>Ⅱ</w:t>
      </w:r>
      <w:r>
        <w:t>类。场地为对建筑抗震的一般地段。可不考虑液化问题。</w:t>
      </w:r>
    </w:p>
    <w:p w14:paraId="1D474FE0" w14:textId="77777777" w:rsidR="008D7DB0" w:rsidRDefault="00000000">
      <w:pPr>
        <w:pStyle w:val="2"/>
      </w:pPr>
      <w:bookmarkStart w:id="65" w:name="_Toc205883227"/>
      <w:r>
        <w:rPr>
          <w:rFonts w:hint="eastAsia"/>
        </w:rPr>
        <w:lastRenderedPageBreak/>
        <w:t>2.3</w:t>
      </w:r>
      <w:r>
        <w:rPr>
          <w:rFonts w:hint="eastAsia"/>
        </w:rPr>
        <w:t>建设项目地质概况</w:t>
      </w:r>
      <w:bookmarkEnd w:id="65"/>
    </w:p>
    <w:p w14:paraId="53D0020A" w14:textId="77777777" w:rsidR="008D7DB0" w:rsidRDefault="00000000">
      <w:pPr>
        <w:pStyle w:val="3"/>
      </w:pPr>
      <w:bookmarkStart w:id="66" w:name="_Toc14746"/>
      <w:bookmarkStart w:id="67" w:name="_Toc25697"/>
      <w:bookmarkStart w:id="68" w:name="_Toc205883228"/>
      <w:r>
        <w:rPr>
          <w:rFonts w:hint="eastAsia"/>
        </w:rPr>
        <w:t>2.3.1</w:t>
      </w:r>
      <w:r>
        <w:rPr>
          <w:rFonts w:hint="eastAsia"/>
        </w:rPr>
        <w:t>厂区工程地质概况</w:t>
      </w:r>
      <w:bookmarkEnd w:id="66"/>
      <w:bookmarkEnd w:id="67"/>
      <w:bookmarkEnd w:id="68"/>
    </w:p>
    <w:p w14:paraId="6DEB2647" w14:textId="77777777" w:rsidR="008D7DB0" w:rsidRDefault="00000000">
      <w:pPr>
        <w:pStyle w:val="4"/>
      </w:pPr>
      <w:bookmarkStart w:id="69" w:name="_Toc106980750"/>
      <w:bookmarkStart w:id="70" w:name="_Toc15472"/>
      <w:r>
        <w:rPr>
          <w:rFonts w:hint="eastAsia"/>
        </w:rPr>
        <w:t>2.3.1.1</w:t>
      </w:r>
      <w:r>
        <w:rPr>
          <w:rFonts w:hint="eastAsia"/>
        </w:rPr>
        <w:t>地层的组成及其分布规律</w:t>
      </w:r>
      <w:bookmarkEnd w:id="69"/>
    </w:p>
    <w:p w14:paraId="5BA613C1" w14:textId="77777777" w:rsidR="00EF2B8D" w:rsidRDefault="00EF2B8D" w:rsidP="00EF2B8D">
      <w:pPr>
        <w:ind w:firstLine="560"/>
      </w:pPr>
      <w:r>
        <w:rPr>
          <w:rFonts w:hint="eastAsia"/>
        </w:rPr>
        <w:t>根据野外钻探、土工试验资料，经综合分析、概化后将排土场堆积物划分为以下</w:t>
      </w:r>
      <w:r>
        <w:rPr>
          <w:rFonts w:hint="eastAsia"/>
        </w:rPr>
        <w:t>3</w:t>
      </w:r>
      <w:r>
        <w:rPr>
          <w:rFonts w:hint="eastAsia"/>
        </w:rPr>
        <w:t>层，岩性详细描述如下：</w:t>
      </w:r>
    </w:p>
    <w:p w14:paraId="0D50CAC8" w14:textId="77777777" w:rsidR="00EF2B8D" w:rsidRDefault="00EF2B8D" w:rsidP="00EF2B8D">
      <w:pPr>
        <w:ind w:firstLine="560"/>
      </w:pPr>
      <w:r>
        <w:rPr>
          <w:rFonts w:hint="eastAsia"/>
        </w:rPr>
        <w:t>①碎石（排土场堆积物）：主要为黄褐色</w:t>
      </w:r>
      <w:r>
        <w:rPr>
          <w:rFonts w:hint="eastAsia"/>
        </w:rPr>
        <w:t>,</w:t>
      </w:r>
      <w:r>
        <w:rPr>
          <w:rFonts w:hint="eastAsia"/>
        </w:rPr>
        <w:t>为采场剥离物</w:t>
      </w:r>
      <w:r>
        <w:rPr>
          <w:rFonts w:hint="eastAsia"/>
        </w:rPr>
        <w:t>,</w:t>
      </w:r>
      <w:r>
        <w:rPr>
          <w:rFonts w:hint="eastAsia"/>
        </w:rPr>
        <w:t>成分主要为第四系堆积物和矿区岩石等经爆破后形成的大小不等的毛石堆置在排土场中，一般粒径</w:t>
      </w:r>
      <w:r>
        <w:rPr>
          <w:rFonts w:hint="eastAsia"/>
        </w:rPr>
        <w:t>30mm</w:t>
      </w:r>
      <w:r>
        <w:rPr>
          <w:rFonts w:hint="eastAsia"/>
        </w:rPr>
        <w:t>～</w:t>
      </w:r>
      <w:r>
        <w:rPr>
          <w:rFonts w:hint="eastAsia"/>
        </w:rPr>
        <w:t>80mm</w:t>
      </w:r>
      <w:r>
        <w:rPr>
          <w:rFonts w:hint="eastAsia"/>
        </w:rPr>
        <w:t>约占</w:t>
      </w:r>
      <w:r>
        <w:rPr>
          <w:rFonts w:hint="eastAsia"/>
        </w:rPr>
        <w:t>40%</w:t>
      </w:r>
      <w:r>
        <w:rPr>
          <w:rFonts w:hint="eastAsia"/>
        </w:rPr>
        <w:t>，粘土含量约占</w:t>
      </w:r>
      <w:r>
        <w:rPr>
          <w:rFonts w:hint="eastAsia"/>
        </w:rPr>
        <w:t>20%</w:t>
      </w:r>
      <w:r>
        <w:rPr>
          <w:rFonts w:hint="eastAsia"/>
        </w:rPr>
        <w:t>，最大粒径为约</w:t>
      </w:r>
      <w:r>
        <w:rPr>
          <w:rFonts w:hint="eastAsia"/>
        </w:rPr>
        <w:t>800mm</w:t>
      </w:r>
      <w:r>
        <w:rPr>
          <w:rFonts w:hint="eastAsia"/>
        </w:rPr>
        <w:t>，稍湿。主要以粗颗粒为主，少部分经碎石加工车间处理后产生的粉砂，不含水。</w:t>
      </w:r>
    </w:p>
    <w:p w14:paraId="6F8001D7" w14:textId="77777777" w:rsidR="00EF2B8D" w:rsidRDefault="00EF2B8D" w:rsidP="00EF2B8D">
      <w:pPr>
        <w:ind w:firstLine="560"/>
      </w:pPr>
      <w:r>
        <w:rPr>
          <w:rFonts w:hint="eastAsia"/>
        </w:rPr>
        <w:t>②碎石混粘性土：黄褐色，混粒结构，颗粒交错排列，完全充填，粒径一般为</w:t>
      </w:r>
      <w:r>
        <w:rPr>
          <w:rFonts w:hint="eastAsia"/>
        </w:rPr>
        <w:t>20-100mm</w:t>
      </w:r>
      <w:r>
        <w:rPr>
          <w:rFonts w:hint="eastAsia"/>
        </w:rPr>
        <w:t>，最大</w:t>
      </w:r>
      <w:r>
        <w:rPr>
          <w:rFonts w:hint="eastAsia"/>
        </w:rPr>
        <w:t>300mm</w:t>
      </w:r>
      <w:r>
        <w:rPr>
          <w:rFonts w:hint="eastAsia"/>
        </w:rPr>
        <w:t>，颗粒呈次棱角状，母岩成分为花岗片麻岩，粘性土含量约为</w:t>
      </w:r>
      <w:r>
        <w:rPr>
          <w:rFonts w:hint="eastAsia"/>
        </w:rPr>
        <w:t>30%</w:t>
      </w:r>
      <w:r>
        <w:rPr>
          <w:rFonts w:hint="eastAsia"/>
        </w:rPr>
        <w:t>，稍湿。</w:t>
      </w:r>
    </w:p>
    <w:p w14:paraId="255E2BA3" w14:textId="7C10E9A6" w:rsidR="008D7DB0" w:rsidRDefault="00EF2B8D" w:rsidP="00EF2B8D">
      <w:pPr>
        <w:ind w:firstLine="560"/>
      </w:pPr>
      <w:r>
        <w:rPr>
          <w:rFonts w:hint="eastAsia"/>
        </w:rPr>
        <w:t>③花岗混合岩（强风化）：灰色</w:t>
      </w:r>
      <w:r>
        <w:rPr>
          <w:rFonts w:hint="eastAsia"/>
        </w:rPr>
        <w:t>-</w:t>
      </w:r>
      <w:r>
        <w:rPr>
          <w:rFonts w:hint="eastAsia"/>
        </w:rPr>
        <w:t>浅肉红色，鳞片粗粒变晶结构，块状构造，局部为片麻状构造，主要由长石、石英、黑云母、角闪石等组成。岩心为碎石状</w:t>
      </w:r>
      <w:r>
        <w:rPr>
          <w:rFonts w:hint="eastAsia"/>
        </w:rPr>
        <w:t>-</w:t>
      </w:r>
      <w:r>
        <w:rPr>
          <w:rFonts w:hint="eastAsia"/>
        </w:rPr>
        <w:t>短柱状，金刚石冲水钻进进尺缓慢。本次钻探未穿透该层，最大揭露厚度</w:t>
      </w:r>
      <w:r>
        <w:rPr>
          <w:rFonts w:hint="eastAsia"/>
        </w:rPr>
        <w:t>10.00m</w:t>
      </w:r>
      <w:r>
        <w:rPr>
          <w:rFonts w:hint="eastAsia"/>
        </w:rPr>
        <w:t>。</w:t>
      </w:r>
    </w:p>
    <w:p w14:paraId="28BCCD67" w14:textId="77777777" w:rsidR="008D7DB0" w:rsidRDefault="00000000">
      <w:pPr>
        <w:pStyle w:val="4"/>
      </w:pPr>
      <w:r>
        <w:rPr>
          <w:rFonts w:hint="eastAsia"/>
        </w:rPr>
        <w:t>2.3.1.2</w:t>
      </w:r>
      <w:r>
        <w:rPr>
          <w:rFonts w:hint="eastAsia"/>
        </w:rPr>
        <w:t>各岩土层的物理力学指标统计</w:t>
      </w:r>
    </w:p>
    <w:p w14:paraId="699107D7" w14:textId="77777777" w:rsidR="00EF2B8D" w:rsidRDefault="00EF2B8D" w:rsidP="00EF2B8D">
      <w:pPr>
        <w:ind w:firstLine="560"/>
      </w:pPr>
      <w:r>
        <w:rPr>
          <w:rFonts w:hint="eastAsia"/>
        </w:rPr>
        <w:t>（</w:t>
      </w:r>
      <w:r>
        <w:rPr>
          <w:rFonts w:hint="eastAsia"/>
        </w:rPr>
        <w:t>1</w:t>
      </w:r>
      <w:r>
        <w:rPr>
          <w:rFonts w:hint="eastAsia"/>
        </w:rPr>
        <w:t>）物理力学指标统计方法</w:t>
      </w:r>
    </w:p>
    <w:p w14:paraId="7BE6BECF" w14:textId="77777777" w:rsidR="00EF2B8D" w:rsidRDefault="00EF2B8D" w:rsidP="00EF2B8D">
      <w:pPr>
        <w:ind w:firstLine="560"/>
      </w:pPr>
      <w:r>
        <w:rPr>
          <w:rFonts w:hint="eastAsia"/>
        </w:rPr>
        <w:t>根据土的室内试验、野外原位测试结果，将场地各层土的主要物理力学性质指标进行统计，详见各岩土层物理力学性质指标统计表。内容包括常规物性指标（包括天然含水量，比重，天然密度）、压缩性指标、抗剪强度指标、渗透系数、标准贯入试验、动力触探试验等。</w:t>
      </w:r>
    </w:p>
    <w:p w14:paraId="5E330721" w14:textId="77777777" w:rsidR="00EF2B8D" w:rsidRDefault="00EF2B8D" w:rsidP="00EF2B8D">
      <w:pPr>
        <w:ind w:firstLine="560"/>
      </w:pPr>
      <w:r>
        <w:rPr>
          <w:rFonts w:hint="eastAsia"/>
        </w:rPr>
        <w:t>统计方法是：当子样数大于等于</w:t>
      </w:r>
      <w:r>
        <w:rPr>
          <w:rFonts w:hint="eastAsia"/>
        </w:rPr>
        <w:t>6</w:t>
      </w:r>
      <w:r>
        <w:rPr>
          <w:rFonts w:hint="eastAsia"/>
        </w:rPr>
        <w:t>时，提供岩土参数的子样个数、最大值、最小值、平均值、标准差、变异系数、标准值；当子样数小于</w:t>
      </w:r>
      <w:r>
        <w:rPr>
          <w:rFonts w:hint="eastAsia"/>
        </w:rPr>
        <w:t>6</w:t>
      </w:r>
      <w:r>
        <w:rPr>
          <w:rFonts w:hint="eastAsia"/>
        </w:rPr>
        <w:t>时，提供岩土参数的子样数、最大值、最小值、平均值。各层岩土的统计</w:t>
      </w:r>
      <w:r>
        <w:rPr>
          <w:rFonts w:hint="eastAsia"/>
        </w:rPr>
        <w:lastRenderedPageBreak/>
        <w:t>结果见物理力学性质指标统计表。</w:t>
      </w:r>
    </w:p>
    <w:p w14:paraId="66A5679C" w14:textId="77777777" w:rsidR="00EF2B8D" w:rsidRDefault="00EF2B8D" w:rsidP="00EF2B8D">
      <w:pPr>
        <w:ind w:firstLine="560"/>
      </w:pPr>
      <w:r>
        <w:rPr>
          <w:rFonts w:hint="eastAsia"/>
        </w:rPr>
        <w:t>（</w:t>
      </w:r>
      <w:r>
        <w:rPr>
          <w:rFonts w:hint="eastAsia"/>
        </w:rPr>
        <w:t>2</w:t>
      </w:r>
      <w:r>
        <w:rPr>
          <w:rFonts w:hint="eastAsia"/>
        </w:rPr>
        <w:t>）场地地基土工程特性表</w:t>
      </w:r>
    </w:p>
    <w:p w14:paraId="0F1256D7" w14:textId="72B2551C" w:rsidR="008D7DB0" w:rsidRDefault="00EF2B8D" w:rsidP="00EF2B8D">
      <w:pPr>
        <w:ind w:firstLine="560"/>
        <w:rPr>
          <w:rFonts w:ascii="仿宋" w:eastAsia="仿宋" w:hAnsi="仿宋" w:cs="仿宋" w:hint="eastAsia"/>
          <w:szCs w:val="28"/>
        </w:rPr>
      </w:pPr>
      <w:r>
        <w:rPr>
          <w:rFonts w:hint="eastAsia"/>
        </w:rPr>
        <w:t>从工程地质剖面图可以看出，由于该堆场为干堆方式，堆积物基本为碎石（少部分经碎石加工车间处理后产生的粉砂），沉积韵律无明显规律，纵横向上无差别。</w:t>
      </w:r>
    </w:p>
    <w:p w14:paraId="4D9A32CC" w14:textId="77777777" w:rsidR="008D7DB0" w:rsidRDefault="00000000">
      <w:pPr>
        <w:pStyle w:val="3"/>
      </w:pPr>
      <w:bookmarkStart w:id="71" w:name="_Toc23649"/>
      <w:bookmarkStart w:id="72" w:name="_Toc205883229"/>
      <w:r>
        <w:rPr>
          <w:rFonts w:hint="eastAsia"/>
        </w:rPr>
        <w:t>2.3.2</w:t>
      </w:r>
      <w:r>
        <w:rPr>
          <w:rFonts w:hint="eastAsia"/>
        </w:rPr>
        <w:t>水文地质概况</w:t>
      </w:r>
      <w:bookmarkEnd w:id="70"/>
      <w:bookmarkEnd w:id="71"/>
      <w:bookmarkEnd w:id="72"/>
    </w:p>
    <w:p w14:paraId="7F921469" w14:textId="4D1897F7" w:rsidR="008D7DB0" w:rsidRDefault="00EF2B8D" w:rsidP="00EF2B8D">
      <w:pPr>
        <w:ind w:firstLine="560"/>
      </w:pPr>
      <w:bookmarkStart w:id="73" w:name="_Toc32571"/>
      <w:r w:rsidRPr="00EF2B8D">
        <w:rPr>
          <w:rFonts w:hint="eastAsia"/>
        </w:rPr>
        <w:t>根据勘察资料，堆场无地下水，根据《证明》（详见附件），铁帽子山采区历史最高洪水位在</w:t>
      </w:r>
      <w:r w:rsidRPr="00EF2B8D">
        <w:rPr>
          <w:rFonts w:hint="eastAsia"/>
        </w:rPr>
        <w:t>393.00</w:t>
      </w:r>
      <w:r w:rsidRPr="00EF2B8D">
        <w:rPr>
          <w:rFonts w:hint="eastAsia"/>
        </w:rPr>
        <w:t>米以下</w:t>
      </w:r>
      <w:r>
        <w:rPr>
          <w:rFonts w:hint="eastAsia"/>
        </w:rPr>
        <w:t>。</w:t>
      </w:r>
    </w:p>
    <w:p w14:paraId="2225FC74" w14:textId="77777777" w:rsidR="008D7DB0" w:rsidRDefault="00000000">
      <w:pPr>
        <w:pStyle w:val="2"/>
      </w:pPr>
      <w:bookmarkStart w:id="74" w:name="_Toc205883230"/>
      <w:bookmarkEnd w:id="73"/>
      <w:r>
        <w:rPr>
          <w:rFonts w:hint="eastAsia"/>
        </w:rPr>
        <w:t>2.4</w:t>
      </w:r>
      <w:r>
        <w:rPr>
          <w:rFonts w:hint="eastAsia"/>
        </w:rPr>
        <w:t>初步设计概况</w:t>
      </w:r>
      <w:bookmarkEnd w:id="74"/>
    </w:p>
    <w:p w14:paraId="2652AECE" w14:textId="77777777" w:rsidR="008D7DB0" w:rsidRDefault="00000000">
      <w:pPr>
        <w:pStyle w:val="3"/>
      </w:pPr>
      <w:bookmarkStart w:id="75" w:name="_Toc31694"/>
      <w:bookmarkStart w:id="76" w:name="_Toc26520"/>
      <w:bookmarkStart w:id="77" w:name="_Toc205883231"/>
      <w:r>
        <w:rPr>
          <w:rFonts w:hint="eastAsia"/>
        </w:rPr>
        <w:t>2.4.1</w:t>
      </w:r>
      <w:r>
        <w:rPr>
          <w:rFonts w:hint="eastAsia"/>
        </w:rPr>
        <w:t>矿山开采现状</w:t>
      </w:r>
      <w:bookmarkEnd w:id="75"/>
      <w:bookmarkEnd w:id="76"/>
      <w:bookmarkEnd w:id="77"/>
    </w:p>
    <w:p w14:paraId="4D08E54F" w14:textId="77777777" w:rsidR="008D7DB0" w:rsidRDefault="00000000">
      <w:pPr>
        <w:ind w:firstLine="560"/>
      </w:pPr>
      <w:bookmarkStart w:id="78" w:name="_Toc313271200"/>
      <w:r>
        <w:rPr>
          <w:rFonts w:hint="eastAsia"/>
        </w:rPr>
        <w:t>铁帽子采区建矿以来一直采用露天开采，采区西端为整个采区的最高点，最顶标高为</w:t>
      </w:r>
      <w:r>
        <w:rPr>
          <w:rFonts w:hint="eastAsia"/>
        </w:rPr>
        <w:t>585m</w:t>
      </w:r>
      <w:r>
        <w:rPr>
          <w:rFonts w:hint="eastAsia"/>
        </w:rPr>
        <w:t>，该位置已形成最终帮。采场最低点位于采区北端，最低点标高</w:t>
      </w:r>
      <w:r>
        <w:rPr>
          <w:rFonts w:hint="eastAsia"/>
        </w:rPr>
        <w:t>413m</w:t>
      </w:r>
      <w:r>
        <w:rPr>
          <w:rFonts w:hint="eastAsia"/>
        </w:rPr>
        <w:t>，采区内台阶高度</w:t>
      </w:r>
      <w:r>
        <w:rPr>
          <w:rFonts w:hint="eastAsia"/>
        </w:rPr>
        <w:t>7</w:t>
      </w:r>
      <w:r>
        <w:rPr>
          <w:rFonts w:hint="eastAsia"/>
        </w:rPr>
        <w:t>～</w:t>
      </w:r>
      <w:r>
        <w:rPr>
          <w:rFonts w:hint="eastAsia"/>
        </w:rPr>
        <w:t>35m</w:t>
      </w:r>
      <w:r>
        <w:rPr>
          <w:rFonts w:hint="eastAsia"/>
        </w:rPr>
        <w:t>，台阶边坡角</w:t>
      </w:r>
      <w:r>
        <w:rPr>
          <w:rFonts w:hint="eastAsia"/>
        </w:rPr>
        <w:t>45</w:t>
      </w:r>
      <w:r>
        <w:rPr>
          <w:rFonts w:hint="eastAsia"/>
        </w:rPr>
        <w:t>°～</w:t>
      </w:r>
      <w:r>
        <w:rPr>
          <w:rFonts w:hint="eastAsia"/>
        </w:rPr>
        <w:t>65</w:t>
      </w:r>
      <w:r>
        <w:rPr>
          <w:rFonts w:hint="eastAsia"/>
        </w:rPr>
        <w:t>°，仅局部工作帮边坡角较陡为</w:t>
      </w:r>
      <w:r>
        <w:rPr>
          <w:rFonts w:hint="eastAsia"/>
        </w:rPr>
        <w:t>70</w:t>
      </w:r>
      <w:r>
        <w:rPr>
          <w:rFonts w:hint="eastAsia"/>
        </w:rPr>
        <w:t>°。采区内共形成约</w:t>
      </w:r>
      <w:r>
        <w:rPr>
          <w:rFonts w:hint="eastAsia"/>
        </w:rPr>
        <w:t>8</w:t>
      </w:r>
      <w:r>
        <w:rPr>
          <w:rFonts w:hint="eastAsia"/>
        </w:rPr>
        <w:t>个作业平台，边坡间断性较强未形成连续边坡。</w:t>
      </w:r>
      <w:bookmarkEnd w:id="78"/>
      <w:r>
        <w:rPr>
          <w:rFonts w:hint="eastAsia"/>
        </w:rPr>
        <w:t>设计确定矿山基建期间对道路两侧及采场内现有高陡边坡进行削坡降段处理，控制台阶坡面角不大于</w:t>
      </w:r>
      <w:r>
        <w:rPr>
          <w:rFonts w:hint="eastAsia"/>
        </w:rPr>
        <w:t>65</w:t>
      </w:r>
      <w:r>
        <w:rPr>
          <w:rFonts w:hint="eastAsia"/>
        </w:rPr>
        <w:t>°。</w:t>
      </w:r>
    </w:p>
    <w:p w14:paraId="6951E4AF" w14:textId="77777777" w:rsidR="008D7DB0" w:rsidRDefault="00000000">
      <w:pPr>
        <w:pStyle w:val="3"/>
      </w:pPr>
      <w:bookmarkStart w:id="79" w:name="_Toc17077"/>
      <w:bookmarkStart w:id="80" w:name="_Toc26986"/>
      <w:bookmarkStart w:id="81" w:name="_Toc205883232"/>
      <w:r>
        <w:rPr>
          <w:rFonts w:hint="eastAsia"/>
        </w:rPr>
        <w:t>2.4.2</w:t>
      </w:r>
      <w:r>
        <w:rPr>
          <w:rFonts w:hint="eastAsia"/>
        </w:rPr>
        <w:t>建设规模及工作制度</w:t>
      </w:r>
      <w:bookmarkEnd w:id="79"/>
      <w:bookmarkEnd w:id="80"/>
      <w:bookmarkEnd w:id="81"/>
    </w:p>
    <w:p w14:paraId="05BEF760" w14:textId="77777777" w:rsidR="008D7DB0" w:rsidRDefault="00000000">
      <w:pPr>
        <w:numPr>
          <w:ilvl w:val="0"/>
          <w:numId w:val="4"/>
        </w:numPr>
        <w:ind w:firstLine="560"/>
      </w:pPr>
      <w:r>
        <w:rPr>
          <w:rFonts w:hint="eastAsia"/>
        </w:rPr>
        <w:t>地质储量及范围</w:t>
      </w:r>
    </w:p>
    <w:p w14:paraId="0A24E3A3" w14:textId="77777777" w:rsidR="008D7DB0" w:rsidRDefault="00000000">
      <w:pPr>
        <w:ind w:firstLine="560"/>
      </w:pPr>
      <w:r>
        <w:rPr>
          <w:rFonts w:hint="eastAsia"/>
        </w:rPr>
        <w:t>根据</w:t>
      </w:r>
      <w:r>
        <w:t>《〈</w:t>
      </w:r>
      <w:r>
        <w:rPr>
          <w:rFonts w:hint="eastAsia"/>
        </w:rPr>
        <w:t>辽宁省北票市龙潭乡东大线铁矿资源储量核实报告</w:t>
      </w:r>
      <w:r>
        <w:t>〉评审备案证明》，辽国土资储备字</w:t>
      </w:r>
      <w:r>
        <w:t>[201</w:t>
      </w:r>
      <w:r>
        <w:rPr>
          <w:rFonts w:hint="eastAsia"/>
        </w:rPr>
        <w:t>7</w:t>
      </w:r>
      <w:r>
        <w:t>]</w:t>
      </w:r>
      <w:r>
        <w:rPr>
          <w:rFonts w:hint="eastAsia"/>
        </w:rPr>
        <w:t>027</w:t>
      </w:r>
      <w:r>
        <w:t>号</w:t>
      </w:r>
      <w:r>
        <w:rPr>
          <w:rFonts w:hint="eastAsia"/>
        </w:rPr>
        <w:t>。截止</w:t>
      </w:r>
      <w:r>
        <w:rPr>
          <w:rFonts w:hint="eastAsia"/>
        </w:rPr>
        <w:t>2016</w:t>
      </w:r>
      <w:r>
        <w:rPr>
          <w:rFonts w:hint="eastAsia"/>
        </w:rPr>
        <w:t>年</w:t>
      </w:r>
      <w:r>
        <w:rPr>
          <w:rFonts w:hint="eastAsia"/>
        </w:rPr>
        <w:t>12</w:t>
      </w:r>
      <w:r>
        <w:rPr>
          <w:rFonts w:hint="eastAsia"/>
        </w:rPr>
        <w:t>月底，铁帽子采区</w:t>
      </w:r>
      <w:r>
        <w:rPr>
          <w:rFonts w:hint="eastAsia"/>
        </w:rPr>
        <w:t>3</w:t>
      </w:r>
      <w:r>
        <w:rPr>
          <w:rFonts w:hint="eastAsia"/>
        </w:rPr>
        <w:t>条矿体，保有超贫磁铁矿（</w:t>
      </w:r>
      <w:r>
        <w:rPr>
          <w:rFonts w:hint="eastAsia"/>
        </w:rPr>
        <w:t>333</w:t>
      </w:r>
      <w:r>
        <w:rPr>
          <w:rFonts w:hint="eastAsia"/>
        </w:rPr>
        <w:t>）</w:t>
      </w:r>
      <w:r>
        <w:rPr>
          <w:rFonts w:hint="eastAsia"/>
        </w:rPr>
        <w:t>252.205</w:t>
      </w:r>
      <w:r>
        <w:rPr>
          <w:rFonts w:hint="eastAsia"/>
        </w:rPr>
        <w:t>万</w:t>
      </w:r>
      <w:r>
        <w:rPr>
          <w:rFonts w:hint="eastAsia"/>
        </w:rPr>
        <w:t>t</w:t>
      </w:r>
      <w:r>
        <w:rPr>
          <w:rFonts w:hint="eastAsia"/>
        </w:rPr>
        <w:t>，平均品位</w:t>
      </w:r>
      <w:r>
        <w:rPr>
          <w:rFonts w:hint="eastAsia"/>
        </w:rPr>
        <w:t>mFe9.22%</w:t>
      </w:r>
      <w:r>
        <w:rPr>
          <w:rFonts w:hint="eastAsia"/>
        </w:rPr>
        <w:t>。</w:t>
      </w:r>
    </w:p>
    <w:p w14:paraId="443D9BD0" w14:textId="77777777" w:rsidR="008D7DB0" w:rsidRDefault="00000000">
      <w:pPr>
        <w:adjustRightInd w:val="0"/>
        <w:snapToGrid w:val="0"/>
        <w:ind w:firstLineChars="0" w:firstLine="0"/>
        <w:jc w:val="center"/>
        <w:rPr>
          <w:rFonts w:eastAsiaTheme="majorEastAsia"/>
          <w:sz w:val="21"/>
          <w:szCs w:val="21"/>
        </w:rPr>
      </w:pPr>
      <w:r>
        <w:rPr>
          <w:rFonts w:eastAsiaTheme="majorEastAsia"/>
          <w:sz w:val="21"/>
          <w:szCs w:val="21"/>
        </w:rPr>
        <w:t>表</w:t>
      </w:r>
      <w:r>
        <w:rPr>
          <w:rFonts w:eastAsiaTheme="majorEastAsia"/>
          <w:sz w:val="21"/>
          <w:szCs w:val="21"/>
        </w:rPr>
        <w:t>2.4-1</w:t>
      </w:r>
      <w:r>
        <w:rPr>
          <w:rFonts w:eastAsiaTheme="majorEastAsia"/>
          <w:sz w:val="21"/>
          <w:szCs w:val="21"/>
        </w:rPr>
        <w:t>超贫磁铁矿保有资源储量估算结果表</w:t>
      </w:r>
    </w:p>
    <w:tbl>
      <w:tblPr>
        <w:tblW w:w="0" w:type="auto"/>
        <w:jc w:val="center"/>
        <w:tblLayout w:type="fixed"/>
        <w:tblLook w:val="04A0" w:firstRow="1" w:lastRow="0" w:firstColumn="1" w:lastColumn="0" w:noHBand="0" w:noVBand="1"/>
      </w:tblPr>
      <w:tblGrid>
        <w:gridCol w:w="1141"/>
        <w:gridCol w:w="951"/>
        <w:gridCol w:w="1197"/>
        <w:gridCol w:w="1556"/>
        <w:gridCol w:w="1435"/>
        <w:gridCol w:w="1299"/>
        <w:gridCol w:w="949"/>
      </w:tblGrid>
      <w:tr w:rsidR="008D7DB0" w14:paraId="7C22BC73" w14:textId="77777777">
        <w:trPr>
          <w:trHeight w:val="270"/>
          <w:jc w:val="center"/>
        </w:trPr>
        <w:tc>
          <w:tcPr>
            <w:tcW w:w="1141" w:type="dxa"/>
            <w:vMerge w:val="restart"/>
            <w:tcBorders>
              <w:top w:val="single" w:sz="4" w:space="0" w:color="auto"/>
              <w:left w:val="single" w:sz="4" w:space="0" w:color="auto"/>
              <w:bottom w:val="single" w:sz="4" w:space="0" w:color="auto"/>
              <w:right w:val="single" w:sz="4" w:space="0" w:color="auto"/>
            </w:tcBorders>
            <w:vAlign w:val="center"/>
          </w:tcPr>
          <w:p w14:paraId="0A8F4BDD"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采区</w:t>
            </w:r>
          </w:p>
        </w:tc>
        <w:tc>
          <w:tcPr>
            <w:tcW w:w="951" w:type="dxa"/>
            <w:vMerge w:val="restart"/>
            <w:tcBorders>
              <w:top w:val="single" w:sz="4" w:space="0" w:color="auto"/>
              <w:left w:val="nil"/>
              <w:right w:val="single" w:sz="4" w:space="0" w:color="auto"/>
            </w:tcBorders>
            <w:vAlign w:val="center"/>
          </w:tcPr>
          <w:p w14:paraId="365E13D5"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矿体</w:t>
            </w:r>
          </w:p>
        </w:tc>
        <w:tc>
          <w:tcPr>
            <w:tcW w:w="1197" w:type="dxa"/>
            <w:vMerge w:val="restart"/>
            <w:tcBorders>
              <w:top w:val="single" w:sz="4" w:space="0" w:color="auto"/>
              <w:left w:val="single" w:sz="4" w:space="0" w:color="auto"/>
              <w:bottom w:val="single" w:sz="4" w:space="0" w:color="auto"/>
              <w:right w:val="single" w:sz="4" w:space="0" w:color="auto"/>
            </w:tcBorders>
            <w:vAlign w:val="center"/>
          </w:tcPr>
          <w:p w14:paraId="522BB535"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资源储量</w:t>
            </w:r>
          </w:p>
          <w:p w14:paraId="71D3A27E"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类型</w:t>
            </w:r>
          </w:p>
        </w:tc>
        <w:tc>
          <w:tcPr>
            <w:tcW w:w="1556" w:type="dxa"/>
            <w:vMerge w:val="restart"/>
            <w:tcBorders>
              <w:top w:val="single" w:sz="4" w:space="0" w:color="auto"/>
              <w:left w:val="single" w:sz="4" w:space="0" w:color="auto"/>
              <w:bottom w:val="single" w:sz="4" w:space="0" w:color="auto"/>
              <w:right w:val="single" w:sz="4" w:space="0" w:color="auto"/>
            </w:tcBorders>
            <w:vAlign w:val="center"/>
          </w:tcPr>
          <w:p w14:paraId="5F0DBFB8"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矿石量</w:t>
            </w:r>
          </w:p>
          <w:p w14:paraId="2D80F11A"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（万</w:t>
            </w:r>
            <w:r>
              <w:rPr>
                <w:rFonts w:eastAsiaTheme="minorEastAsia"/>
                <w:kern w:val="0"/>
                <w:sz w:val="21"/>
                <w:szCs w:val="21"/>
              </w:rPr>
              <w:t>t</w:t>
            </w:r>
            <w:r>
              <w:rPr>
                <w:rFonts w:eastAsiaTheme="minorEastAsia"/>
                <w:kern w:val="0"/>
                <w:sz w:val="21"/>
                <w:szCs w:val="21"/>
              </w:rPr>
              <w:t>）</w:t>
            </w:r>
          </w:p>
        </w:tc>
        <w:tc>
          <w:tcPr>
            <w:tcW w:w="2734" w:type="dxa"/>
            <w:gridSpan w:val="2"/>
            <w:tcBorders>
              <w:top w:val="single" w:sz="4" w:space="0" w:color="auto"/>
              <w:left w:val="nil"/>
              <w:bottom w:val="single" w:sz="4" w:space="0" w:color="auto"/>
              <w:right w:val="single" w:sz="4" w:space="0" w:color="auto"/>
            </w:tcBorders>
            <w:vAlign w:val="center"/>
          </w:tcPr>
          <w:p w14:paraId="46AE4491"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平均品位</w:t>
            </w:r>
            <w:r>
              <w:rPr>
                <w:rFonts w:eastAsiaTheme="minorEastAsia"/>
                <w:kern w:val="0"/>
                <w:sz w:val="21"/>
                <w:szCs w:val="21"/>
              </w:rPr>
              <w:t>(%)</w:t>
            </w:r>
          </w:p>
        </w:tc>
        <w:tc>
          <w:tcPr>
            <w:tcW w:w="949" w:type="dxa"/>
            <w:vMerge w:val="restart"/>
            <w:tcBorders>
              <w:top w:val="single" w:sz="4" w:space="0" w:color="auto"/>
              <w:left w:val="single" w:sz="4" w:space="0" w:color="auto"/>
              <w:right w:val="single" w:sz="4" w:space="0" w:color="auto"/>
            </w:tcBorders>
            <w:vAlign w:val="center"/>
          </w:tcPr>
          <w:p w14:paraId="26894B84"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备注</w:t>
            </w:r>
          </w:p>
        </w:tc>
      </w:tr>
      <w:tr w:rsidR="008D7DB0" w14:paraId="7C4DD04C" w14:textId="77777777">
        <w:trPr>
          <w:trHeight w:val="270"/>
          <w:jc w:val="center"/>
        </w:trPr>
        <w:tc>
          <w:tcPr>
            <w:tcW w:w="1141" w:type="dxa"/>
            <w:vMerge/>
            <w:tcBorders>
              <w:top w:val="single" w:sz="4" w:space="0" w:color="auto"/>
              <w:left w:val="single" w:sz="4" w:space="0" w:color="auto"/>
              <w:bottom w:val="single" w:sz="4" w:space="0" w:color="auto"/>
              <w:right w:val="single" w:sz="4" w:space="0" w:color="auto"/>
            </w:tcBorders>
            <w:vAlign w:val="center"/>
          </w:tcPr>
          <w:p w14:paraId="5BA47C24" w14:textId="77777777" w:rsidR="008D7DB0" w:rsidRDefault="008D7DB0">
            <w:pPr>
              <w:widowControl/>
              <w:spacing w:line="240" w:lineRule="auto"/>
              <w:ind w:firstLineChars="0" w:firstLine="0"/>
              <w:jc w:val="center"/>
              <w:rPr>
                <w:rFonts w:eastAsiaTheme="minorEastAsia"/>
                <w:kern w:val="0"/>
                <w:sz w:val="21"/>
                <w:szCs w:val="21"/>
              </w:rPr>
            </w:pPr>
          </w:p>
        </w:tc>
        <w:tc>
          <w:tcPr>
            <w:tcW w:w="951" w:type="dxa"/>
            <w:vMerge/>
            <w:tcBorders>
              <w:left w:val="nil"/>
              <w:bottom w:val="single" w:sz="4" w:space="0" w:color="auto"/>
              <w:right w:val="single" w:sz="4" w:space="0" w:color="auto"/>
            </w:tcBorders>
            <w:vAlign w:val="center"/>
          </w:tcPr>
          <w:p w14:paraId="503B4E5D" w14:textId="77777777" w:rsidR="008D7DB0" w:rsidRDefault="008D7DB0">
            <w:pPr>
              <w:widowControl/>
              <w:spacing w:line="240" w:lineRule="auto"/>
              <w:ind w:firstLineChars="0" w:firstLine="0"/>
              <w:jc w:val="center"/>
              <w:rPr>
                <w:rFonts w:eastAsiaTheme="minorEastAsia"/>
                <w:kern w:val="0"/>
                <w:sz w:val="21"/>
                <w:szCs w:val="21"/>
              </w:rPr>
            </w:pPr>
          </w:p>
        </w:tc>
        <w:tc>
          <w:tcPr>
            <w:tcW w:w="1197" w:type="dxa"/>
            <w:vMerge/>
            <w:tcBorders>
              <w:top w:val="single" w:sz="4" w:space="0" w:color="auto"/>
              <w:left w:val="single" w:sz="4" w:space="0" w:color="auto"/>
              <w:bottom w:val="single" w:sz="4" w:space="0" w:color="auto"/>
              <w:right w:val="single" w:sz="4" w:space="0" w:color="auto"/>
            </w:tcBorders>
            <w:vAlign w:val="center"/>
          </w:tcPr>
          <w:p w14:paraId="0E3A2519" w14:textId="77777777" w:rsidR="008D7DB0" w:rsidRDefault="008D7DB0">
            <w:pPr>
              <w:widowControl/>
              <w:spacing w:line="240" w:lineRule="auto"/>
              <w:ind w:firstLineChars="0" w:firstLine="0"/>
              <w:jc w:val="center"/>
              <w:rPr>
                <w:rFonts w:eastAsiaTheme="minorEastAsia"/>
                <w:kern w:val="0"/>
                <w:sz w:val="21"/>
                <w:szCs w:val="21"/>
              </w:rPr>
            </w:pPr>
          </w:p>
        </w:tc>
        <w:tc>
          <w:tcPr>
            <w:tcW w:w="1556" w:type="dxa"/>
            <w:vMerge/>
            <w:tcBorders>
              <w:top w:val="single" w:sz="4" w:space="0" w:color="auto"/>
              <w:left w:val="single" w:sz="4" w:space="0" w:color="auto"/>
              <w:bottom w:val="single" w:sz="4" w:space="0" w:color="auto"/>
              <w:right w:val="single" w:sz="4" w:space="0" w:color="auto"/>
            </w:tcBorders>
            <w:vAlign w:val="center"/>
          </w:tcPr>
          <w:p w14:paraId="67ADE55B" w14:textId="77777777" w:rsidR="008D7DB0" w:rsidRDefault="008D7DB0">
            <w:pPr>
              <w:widowControl/>
              <w:spacing w:line="240" w:lineRule="auto"/>
              <w:ind w:firstLineChars="0" w:firstLine="0"/>
              <w:jc w:val="center"/>
              <w:rPr>
                <w:rFonts w:eastAsiaTheme="minorEastAsia"/>
                <w:kern w:val="0"/>
                <w:sz w:val="21"/>
                <w:szCs w:val="21"/>
              </w:rPr>
            </w:pPr>
          </w:p>
        </w:tc>
        <w:tc>
          <w:tcPr>
            <w:tcW w:w="1435" w:type="dxa"/>
            <w:tcBorders>
              <w:top w:val="nil"/>
              <w:left w:val="nil"/>
              <w:bottom w:val="single" w:sz="4" w:space="0" w:color="auto"/>
              <w:right w:val="single" w:sz="4" w:space="0" w:color="auto"/>
            </w:tcBorders>
            <w:vAlign w:val="center"/>
          </w:tcPr>
          <w:p w14:paraId="1544B385"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TFe</w:t>
            </w:r>
          </w:p>
        </w:tc>
        <w:tc>
          <w:tcPr>
            <w:tcW w:w="1299" w:type="dxa"/>
            <w:tcBorders>
              <w:top w:val="nil"/>
              <w:left w:val="nil"/>
              <w:bottom w:val="single" w:sz="4" w:space="0" w:color="auto"/>
              <w:right w:val="single" w:sz="4" w:space="0" w:color="auto"/>
            </w:tcBorders>
            <w:vAlign w:val="center"/>
          </w:tcPr>
          <w:p w14:paraId="07A7B888"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mFe</w:t>
            </w:r>
          </w:p>
        </w:tc>
        <w:tc>
          <w:tcPr>
            <w:tcW w:w="949" w:type="dxa"/>
            <w:vMerge/>
            <w:tcBorders>
              <w:left w:val="single" w:sz="4" w:space="0" w:color="auto"/>
              <w:bottom w:val="single" w:sz="4" w:space="0" w:color="auto"/>
              <w:right w:val="single" w:sz="4" w:space="0" w:color="auto"/>
            </w:tcBorders>
            <w:vAlign w:val="center"/>
          </w:tcPr>
          <w:p w14:paraId="485EEA42" w14:textId="77777777" w:rsidR="008D7DB0" w:rsidRDefault="008D7DB0">
            <w:pPr>
              <w:widowControl/>
              <w:spacing w:line="240" w:lineRule="auto"/>
              <w:ind w:firstLineChars="0" w:firstLine="0"/>
              <w:jc w:val="center"/>
              <w:rPr>
                <w:rFonts w:eastAsiaTheme="minorEastAsia"/>
                <w:kern w:val="0"/>
                <w:sz w:val="21"/>
                <w:szCs w:val="21"/>
              </w:rPr>
            </w:pPr>
          </w:p>
        </w:tc>
      </w:tr>
      <w:tr w:rsidR="008D7DB0" w14:paraId="1970BAB4" w14:textId="77777777">
        <w:trPr>
          <w:trHeight w:val="270"/>
          <w:jc w:val="center"/>
        </w:trPr>
        <w:tc>
          <w:tcPr>
            <w:tcW w:w="1141" w:type="dxa"/>
            <w:vMerge w:val="restart"/>
            <w:tcBorders>
              <w:top w:val="single" w:sz="4" w:space="0" w:color="auto"/>
              <w:left w:val="single" w:sz="4" w:space="0" w:color="auto"/>
              <w:bottom w:val="single" w:sz="4" w:space="0" w:color="auto"/>
              <w:right w:val="single" w:sz="4" w:space="0" w:color="auto"/>
            </w:tcBorders>
            <w:vAlign w:val="center"/>
          </w:tcPr>
          <w:p w14:paraId="503CEA25" w14:textId="77777777" w:rsidR="008D7DB0" w:rsidRDefault="00000000">
            <w:pPr>
              <w:spacing w:line="240" w:lineRule="auto"/>
              <w:ind w:firstLineChars="0" w:firstLine="0"/>
              <w:jc w:val="center"/>
              <w:rPr>
                <w:rFonts w:eastAsiaTheme="minorEastAsia"/>
                <w:kern w:val="0"/>
                <w:sz w:val="21"/>
                <w:szCs w:val="21"/>
              </w:rPr>
            </w:pPr>
            <w:r>
              <w:rPr>
                <w:rFonts w:eastAsiaTheme="minorEastAsia"/>
                <w:kern w:val="0"/>
                <w:sz w:val="21"/>
                <w:szCs w:val="21"/>
              </w:rPr>
              <w:t>铁帽子</w:t>
            </w:r>
          </w:p>
        </w:tc>
        <w:tc>
          <w:tcPr>
            <w:tcW w:w="951" w:type="dxa"/>
            <w:tcBorders>
              <w:top w:val="single" w:sz="4" w:space="0" w:color="auto"/>
              <w:left w:val="single" w:sz="4" w:space="0" w:color="auto"/>
              <w:bottom w:val="single" w:sz="4" w:space="0" w:color="auto"/>
              <w:right w:val="single" w:sz="4" w:space="0" w:color="auto"/>
            </w:tcBorders>
            <w:vAlign w:val="center"/>
          </w:tcPr>
          <w:p w14:paraId="4BEF7511"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4</w:t>
            </w:r>
          </w:p>
        </w:tc>
        <w:tc>
          <w:tcPr>
            <w:tcW w:w="1197" w:type="dxa"/>
            <w:vMerge w:val="restart"/>
            <w:tcBorders>
              <w:top w:val="nil"/>
              <w:left w:val="nil"/>
              <w:right w:val="single" w:sz="4" w:space="0" w:color="auto"/>
            </w:tcBorders>
            <w:vAlign w:val="center"/>
          </w:tcPr>
          <w:p w14:paraId="3C6AEF08" w14:textId="77777777" w:rsidR="008D7DB0" w:rsidRDefault="00000000">
            <w:pPr>
              <w:spacing w:line="240" w:lineRule="auto"/>
              <w:ind w:firstLineChars="0" w:firstLine="0"/>
              <w:jc w:val="center"/>
              <w:rPr>
                <w:rFonts w:eastAsiaTheme="minorEastAsia"/>
                <w:kern w:val="0"/>
                <w:sz w:val="21"/>
                <w:szCs w:val="21"/>
              </w:rPr>
            </w:pPr>
            <w:r>
              <w:rPr>
                <w:rFonts w:eastAsiaTheme="minorEastAsia"/>
                <w:kern w:val="0"/>
                <w:sz w:val="21"/>
                <w:szCs w:val="21"/>
              </w:rPr>
              <w:t>333</w:t>
            </w:r>
          </w:p>
        </w:tc>
        <w:tc>
          <w:tcPr>
            <w:tcW w:w="1556" w:type="dxa"/>
            <w:tcBorders>
              <w:top w:val="nil"/>
              <w:left w:val="nil"/>
              <w:bottom w:val="single" w:sz="4" w:space="0" w:color="auto"/>
              <w:right w:val="single" w:sz="4" w:space="0" w:color="auto"/>
            </w:tcBorders>
            <w:vAlign w:val="center"/>
          </w:tcPr>
          <w:p w14:paraId="6D60E849"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 xml:space="preserve">97.265 </w:t>
            </w:r>
          </w:p>
        </w:tc>
        <w:tc>
          <w:tcPr>
            <w:tcW w:w="1435" w:type="dxa"/>
            <w:tcBorders>
              <w:top w:val="nil"/>
              <w:left w:val="nil"/>
              <w:bottom w:val="single" w:sz="4" w:space="0" w:color="auto"/>
              <w:right w:val="single" w:sz="4" w:space="0" w:color="auto"/>
            </w:tcBorders>
            <w:vAlign w:val="center"/>
          </w:tcPr>
          <w:p w14:paraId="39BC2551"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 xml:space="preserve">16.01 </w:t>
            </w:r>
          </w:p>
        </w:tc>
        <w:tc>
          <w:tcPr>
            <w:tcW w:w="1299" w:type="dxa"/>
            <w:tcBorders>
              <w:top w:val="nil"/>
              <w:left w:val="nil"/>
              <w:bottom w:val="single" w:sz="4" w:space="0" w:color="auto"/>
              <w:right w:val="single" w:sz="4" w:space="0" w:color="auto"/>
            </w:tcBorders>
            <w:vAlign w:val="center"/>
          </w:tcPr>
          <w:p w14:paraId="01F06461"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 xml:space="preserve">9.80 </w:t>
            </w:r>
          </w:p>
        </w:tc>
        <w:tc>
          <w:tcPr>
            <w:tcW w:w="949" w:type="dxa"/>
            <w:tcBorders>
              <w:top w:val="nil"/>
              <w:left w:val="nil"/>
              <w:bottom w:val="single" w:sz="4" w:space="0" w:color="auto"/>
              <w:right w:val="single" w:sz="4" w:space="0" w:color="auto"/>
            </w:tcBorders>
            <w:vAlign w:val="center"/>
          </w:tcPr>
          <w:p w14:paraId="7E478971" w14:textId="77777777" w:rsidR="008D7DB0" w:rsidRDefault="008D7DB0">
            <w:pPr>
              <w:spacing w:line="240" w:lineRule="auto"/>
              <w:ind w:firstLineChars="0" w:firstLine="0"/>
              <w:jc w:val="center"/>
              <w:rPr>
                <w:rFonts w:eastAsiaTheme="minorEastAsia"/>
                <w:kern w:val="0"/>
                <w:sz w:val="21"/>
                <w:szCs w:val="21"/>
              </w:rPr>
            </w:pPr>
          </w:p>
        </w:tc>
      </w:tr>
      <w:tr w:rsidR="008D7DB0" w14:paraId="42A34B0D" w14:textId="77777777">
        <w:trPr>
          <w:trHeight w:val="270"/>
          <w:jc w:val="center"/>
        </w:trPr>
        <w:tc>
          <w:tcPr>
            <w:tcW w:w="1141" w:type="dxa"/>
            <w:vMerge/>
            <w:tcBorders>
              <w:top w:val="nil"/>
              <w:left w:val="single" w:sz="4" w:space="0" w:color="auto"/>
              <w:bottom w:val="single" w:sz="4" w:space="0" w:color="auto"/>
              <w:right w:val="single" w:sz="4" w:space="0" w:color="auto"/>
            </w:tcBorders>
            <w:vAlign w:val="center"/>
          </w:tcPr>
          <w:p w14:paraId="14B73F2B" w14:textId="77777777" w:rsidR="008D7DB0" w:rsidRDefault="008D7DB0">
            <w:pPr>
              <w:widowControl/>
              <w:spacing w:line="240" w:lineRule="auto"/>
              <w:ind w:firstLineChars="0" w:firstLine="0"/>
              <w:jc w:val="center"/>
              <w:rPr>
                <w:rFonts w:eastAsiaTheme="minorEastAsia"/>
                <w:kern w:val="0"/>
                <w:sz w:val="21"/>
                <w:szCs w:val="21"/>
              </w:rPr>
            </w:pPr>
          </w:p>
        </w:tc>
        <w:tc>
          <w:tcPr>
            <w:tcW w:w="951" w:type="dxa"/>
            <w:tcBorders>
              <w:top w:val="nil"/>
              <w:left w:val="single" w:sz="4" w:space="0" w:color="auto"/>
              <w:bottom w:val="single" w:sz="4" w:space="0" w:color="auto"/>
              <w:right w:val="single" w:sz="4" w:space="0" w:color="auto"/>
            </w:tcBorders>
            <w:vAlign w:val="center"/>
          </w:tcPr>
          <w:p w14:paraId="54FF1BCD"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5</w:t>
            </w:r>
          </w:p>
        </w:tc>
        <w:tc>
          <w:tcPr>
            <w:tcW w:w="1197" w:type="dxa"/>
            <w:vMerge/>
            <w:tcBorders>
              <w:left w:val="nil"/>
              <w:right w:val="single" w:sz="4" w:space="0" w:color="auto"/>
            </w:tcBorders>
            <w:vAlign w:val="center"/>
          </w:tcPr>
          <w:p w14:paraId="59DA76BD" w14:textId="77777777" w:rsidR="008D7DB0" w:rsidRDefault="008D7DB0">
            <w:pPr>
              <w:widowControl/>
              <w:spacing w:line="240" w:lineRule="auto"/>
              <w:ind w:firstLineChars="0" w:firstLine="0"/>
              <w:jc w:val="center"/>
              <w:rPr>
                <w:rFonts w:eastAsiaTheme="minorEastAsia"/>
                <w:kern w:val="0"/>
                <w:sz w:val="21"/>
                <w:szCs w:val="21"/>
              </w:rPr>
            </w:pPr>
          </w:p>
        </w:tc>
        <w:tc>
          <w:tcPr>
            <w:tcW w:w="1556" w:type="dxa"/>
            <w:tcBorders>
              <w:top w:val="nil"/>
              <w:left w:val="nil"/>
              <w:bottom w:val="single" w:sz="4" w:space="0" w:color="auto"/>
              <w:right w:val="single" w:sz="4" w:space="0" w:color="auto"/>
            </w:tcBorders>
            <w:vAlign w:val="center"/>
          </w:tcPr>
          <w:p w14:paraId="2D0A26C0"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 xml:space="preserve">92.198 </w:t>
            </w:r>
          </w:p>
        </w:tc>
        <w:tc>
          <w:tcPr>
            <w:tcW w:w="1435" w:type="dxa"/>
            <w:tcBorders>
              <w:top w:val="nil"/>
              <w:left w:val="nil"/>
              <w:bottom w:val="single" w:sz="4" w:space="0" w:color="auto"/>
              <w:right w:val="single" w:sz="4" w:space="0" w:color="auto"/>
            </w:tcBorders>
            <w:vAlign w:val="center"/>
          </w:tcPr>
          <w:p w14:paraId="797D516A"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15.28</w:t>
            </w:r>
          </w:p>
        </w:tc>
        <w:tc>
          <w:tcPr>
            <w:tcW w:w="1299" w:type="dxa"/>
            <w:tcBorders>
              <w:top w:val="nil"/>
              <w:left w:val="nil"/>
              <w:bottom w:val="single" w:sz="4" w:space="0" w:color="auto"/>
              <w:right w:val="single" w:sz="4" w:space="0" w:color="auto"/>
            </w:tcBorders>
            <w:vAlign w:val="center"/>
          </w:tcPr>
          <w:p w14:paraId="57A93C27"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9.18</w:t>
            </w:r>
          </w:p>
        </w:tc>
        <w:tc>
          <w:tcPr>
            <w:tcW w:w="949" w:type="dxa"/>
            <w:tcBorders>
              <w:top w:val="single" w:sz="4" w:space="0" w:color="auto"/>
              <w:left w:val="nil"/>
              <w:bottom w:val="single" w:sz="4" w:space="0" w:color="auto"/>
              <w:right w:val="single" w:sz="4" w:space="0" w:color="auto"/>
            </w:tcBorders>
            <w:vAlign w:val="center"/>
          </w:tcPr>
          <w:p w14:paraId="12758CB2" w14:textId="77777777" w:rsidR="008D7DB0" w:rsidRDefault="008D7DB0">
            <w:pPr>
              <w:spacing w:line="240" w:lineRule="auto"/>
              <w:ind w:firstLineChars="0" w:firstLine="0"/>
              <w:jc w:val="center"/>
              <w:rPr>
                <w:rFonts w:eastAsiaTheme="minorEastAsia"/>
                <w:kern w:val="0"/>
                <w:sz w:val="21"/>
                <w:szCs w:val="21"/>
              </w:rPr>
            </w:pPr>
          </w:p>
        </w:tc>
      </w:tr>
      <w:tr w:rsidR="008D7DB0" w14:paraId="5019C067" w14:textId="77777777">
        <w:trPr>
          <w:trHeight w:val="270"/>
          <w:jc w:val="center"/>
        </w:trPr>
        <w:tc>
          <w:tcPr>
            <w:tcW w:w="1141" w:type="dxa"/>
            <w:vMerge/>
            <w:tcBorders>
              <w:top w:val="nil"/>
              <w:left w:val="single" w:sz="4" w:space="0" w:color="auto"/>
              <w:bottom w:val="single" w:sz="4" w:space="0" w:color="auto"/>
              <w:right w:val="single" w:sz="4" w:space="0" w:color="auto"/>
            </w:tcBorders>
            <w:vAlign w:val="center"/>
          </w:tcPr>
          <w:p w14:paraId="0D830904" w14:textId="77777777" w:rsidR="008D7DB0" w:rsidRDefault="008D7DB0">
            <w:pPr>
              <w:widowControl/>
              <w:spacing w:line="240" w:lineRule="auto"/>
              <w:ind w:firstLineChars="0" w:firstLine="0"/>
              <w:jc w:val="center"/>
              <w:rPr>
                <w:rFonts w:eastAsiaTheme="minorEastAsia"/>
                <w:kern w:val="0"/>
                <w:sz w:val="21"/>
                <w:szCs w:val="21"/>
              </w:rPr>
            </w:pPr>
          </w:p>
        </w:tc>
        <w:tc>
          <w:tcPr>
            <w:tcW w:w="951" w:type="dxa"/>
            <w:tcBorders>
              <w:top w:val="nil"/>
              <w:left w:val="single" w:sz="4" w:space="0" w:color="auto"/>
              <w:bottom w:val="single" w:sz="4" w:space="0" w:color="auto"/>
              <w:right w:val="single" w:sz="4" w:space="0" w:color="auto"/>
            </w:tcBorders>
            <w:vAlign w:val="center"/>
          </w:tcPr>
          <w:p w14:paraId="76FDA961"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6</w:t>
            </w:r>
          </w:p>
        </w:tc>
        <w:tc>
          <w:tcPr>
            <w:tcW w:w="1197" w:type="dxa"/>
            <w:vMerge/>
            <w:tcBorders>
              <w:left w:val="nil"/>
              <w:bottom w:val="single" w:sz="4" w:space="0" w:color="auto"/>
              <w:right w:val="single" w:sz="4" w:space="0" w:color="auto"/>
            </w:tcBorders>
            <w:vAlign w:val="center"/>
          </w:tcPr>
          <w:p w14:paraId="7C57E0A7" w14:textId="77777777" w:rsidR="008D7DB0" w:rsidRDefault="008D7DB0">
            <w:pPr>
              <w:widowControl/>
              <w:spacing w:line="240" w:lineRule="auto"/>
              <w:ind w:firstLineChars="0" w:firstLine="0"/>
              <w:jc w:val="center"/>
              <w:rPr>
                <w:rFonts w:eastAsiaTheme="minorEastAsia"/>
                <w:kern w:val="0"/>
                <w:sz w:val="21"/>
                <w:szCs w:val="21"/>
              </w:rPr>
            </w:pPr>
          </w:p>
        </w:tc>
        <w:tc>
          <w:tcPr>
            <w:tcW w:w="1556" w:type="dxa"/>
            <w:tcBorders>
              <w:top w:val="nil"/>
              <w:left w:val="nil"/>
              <w:bottom w:val="single" w:sz="4" w:space="0" w:color="auto"/>
              <w:right w:val="single" w:sz="4" w:space="0" w:color="auto"/>
            </w:tcBorders>
            <w:vAlign w:val="center"/>
          </w:tcPr>
          <w:p w14:paraId="52524E98"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 xml:space="preserve">62.742 </w:t>
            </w:r>
          </w:p>
        </w:tc>
        <w:tc>
          <w:tcPr>
            <w:tcW w:w="1435" w:type="dxa"/>
            <w:tcBorders>
              <w:top w:val="nil"/>
              <w:left w:val="nil"/>
              <w:bottom w:val="single" w:sz="4" w:space="0" w:color="auto"/>
              <w:right w:val="single" w:sz="4" w:space="0" w:color="auto"/>
            </w:tcBorders>
            <w:vAlign w:val="center"/>
          </w:tcPr>
          <w:p w14:paraId="3A9DF4A9"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15.45</w:t>
            </w:r>
          </w:p>
        </w:tc>
        <w:tc>
          <w:tcPr>
            <w:tcW w:w="1299" w:type="dxa"/>
            <w:tcBorders>
              <w:top w:val="nil"/>
              <w:left w:val="nil"/>
              <w:bottom w:val="single" w:sz="4" w:space="0" w:color="auto"/>
              <w:right w:val="single" w:sz="4" w:space="0" w:color="auto"/>
            </w:tcBorders>
            <w:vAlign w:val="center"/>
          </w:tcPr>
          <w:p w14:paraId="58BFD042"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8.36</w:t>
            </w:r>
          </w:p>
        </w:tc>
        <w:tc>
          <w:tcPr>
            <w:tcW w:w="949" w:type="dxa"/>
            <w:tcBorders>
              <w:top w:val="single" w:sz="4" w:space="0" w:color="auto"/>
              <w:left w:val="nil"/>
              <w:bottom w:val="single" w:sz="4" w:space="0" w:color="auto"/>
              <w:right w:val="single" w:sz="4" w:space="0" w:color="auto"/>
            </w:tcBorders>
            <w:vAlign w:val="center"/>
          </w:tcPr>
          <w:p w14:paraId="51A55E26" w14:textId="77777777" w:rsidR="008D7DB0" w:rsidRDefault="008D7DB0">
            <w:pPr>
              <w:spacing w:line="240" w:lineRule="auto"/>
              <w:ind w:firstLineChars="0" w:firstLine="0"/>
              <w:jc w:val="center"/>
              <w:rPr>
                <w:rFonts w:eastAsiaTheme="minorEastAsia"/>
                <w:kern w:val="0"/>
                <w:sz w:val="21"/>
                <w:szCs w:val="21"/>
              </w:rPr>
            </w:pPr>
          </w:p>
        </w:tc>
      </w:tr>
      <w:tr w:rsidR="008D7DB0" w14:paraId="5C709CA9" w14:textId="77777777">
        <w:trPr>
          <w:trHeight w:val="270"/>
          <w:jc w:val="center"/>
        </w:trPr>
        <w:tc>
          <w:tcPr>
            <w:tcW w:w="2092" w:type="dxa"/>
            <w:gridSpan w:val="2"/>
            <w:tcBorders>
              <w:top w:val="single" w:sz="4" w:space="0" w:color="auto"/>
              <w:left w:val="single" w:sz="4" w:space="0" w:color="auto"/>
              <w:bottom w:val="single" w:sz="4" w:space="0" w:color="auto"/>
              <w:right w:val="single" w:sz="4" w:space="0" w:color="auto"/>
            </w:tcBorders>
            <w:vAlign w:val="center"/>
          </w:tcPr>
          <w:p w14:paraId="06F71F24"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合计</w:t>
            </w:r>
          </w:p>
        </w:tc>
        <w:tc>
          <w:tcPr>
            <w:tcW w:w="1197" w:type="dxa"/>
            <w:tcBorders>
              <w:top w:val="single" w:sz="4" w:space="0" w:color="auto"/>
              <w:left w:val="nil"/>
              <w:bottom w:val="single" w:sz="4" w:space="0" w:color="auto"/>
              <w:right w:val="single" w:sz="4" w:space="0" w:color="auto"/>
            </w:tcBorders>
            <w:vAlign w:val="center"/>
          </w:tcPr>
          <w:p w14:paraId="517254E2"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333</w:t>
            </w:r>
          </w:p>
        </w:tc>
        <w:tc>
          <w:tcPr>
            <w:tcW w:w="1556" w:type="dxa"/>
            <w:tcBorders>
              <w:top w:val="single" w:sz="4" w:space="0" w:color="auto"/>
              <w:left w:val="nil"/>
              <w:bottom w:val="single" w:sz="4" w:space="0" w:color="auto"/>
              <w:right w:val="single" w:sz="4" w:space="0" w:color="auto"/>
            </w:tcBorders>
            <w:vAlign w:val="center"/>
          </w:tcPr>
          <w:p w14:paraId="2A2F53C5"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 xml:space="preserve">252.205 </w:t>
            </w:r>
          </w:p>
        </w:tc>
        <w:tc>
          <w:tcPr>
            <w:tcW w:w="1435" w:type="dxa"/>
            <w:tcBorders>
              <w:top w:val="single" w:sz="4" w:space="0" w:color="auto"/>
              <w:left w:val="nil"/>
              <w:bottom w:val="single" w:sz="4" w:space="0" w:color="auto"/>
              <w:right w:val="single" w:sz="4" w:space="0" w:color="auto"/>
            </w:tcBorders>
            <w:vAlign w:val="center"/>
          </w:tcPr>
          <w:p w14:paraId="74AD7518"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15.60</w:t>
            </w:r>
          </w:p>
        </w:tc>
        <w:tc>
          <w:tcPr>
            <w:tcW w:w="1299" w:type="dxa"/>
            <w:tcBorders>
              <w:top w:val="single" w:sz="4" w:space="0" w:color="auto"/>
              <w:left w:val="nil"/>
              <w:bottom w:val="single" w:sz="4" w:space="0" w:color="auto"/>
              <w:right w:val="single" w:sz="4" w:space="0" w:color="auto"/>
            </w:tcBorders>
            <w:vAlign w:val="center"/>
          </w:tcPr>
          <w:p w14:paraId="3D721354" w14:textId="77777777" w:rsidR="008D7DB0" w:rsidRDefault="00000000">
            <w:pPr>
              <w:widowControl/>
              <w:spacing w:line="240" w:lineRule="auto"/>
              <w:ind w:firstLineChars="0" w:firstLine="0"/>
              <w:jc w:val="center"/>
              <w:rPr>
                <w:rFonts w:eastAsiaTheme="minorEastAsia"/>
                <w:kern w:val="0"/>
                <w:sz w:val="21"/>
                <w:szCs w:val="21"/>
              </w:rPr>
            </w:pPr>
            <w:r>
              <w:rPr>
                <w:rFonts w:eastAsiaTheme="minorEastAsia"/>
                <w:kern w:val="0"/>
                <w:sz w:val="21"/>
                <w:szCs w:val="21"/>
              </w:rPr>
              <w:t>9.22</w:t>
            </w:r>
          </w:p>
        </w:tc>
        <w:tc>
          <w:tcPr>
            <w:tcW w:w="949" w:type="dxa"/>
            <w:tcBorders>
              <w:top w:val="single" w:sz="4" w:space="0" w:color="auto"/>
              <w:left w:val="nil"/>
              <w:bottom w:val="single" w:sz="4" w:space="0" w:color="auto"/>
              <w:right w:val="single" w:sz="4" w:space="0" w:color="auto"/>
            </w:tcBorders>
            <w:vAlign w:val="center"/>
          </w:tcPr>
          <w:p w14:paraId="5C5C4FDC" w14:textId="77777777" w:rsidR="008D7DB0" w:rsidRDefault="008D7DB0">
            <w:pPr>
              <w:widowControl/>
              <w:spacing w:line="240" w:lineRule="auto"/>
              <w:ind w:firstLineChars="0" w:firstLine="0"/>
              <w:jc w:val="center"/>
              <w:rPr>
                <w:rFonts w:eastAsiaTheme="minorEastAsia"/>
                <w:kern w:val="0"/>
                <w:sz w:val="21"/>
                <w:szCs w:val="21"/>
              </w:rPr>
            </w:pPr>
          </w:p>
        </w:tc>
      </w:tr>
    </w:tbl>
    <w:p w14:paraId="6736F541" w14:textId="77777777" w:rsidR="008D7DB0" w:rsidRDefault="00000000">
      <w:pPr>
        <w:ind w:firstLine="560"/>
      </w:pPr>
      <w:r>
        <w:rPr>
          <w:rFonts w:hint="eastAsia"/>
        </w:rPr>
        <w:t>（</w:t>
      </w:r>
      <w:r>
        <w:rPr>
          <w:rFonts w:hint="eastAsia"/>
        </w:rPr>
        <w:t>2</w:t>
      </w:r>
      <w:r>
        <w:rPr>
          <w:rFonts w:hint="eastAsia"/>
        </w:rPr>
        <w:t>）设计可采储量</w:t>
      </w:r>
    </w:p>
    <w:p w14:paraId="426BB41A" w14:textId="77777777" w:rsidR="008D7DB0" w:rsidRDefault="00000000">
      <w:pPr>
        <w:ind w:firstLine="560"/>
      </w:pPr>
      <w:r>
        <w:rPr>
          <w:rFonts w:hint="eastAsia"/>
        </w:rPr>
        <w:lastRenderedPageBreak/>
        <w:t>《初步设计》</w:t>
      </w:r>
      <w:r>
        <w:t>利用资源储量为</w:t>
      </w:r>
      <w:r>
        <w:t>140.835</w:t>
      </w:r>
      <w:r>
        <w:t>万</w:t>
      </w:r>
      <w:r>
        <w:t>t</w:t>
      </w:r>
      <w:r>
        <w:t>。。</w:t>
      </w:r>
    </w:p>
    <w:p w14:paraId="38E91C18" w14:textId="77777777" w:rsidR="008D7DB0" w:rsidRDefault="00000000">
      <w:pPr>
        <w:ind w:firstLine="560"/>
      </w:pPr>
      <w:r>
        <w:rPr>
          <w:rFonts w:hint="eastAsia"/>
        </w:rPr>
        <w:t>（</w:t>
      </w:r>
      <w:r>
        <w:rPr>
          <w:rFonts w:hint="eastAsia"/>
        </w:rPr>
        <w:t>3</w:t>
      </w:r>
      <w:r>
        <w:rPr>
          <w:rFonts w:hint="eastAsia"/>
        </w:rPr>
        <w:t>）矿山生产规模</w:t>
      </w:r>
    </w:p>
    <w:p w14:paraId="61E7859B" w14:textId="77777777" w:rsidR="008D7DB0" w:rsidRDefault="00000000">
      <w:pPr>
        <w:ind w:firstLine="560"/>
      </w:pPr>
      <w:r>
        <w:t>《初步设计》中矿山生产规模为年产矿石</w:t>
      </w:r>
      <w:r>
        <w:rPr>
          <w:rFonts w:hint="eastAsia"/>
        </w:rPr>
        <w:t>15</w:t>
      </w:r>
      <w:r>
        <w:t>万</w:t>
      </w:r>
      <w:r>
        <w:t>t</w:t>
      </w:r>
      <w:r>
        <w:t>。</w:t>
      </w:r>
    </w:p>
    <w:p w14:paraId="09FD70B1" w14:textId="77777777" w:rsidR="008D7DB0" w:rsidRDefault="00000000">
      <w:pPr>
        <w:ind w:firstLine="560"/>
      </w:pPr>
      <w:r>
        <w:rPr>
          <w:rFonts w:hint="eastAsia"/>
        </w:rPr>
        <w:t>（</w:t>
      </w:r>
      <w:r>
        <w:rPr>
          <w:rFonts w:hint="eastAsia"/>
        </w:rPr>
        <w:t>4</w:t>
      </w:r>
      <w:r>
        <w:rPr>
          <w:rFonts w:hint="eastAsia"/>
        </w:rPr>
        <w:t>）服务年限</w:t>
      </w:r>
    </w:p>
    <w:p w14:paraId="5AD8E08F" w14:textId="77777777" w:rsidR="008D7DB0" w:rsidRDefault="00000000">
      <w:pPr>
        <w:ind w:firstLine="560"/>
      </w:pPr>
      <w:r>
        <w:rPr>
          <w:rFonts w:hint="eastAsia"/>
        </w:rPr>
        <w:t>《初步设计》中</w:t>
      </w:r>
      <w:r>
        <w:t>矿山服务年限</w:t>
      </w:r>
      <w:r>
        <w:rPr>
          <w:rFonts w:hint="eastAsia"/>
        </w:rPr>
        <w:t>10</w:t>
      </w:r>
      <w:r>
        <w:t>年（含基建期</w:t>
      </w:r>
      <w:r>
        <w:rPr>
          <w:rFonts w:hint="eastAsia"/>
        </w:rPr>
        <w:t>0.5</w:t>
      </w:r>
      <w:r>
        <w:t>年）。</w:t>
      </w:r>
    </w:p>
    <w:p w14:paraId="4D2BB8DF" w14:textId="77777777" w:rsidR="008D7DB0" w:rsidRDefault="00000000">
      <w:pPr>
        <w:ind w:left="70" w:firstLineChars="0" w:firstLine="560"/>
      </w:pPr>
      <w:r>
        <w:rPr>
          <w:rFonts w:hint="eastAsia"/>
        </w:rPr>
        <w:t>（</w:t>
      </w:r>
      <w:r>
        <w:rPr>
          <w:rFonts w:hint="eastAsia"/>
        </w:rPr>
        <w:t>5</w:t>
      </w:r>
      <w:r>
        <w:rPr>
          <w:rFonts w:hint="eastAsia"/>
        </w:rPr>
        <w:t>）工作制度</w:t>
      </w:r>
    </w:p>
    <w:p w14:paraId="21602492" w14:textId="77777777" w:rsidR="008D7DB0" w:rsidRDefault="00000000">
      <w:pPr>
        <w:ind w:firstLine="560"/>
      </w:pPr>
      <w:r>
        <w:t>《初步设计》中矿山年工作</w:t>
      </w:r>
      <w:r>
        <w:t>300</w:t>
      </w:r>
      <w:r>
        <w:t>天，每天工作</w:t>
      </w:r>
      <w:r>
        <w:rPr>
          <w:rFonts w:hint="eastAsia"/>
        </w:rPr>
        <w:t>3</w:t>
      </w:r>
      <w:r>
        <w:t>班，每班工作</w:t>
      </w:r>
      <w:r>
        <w:t>8</w:t>
      </w:r>
      <w:r>
        <w:t>小时</w:t>
      </w:r>
      <w:r>
        <w:rPr>
          <w:rFonts w:hint="eastAsia"/>
        </w:rPr>
        <w:t>。</w:t>
      </w:r>
    </w:p>
    <w:p w14:paraId="0067BB8D" w14:textId="77777777" w:rsidR="008D7DB0" w:rsidRDefault="00000000">
      <w:pPr>
        <w:pStyle w:val="3"/>
      </w:pPr>
      <w:bookmarkStart w:id="82" w:name="_Toc13326"/>
      <w:bookmarkStart w:id="83" w:name="_Toc30518"/>
      <w:bookmarkStart w:id="84" w:name="_Toc205883233"/>
      <w:r>
        <w:rPr>
          <w:rFonts w:hint="eastAsia"/>
        </w:rPr>
        <w:t>2.4.3</w:t>
      </w:r>
      <w:r>
        <w:rPr>
          <w:rFonts w:hint="eastAsia"/>
        </w:rPr>
        <w:t>开采范围</w:t>
      </w:r>
      <w:bookmarkEnd w:id="82"/>
      <w:bookmarkEnd w:id="83"/>
      <w:bookmarkEnd w:id="84"/>
    </w:p>
    <w:p w14:paraId="2692C0C7" w14:textId="77777777" w:rsidR="008D7DB0" w:rsidRDefault="00000000">
      <w:pPr>
        <w:numPr>
          <w:ilvl w:val="0"/>
          <w:numId w:val="5"/>
        </w:numPr>
        <w:ind w:firstLine="560"/>
      </w:pPr>
      <w:r>
        <w:rPr>
          <w:rFonts w:hint="eastAsia"/>
        </w:rPr>
        <w:t>开采对象</w:t>
      </w:r>
    </w:p>
    <w:p w14:paraId="66FA60BE" w14:textId="77777777" w:rsidR="008D7DB0" w:rsidRDefault="00000000">
      <w:pPr>
        <w:ind w:firstLine="560"/>
      </w:pPr>
      <w:r>
        <w:t>开采对象为铁帽子采区内的</w:t>
      </w:r>
      <w:r>
        <w:t>4</w:t>
      </w:r>
      <w:r>
        <w:t>号、</w:t>
      </w:r>
      <w:r>
        <w:t>5</w:t>
      </w:r>
      <w:r>
        <w:t>号、</w:t>
      </w:r>
      <w:r>
        <w:t>6</w:t>
      </w:r>
      <w:r>
        <w:t>号矿体。</w:t>
      </w:r>
    </w:p>
    <w:p w14:paraId="2E5E4812" w14:textId="77777777" w:rsidR="008D7DB0" w:rsidRDefault="00000000">
      <w:pPr>
        <w:numPr>
          <w:ilvl w:val="0"/>
          <w:numId w:val="5"/>
        </w:numPr>
        <w:ind w:firstLine="560"/>
      </w:pPr>
      <w:r>
        <w:rPr>
          <w:rFonts w:hint="eastAsia"/>
        </w:rPr>
        <w:t>开采范围</w:t>
      </w:r>
    </w:p>
    <w:p w14:paraId="71FF955B" w14:textId="77777777" w:rsidR="008D7DB0" w:rsidRDefault="00000000">
      <w:pPr>
        <w:ind w:firstLine="560"/>
      </w:pPr>
      <w:r>
        <w:t>开采范围详见表</w:t>
      </w:r>
      <w:r>
        <w:rPr>
          <w:rFonts w:hint="eastAsia"/>
        </w:rPr>
        <w:t>2.4-2</w:t>
      </w:r>
      <w:r>
        <w:rPr>
          <w:rFonts w:hint="eastAsia"/>
        </w:rPr>
        <w:t>。</w:t>
      </w:r>
    </w:p>
    <w:p w14:paraId="7511B473" w14:textId="77777777" w:rsidR="008D7DB0" w:rsidRDefault="00000000">
      <w:pPr>
        <w:pStyle w:val="aa"/>
        <w:ind w:firstLine="420"/>
        <w:jc w:val="center"/>
        <w:rPr>
          <w:rFonts w:eastAsiaTheme="minorEastAsia"/>
          <w:sz w:val="21"/>
          <w:szCs w:val="21"/>
        </w:rPr>
      </w:pPr>
      <w:r>
        <w:rPr>
          <w:rFonts w:eastAsiaTheme="minorEastAsia"/>
          <w:sz w:val="21"/>
          <w:szCs w:val="21"/>
        </w:rPr>
        <w:t xml:space="preserve">2.4-2 </w:t>
      </w:r>
      <w:r>
        <w:rPr>
          <w:rFonts w:eastAsiaTheme="minorEastAsia"/>
          <w:sz w:val="21"/>
          <w:szCs w:val="21"/>
        </w:rPr>
        <w:t>开采范围</w:t>
      </w: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4"/>
        <w:gridCol w:w="3036"/>
        <w:gridCol w:w="3115"/>
      </w:tblGrid>
      <w:tr w:rsidR="008D7DB0" w14:paraId="30302DFF" w14:textId="77777777">
        <w:trPr>
          <w:trHeight w:val="474"/>
        </w:trPr>
        <w:tc>
          <w:tcPr>
            <w:tcW w:w="2664" w:type="dxa"/>
            <w:vMerge w:val="restart"/>
            <w:vAlign w:val="center"/>
          </w:tcPr>
          <w:p w14:paraId="43448B4D"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拐点号</w:t>
            </w:r>
          </w:p>
        </w:tc>
        <w:tc>
          <w:tcPr>
            <w:tcW w:w="6151" w:type="dxa"/>
            <w:gridSpan w:val="2"/>
            <w:vAlign w:val="center"/>
          </w:tcPr>
          <w:p w14:paraId="37A0D5A0"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2000</w:t>
            </w:r>
            <w:r>
              <w:rPr>
                <w:rFonts w:eastAsiaTheme="minorEastAsia"/>
                <w:sz w:val="21"/>
                <w:szCs w:val="21"/>
              </w:rPr>
              <w:t>国家大地坐标系</w:t>
            </w:r>
          </w:p>
        </w:tc>
      </w:tr>
      <w:tr w:rsidR="008D7DB0" w14:paraId="36F0B009" w14:textId="77777777">
        <w:trPr>
          <w:trHeight w:val="394"/>
        </w:trPr>
        <w:tc>
          <w:tcPr>
            <w:tcW w:w="2664" w:type="dxa"/>
            <w:vMerge/>
            <w:vAlign w:val="center"/>
          </w:tcPr>
          <w:p w14:paraId="4361656E" w14:textId="77777777" w:rsidR="008D7DB0" w:rsidRDefault="008D7DB0">
            <w:pPr>
              <w:adjustRightInd w:val="0"/>
              <w:snapToGrid w:val="0"/>
              <w:spacing w:line="240" w:lineRule="auto"/>
              <w:ind w:firstLineChars="0" w:firstLine="0"/>
              <w:jc w:val="center"/>
              <w:rPr>
                <w:rFonts w:eastAsiaTheme="minorEastAsia"/>
                <w:sz w:val="21"/>
                <w:szCs w:val="21"/>
              </w:rPr>
            </w:pPr>
          </w:p>
        </w:tc>
        <w:tc>
          <w:tcPr>
            <w:tcW w:w="3036" w:type="dxa"/>
            <w:vAlign w:val="center"/>
          </w:tcPr>
          <w:p w14:paraId="0A7D05FB"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X</w:t>
            </w:r>
          </w:p>
        </w:tc>
        <w:tc>
          <w:tcPr>
            <w:tcW w:w="3115" w:type="dxa"/>
            <w:vAlign w:val="center"/>
          </w:tcPr>
          <w:p w14:paraId="795B1990"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Y</w:t>
            </w:r>
          </w:p>
        </w:tc>
      </w:tr>
      <w:tr w:rsidR="008D7DB0" w14:paraId="68C4A0F8" w14:textId="77777777">
        <w:trPr>
          <w:trHeight w:val="394"/>
        </w:trPr>
        <w:tc>
          <w:tcPr>
            <w:tcW w:w="2664" w:type="dxa"/>
            <w:vAlign w:val="center"/>
          </w:tcPr>
          <w:p w14:paraId="4A9E1386"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1</w:t>
            </w:r>
          </w:p>
        </w:tc>
        <w:tc>
          <w:tcPr>
            <w:tcW w:w="3036" w:type="dxa"/>
            <w:vAlign w:val="center"/>
          </w:tcPr>
          <w:p w14:paraId="2D5FD5BF"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4633258.4328</w:t>
            </w:r>
          </w:p>
        </w:tc>
        <w:tc>
          <w:tcPr>
            <w:tcW w:w="3115" w:type="dxa"/>
            <w:vAlign w:val="center"/>
          </w:tcPr>
          <w:p w14:paraId="5097C099"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40529462.9979</w:t>
            </w:r>
          </w:p>
        </w:tc>
      </w:tr>
      <w:tr w:rsidR="008D7DB0" w14:paraId="530232B2" w14:textId="77777777">
        <w:trPr>
          <w:trHeight w:val="394"/>
        </w:trPr>
        <w:tc>
          <w:tcPr>
            <w:tcW w:w="2664" w:type="dxa"/>
            <w:vAlign w:val="center"/>
          </w:tcPr>
          <w:p w14:paraId="5A603FCE"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2</w:t>
            </w:r>
          </w:p>
        </w:tc>
        <w:tc>
          <w:tcPr>
            <w:tcW w:w="3036" w:type="dxa"/>
            <w:vAlign w:val="center"/>
          </w:tcPr>
          <w:p w14:paraId="397CA963"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4633918.3966</w:t>
            </w:r>
          </w:p>
        </w:tc>
        <w:tc>
          <w:tcPr>
            <w:tcW w:w="3115" w:type="dxa"/>
            <w:vAlign w:val="center"/>
          </w:tcPr>
          <w:p w14:paraId="7E7B15D9"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40529462.9960</w:t>
            </w:r>
          </w:p>
        </w:tc>
      </w:tr>
      <w:tr w:rsidR="008D7DB0" w14:paraId="4031287B" w14:textId="77777777">
        <w:trPr>
          <w:trHeight w:val="394"/>
        </w:trPr>
        <w:tc>
          <w:tcPr>
            <w:tcW w:w="2664" w:type="dxa"/>
            <w:vAlign w:val="center"/>
          </w:tcPr>
          <w:p w14:paraId="165FC317"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3</w:t>
            </w:r>
          </w:p>
        </w:tc>
        <w:tc>
          <w:tcPr>
            <w:tcW w:w="3036" w:type="dxa"/>
            <w:vAlign w:val="center"/>
          </w:tcPr>
          <w:p w14:paraId="72CBF676"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4633918.4019</w:t>
            </w:r>
          </w:p>
        </w:tc>
        <w:tc>
          <w:tcPr>
            <w:tcW w:w="3115" w:type="dxa"/>
            <w:vAlign w:val="center"/>
          </w:tcPr>
          <w:p w14:paraId="15BAF40C"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40530157.9960</w:t>
            </w:r>
          </w:p>
        </w:tc>
      </w:tr>
      <w:tr w:rsidR="008D7DB0" w14:paraId="5E91D349" w14:textId="77777777">
        <w:trPr>
          <w:trHeight w:val="394"/>
        </w:trPr>
        <w:tc>
          <w:tcPr>
            <w:tcW w:w="2664" w:type="dxa"/>
            <w:vAlign w:val="center"/>
          </w:tcPr>
          <w:p w14:paraId="38EAD266"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w:t>
            </w:r>
          </w:p>
        </w:tc>
        <w:tc>
          <w:tcPr>
            <w:tcW w:w="3036" w:type="dxa"/>
            <w:vAlign w:val="center"/>
          </w:tcPr>
          <w:p w14:paraId="2396531F"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4633218.4051</w:t>
            </w:r>
          </w:p>
        </w:tc>
        <w:tc>
          <w:tcPr>
            <w:tcW w:w="3115" w:type="dxa"/>
            <w:vAlign w:val="center"/>
          </w:tcPr>
          <w:p w14:paraId="58FF8B5A"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40530337.9994</w:t>
            </w:r>
          </w:p>
        </w:tc>
      </w:tr>
      <w:tr w:rsidR="008D7DB0" w14:paraId="0914857B" w14:textId="77777777">
        <w:trPr>
          <w:trHeight w:val="394"/>
        </w:trPr>
        <w:tc>
          <w:tcPr>
            <w:tcW w:w="2664" w:type="dxa"/>
            <w:vAlign w:val="center"/>
          </w:tcPr>
          <w:p w14:paraId="1B637E53"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5</w:t>
            </w:r>
          </w:p>
        </w:tc>
        <w:tc>
          <w:tcPr>
            <w:tcW w:w="3036" w:type="dxa"/>
            <w:vAlign w:val="center"/>
          </w:tcPr>
          <w:p w14:paraId="52F1F1B8"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4632598.4054</w:t>
            </w:r>
          </w:p>
        </w:tc>
        <w:tc>
          <w:tcPr>
            <w:tcW w:w="3115" w:type="dxa"/>
            <w:vAlign w:val="center"/>
          </w:tcPr>
          <w:p w14:paraId="26D30932"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40530157.9951</w:t>
            </w:r>
          </w:p>
        </w:tc>
      </w:tr>
      <w:tr w:rsidR="008D7DB0" w14:paraId="6CAE9985" w14:textId="77777777">
        <w:trPr>
          <w:trHeight w:val="394"/>
        </w:trPr>
        <w:tc>
          <w:tcPr>
            <w:tcW w:w="2664" w:type="dxa"/>
            <w:vAlign w:val="center"/>
          </w:tcPr>
          <w:p w14:paraId="735169A4"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6</w:t>
            </w:r>
          </w:p>
        </w:tc>
        <w:tc>
          <w:tcPr>
            <w:tcW w:w="3036" w:type="dxa"/>
            <w:vAlign w:val="center"/>
          </w:tcPr>
          <w:p w14:paraId="154EADFE"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4632598.4073</w:t>
            </w:r>
          </w:p>
        </w:tc>
        <w:tc>
          <w:tcPr>
            <w:tcW w:w="3115" w:type="dxa"/>
            <w:vAlign w:val="center"/>
          </w:tcPr>
          <w:p w14:paraId="0675B508"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40530607.9927</w:t>
            </w:r>
          </w:p>
        </w:tc>
      </w:tr>
      <w:tr w:rsidR="008D7DB0" w14:paraId="118E35CD" w14:textId="77777777">
        <w:trPr>
          <w:trHeight w:val="394"/>
        </w:trPr>
        <w:tc>
          <w:tcPr>
            <w:tcW w:w="2664" w:type="dxa"/>
            <w:vAlign w:val="center"/>
          </w:tcPr>
          <w:p w14:paraId="01446434"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7</w:t>
            </w:r>
          </w:p>
        </w:tc>
        <w:tc>
          <w:tcPr>
            <w:tcW w:w="3036" w:type="dxa"/>
            <w:vAlign w:val="center"/>
          </w:tcPr>
          <w:p w14:paraId="37C4CD1F"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4632158.4120</w:t>
            </w:r>
          </w:p>
        </w:tc>
        <w:tc>
          <w:tcPr>
            <w:tcW w:w="3115" w:type="dxa"/>
            <w:vAlign w:val="center"/>
          </w:tcPr>
          <w:p w14:paraId="13FDFAE1"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40530608.0037</w:t>
            </w:r>
          </w:p>
        </w:tc>
      </w:tr>
      <w:tr w:rsidR="008D7DB0" w14:paraId="0A422013" w14:textId="77777777">
        <w:trPr>
          <w:trHeight w:val="394"/>
        </w:trPr>
        <w:tc>
          <w:tcPr>
            <w:tcW w:w="2664" w:type="dxa"/>
            <w:vAlign w:val="center"/>
          </w:tcPr>
          <w:p w14:paraId="17B2A575"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8</w:t>
            </w:r>
          </w:p>
        </w:tc>
        <w:tc>
          <w:tcPr>
            <w:tcW w:w="3036" w:type="dxa"/>
            <w:vAlign w:val="center"/>
          </w:tcPr>
          <w:p w14:paraId="3B8244E2"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4632158.4079</w:t>
            </w:r>
          </w:p>
        </w:tc>
        <w:tc>
          <w:tcPr>
            <w:tcW w:w="3115" w:type="dxa"/>
            <w:vAlign w:val="center"/>
          </w:tcPr>
          <w:p w14:paraId="0F99619B"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40530113.0087</w:t>
            </w:r>
          </w:p>
        </w:tc>
      </w:tr>
      <w:tr w:rsidR="008D7DB0" w14:paraId="0157CE1C" w14:textId="77777777">
        <w:trPr>
          <w:trHeight w:val="394"/>
        </w:trPr>
        <w:tc>
          <w:tcPr>
            <w:tcW w:w="2664" w:type="dxa"/>
            <w:vAlign w:val="center"/>
          </w:tcPr>
          <w:p w14:paraId="25D52530"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A</w:t>
            </w:r>
          </w:p>
        </w:tc>
        <w:tc>
          <w:tcPr>
            <w:tcW w:w="3036" w:type="dxa"/>
            <w:vAlign w:val="center"/>
          </w:tcPr>
          <w:p w14:paraId="7D006352"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4631950.0000</w:t>
            </w:r>
          </w:p>
        </w:tc>
        <w:tc>
          <w:tcPr>
            <w:tcW w:w="3115" w:type="dxa"/>
            <w:vAlign w:val="center"/>
          </w:tcPr>
          <w:p w14:paraId="12EF4C89"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40530113.0115</w:t>
            </w:r>
          </w:p>
        </w:tc>
      </w:tr>
      <w:tr w:rsidR="008D7DB0" w14:paraId="5917FB43" w14:textId="77777777">
        <w:trPr>
          <w:trHeight w:val="394"/>
        </w:trPr>
        <w:tc>
          <w:tcPr>
            <w:tcW w:w="2664" w:type="dxa"/>
            <w:vAlign w:val="center"/>
          </w:tcPr>
          <w:p w14:paraId="208AAD57"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B</w:t>
            </w:r>
          </w:p>
        </w:tc>
        <w:tc>
          <w:tcPr>
            <w:tcW w:w="3036" w:type="dxa"/>
            <w:vAlign w:val="center"/>
          </w:tcPr>
          <w:p w14:paraId="032899AF"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4631950.0000</w:t>
            </w:r>
          </w:p>
        </w:tc>
        <w:tc>
          <w:tcPr>
            <w:tcW w:w="3115" w:type="dxa"/>
            <w:vAlign w:val="center"/>
          </w:tcPr>
          <w:p w14:paraId="479C7A98"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40528763.0010</w:t>
            </w:r>
          </w:p>
        </w:tc>
      </w:tr>
      <w:tr w:rsidR="008D7DB0" w14:paraId="59B6EBFF" w14:textId="77777777">
        <w:trPr>
          <w:trHeight w:val="394"/>
        </w:trPr>
        <w:tc>
          <w:tcPr>
            <w:tcW w:w="2664" w:type="dxa"/>
            <w:vAlign w:val="center"/>
          </w:tcPr>
          <w:p w14:paraId="080F30EE"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11</w:t>
            </w:r>
          </w:p>
        </w:tc>
        <w:tc>
          <w:tcPr>
            <w:tcW w:w="3036" w:type="dxa"/>
            <w:vAlign w:val="center"/>
          </w:tcPr>
          <w:p w14:paraId="49D4CA0A"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4633258.4247</w:t>
            </w:r>
          </w:p>
        </w:tc>
        <w:tc>
          <w:tcPr>
            <w:tcW w:w="3115" w:type="dxa"/>
            <w:vAlign w:val="center"/>
          </w:tcPr>
          <w:p w14:paraId="0357C897" w14:textId="77777777" w:rsidR="008D7DB0" w:rsidRDefault="00000000">
            <w:pPr>
              <w:spacing w:line="240" w:lineRule="auto"/>
              <w:ind w:firstLineChars="0" w:firstLine="0"/>
              <w:jc w:val="center"/>
              <w:rPr>
                <w:rFonts w:eastAsiaTheme="minorEastAsia"/>
                <w:sz w:val="21"/>
                <w:szCs w:val="21"/>
              </w:rPr>
            </w:pPr>
            <w:r>
              <w:rPr>
                <w:rFonts w:eastAsiaTheme="minorEastAsia"/>
                <w:sz w:val="21"/>
                <w:szCs w:val="21"/>
              </w:rPr>
              <w:t>40528762.9979</w:t>
            </w:r>
          </w:p>
        </w:tc>
      </w:tr>
      <w:tr w:rsidR="008D7DB0" w14:paraId="63404072" w14:textId="77777777">
        <w:trPr>
          <w:trHeight w:val="490"/>
        </w:trPr>
        <w:tc>
          <w:tcPr>
            <w:tcW w:w="8815" w:type="dxa"/>
            <w:gridSpan w:val="3"/>
            <w:vAlign w:val="center"/>
          </w:tcPr>
          <w:p w14:paraId="598876BE" w14:textId="77777777" w:rsidR="008D7DB0" w:rsidRDefault="00000000">
            <w:pPr>
              <w:ind w:firstLineChars="0" w:firstLine="0"/>
              <w:jc w:val="center"/>
              <w:rPr>
                <w:rFonts w:eastAsiaTheme="minorEastAsia"/>
                <w:sz w:val="21"/>
                <w:szCs w:val="21"/>
              </w:rPr>
            </w:pPr>
            <w:r>
              <w:rPr>
                <w:rFonts w:eastAsiaTheme="minorEastAsia"/>
                <w:sz w:val="21"/>
                <w:szCs w:val="21"/>
              </w:rPr>
              <w:t>开采标高：从</w:t>
            </w:r>
            <w:r>
              <w:rPr>
                <w:rFonts w:eastAsiaTheme="minorEastAsia"/>
                <w:sz w:val="21"/>
                <w:szCs w:val="21"/>
              </w:rPr>
              <w:t>585m</w:t>
            </w:r>
            <w:r>
              <w:rPr>
                <w:rFonts w:eastAsiaTheme="minorEastAsia"/>
                <w:sz w:val="21"/>
                <w:szCs w:val="21"/>
              </w:rPr>
              <w:t>至</w:t>
            </w:r>
            <w:r>
              <w:rPr>
                <w:rFonts w:eastAsiaTheme="minorEastAsia"/>
                <w:sz w:val="21"/>
                <w:szCs w:val="21"/>
              </w:rPr>
              <w:t xml:space="preserve">400m  </w:t>
            </w:r>
            <w:r>
              <w:rPr>
                <w:rFonts w:eastAsiaTheme="minorEastAsia"/>
                <w:sz w:val="21"/>
                <w:szCs w:val="21"/>
              </w:rPr>
              <w:t>设计开采面积：</w:t>
            </w:r>
            <w:r>
              <w:rPr>
                <w:rFonts w:eastAsiaTheme="minorEastAsia"/>
                <w:sz w:val="21"/>
                <w:szCs w:val="21"/>
              </w:rPr>
              <w:t>2.591km²</w:t>
            </w:r>
          </w:p>
        </w:tc>
      </w:tr>
    </w:tbl>
    <w:p w14:paraId="32F5450F" w14:textId="77777777" w:rsidR="008D7DB0" w:rsidRDefault="00000000">
      <w:pPr>
        <w:numPr>
          <w:ilvl w:val="0"/>
          <w:numId w:val="5"/>
        </w:numPr>
        <w:ind w:firstLine="560"/>
      </w:pPr>
      <w:r>
        <w:rPr>
          <w:rFonts w:hint="eastAsia"/>
        </w:rPr>
        <w:t>矿区开采方式</w:t>
      </w:r>
    </w:p>
    <w:p w14:paraId="06671CA8" w14:textId="77777777" w:rsidR="008D7DB0" w:rsidRDefault="00000000">
      <w:pPr>
        <w:ind w:firstLine="560"/>
      </w:pPr>
      <w:r>
        <w:rPr>
          <w:rFonts w:hint="eastAsia"/>
        </w:rPr>
        <w:t>《初步设计》中矿区开采方式为露天开采。</w:t>
      </w:r>
    </w:p>
    <w:p w14:paraId="3CC30218" w14:textId="77777777" w:rsidR="008D7DB0" w:rsidRDefault="00000000">
      <w:pPr>
        <w:pStyle w:val="3"/>
      </w:pPr>
      <w:bookmarkStart w:id="85" w:name="_Toc11202"/>
      <w:bookmarkStart w:id="86" w:name="_Toc31242"/>
      <w:bookmarkStart w:id="87" w:name="_Toc205883234"/>
      <w:r>
        <w:rPr>
          <w:rFonts w:hint="eastAsia"/>
        </w:rPr>
        <w:lastRenderedPageBreak/>
        <w:t>2.4.5</w:t>
      </w:r>
      <w:r>
        <w:rPr>
          <w:rFonts w:hint="eastAsia"/>
        </w:rPr>
        <w:t>开拓运输</w:t>
      </w:r>
      <w:bookmarkEnd w:id="85"/>
      <w:bookmarkEnd w:id="86"/>
      <w:bookmarkEnd w:id="87"/>
    </w:p>
    <w:p w14:paraId="20341AE1" w14:textId="77777777" w:rsidR="008D7DB0" w:rsidRDefault="00000000">
      <w:pPr>
        <w:numPr>
          <w:ilvl w:val="0"/>
          <w:numId w:val="6"/>
        </w:numPr>
        <w:ind w:firstLine="560"/>
      </w:pPr>
      <w:r>
        <w:rPr>
          <w:rFonts w:hint="eastAsia"/>
        </w:rPr>
        <w:t>开拓运输方式</w:t>
      </w:r>
    </w:p>
    <w:p w14:paraId="09F7DA25" w14:textId="77777777" w:rsidR="008D7DB0" w:rsidRDefault="00000000">
      <w:pPr>
        <w:ind w:firstLine="560"/>
      </w:pPr>
      <w:r>
        <w:rPr>
          <w:rFonts w:hint="eastAsia"/>
        </w:rPr>
        <w:t>《初步重大设计变更》</w:t>
      </w:r>
      <w:r>
        <w:t>设计确定采用公路开拓汽车</w:t>
      </w:r>
      <w:r>
        <w:rPr>
          <w:rFonts w:hint="eastAsia"/>
        </w:rPr>
        <w:t>运输方案，总出入沟分别布置于采区北侧</w:t>
      </w:r>
      <w:r>
        <w:rPr>
          <w:rFonts w:hint="eastAsia"/>
        </w:rPr>
        <w:t>448m</w:t>
      </w:r>
      <w:r>
        <w:rPr>
          <w:rFonts w:hint="eastAsia"/>
        </w:rPr>
        <w:t>标高处和西北侧</w:t>
      </w:r>
      <w:r>
        <w:rPr>
          <w:rFonts w:hint="eastAsia"/>
        </w:rPr>
        <w:t>503m</w:t>
      </w:r>
      <w:r>
        <w:rPr>
          <w:rFonts w:hint="eastAsia"/>
        </w:rPr>
        <w:t>标高处。</w:t>
      </w:r>
    </w:p>
    <w:p w14:paraId="04787DF5" w14:textId="77777777" w:rsidR="008D7DB0" w:rsidRDefault="00000000">
      <w:pPr>
        <w:ind w:firstLine="560"/>
      </w:pPr>
      <w:bookmarkStart w:id="88" w:name="_Toc7768"/>
      <w:r>
        <w:rPr>
          <w:rFonts w:hint="eastAsia"/>
        </w:rPr>
        <w:t>（</w:t>
      </w:r>
      <w:r>
        <w:rPr>
          <w:rFonts w:hint="eastAsia"/>
        </w:rPr>
        <w:t>2</w:t>
      </w:r>
      <w:r>
        <w:rPr>
          <w:rFonts w:hint="eastAsia"/>
        </w:rPr>
        <w:t>）矿石运输</w:t>
      </w:r>
    </w:p>
    <w:p w14:paraId="1D84E28B" w14:textId="77777777" w:rsidR="008D7DB0" w:rsidRDefault="00000000">
      <w:pPr>
        <w:ind w:firstLine="560"/>
      </w:pPr>
      <w:r>
        <w:rPr>
          <w:rFonts w:hint="eastAsia"/>
        </w:rPr>
        <w:t>当由</w:t>
      </w:r>
      <w:r>
        <w:rPr>
          <w:rFonts w:hint="eastAsia"/>
        </w:rPr>
        <w:t>503m</w:t>
      </w:r>
      <w:r>
        <w:rPr>
          <w:rFonts w:hint="eastAsia"/>
        </w:rPr>
        <w:t>标高总出入沟口运输矿石时，标高</w:t>
      </w:r>
      <w:r>
        <w:rPr>
          <w:rFonts w:hint="eastAsia"/>
        </w:rPr>
        <w:t>503m</w:t>
      </w:r>
      <w:r>
        <w:rPr>
          <w:rFonts w:hint="eastAsia"/>
        </w:rPr>
        <w:t>以上境界内矿石重车下坡运至矿山选矿厂。标高</w:t>
      </w:r>
      <w:r>
        <w:rPr>
          <w:rFonts w:hint="eastAsia"/>
        </w:rPr>
        <w:t>503m</w:t>
      </w:r>
      <w:r>
        <w:rPr>
          <w:rFonts w:hint="eastAsia"/>
        </w:rPr>
        <w:t>以下露天采场境界内的矿石重车上坡经</w:t>
      </w:r>
      <w:r>
        <w:rPr>
          <w:rFonts w:hint="eastAsia"/>
        </w:rPr>
        <w:t>503m</w:t>
      </w:r>
      <w:r>
        <w:rPr>
          <w:rFonts w:hint="eastAsia"/>
        </w:rPr>
        <w:t>标高总出入沟口运至境界外，再经境界圈外的公路运至矿山选厂。</w:t>
      </w:r>
    </w:p>
    <w:p w14:paraId="0DF3AD5D" w14:textId="77777777" w:rsidR="008D7DB0" w:rsidRDefault="00000000">
      <w:pPr>
        <w:ind w:firstLine="560"/>
      </w:pPr>
      <w:r>
        <w:rPr>
          <w:rFonts w:hint="eastAsia"/>
        </w:rPr>
        <w:t>当由</w:t>
      </w:r>
      <w:r>
        <w:rPr>
          <w:rFonts w:hint="eastAsia"/>
        </w:rPr>
        <w:t>448m</w:t>
      </w:r>
      <w:r>
        <w:rPr>
          <w:rFonts w:hint="eastAsia"/>
        </w:rPr>
        <w:t>标高总出入沟口运输矿石时，标高</w:t>
      </w:r>
      <w:r>
        <w:rPr>
          <w:rFonts w:hint="eastAsia"/>
        </w:rPr>
        <w:t>448m</w:t>
      </w:r>
      <w:r>
        <w:rPr>
          <w:rFonts w:hint="eastAsia"/>
        </w:rPr>
        <w:t>以上境界内矿石重车下坡运至矿山选矿厂。标高</w:t>
      </w:r>
      <w:r>
        <w:rPr>
          <w:rFonts w:hint="eastAsia"/>
        </w:rPr>
        <w:t>448m</w:t>
      </w:r>
      <w:r>
        <w:rPr>
          <w:rFonts w:hint="eastAsia"/>
        </w:rPr>
        <w:t>以下露天采场境界内的矿石重车上坡经</w:t>
      </w:r>
      <w:r>
        <w:rPr>
          <w:rFonts w:hint="eastAsia"/>
        </w:rPr>
        <w:t>448m</w:t>
      </w:r>
      <w:r>
        <w:rPr>
          <w:rFonts w:hint="eastAsia"/>
        </w:rPr>
        <w:t>标高总出入沟口运至境界外，再经境界圈外的公路运至矿山选厂。</w:t>
      </w:r>
    </w:p>
    <w:p w14:paraId="584E8B78" w14:textId="77777777" w:rsidR="008D7DB0" w:rsidRDefault="00000000">
      <w:pPr>
        <w:ind w:firstLine="560"/>
      </w:pPr>
      <w:r>
        <w:rPr>
          <w:rFonts w:hint="eastAsia"/>
        </w:rPr>
        <w:t>（</w:t>
      </w:r>
      <w:r>
        <w:rPr>
          <w:rFonts w:hint="eastAsia"/>
        </w:rPr>
        <w:t>3</w:t>
      </w:r>
      <w:r>
        <w:rPr>
          <w:rFonts w:hint="eastAsia"/>
        </w:rPr>
        <w:t>）岩石运输</w:t>
      </w:r>
    </w:p>
    <w:p w14:paraId="58496DC2" w14:textId="77777777" w:rsidR="008D7DB0" w:rsidRDefault="00000000">
      <w:pPr>
        <w:ind w:firstLine="560"/>
      </w:pPr>
      <w:r>
        <w:rPr>
          <w:rFonts w:hint="eastAsia"/>
        </w:rPr>
        <w:t>当由</w:t>
      </w:r>
      <w:r>
        <w:rPr>
          <w:rFonts w:hint="eastAsia"/>
        </w:rPr>
        <w:t>503m</w:t>
      </w:r>
      <w:r>
        <w:rPr>
          <w:rFonts w:hint="eastAsia"/>
        </w:rPr>
        <w:t>标高总出入沟口运输岩石时，标高</w:t>
      </w:r>
      <w:r>
        <w:rPr>
          <w:rFonts w:hint="eastAsia"/>
        </w:rPr>
        <w:t>503m</w:t>
      </w:r>
      <w:r>
        <w:rPr>
          <w:rFonts w:hint="eastAsia"/>
        </w:rPr>
        <w:t>以上境界内岩石重车下坡运至排土场。标高</w:t>
      </w:r>
      <w:r>
        <w:rPr>
          <w:rFonts w:hint="eastAsia"/>
        </w:rPr>
        <w:t>503m</w:t>
      </w:r>
      <w:r>
        <w:rPr>
          <w:rFonts w:hint="eastAsia"/>
        </w:rPr>
        <w:t>以下露天采场境界内的岩石重车上坡经</w:t>
      </w:r>
      <w:r>
        <w:rPr>
          <w:rFonts w:hint="eastAsia"/>
        </w:rPr>
        <w:t>503m</w:t>
      </w:r>
      <w:r>
        <w:rPr>
          <w:rFonts w:hint="eastAsia"/>
        </w:rPr>
        <w:t>标高总出入沟口运至境界外，再经境界圈外的公路运至排土场。</w:t>
      </w:r>
    </w:p>
    <w:p w14:paraId="14048C49" w14:textId="77777777" w:rsidR="008D7DB0" w:rsidRDefault="00000000">
      <w:pPr>
        <w:ind w:firstLine="560"/>
      </w:pPr>
      <w:r>
        <w:rPr>
          <w:rFonts w:hint="eastAsia"/>
        </w:rPr>
        <w:t>当由</w:t>
      </w:r>
      <w:r>
        <w:rPr>
          <w:rFonts w:hint="eastAsia"/>
        </w:rPr>
        <w:t>448m</w:t>
      </w:r>
      <w:r>
        <w:rPr>
          <w:rFonts w:hint="eastAsia"/>
        </w:rPr>
        <w:t>标高总出入沟口运输岩石时，标高</w:t>
      </w:r>
      <w:r>
        <w:rPr>
          <w:rFonts w:hint="eastAsia"/>
        </w:rPr>
        <w:t>448m</w:t>
      </w:r>
      <w:r>
        <w:rPr>
          <w:rFonts w:hint="eastAsia"/>
        </w:rPr>
        <w:t>以上境界内岩石重车下坡运至排土场。标高</w:t>
      </w:r>
      <w:r>
        <w:rPr>
          <w:rFonts w:hint="eastAsia"/>
        </w:rPr>
        <w:t>448m</w:t>
      </w:r>
      <w:r>
        <w:rPr>
          <w:rFonts w:hint="eastAsia"/>
        </w:rPr>
        <w:t>以下露天采场境界内的岩石重车上坡经</w:t>
      </w:r>
      <w:r>
        <w:rPr>
          <w:rFonts w:hint="eastAsia"/>
        </w:rPr>
        <w:t>448m</w:t>
      </w:r>
      <w:r>
        <w:rPr>
          <w:rFonts w:hint="eastAsia"/>
        </w:rPr>
        <w:t>标高总出入沟口运至境界外，再经境界圈外的公路运至排土场。</w:t>
      </w:r>
    </w:p>
    <w:p w14:paraId="0D869A13" w14:textId="77777777" w:rsidR="008D7DB0" w:rsidRDefault="00000000">
      <w:pPr>
        <w:pStyle w:val="3"/>
      </w:pPr>
      <w:bookmarkStart w:id="89" w:name="_Toc21869"/>
      <w:bookmarkStart w:id="90" w:name="_Toc205883235"/>
      <w:r>
        <w:rPr>
          <w:rFonts w:hint="eastAsia"/>
        </w:rPr>
        <w:t>2.4.6</w:t>
      </w:r>
      <w:r>
        <w:rPr>
          <w:rFonts w:hint="eastAsia"/>
        </w:rPr>
        <w:t>采矿工艺</w:t>
      </w:r>
      <w:bookmarkEnd w:id="88"/>
      <w:bookmarkEnd w:id="89"/>
      <w:bookmarkEnd w:id="90"/>
    </w:p>
    <w:p w14:paraId="7FD17E4D" w14:textId="77777777" w:rsidR="008D7DB0" w:rsidRDefault="00000000">
      <w:pPr>
        <w:ind w:firstLine="560"/>
      </w:pPr>
      <w:r>
        <w:rPr>
          <w:rFonts w:hint="eastAsia"/>
        </w:rPr>
        <w:t>（</w:t>
      </w:r>
      <w:r>
        <w:rPr>
          <w:rFonts w:hint="eastAsia"/>
        </w:rPr>
        <w:t>1</w:t>
      </w:r>
      <w:r>
        <w:rPr>
          <w:rFonts w:hint="eastAsia"/>
        </w:rPr>
        <w:t>）露天采场境界</w:t>
      </w:r>
    </w:p>
    <w:p w14:paraId="22E7410B" w14:textId="77777777" w:rsidR="008D7DB0" w:rsidRDefault="00000000">
      <w:pPr>
        <w:ind w:firstLine="560"/>
      </w:pPr>
      <w:r>
        <w:rPr>
          <w:rFonts w:hint="eastAsia"/>
        </w:rPr>
        <w:t>1</w:t>
      </w:r>
      <w:r>
        <w:rPr>
          <w:rFonts w:hint="eastAsia"/>
        </w:rPr>
        <w:t>、台阶高度：</w:t>
      </w:r>
      <w:r>
        <w:rPr>
          <w:rFonts w:hint="eastAsia"/>
        </w:rPr>
        <w:t>H=12m</w:t>
      </w:r>
      <w:r>
        <w:rPr>
          <w:rFonts w:hint="eastAsia"/>
        </w:rPr>
        <w:t>（并段后</w:t>
      </w:r>
      <w:r>
        <w:rPr>
          <w:rFonts w:hint="eastAsia"/>
        </w:rPr>
        <w:t>H=24m</w:t>
      </w:r>
      <w:r>
        <w:rPr>
          <w:rFonts w:hint="eastAsia"/>
        </w:rPr>
        <w:t>）</w:t>
      </w:r>
    </w:p>
    <w:p w14:paraId="1CB6FA39" w14:textId="77777777" w:rsidR="008D7DB0" w:rsidRDefault="00000000">
      <w:pPr>
        <w:ind w:firstLine="560"/>
      </w:pPr>
      <w:r>
        <w:rPr>
          <w:rFonts w:hint="eastAsia"/>
        </w:rPr>
        <w:t>2</w:t>
      </w:r>
      <w:r>
        <w:rPr>
          <w:rFonts w:hint="eastAsia"/>
        </w:rPr>
        <w:t>、工作台阶坡面角：</w:t>
      </w:r>
      <w:r>
        <w:rPr>
          <w:rFonts w:hint="eastAsia"/>
        </w:rPr>
        <w:t>70</w:t>
      </w:r>
      <w:r>
        <w:rPr>
          <w:rFonts w:hint="eastAsia"/>
        </w:rPr>
        <w:t>º</w:t>
      </w:r>
    </w:p>
    <w:p w14:paraId="32AA0B2A" w14:textId="77777777" w:rsidR="008D7DB0" w:rsidRDefault="00000000">
      <w:pPr>
        <w:ind w:firstLine="560"/>
      </w:pPr>
      <w:r>
        <w:rPr>
          <w:rFonts w:hint="eastAsia"/>
        </w:rPr>
        <w:t>3</w:t>
      </w:r>
      <w:r>
        <w:rPr>
          <w:rFonts w:hint="eastAsia"/>
        </w:rPr>
        <w:t>、最终台阶坡面角：</w:t>
      </w:r>
      <w:r>
        <w:rPr>
          <w:rFonts w:hint="eastAsia"/>
        </w:rPr>
        <w:t>65</w:t>
      </w:r>
      <w:r>
        <w:rPr>
          <w:rFonts w:hint="eastAsia"/>
        </w:rPr>
        <w:t>º</w:t>
      </w:r>
    </w:p>
    <w:p w14:paraId="407B1569" w14:textId="77777777" w:rsidR="008D7DB0" w:rsidRDefault="00000000">
      <w:pPr>
        <w:ind w:firstLine="560"/>
      </w:pPr>
      <w:r>
        <w:rPr>
          <w:rFonts w:hint="eastAsia"/>
        </w:rPr>
        <w:t>4</w:t>
      </w:r>
      <w:r>
        <w:rPr>
          <w:rFonts w:hint="eastAsia"/>
        </w:rPr>
        <w:t>、道路纵坡：</w:t>
      </w:r>
      <w:r>
        <w:rPr>
          <w:rFonts w:hint="eastAsia"/>
        </w:rPr>
        <w:t>8%</w:t>
      </w:r>
    </w:p>
    <w:p w14:paraId="4CF13E1A" w14:textId="77777777" w:rsidR="008D7DB0" w:rsidRDefault="00000000">
      <w:pPr>
        <w:ind w:firstLine="560"/>
      </w:pPr>
      <w:r>
        <w:rPr>
          <w:rFonts w:hint="eastAsia"/>
        </w:rPr>
        <w:lastRenderedPageBreak/>
        <w:t>5</w:t>
      </w:r>
      <w:r>
        <w:rPr>
          <w:rFonts w:hint="eastAsia"/>
        </w:rPr>
        <w:t>、运输道路路面宽度：</w:t>
      </w:r>
      <w:r>
        <w:rPr>
          <w:rFonts w:hint="eastAsia"/>
        </w:rPr>
        <w:t>8m</w:t>
      </w:r>
    </w:p>
    <w:p w14:paraId="5DE846EE" w14:textId="77777777" w:rsidR="008D7DB0" w:rsidRDefault="00000000">
      <w:pPr>
        <w:ind w:firstLine="560"/>
      </w:pPr>
      <w:r>
        <w:rPr>
          <w:rFonts w:hint="eastAsia"/>
        </w:rPr>
        <w:t>（</w:t>
      </w:r>
      <w:r>
        <w:rPr>
          <w:rFonts w:hint="eastAsia"/>
        </w:rPr>
        <w:t>2</w:t>
      </w:r>
      <w:r>
        <w:rPr>
          <w:rFonts w:hint="eastAsia"/>
        </w:rPr>
        <w:t>）采剥方法</w:t>
      </w:r>
    </w:p>
    <w:p w14:paraId="32F61059" w14:textId="77777777" w:rsidR="008D7DB0" w:rsidRDefault="00000000">
      <w:pPr>
        <w:ind w:firstLine="560"/>
      </w:pPr>
      <w:r>
        <w:rPr>
          <w:rFonts w:hint="eastAsia"/>
        </w:rPr>
        <w:t>沿矿体上盘向下盘推进。上下台阶同时开采时，上一个台阶作业面超前下一个台阶作业面</w:t>
      </w:r>
      <w:r>
        <w:rPr>
          <w:rFonts w:hint="eastAsia"/>
        </w:rPr>
        <w:t>30m</w:t>
      </w:r>
      <w:r>
        <w:rPr>
          <w:rFonts w:hint="eastAsia"/>
        </w:rPr>
        <w:t>以上。</w:t>
      </w:r>
    </w:p>
    <w:p w14:paraId="24DDF1C9" w14:textId="77777777" w:rsidR="008D7DB0" w:rsidRDefault="00000000">
      <w:pPr>
        <w:ind w:leftChars="200" w:left="560" w:firstLineChars="0" w:firstLine="0"/>
      </w:pPr>
      <w:r>
        <w:rPr>
          <w:rFonts w:hint="eastAsia"/>
        </w:rPr>
        <w:t>（</w:t>
      </w:r>
      <w:r>
        <w:rPr>
          <w:rFonts w:hint="eastAsia"/>
        </w:rPr>
        <w:t>3</w:t>
      </w:r>
      <w:r>
        <w:rPr>
          <w:rFonts w:hint="eastAsia"/>
        </w:rPr>
        <w:t>）采剥工艺及参数</w:t>
      </w:r>
    </w:p>
    <w:p w14:paraId="7191827C" w14:textId="77777777" w:rsidR="008D7DB0" w:rsidRDefault="00000000">
      <w:pPr>
        <w:ind w:firstLine="560"/>
      </w:pPr>
      <w:r>
        <w:t>采剥工艺采用中深孔松动爆破，挖掘机</w:t>
      </w:r>
      <w:r>
        <w:rPr>
          <w:rFonts w:hint="eastAsia"/>
        </w:rPr>
        <w:t>铲装，矿用</w:t>
      </w:r>
      <w:r>
        <w:t>自卸式汽车运输</w:t>
      </w:r>
      <w:r>
        <w:rPr>
          <w:rFonts w:hint="eastAsia"/>
        </w:rPr>
        <w:t>。</w:t>
      </w:r>
    </w:p>
    <w:p w14:paraId="7647C069" w14:textId="77777777" w:rsidR="008D7DB0" w:rsidRDefault="00000000">
      <w:pPr>
        <w:ind w:leftChars="200" w:left="560" w:firstLineChars="0" w:firstLine="0"/>
      </w:pPr>
      <w:r>
        <w:rPr>
          <w:rFonts w:hint="eastAsia"/>
        </w:rPr>
        <w:t>（</w:t>
      </w:r>
      <w:r>
        <w:rPr>
          <w:rFonts w:hint="eastAsia"/>
        </w:rPr>
        <w:t>4</w:t>
      </w:r>
      <w:r>
        <w:rPr>
          <w:rFonts w:hint="eastAsia"/>
        </w:rPr>
        <w:t>）穿孔爆破参数</w:t>
      </w:r>
    </w:p>
    <w:p w14:paraId="39AD759B" w14:textId="77777777" w:rsidR="008D7DB0" w:rsidRDefault="00000000">
      <w:pPr>
        <w:ind w:firstLine="560"/>
      </w:pPr>
      <w:bookmarkStart w:id="91" w:name="_Toc9494"/>
      <w:r>
        <w:rPr>
          <w:rFonts w:hint="eastAsia"/>
        </w:rPr>
        <w:t>穿孔设备利用现有的</w:t>
      </w:r>
      <w:r>
        <w:rPr>
          <w:rFonts w:hint="eastAsia"/>
        </w:rPr>
        <w:t>JK358H</w:t>
      </w:r>
      <w:r>
        <w:rPr>
          <w:rFonts w:hint="eastAsia"/>
        </w:rPr>
        <w:t>露天潜孔钻机（配套空压机型号为</w:t>
      </w:r>
      <w:r>
        <w:rPr>
          <w:rFonts w:hint="eastAsia"/>
        </w:rPr>
        <w:t>XRHS1096</w:t>
      </w:r>
      <w:r>
        <w:rPr>
          <w:rFonts w:hint="eastAsia"/>
        </w:rPr>
        <w:t>），穿孔效率为</w:t>
      </w:r>
      <w:r>
        <w:rPr>
          <w:rFonts w:hint="eastAsia"/>
        </w:rPr>
        <w:t>35m/</w:t>
      </w:r>
      <w:r>
        <w:rPr>
          <w:rFonts w:hint="eastAsia"/>
        </w:rPr>
        <w:t>台·班，穿孔直径</w:t>
      </w:r>
      <w:r>
        <w:rPr>
          <w:rFonts w:hint="eastAsia"/>
        </w:rPr>
        <w:t>130mm</w:t>
      </w:r>
      <w:r>
        <w:rPr>
          <w:rFonts w:hint="eastAsia"/>
        </w:rPr>
        <w:t>，为垂直孔，孔深</w:t>
      </w:r>
      <w:r>
        <w:rPr>
          <w:rFonts w:hint="eastAsia"/>
        </w:rPr>
        <w:t>11.00m</w:t>
      </w:r>
      <w:r>
        <w:rPr>
          <w:rFonts w:hint="eastAsia"/>
        </w:rPr>
        <w:t>，其中包括超深约</w:t>
      </w:r>
      <w:r>
        <w:rPr>
          <w:rFonts w:hint="eastAsia"/>
        </w:rPr>
        <w:t>1.0m</w:t>
      </w:r>
      <w:r>
        <w:rPr>
          <w:rFonts w:hint="eastAsia"/>
        </w:rPr>
        <w:t>。</w:t>
      </w:r>
    </w:p>
    <w:p w14:paraId="4E857FB8" w14:textId="77777777" w:rsidR="008D7DB0" w:rsidRDefault="00000000">
      <w:pPr>
        <w:ind w:leftChars="200" w:left="560" w:firstLineChars="0" w:firstLine="0"/>
      </w:pPr>
      <w:r>
        <w:rPr>
          <w:rFonts w:hint="eastAsia"/>
        </w:rPr>
        <w:t>（</w:t>
      </w:r>
      <w:r>
        <w:rPr>
          <w:rFonts w:hint="eastAsia"/>
        </w:rPr>
        <w:t>5</w:t>
      </w:r>
      <w:r>
        <w:rPr>
          <w:rFonts w:hint="eastAsia"/>
        </w:rPr>
        <w:t>）装载</w:t>
      </w:r>
    </w:p>
    <w:p w14:paraId="72818976" w14:textId="77777777" w:rsidR="008D7DB0" w:rsidRDefault="00000000">
      <w:pPr>
        <w:ind w:firstLine="560"/>
      </w:pPr>
      <w:r>
        <w:t>采用的</w:t>
      </w:r>
      <w:r>
        <w:rPr>
          <w:rFonts w:hint="eastAsia"/>
        </w:rPr>
        <w:t>2</w:t>
      </w:r>
      <w:r>
        <w:t>台中联重科</w:t>
      </w:r>
      <w:r>
        <w:t>ZE485E-10</w:t>
      </w:r>
      <w:r>
        <w:rPr>
          <w:rFonts w:hint="eastAsia"/>
        </w:rPr>
        <w:t>型（</w:t>
      </w:r>
      <w:r>
        <w:t>斗容</w:t>
      </w:r>
      <w:r>
        <w:rPr>
          <w:rFonts w:hint="eastAsia"/>
        </w:rPr>
        <w:t>2.65</w:t>
      </w:r>
      <w:r>
        <w:t>m</w:t>
      </w:r>
      <w:r>
        <w:rPr>
          <w:vertAlign w:val="superscript"/>
        </w:rPr>
        <w:t>3</w:t>
      </w:r>
      <w:r>
        <w:rPr>
          <w:rFonts w:hint="eastAsia"/>
        </w:rPr>
        <w:t>）</w:t>
      </w:r>
      <w:r>
        <w:t>挖掘机铲装矿岩</w:t>
      </w:r>
      <w:r>
        <w:rPr>
          <w:rFonts w:hint="eastAsia"/>
        </w:rPr>
        <w:t>。</w:t>
      </w:r>
    </w:p>
    <w:p w14:paraId="6E8368FA" w14:textId="77777777" w:rsidR="008D7DB0" w:rsidRDefault="00000000">
      <w:pPr>
        <w:pStyle w:val="3"/>
      </w:pPr>
      <w:bookmarkStart w:id="92" w:name="_Toc1991"/>
      <w:bookmarkStart w:id="93" w:name="_Toc2285"/>
      <w:bookmarkStart w:id="94" w:name="_Toc205883236"/>
      <w:bookmarkEnd w:id="91"/>
      <w:r>
        <w:rPr>
          <w:rFonts w:hint="eastAsia"/>
        </w:rPr>
        <w:t>2.4.7</w:t>
      </w:r>
      <w:r>
        <w:rPr>
          <w:rFonts w:hint="eastAsia"/>
        </w:rPr>
        <w:t>矿山供配电设施</w:t>
      </w:r>
      <w:bookmarkEnd w:id="92"/>
      <w:bookmarkEnd w:id="93"/>
      <w:bookmarkEnd w:id="94"/>
    </w:p>
    <w:p w14:paraId="425F3B6D" w14:textId="77777777" w:rsidR="008D7DB0" w:rsidRDefault="00000000">
      <w:pPr>
        <w:ind w:firstLine="560"/>
      </w:pPr>
      <w:r>
        <w:rPr>
          <w:rFonts w:hint="eastAsia"/>
        </w:rPr>
        <w:t>矿山主要采掘设备和柴油空压机为柴油机，矿山除了水泵、照明以外无用电设备，水泵为高压设备，工业照明用电引自杆式变压器，北侧总出入沟口附近选择</w:t>
      </w:r>
      <w:r>
        <w:rPr>
          <w:rFonts w:hint="eastAsia"/>
        </w:rPr>
        <w:t>S11-50/10 10/0.4kV 50kVA</w:t>
      </w:r>
      <w:r>
        <w:rPr>
          <w:rFonts w:hint="eastAsia"/>
        </w:rPr>
        <w:t>变压器，供道路照明、排土场照明、维修等用电。采场选择</w:t>
      </w:r>
      <w:r>
        <w:rPr>
          <w:rFonts w:hint="eastAsia"/>
        </w:rPr>
        <w:t>S11-50/10 10/0.4kV 50kVA</w:t>
      </w:r>
      <w:r>
        <w:rPr>
          <w:rFonts w:hint="eastAsia"/>
        </w:rPr>
        <w:t>变压器，供采场照明等用电，随生产位置移动而移动。照明电压为</w:t>
      </w:r>
      <w:r>
        <w:rPr>
          <w:rFonts w:hint="eastAsia"/>
        </w:rPr>
        <w:t>220V</w:t>
      </w:r>
      <w:r>
        <w:rPr>
          <w:rFonts w:hint="eastAsia"/>
        </w:rPr>
        <w:t>。</w:t>
      </w:r>
    </w:p>
    <w:p w14:paraId="5A77A122" w14:textId="77777777" w:rsidR="008D7DB0" w:rsidRDefault="00000000">
      <w:pPr>
        <w:pStyle w:val="3"/>
      </w:pPr>
      <w:bookmarkStart w:id="95" w:name="_Toc934"/>
      <w:bookmarkStart w:id="96" w:name="_Toc29794"/>
      <w:bookmarkStart w:id="97" w:name="_Toc205883237"/>
      <w:r>
        <w:rPr>
          <w:rFonts w:hint="eastAsia"/>
        </w:rPr>
        <w:t>2.4.8</w:t>
      </w:r>
      <w:r>
        <w:rPr>
          <w:rFonts w:hint="eastAsia"/>
        </w:rPr>
        <w:t>防排水系统</w:t>
      </w:r>
      <w:bookmarkEnd w:id="95"/>
      <w:bookmarkEnd w:id="96"/>
      <w:bookmarkEnd w:id="97"/>
    </w:p>
    <w:p w14:paraId="3A6D7BB4" w14:textId="77777777" w:rsidR="008D7DB0" w:rsidRDefault="00000000">
      <w:pPr>
        <w:ind w:firstLine="560"/>
      </w:pPr>
      <w:r>
        <w:rPr>
          <w:rFonts w:hint="eastAsia"/>
        </w:rPr>
        <w:t>采区为山坡兼深凹露天采场，采场</w:t>
      </w:r>
      <w:r>
        <w:rPr>
          <w:rFonts w:hint="eastAsia"/>
        </w:rPr>
        <w:t>424m</w:t>
      </w:r>
      <w:r>
        <w:rPr>
          <w:rFonts w:hint="eastAsia"/>
        </w:rPr>
        <w:t>以上为山坡露天采场，该露天采场在</w:t>
      </w:r>
      <w:r>
        <w:rPr>
          <w:rFonts w:hint="eastAsia"/>
        </w:rPr>
        <w:t>424m</w:t>
      </w:r>
      <w:r>
        <w:rPr>
          <w:rFonts w:hint="eastAsia"/>
        </w:rPr>
        <w:t>标高的接渣平台上设置截水沟（水沟上口宽</w:t>
      </w:r>
      <w:r>
        <w:rPr>
          <w:rFonts w:hint="eastAsia"/>
        </w:rPr>
        <w:t>2m</w:t>
      </w:r>
      <w:r>
        <w:rPr>
          <w:rFonts w:hint="eastAsia"/>
        </w:rPr>
        <w:t>，下口宽</w:t>
      </w:r>
      <w:r>
        <w:rPr>
          <w:rFonts w:hint="eastAsia"/>
        </w:rPr>
        <w:t>1m</w:t>
      </w:r>
      <w:r>
        <w:rPr>
          <w:rFonts w:hint="eastAsia"/>
        </w:rPr>
        <w:t>，深度</w:t>
      </w:r>
      <w:r>
        <w:rPr>
          <w:rFonts w:hint="eastAsia"/>
        </w:rPr>
        <w:t>1m</w:t>
      </w:r>
      <w:r>
        <w:rPr>
          <w:rFonts w:hint="eastAsia"/>
        </w:rPr>
        <w:t>，坡度</w:t>
      </w:r>
      <w:r>
        <w:rPr>
          <w:rFonts w:hint="eastAsia"/>
        </w:rPr>
        <w:t>3</w:t>
      </w:r>
      <w:r>
        <w:rPr>
          <w:rFonts w:hint="eastAsia"/>
        </w:rPr>
        <w:t>‰），将上部大气降水引出露天采场。采场</w:t>
      </w:r>
      <w:r>
        <w:rPr>
          <w:rFonts w:hint="eastAsia"/>
        </w:rPr>
        <w:t>424m</w:t>
      </w:r>
      <w:r>
        <w:rPr>
          <w:rFonts w:hint="eastAsia"/>
        </w:rPr>
        <w:t>以下为深凹露天采场，采用机械排水方式排出。排水方式采用露天采场坑底移动泵站集中上排系统，泵站设置在采场底部，随采场工作面的推进（或下降）而移动。</w:t>
      </w:r>
    </w:p>
    <w:p w14:paraId="152F86E1" w14:textId="77777777" w:rsidR="008D7DB0" w:rsidRDefault="00000000">
      <w:pPr>
        <w:ind w:firstLine="560"/>
      </w:pPr>
      <w:r>
        <w:rPr>
          <w:rFonts w:hint="eastAsia"/>
        </w:rPr>
        <w:t>选择</w:t>
      </w:r>
      <w:r>
        <w:rPr>
          <w:rFonts w:hint="eastAsia"/>
        </w:rPr>
        <w:t>QKSG800-80-300</w:t>
      </w:r>
      <w:r>
        <w:rPr>
          <w:rFonts w:hint="eastAsia"/>
        </w:rPr>
        <w:t>型潜水泵</w:t>
      </w:r>
      <w:r>
        <w:rPr>
          <w:rFonts w:hint="eastAsia"/>
        </w:rPr>
        <w:t>2</w:t>
      </w:r>
      <w:r>
        <w:rPr>
          <w:rFonts w:hint="eastAsia"/>
        </w:rPr>
        <w:t>台，Ф</w:t>
      </w:r>
      <w:r>
        <w:rPr>
          <w:rFonts w:hint="eastAsia"/>
        </w:rPr>
        <w:t>426</w:t>
      </w:r>
      <w:r>
        <w:rPr>
          <w:rFonts w:hint="eastAsia"/>
        </w:rPr>
        <w:t>×</w:t>
      </w:r>
      <w:r>
        <w:rPr>
          <w:rFonts w:hint="eastAsia"/>
        </w:rPr>
        <w:t>9mm</w:t>
      </w:r>
      <w:r>
        <w:rPr>
          <w:rFonts w:hint="eastAsia"/>
        </w:rPr>
        <w:t>的无缝钢管两条，</w:t>
      </w:r>
      <w:r>
        <w:rPr>
          <w:rFonts w:hint="eastAsia"/>
        </w:rPr>
        <w:lastRenderedPageBreak/>
        <w:t>正常涌水量时，</w:t>
      </w:r>
      <w:r>
        <w:rPr>
          <w:rFonts w:hint="eastAsia"/>
        </w:rPr>
        <w:t>1</w:t>
      </w:r>
      <w:r>
        <w:rPr>
          <w:rFonts w:hint="eastAsia"/>
        </w:rPr>
        <w:t>台工作，</w:t>
      </w:r>
      <w:r>
        <w:rPr>
          <w:rFonts w:hint="eastAsia"/>
        </w:rPr>
        <w:t>1</w:t>
      </w:r>
      <w:r>
        <w:rPr>
          <w:rFonts w:hint="eastAsia"/>
        </w:rPr>
        <w:t>条管路工作（能在</w:t>
      </w:r>
      <w:r>
        <w:rPr>
          <w:rFonts w:hint="eastAsia"/>
        </w:rPr>
        <w:t>19.55h</w:t>
      </w:r>
      <w:r>
        <w:rPr>
          <w:rFonts w:hint="eastAsia"/>
        </w:rPr>
        <w:t>内排出一昼夜的正常涌水量），备用</w:t>
      </w:r>
      <w:r>
        <w:rPr>
          <w:rFonts w:hint="eastAsia"/>
        </w:rPr>
        <w:t>1</w:t>
      </w:r>
      <w:r>
        <w:rPr>
          <w:rFonts w:hint="eastAsia"/>
        </w:rPr>
        <w:t>台；最大涌水量时不设备用，</w:t>
      </w:r>
      <w:r>
        <w:rPr>
          <w:rFonts w:hint="eastAsia"/>
        </w:rPr>
        <w:t>2</w:t>
      </w:r>
      <w:r>
        <w:rPr>
          <w:rFonts w:hint="eastAsia"/>
        </w:rPr>
        <w:t>台工作，</w:t>
      </w:r>
      <w:r>
        <w:rPr>
          <w:rFonts w:hint="eastAsia"/>
        </w:rPr>
        <w:t>2</w:t>
      </w:r>
      <w:r>
        <w:rPr>
          <w:rFonts w:hint="eastAsia"/>
        </w:rPr>
        <w:t>条管路工作（能在</w:t>
      </w:r>
      <w:r>
        <w:rPr>
          <w:rFonts w:hint="eastAsia"/>
        </w:rPr>
        <w:t>35.75h</w:t>
      </w:r>
      <w:r>
        <w:rPr>
          <w:rFonts w:hint="eastAsia"/>
        </w:rPr>
        <w:t>内排出一昼夜的最大涌水量），能满足排水要求。</w:t>
      </w:r>
    </w:p>
    <w:p w14:paraId="5B561B16" w14:textId="77777777" w:rsidR="008D7DB0" w:rsidRDefault="00000000">
      <w:pPr>
        <w:pStyle w:val="3"/>
      </w:pPr>
      <w:bookmarkStart w:id="98" w:name="_Toc18982"/>
      <w:bookmarkStart w:id="99" w:name="_Toc23380"/>
      <w:bookmarkStart w:id="100" w:name="_Toc205883238"/>
      <w:r>
        <w:rPr>
          <w:rFonts w:hint="eastAsia"/>
        </w:rPr>
        <w:t>2.4.10</w:t>
      </w:r>
      <w:bookmarkEnd w:id="98"/>
      <w:r>
        <w:rPr>
          <w:rFonts w:hint="eastAsia"/>
        </w:rPr>
        <w:t>排土场</w:t>
      </w:r>
      <w:bookmarkEnd w:id="99"/>
      <w:bookmarkEnd w:id="100"/>
    </w:p>
    <w:p w14:paraId="115A016C" w14:textId="77777777" w:rsidR="008D7DB0" w:rsidRDefault="00000000">
      <w:pPr>
        <w:ind w:firstLine="560"/>
      </w:pPr>
      <w:r>
        <w:rPr>
          <w:rFonts w:hint="eastAsia"/>
        </w:rPr>
        <w:t>矿山剥离围岩大部分磁性铁含量在</w:t>
      </w:r>
      <w:r>
        <w:rPr>
          <w:rFonts w:hint="eastAsia"/>
        </w:rPr>
        <w:t>4%</w:t>
      </w:r>
      <w:r>
        <w:rPr>
          <w:rFonts w:hint="eastAsia"/>
        </w:rPr>
        <w:t>～</w:t>
      </w:r>
      <w:r>
        <w:rPr>
          <w:rFonts w:hint="eastAsia"/>
        </w:rPr>
        <w:t>5%</w:t>
      </w:r>
      <w:r>
        <w:rPr>
          <w:rFonts w:hint="eastAsia"/>
        </w:rPr>
        <w:t>，矿山可对其进行回收利用，因此大部分岩石直接运至矿山自有干选场，仅有少量不含品位岩石需要进行处理。矿山现已与朝阳瑞利建材贸易有限公司签订废石外卖协议，废石定期进行外运。故设计不设置永久排土场，利用采区北侧一处现有排土场作为排土场。排土场位于采区北侧，为单阶排土场，顶部标高</w:t>
      </w:r>
      <w:r>
        <w:rPr>
          <w:rFonts w:hint="eastAsia"/>
        </w:rPr>
        <w:t>430m</w:t>
      </w:r>
      <w:r>
        <w:rPr>
          <w:rFonts w:hint="eastAsia"/>
        </w:rPr>
        <w:t>，底部标高为</w:t>
      </w:r>
      <w:r>
        <w:rPr>
          <w:rFonts w:hint="eastAsia"/>
        </w:rPr>
        <w:t>402m</w:t>
      </w:r>
      <w:r>
        <w:rPr>
          <w:rFonts w:hint="eastAsia"/>
        </w:rPr>
        <w:t>，垂高</w:t>
      </w:r>
      <w:r>
        <w:rPr>
          <w:rFonts w:hint="eastAsia"/>
        </w:rPr>
        <w:t>28m</w:t>
      </w:r>
      <w:r>
        <w:rPr>
          <w:rFonts w:hint="eastAsia"/>
        </w:rPr>
        <w:t>，坡度</w:t>
      </w:r>
      <w:r>
        <w:rPr>
          <w:rFonts w:hint="eastAsia"/>
        </w:rPr>
        <w:t>38</w:t>
      </w:r>
      <w:r>
        <w:rPr>
          <w:rFonts w:hint="eastAsia"/>
        </w:rPr>
        <w:t>°，排土场总容积为</w:t>
      </w:r>
      <w:r>
        <w:rPr>
          <w:rFonts w:hint="eastAsia"/>
        </w:rPr>
        <w:t>12.8</w:t>
      </w:r>
      <w:r>
        <w:rPr>
          <w:rFonts w:hint="eastAsia"/>
        </w:rPr>
        <w:t>万</w:t>
      </w:r>
      <w:r>
        <w:rPr>
          <w:rFonts w:hint="eastAsia"/>
        </w:rPr>
        <w:t>m</w:t>
      </w:r>
      <w:r>
        <w:rPr>
          <w:rFonts w:hint="eastAsia"/>
        </w:rPr>
        <w:t>³，现状条件下排土场剩余有效容积为</w:t>
      </w:r>
      <w:r>
        <w:rPr>
          <w:rFonts w:hint="eastAsia"/>
        </w:rPr>
        <w:t>4.7</w:t>
      </w:r>
      <w:r>
        <w:rPr>
          <w:rFonts w:hint="eastAsia"/>
        </w:rPr>
        <w:t>万</w:t>
      </w:r>
      <w:r>
        <w:rPr>
          <w:rFonts w:hint="eastAsia"/>
        </w:rPr>
        <w:t>m</w:t>
      </w:r>
      <w:r>
        <w:rPr>
          <w:rFonts w:hint="eastAsia"/>
        </w:rPr>
        <w:t>³。采场与排土场之间采用临时道路连通，岩石平均运距</w:t>
      </w:r>
      <w:r>
        <w:rPr>
          <w:rFonts w:hint="eastAsia"/>
        </w:rPr>
        <w:t>2.0km</w:t>
      </w:r>
      <w:r>
        <w:rPr>
          <w:rFonts w:hint="eastAsia"/>
        </w:rPr>
        <w:t>。排土场下游</w:t>
      </w:r>
      <w:r>
        <w:rPr>
          <w:rFonts w:hint="eastAsia"/>
        </w:rPr>
        <w:t>60m</w:t>
      </w:r>
      <w:r>
        <w:rPr>
          <w:rFonts w:hint="eastAsia"/>
        </w:rPr>
        <w:t>范围内无保护对象。</w:t>
      </w:r>
    </w:p>
    <w:p w14:paraId="44F54B53" w14:textId="77777777" w:rsidR="008D7DB0" w:rsidRDefault="00000000">
      <w:pPr>
        <w:ind w:firstLine="560"/>
      </w:pPr>
      <w:r>
        <w:rPr>
          <w:rFonts w:hint="eastAsia"/>
        </w:rPr>
        <w:t>剥离产生的废石由汽车运至排土场，然后由推土机进行排土作业。矿山剥离中的表土应单独堆放，以便以后利用。</w:t>
      </w:r>
    </w:p>
    <w:p w14:paraId="115786BF" w14:textId="77777777" w:rsidR="008D7DB0" w:rsidRDefault="00000000">
      <w:pPr>
        <w:ind w:firstLine="560"/>
      </w:pPr>
      <w:r>
        <w:rPr>
          <w:rFonts w:hint="eastAsia"/>
        </w:rPr>
        <w:t>地表水和雨水对于排土场滑坡和泥石流起着重要作用，需要采取一系列的工程措施进行水的治理和疏排工作。首先对排土场上方坡汇水截流，将水疏排至外围的低洼处。其次是排土场平台本身的汇水不致浸蚀和冲刷边坡，而将排岩平台修成</w:t>
      </w:r>
      <w:r>
        <w:rPr>
          <w:rFonts w:hint="eastAsia"/>
        </w:rPr>
        <w:t>3</w:t>
      </w:r>
      <w:r>
        <w:rPr>
          <w:rFonts w:hint="eastAsia"/>
        </w:rPr>
        <w:t>°左右的反坡，使水流向坡跟处的排水沟而排出界外。沿排土场坡脚</w:t>
      </w:r>
      <w:r>
        <w:rPr>
          <w:rFonts w:hint="eastAsia"/>
        </w:rPr>
        <w:t>20m</w:t>
      </w:r>
      <w:r>
        <w:rPr>
          <w:rFonts w:hint="eastAsia"/>
        </w:rPr>
        <w:t>外设置大块干石堆积石坝。</w:t>
      </w:r>
    </w:p>
    <w:p w14:paraId="65D90DD3" w14:textId="77777777" w:rsidR="008D7DB0" w:rsidRDefault="00000000">
      <w:pPr>
        <w:pStyle w:val="2"/>
      </w:pPr>
      <w:bookmarkStart w:id="101" w:name="_Toc205883239"/>
      <w:r>
        <w:rPr>
          <w:rFonts w:hint="eastAsia"/>
        </w:rPr>
        <w:t>2.5</w:t>
      </w:r>
      <w:r>
        <w:rPr>
          <w:rFonts w:hint="eastAsia"/>
        </w:rPr>
        <w:t>初步设计重大变更</w:t>
      </w:r>
      <w:bookmarkEnd w:id="101"/>
    </w:p>
    <w:p w14:paraId="52F43995" w14:textId="77777777" w:rsidR="008D7DB0" w:rsidRDefault="00000000">
      <w:pPr>
        <w:pStyle w:val="3"/>
      </w:pPr>
      <w:bookmarkStart w:id="102" w:name="_Toc32060"/>
      <w:bookmarkStart w:id="103" w:name="_Toc205883240"/>
      <w:r>
        <w:rPr>
          <w:rFonts w:hint="eastAsia"/>
        </w:rPr>
        <w:t>2.5.1</w:t>
      </w:r>
      <w:r>
        <w:rPr>
          <w:rFonts w:hint="eastAsia"/>
        </w:rPr>
        <w:t>排土场现状</w:t>
      </w:r>
      <w:bookmarkEnd w:id="102"/>
      <w:bookmarkEnd w:id="103"/>
    </w:p>
    <w:p w14:paraId="69D167C6" w14:textId="77777777" w:rsidR="00497DDF" w:rsidRDefault="00497DDF" w:rsidP="00497DDF">
      <w:pPr>
        <w:ind w:firstLine="560"/>
        <w:rPr>
          <w:rFonts w:hint="eastAsia"/>
        </w:rPr>
        <w:sectPr w:rsidR="00497DDF" w:rsidSect="00497DDF">
          <w:headerReference w:type="default" r:id="rId28"/>
          <w:footerReference w:type="default" r:id="rId29"/>
          <w:pgSz w:w="11906" w:h="16838"/>
          <w:pgMar w:top="1418" w:right="1531" w:bottom="1418" w:left="1531" w:header="851" w:footer="992" w:gutter="0"/>
          <w:pgNumType w:start="1"/>
          <w:cols w:space="720"/>
          <w:docGrid w:linePitch="312"/>
        </w:sectPr>
      </w:pPr>
      <w:r>
        <w:rPr>
          <w:rFonts w:hint="eastAsia"/>
        </w:rPr>
        <w:t>xxxxxxxxxxxxxxx</w:t>
      </w:r>
    </w:p>
    <w:p w14:paraId="52A87909" w14:textId="77777777" w:rsidR="008D7DB0" w:rsidRDefault="00000000">
      <w:pPr>
        <w:adjustRightInd w:val="0"/>
        <w:snapToGrid w:val="0"/>
        <w:spacing w:after="120" w:line="240" w:lineRule="auto"/>
        <w:ind w:firstLine="420"/>
        <w:jc w:val="center"/>
        <w:rPr>
          <w:rFonts w:eastAsiaTheme="minorEastAsia"/>
          <w:bCs/>
          <w:sz w:val="21"/>
          <w:szCs w:val="21"/>
        </w:rPr>
      </w:pPr>
      <w:r>
        <w:rPr>
          <w:rFonts w:eastAsiaTheme="minorEastAsia"/>
          <w:bCs/>
          <w:sz w:val="21"/>
          <w:szCs w:val="21"/>
        </w:rPr>
        <w:lastRenderedPageBreak/>
        <w:t>表</w:t>
      </w:r>
      <w:r>
        <w:rPr>
          <w:rFonts w:eastAsiaTheme="minorEastAsia"/>
          <w:bCs/>
          <w:sz w:val="21"/>
          <w:szCs w:val="21"/>
        </w:rPr>
        <w:t>2.5-1</w:t>
      </w:r>
      <w:r>
        <w:rPr>
          <w:rFonts w:eastAsiaTheme="minorEastAsia"/>
          <w:bCs/>
          <w:sz w:val="21"/>
          <w:szCs w:val="21"/>
        </w:rPr>
        <w:t>最小安全系数计算结果表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1364"/>
        <w:gridCol w:w="2213"/>
        <w:gridCol w:w="2282"/>
        <w:gridCol w:w="2282"/>
      </w:tblGrid>
      <w:tr w:rsidR="008D7DB0" w14:paraId="774F6B19" w14:textId="77777777">
        <w:trPr>
          <w:cantSplit/>
          <w:trHeight w:val="1010"/>
        </w:trPr>
        <w:tc>
          <w:tcPr>
            <w:tcW w:w="505" w:type="pct"/>
            <w:tcBorders>
              <w:tl2br w:val="nil"/>
              <w:tr2bl w:val="nil"/>
            </w:tcBorders>
            <w:vAlign w:val="center"/>
          </w:tcPr>
          <w:p w14:paraId="2438244A"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序号</w:t>
            </w:r>
          </w:p>
        </w:tc>
        <w:tc>
          <w:tcPr>
            <w:tcW w:w="752" w:type="pct"/>
            <w:tcBorders>
              <w:tl2br w:val="nil"/>
              <w:tr2bl w:val="nil"/>
            </w:tcBorders>
            <w:vAlign w:val="center"/>
          </w:tcPr>
          <w:p w14:paraId="18D4F271"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计算剖面</w:t>
            </w:r>
          </w:p>
        </w:tc>
        <w:tc>
          <w:tcPr>
            <w:tcW w:w="1221" w:type="pct"/>
            <w:tcBorders>
              <w:tl2br w:val="nil"/>
              <w:tr2bl w:val="nil"/>
            </w:tcBorders>
            <w:vAlign w:val="center"/>
          </w:tcPr>
          <w:p w14:paraId="3C659E6F"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简易毕肖普法计算得到的坡体稳定安全系数</w:t>
            </w:r>
          </w:p>
        </w:tc>
        <w:tc>
          <w:tcPr>
            <w:tcW w:w="1259" w:type="pct"/>
            <w:tcBorders>
              <w:tl2br w:val="nil"/>
              <w:tr2bl w:val="nil"/>
            </w:tcBorders>
            <w:vAlign w:val="center"/>
          </w:tcPr>
          <w:p w14:paraId="217BE9CF"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规程规定坡体稳定安全系数</w:t>
            </w:r>
          </w:p>
        </w:tc>
        <w:tc>
          <w:tcPr>
            <w:tcW w:w="1259" w:type="pct"/>
            <w:tcBorders>
              <w:tl2br w:val="nil"/>
              <w:tr2bl w:val="nil"/>
            </w:tcBorders>
            <w:vAlign w:val="center"/>
          </w:tcPr>
          <w:p w14:paraId="29C569BD" w14:textId="77777777" w:rsidR="008D7DB0" w:rsidRDefault="00000000">
            <w:pPr>
              <w:adjustRightInd w:val="0"/>
              <w:snapToGrid w:val="0"/>
              <w:spacing w:line="240" w:lineRule="auto"/>
              <w:ind w:firstLineChars="0" w:firstLine="0"/>
              <w:jc w:val="center"/>
              <w:rPr>
                <w:rFonts w:eastAsiaTheme="minorEastAsia"/>
                <w:sz w:val="21"/>
                <w:szCs w:val="21"/>
                <w:vertAlign w:val="superscript"/>
              </w:rPr>
            </w:pPr>
            <w:r>
              <w:rPr>
                <w:rFonts w:eastAsiaTheme="minorEastAsia"/>
                <w:sz w:val="21"/>
                <w:szCs w:val="21"/>
              </w:rPr>
              <w:t>是否符合</w:t>
            </w:r>
          </w:p>
          <w:p w14:paraId="157652B3"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要求</w:t>
            </w:r>
          </w:p>
        </w:tc>
      </w:tr>
      <w:tr w:rsidR="008D7DB0" w14:paraId="17670332" w14:textId="77777777">
        <w:trPr>
          <w:cantSplit/>
          <w:trHeight w:hRule="exact" w:val="510"/>
        </w:trPr>
        <w:tc>
          <w:tcPr>
            <w:tcW w:w="505" w:type="pct"/>
            <w:tcBorders>
              <w:tl2br w:val="nil"/>
              <w:tr2bl w:val="nil"/>
            </w:tcBorders>
            <w:vAlign w:val="center"/>
          </w:tcPr>
          <w:p w14:paraId="3CCCA8A0"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1</w:t>
            </w:r>
          </w:p>
        </w:tc>
        <w:tc>
          <w:tcPr>
            <w:tcW w:w="752" w:type="pct"/>
            <w:tcBorders>
              <w:tl2br w:val="nil"/>
              <w:tr2bl w:val="nil"/>
            </w:tcBorders>
            <w:vAlign w:val="center"/>
          </w:tcPr>
          <w:p w14:paraId="126DD66C"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A-A’</w:t>
            </w:r>
          </w:p>
        </w:tc>
        <w:tc>
          <w:tcPr>
            <w:tcW w:w="1221" w:type="pct"/>
            <w:tcBorders>
              <w:tl2br w:val="nil"/>
              <w:tr2bl w:val="nil"/>
            </w:tcBorders>
            <w:vAlign w:val="center"/>
          </w:tcPr>
          <w:p w14:paraId="1AC7ADFA"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4.051</w:t>
            </w:r>
          </w:p>
        </w:tc>
        <w:tc>
          <w:tcPr>
            <w:tcW w:w="1259" w:type="pct"/>
            <w:tcBorders>
              <w:tl2br w:val="nil"/>
              <w:tr2bl w:val="nil"/>
            </w:tcBorders>
            <w:vAlign w:val="center"/>
          </w:tcPr>
          <w:p w14:paraId="796A00E5"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1.25</w:t>
            </w:r>
          </w:p>
        </w:tc>
        <w:tc>
          <w:tcPr>
            <w:tcW w:w="1259" w:type="pct"/>
            <w:tcBorders>
              <w:tl2br w:val="nil"/>
              <w:tr2bl w:val="nil"/>
            </w:tcBorders>
            <w:vAlign w:val="center"/>
          </w:tcPr>
          <w:p w14:paraId="72B1506B"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符合</w:t>
            </w:r>
          </w:p>
        </w:tc>
      </w:tr>
      <w:tr w:rsidR="008D7DB0" w14:paraId="48DE00E8" w14:textId="77777777">
        <w:trPr>
          <w:cantSplit/>
          <w:trHeight w:hRule="exact" w:val="510"/>
        </w:trPr>
        <w:tc>
          <w:tcPr>
            <w:tcW w:w="505" w:type="pct"/>
            <w:tcBorders>
              <w:tl2br w:val="nil"/>
              <w:tr2bl w:val="nil"/>
            </w:tcBorders>
            <w:vAlign w:val="center"/>
          </w:tcPr>
          <w:p w14:paraId="65F26569"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2</w:t>
            </w:r>
          </w:p>
        </w:tc>
        <w:tc>
          <w:tcPr>
            <w:tcW w:w="752" w:type="pct"/>
            <w:tcBorders>
              <w:tl2br w:val="nil"/>
              <w:tr2bl w:val="nil"/>
            </w:tcBorders>
            <w:vAlign w:val="center"/>
          </w:tcPr>
          <w:p w14:paraId="1F295B97"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E-E’</w:t>
            </w:r>
          </w:p>
        </w:tc>
        <w:tc>
          <w:tcPr>
            <w:tcW w:w="1221" w:type="pct"/>
            <w:tcBorders>
              <w:tl2br w:val="nil"/>
              <w:tr2bl w:val="nil"/>
            </w:tcBorders>
            <w:vAlign w:val="center"/>
          </w:tcPr>
          <w:p w14:paraId="10AB7FA8"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2.736</w:t>
            </w:r>
          </w:p>
        </w:tc>
        <w:tc>
          <w:tcPr>
            <w:tcW w:w="1259" w:type="pct"/>
            <w:tcBorders>
              <w:tl2br w:val="nil"/>
              <w:tr2bl w:val="nil"/>
            </w:tcBorders>
            <w:vAlign w:val="center"/>
          </w:tcPr>
          <w:p w14:paraId="1E4D14AB"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1.25</w:t>
            </w:r>
          </w:p>
        </w:tc>
        <w:tc>
          <w:tcPr>
            <w:tcW w:w="1259" w:type="pct"/>
            <w:tcBorders>
              <w:tl2br w:val="nil"/>
              <w:tr2bl w:val="nil"/>
            </w:tcBorders>
            <w:vAlign w:val="center"/>
          </w:tcPr>
          <w:p w14:paraId="0E1EA649"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符合</w:t>
            </w:r>
          </w:p>
        </w:tc>
      </w:tr>
      <w:tr w:rsidR="008D7DB0" w14:paraId="38BB38E3" w14:textId="77777777">
        <w:trPr>
          <w:cantSplit/>
          <w:trHeight w:hRule="exact" w:val="510"/>
        </w:trPr>
        <w:tc>
          <w:tcPr>
            <w:tcW w:w="505" w:type="pct"/>
            <w:tcBorders>
              <w:tl2br w:val="nil"/>
              <w:tr2bl w:val="nil"/>
            </w:tcBorders>
            <w:vAlign w:val="center"/>
          </w:tcPr>
          <w:p w14:paraId="07D59B94"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3</w:t>
            </w:r>
          </w:p>
        </w:tc>
        <w:tc>
          <w:tcPr>
            <w:tcW w:w="752" w:type="pct"/>
            <w:tcBorders>
              <w:tl2br w:val="nil"/>
              <w:tr2bl w:val="nil"/>
            </w:tcBorders>
            <w:vAlign w:val="center"/>
          </w:tcPr>
          <w:p w14:paraId="28BE2155"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H-H’</w:t>
            </w:r>
          </w:p>
        </w:tc>
        <w:tc>
          <w:tcPr>
            <w:tcW w:w="1221" w:type="pct"/>
            <w:tcBorders>
              <w:tl2br w:val="nil"/>
              <w:tr2bl w:val="nil"/>
            </w:tcBorders>
            <w:vAlign w:val="center"/>
          </w:tcPr>
          <w:p w14:paraId="211185EF"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2.436</w:t>
            </w:r>
          </w:p>
        </w:tc>
        <w:tc>
          <w:tcPr>
            <w:tcW w:w="1259" w:type="pct"/>
            <w:tcBorders>
              <w:tl2br w:val="nil"/>
              <w:tr2bl w:val="nil"/>
            </w:tcBorders>
            <w:vAlign w:val="center"/>
          </w:tcPr>
          <w:p w14:paraId="384BE350"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1.25</w:t>
            </w:r>
          </w:p>
        </w:tc>
        <w:tc>
          <w:tcPr>
            <w:tcW w:w="1259" w:type="pct"/>
            <w:tcBorders>
              <w:tl2br w:val="nil"/>
              <w:tr2bl w:val="nil"/>
            </w:tcBorders>
            <w:vAlign w:val="center"/>
          </w:tcPr>
          <w:p w14:paraId="525C4476"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sz w:val="21"/>
                <w:szCs w:val="21"/>
              </w:rPr>
              <w:t>符合</w:t>
            </w:r>
          </w:p>
        </w:tc>
      </w:tr>
    </w:tbl>
    <w:p w14:paraId="01822407" w14:textId="77777777" w:rsidR="008D7DB0" w:rsidRDefault="00000000">
      <w:pPr>
        <w:pStyle w:val="3"/>
      </w:pPr>
      <w:bookmarkStart w:id="104" w:name="_Toc6854"/>
      <w:bookmarkStart w:id="105" w:name="_Toc205883241"/>
      <w:r>
        <w:rPr>
          <w:rFonts w:hint="eastAsia"/>
        </w:rPr>
        <w:t>2.5.2</w:t>
      </w:r>
      <w:r>
        <w:rPr>
          <w:rFonts w:hint="eastAsia"/>
        </w:rPr>
        <w:t>排土场等级</w:t>
      </w:r>
      <w:bookmarkEnd w:id="104"/>
      <w:bookmarkEnd w:id="105"/>
    </w:p>
    <w:p w14:paraId="78ACBF8F" w14:textId="77777777" w:rsidR="008D7DB0" w:rsidRDefault="00000000">
      <w:pPr>
        <w:ind w:firstLine="560"/>
      </w:pPr>
      <w:r>
        <w:rPr>
          <w:rFonts w:hint="eastAsia"/>
        </w:rPr>
        <w:t>排土场的等级根据场地条件、排土场堆置高度及排土容积按照下表规定划分为四级，设计拟建排土场为二级排土场。</w:t>
      </w:r>
    </w:p>
    <w:p w14:paraId="163DD8CC" w14:textId="77777777" w:rsidR="008D7DB0" w:rsidRDefault="00000000">
      <w:pPr>
        <w:adjustRightInd w:val="0"/>
        <w:snapToGrid w:val="0"/>
        <w:spacing w:after="120" w:line="240" w:lineRule="auto"/>
        <w:ind w:firstLine="420"/>
        <w:jc w:val="center"/>
        <w:rPr>
          <w:rFonts w:eastAsiaTheme="minorEastAsia"/>
          <w:bCs/>
          <w:sz w:val="21"/>
          <w:szCs w:val="21"/>
        </w:rPr>
      </w:pPr>
      <w:r>
        <w:rPr>
          <w:rFonts w:eastAsiaTheme="minorEastAsia" w:hint="eastAsia"/>
          <w:bCs/>
          <w:sz w:val="21"/>
          <w:szCs w:val="21"/>
        </w:rPr>
        <w:t>表</w:t>
      </w:r>
      <w:r>
        <w:rPr>
          <w:rFonts w:eastAsiaTheme="minorEastAsia" w:hint="eastAsia"/>
          <w:bCs/>
          <w:sz w:val="21"/>
          <w:szCs w:val="21"/>
        </w:rPr>
        <w:t>2.5-2</w:t>
      </w:r>
      <w:r>
        <w:rPr>
          <w:rFonts w:eastAsiaTheme="minorEastAsia" w:hint="eastAsia"/>
          <w:bCs/>
          <w:sz w:val="21"/>
          <w:szCs w:val="21"/>
        </w:rPr>
        <w:t>排土场等级表</w:t>
      </w:r>
    </w:p>
    <w:tbl>
      <w:tblPr>
        <w:tblStyle w:val="ac"/>
        <w:tblW w:w="0" w:type="auto"/>
        <w:jc w:val="center"/>
        <w:tblLayout w:type="fixed"/>
        <w:tblLook w:val="04A0" w:firstRow="1" w:lastRow="0" w:firstColumn="1" w:lastColumn="0" w:noHBand="0" w:noVBand="1"/>
      </w:tblPr>
      <w:tblGrid>
        <w:gridCol w:w="1149"/>
        <w:gridCol w:w="1790"/>
        <w:gridCol w:w="2510"/>
        <w:gridCol w:w="3079"/>
      </w:tblGrid>
      <w:tr w:rsidR="008D7DB0" w14:paraId="45D248C3" w14:textId="77777777">
        <w:trPr>
          <w:jc w:val="center"/>
        </w:trPr>
        <w:tc>
          <w:tcPr>
            <w:tcW w:w="1149" w:type="dxa"/>
            <w:tcBorders>
              <w:tl2br w:val="nil"/>
              <w:tr2bl w:val="nil"/>
            </w:tcBorders>
          </w:tcPr>
          <w:p w14:paraId="5DB2D543"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等级</w:t>
            </w:r>
          </w:p>
        </w:tc>
        <w:tc>
          <w:tcPr>
            <w:tcW w:w="1790" w:type="dxa"/>
            <w:tcBorders>
              <w:tl2br w:val="nil"/>
              <w:tr2bl w:val="nil"/>
            </w:tcBorders>
          </w:tcPr>
          <w:p w14:paraId="30AC4C4C"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场地条件</w:t>
            </w:r>
          </w:p>
        </w:tc>
        <w:tc>
          <w:tcPr>
            <w:tcW w:w="2510" w:type="dxa"/>
            <w:tcBorders>
              <w:tl2br w:val="nil"/>
              <w:tr2bl w:val="nil"/>
            </w:tcBorders>
          </w:tcPr>
          <w:p w14:paraId="5CF7DB18"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堆置高度</w:t>
            </w:r>
            <w:r>
              <w:rPr>
                <w:rFonts w:eastAsiaTheme="minorEastAsia" w:hint="eastAsia"/>
                <w:sz w:val="21"/>
                <w:szCs w:val="21"/>
              </w:rPr>
              <w:t>H</w:t>
            </w:r>
            <w:r>
              <w:rPr>
                <w:rFonts w:eastAsiaTheme="minorEastAsia" w:hint="eastAsia"/>
                <w:sz w:val="21"/>
                <w:szCs w:val="21"/>
              </w:rPr>
              <w:t>（</w:t>
            </w:r>
            <w:r>
              <w:rPr>
                <w:rFonts w:eastAsiaTheme="minorEastAsia" w:hint="eastAsia"/>
                <w:sz w:val="21"/>
                <w:szCs w:val="21"/>
              </w:rPr>
              <w:t>m</w:t>
            </w:r>
            <w:r>
              <w:rPr>
                <w:rFonts w:eastAsiaTheme="minorEastAsia" w:hint="eastAsia"/>
                <w:sz w:val="21"/>
                <w:szCs w:val="21"/>
              </w:rPr>
              <w:t>）</w:t>
            </w:r>
          </w:p>
        </w:tc>
        <w:tc>
          <w:tcPr>
            <w:tcW w:w="3079" w:type="dxa"/>
            <w:tcBorders>
              <w:tl2br w:val="nil"/>
              <w:tr2bl w:val="nil"/>
            </w:tcBorders>
          </w:tcPr>
          <w:p w14:paraId="2B9D1F9B"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排土容积</w:t>
            </w:r>
            <w:r>
              <w:rPr>
                <w:rFonts w:eastAsiaTheme="minorEastAsia" w:hint="eastAsia"/>
                <w:sz w:val="21"/>
                <w:szCs w:val="21"/>
              </w:rPr>
              <w:t>V</w:t>
            </w:r>
            <w:r>
              <w:rPr>
                <w:rFonts w:eastAsiaTheme="minorEastAsia" w:hint="eastAsia"/>
                <w:sz w:val="21"/>
                <w:szCs w:val="21"/>
              </w:rPr>
              <w:t>（</w:t>
            </w:r>
            <w:r>
              <w:rPr>
                <w:rFonts w:eastAsiaTheme="minorEastAsia" w:hint="eastAsia"/>
                <w:sz w:val="21"/>
                <w:szCs w:val="21"/>
              </w:rPr>
              <w:t>104m</w:t>
            </w:r>
            <w:r>
              <w:rPr>
                <w:rFonts w:eastAsiaTheme="minorEastAsia" w:hint="eastAsia"/>
                <w:sz w:val="21"/>
                <w:szCs w:val="21"/>
                <w:vertAlign w:val="superscript"/>
              </w:rPr>
              <w:t>3</w:t>
            </w:r>
            <w:r>
              <w:rPr>
                <w:rFonts w:eastAsiaTheme="minorEastAsia" w:hint="eastAsia"/>
                <w:sz w:val="21"/>
                <w:szCs w:val="21"/>
              </w:rPr>
              <w:t>）</w:t>
            </w:r>
          </w:p>
        </w:tc>
      </w:tr>
      <w:tr w:rsidR="008D7DB0" w14:paraId="0E3868A7" w14:textId="77777777">
        <w:trPr>
          <w:jc w:val="center"/>
        </w:trPr>
        <w:tc>
          <w:tcPr>
            <w:tcW w:w="1149" w:type="dxa"/>
            <w:tcBorders>
              <w:tl2br w:val="nil"/>
              <w:tr2bl w:val="nil"/>
            </w:tcBorders>
          </w:tcPr>
          <w:p w14:paraId="2F3E374F"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一</w:t>
            </w:r>
          </w:p>
        </w:tc>
        <w:tc>
          <w:tcPr>
            <w:tcW w:w="1790" w:type="dxa"/>
            <w:tcBorders>
              <w:tl2br w:val="nil"/>
              <w:tr2bl w:val="nil"/>
            </w:tcBorders>
          </w:tcPr>
          <w:p w14:paraId="00DC9CB5"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不良</w:t>
            </w:r>
          </w:p>
        </w:tc>
        <w:tc>
          <w:tcPr>
            <w:tcW w:w="2510" w:type="dxa"/>
            <w:tcBorders>
              <w:tl2br w:val="nil"/>
              <w:tr2bl w:val="nil"/>
            </w:tcBorders>
          </w:tcPr>
          <w:p w14:paraId="2A74786A"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H</w:t>
            </w:r>
            <w:r>
              <w:rPr>
                <w:rFonts w:eastAsiaTheme="minorEastAsia" w:hint="eastAsia"/>
                <w:sz w:val="21"/>
                <w:szCs w:val="21"/>
              </w:rPr>
              <w:t>＞</w:t>
            </w:r>
            <w:r>
              <w:rPr>
                <w:rFonts w:eastAsiaTheme="minorEastAsia" w:hint="eastAsia"/>
                <w:sz w:val="21"/>
                <w:szCs w:val="21"/>
              </w:rPr>
              <w:t>180</w:t>
            </w:r>
          </w:p>
        </w:tc>
        <w:tc>
          <w:tcPr>
            <w:tcW w:w="3079" w:type="dxa"/>
            <w:tcBorders>
              <w:tl2br w:val="nil"/>
              <w:tr2bl w:val="nil"/>
            </w:tcBorders>
          </w:tcPr>
          <w:p w14:paraId="513C37E0"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V</w:t>
            </w:r>
            <w:r>
              <w:rPr>
                <w:rFonts w:eastAsiaTheme="minorEastAsia" w:hint="eastAsia"/>
                <w:sz w:val="21"/>
                <w:szCs w:val="21"/>
              </w:rPr>
              <w:t>＞</w:t>
            </w:r>
            <w:r>
              <w:rPr>
                <w:rFonts w:eastAsiaTheme="minorEastAsia" w:hint="eastAsia"/>
                <w:sz w:val="21"/>
                <w:szCs w:val="21"/>
              </w:rPr>
              <w:t>20000</w:t>
            </w:r>
          </w:p>
        </w:tc>
      </w:tr>
      <w:tr w:rsidR="008D7DB0" w14:paraId="10B5CC84" w14:textId="77777777">
        <w:trPr>
          <w:jc w:val="center"/>
        </w:trPr>
        <w:tc>
          <w:tcPr>
            <w:tcW w:w="1149" w:type="dxa"/>
            <w:tcBorders>
              <w:tl2br w:val="nil"/>
              <w:tr2bl w:val="nil"/>
            </w:tcBorders>
          </w:tcPr>
          <w:p w14:paraId="2513896A"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二</w:t>
            </w:r>
          </w:p>
        </w:tc>
        <w:tc>
          <w:tcPr>
            <w:tcW w:w="1790" w:type="dxa"/>
            <w:tcBorders>
              <w:tl2br w:val="nil"/>
              <w:tr2bl w:val="nil"/>
            </w:tcBorders>
          </w:tcPr>
          <w:p w14:paraId="798B6A91"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复杂</w:t>
            </w:r>
          </w:p>
        </w:tc>
        <w:tc>
          <w:tcPr>
            <w:tcW w:w="2510" w:type="dxa"/>
            <w:tcBorders>
              <w:tl2br w:val="nil"/>
              <w:tr2bl w:val="nil"/>
            </w:tcBorders>
          </w:tcPr>
          <w:p w14:paraId="74842C51"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120</w:t>
            </w:r>
            <w:r>
              <w:rPr>
                <w:rFonts w:eastAsiaTheme="minorEastAsia" w:hint="eastAsia"/>
                <w:sz w:val="21"/>
                <w:szCs w:val="21"/>
              </w:rPr>
              <w:t>＜</w:t>
            </w:r>
            <w:r>
              <w:rPr>
                <w:rFonts w:eastAsiaTheme="minorEastAsia" w:hint="eastAsia"/>
                <w:sz w:val="21"/>
                <w:szCs w:val="21"/>
              </w:rPr>
              <w:t>H</w:t>
            </w:r>
            <w:r>
              <w:rPr>
                <w:rFonts w:eastAsiaTheme="minorEastAsia" w:hint="eastAsia"/>
                <w:sz w:val="21"/>
                <w:szCs w:val="21"/>
              </w:rPr>
              <w:t>≤</w:t>
            </w:r>
            <w:r>
              <w:rPr>
                <w:rFonts w:eastAsiaTheme="minorEastAsia" w:hint="eastAsia"/>
                <w:sz w:val="21"/>
                <w:szCs w:val="21"/>
              </w:rPr>
              <w:t>180</w:t>
            </w:r>
          </w:p>
        </w:tc>
        <w:tc>
          <w:tcPr>
            <w:tcW w:w="3079" w:type="dxa"/>
            <w:tcBorders>
              <w:tl2br w:val="nil"/>
              <w:tr2bl w:val="nil"/>
            </w:tcBorders>
          </w:tcPr>
          <w:p w14:paraId="0DA51225"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5000</w:t>
            </w:r>
            <w:r>
              <w:rPr>
                <w:rFonts w:eastAsiaTheme="minorEastAsia" w:hint="eastAsia"/>
                <w:sz w:val="21"/>
                <w:szCs w:val="21"/>
              </w:rPr>
              <w:t>＜</w:t>
            </w:r>
            <w:r>
              <w:rPr>
                <w:rFonts w:eastAsiaTheme="minorEastAsia" w:hint="eastAsia"/>
                <w:sz w:val="21"/>
                <w:szCs w:val="21"/>
              </w:rPr>
              <w:t>V</w:t>
            </w:r>
            <w:r>
              <w:rPr>
                <w:rFonts w:eastAsiaTheme="minorEastAsia" w:hint="eastAsia"/>
                <w:sz w:val="21"/>
                <w:szCs w:val="21"/>
              </w:rPr>
              <w:t>≤</w:t>
            </w:r>
            <w:r>
              <w:rPr>
                <w:rFonts w:eastAsiaTheme="minorEastAsia" w:hint="eastAsia"/>
                <w:sz w:val="21"/>
                <w:szCs w:val="21"/>
              </w:rPr>
              <w:t>20000</w:t>
            </w:r>
          </w:p>
        </w:tc>
      </w:tr>
      <w:tr w:rsidR="008D7DB0" w14:paraId="231A1613" w14:textId="77777777">
        <w:trPr>
          <w:jc w:val="center"/>
        </w:trPr>
        <w:tc>
          <w:tcPr>
            <w:tcW w:w="1149" w:type="dxa"/>
            <w:tcBorders>
              <w:tl2br w:val="nil"/>
              <w:tr2bl w:val="nil"/>
            </w:tcBorders>
          </w:tcPr>
          <w:p w14:paraId="2973AAD6"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三</w:t>
            </w:r>
          </w:p>
        </w:tc>
        <w:tc>
          <w:tcPr>
            <w:tcW w:w="1790" w:type="dxa"/>
            <w:tcBorders>
              <w:tl2br w:val="nil"/>
              <w:tr2bl w:val="nil"/>
            </w:tcBorders>
          </w:tcPr>
          <w:p w14:paraId="556DA723"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一般</w:t>
            </w:r>
          </w:p>
        </w:tc>
        <w:tc>
          <w:tcPr>
            <w:tcW w:w="2510" w:type="dxa"/>
            <w:tcBorders>
              <w:tl2br w:val="nil"/>
              <w:tr2bl w:val="nil"/>
            </w:tcBorders>
          </w:tcPr>
          <w:p w14:paraId="6AB1C9EC"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60</w:t>
            </w:r>
            <w:r>
              <w:rPr>
                <w:rFonts w:eastAsiaTheme="minorEastAsia" w:hint="eastAsia"/>
                <w:sz w:val="21"/>
                <w:szCs w:val="21"/>
              </w:rPr>
              <w:t>＜</w:t>
            </w:r>
            <w:r>
              <w:rPr>
                <w:rFonts w:eastAsiaTheme="minorEastAsia" w:hint="eastAsia"/>
                <w:sz w:val="21"/>
                <w:szCs w:val="21"/>
              </w:rPr>
              <w:t>H</w:t>
            </w:r>
            <w:r>
              <w:rPr>
                <w:rFonts w:eastAsiaTheme="minorEastAsia" w:hint="eastAsia"/>
                <w:sz w:val="21"/>
                <w:szCs w:val="21"/>
              </w:rPr>
              <w:t>≤</w:t>
            </w:r>
            <w:r>
              <w:rPr>
                <w:rFonts w:eastAsiaTheme="minorEastAsia" w:hint="eastAsia"/>
                <w:sz w:val="21"/>
                <w:szCs w:val="21"/>
              </w:rPr>
              <w:t>120</w:t>
            </w:r>
          </w:p>
        </w:tc>
        <w:tc>
          <w:tcPr>
            <w:tcW w:w="3079" w:type="dxa"/>
            <w:tcBorders>
              <w:tl2br w:val="nil"/>
              <w:tr2bl w:val="nil"/>
            </w:tcBorders>
          </w:tcPr>
          <w:p w14:paraId="419C4544"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1000</w:t>
            </w:r>
            <w:r>
              <w:rPr>
                <w:rFonts w:eastAsiaTheme="minorEastAsia" w:hint="eastAsia"/>
                <w:sz w:val="21"/>
                <w:szCs w:val="21"/>
              </w:rPr>
              <w:t>＜</w:t>
            </w:r>
            <w:r>
              <w:rPr>
                <w:rFonts w:eastAsiaTheme="minorEastAsia" w:hint="eastAsia"/>
                <w:sz w:val="21"/>
                <w:szCs w:val="21"/>
              </w:rPr>
              <w:t>V</w:t>
            </w:r>
            <w:r>
              <w:rPr>
                <w:rFonts w:eastAsiaTheme="minorEastAsia" w:hint="eastAsia"/>
                <w:sz w:val="21"/>
                <w:szCs w:val="21"/>
              </w:rPr>
              <w:t>≤</w:t>
            </w:r>
            <w:r>
              <w:rPr>
                <w:rFonts w:eastAsiaTheme="minorEastAsia" w:hint="eastAsia"/>
                <w:sz w:val="21"/>
                <w:szCs w:val="21"/>
              </w:rPr>
              <w:t>5000</w:t>
            </w:r>
          </w:p>
        </w:tc>
      </w:tr>
      <w:tr w:rsidR="008D7DB0" w14:paraId="67155463" w14:textId="77777777">
        <w:trPr>
          <w:jc w:val="center"/>
        </w:trPr>
        <w:tc>
          <w:tcPr>
            <w:tcW w:w="1149" w:type="dxa"/>
            <w:tcBorders>
              <w:tl2br w:val="nil"/>
              <w:tr2bl w:val="nil"/>
            </w:tcBorders>
          </w:tcPr>
          <w:p w14:paraId="3ACD9E9C"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四</w:t>
            </w:r>
          </w:p>
        </w:tc>
        <w:tc>
          <w:tcPr>
            <w:tcW w:w="1790" w:type="dxa"/>
            <w:tcBorders>
              <w:tl2br w:val="nil"/>
              <w:tr2bl w:val="nil"/>
            </w:tcBorders>
          </w:tcPr>
          <w:p w14:paraId="7D4A99FD"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良好</w:t>
            </w:r>
          </w:p>
        </w:tc>
        <w:tc>
          <w:tcPr>
            <w:tcW w:w="2510" w:type="dxa"/>
            <w:tcBorders>
              <w:tl2br w:val="nil"/>
              <w:tr2bl w:val="nil"/>
            </w:tcBorders>
          </w:tcPr>
          <w:p w14:paraId="32027E84"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H</w:t>
            </w:r>
            <w:r>
              <w:rPr>
                <w:rFonts w:eastAsiaTheme="minorEastAsia" w:hint="eastAsia"/>
                <w:sz w:val="21"/>
                <w:szCs w:val="21"/>
              </w:rPr>
              <w:t>≤</w:t>
            </w:r>
            <w:r>
              <w:rPr>
                <w:rFonts w:eastAsiaTheme="minorEastAsia" w:hint="eastAsia"/>
                <w:sz w:val="21"/>
                <w:szCs w:val="21"/>
              </w:rPr>
              <w:t>60</w:t>
            </w:r>
          </w:p>
        </w:tc>
        <w:tc>
          <w:tcPr>
            <w:tcW w:w="3079" w:type="dxa"/>
            <w:tcBorders>
              <w:tl2br w:val="nil"/>
              <w:tr2bl w:val="nil"/>
            </w:tcBorders>
          </w:tcPr>
          <w:p w14:paraId="24BC4E52" w14:textId="77777777" w:rsidR="008D7DB0" w:rsidRDefault="00000000">
            <w:pPr>
              <w:adjustRightInd w:val="0"/>
              <w:snapToGrid w:val="0"/>
              <w:spacing w:line="240" w:lineRule="auto"/>
              <w:ind w:firstLineChars="0" w:firstLine="0"/>
              <w:jc w:val="center"/>
              <w:rPr>
                <w:rFonts w:eastAsiaTheme="minorEastAsia"/>
                <w:sz w:val="21"/>
                <w:szCs w:val="21"/>
              </w:rPr>
            </w:pPr>
            <w:r>
              <w:rPr>
                <w:rFonts w:eastAsiaTheme="minorEastAsia" w:hint="eastAsia"/>
                <w:sz w:val="21"/>
                <w:szCs w:val="21"/>
              </w:rPr>
              <w:t>V</w:t>
            </w:r>
            <w:r>
              <w:rPr>
                <w:rFonts w:eastAsiaTheme="minorEastAsia" w:hint="eastAsia"/>
                <w:sz w:val="21"/>
                <w:szCs w:val="21"/>
              </w:rPr>
              <w:t>≤</w:t>
            </w:r>
            <w:r>
              <w:rPr>
                <w:rFonts w:eastAsiaTheme="minorEastAsia" w:hint="eastAsia"/>
                <w:sz w:val="21"/>
                <w:szCs w:val="21"/>
              </w:rPr>
              <w:t>1000</w:t>
            </w:r>
          </w:p>
        </w:tc>
      </w:tr>
    </w:tbl>
    <w:p w14:paraId="38534770" w14:textId="77777777" w:rsidR="008D7DB0" w:rsidRDefault="00000000">
      <w:pPr>
        <w:pStyle w:val="3"/>
      </w:pPr>
      <w:bookmarkStart w:id="106" w:name="_Toc15741"/>
      <w:bookmarkStart w:id="107" w:name="_Toc205883242"/>
      <w:r>
        <w:rPr>
          <w:rFonts w:hint="eastAsia"/>
        </w:rPr>
        <w:t xml:space="preserve">2.5.3 </w:t>
      </w:r>
      <w:r>
        <w:rPr>
          <w:rFonts w:hint="eastAsia"/>
        </w:rPr>
        <w:t>排土场参数</w:t>
      </w:r>
      <w:bookmarkEnd w:id="106"/>
      <w:bookmarkEnd w:id="107"/>
    </w:p>
    <w:p w14:paraId="18006448" w14:textId="77777777" w:rsidR="00497DDF" w:rsidRDefault="00497DDF" w:rsidP="00497DDF">
      <w:pPr>
        <w:ind w:firstLine="560"/>
        <w:rPr>
          <w:rFonts w:hint="eastAsia"/>
        </w:rPr>
        <w:sectPr w:rsidR="00497DDF" w:rsidSect="00497DDF">
          <w:headerReference w:type="default" r:id="rId30"/>
          <w:footerReference w:type="default" r:id="rId31"/>
          <w:pgSz w:w="11906" w:h="16838"/>
          <w:pgMar w:top="1418" w:right="1531" w:bottom="1418" w:left="1531" w:header="851" w:footer="992" w:gutter="0"/>
          <w:pgNumType w:start="1"/>
          <w:cols w:space="720"/>
          <w:docGrid w:linePitch="312"/>
        </w:sectPr>
      </w:pPr>
      <w:bookmarkStart w:id="108" w:name="_Toc2431"/>
      <w:bookmarkStart w:id="109" w:name="_Toc29895"/>
      <w:bookmarkStart w:id="110" w:name="_Toc2819"/>
      <w:r>
        <w:rPr>
          <w:rFonts w:hint="eastAsia"/>
        </w:rPr>
        <w:t>xxxxxxxxxxxxxxx</w:t>
      </w:r>
    </w:p>
    <w:p w14:paraId="71B52C32" w14:textId="3A98EE72" w:rsidR="00A03AC3" w:rsidRDefault="00A03AC3" w:rsidP="00A03AC3">
      <w:pPr>
        <w:ind w:firstLine="560"/>
      </w:pPr>
      <w:r>
        <w:rPr>
          <w:rFonts w:hint="eastAsia"/>
        </w:rPr>
        <w:lastRenderedPageBreak/>
        <w:t>。</w:t>
      </w:r>
    </w:p>
    <w:p w14:paraId="4E6D7EC9" w14:textId="77777777" w:rsidR="008D7DB0" w:rsidRDefault="00000000">
      <w:pPr>
        <w:pStyle w:val="3"/>
      </w:pPr>
      <w:bookmarkStart w:id="111" w:name="_Toc205883243"/>
      <w:r>
        <w:rPr>
          <w:rFonts w:hint="eastAsia"/>
        </w:rPr>
        <w:t>2.5.4</w:t>
      </w:r>
      <w:r>
        <w:t>排土场位置选择的原则</w:t>
      </w:r>
      <w:bookmarkEnd w:id="108"/>
      <w:bookmarkEnd w:id="109"/>
      <w:bookmarkEnd w:id="110"/>
      <w:bookmarkEnd w:id="111"/>
    </w:p>
    <w:p w14:paraId="59A5D257" w14:textId="77777777" w:rsidR="008D7DB0" w:rsidRDefault="00000000">
      <w:pPr>
        <w:ind w:firstLine="560"/>
      </w:pPr>
      <w:r>
        <w:t>针对矿山的实际情况及地形地貌特点，采用分散与集中相结合的原则，以方便矿山排土作业。</w:t>
      </w:r>
    </w:p>
    <w:p w14:paraId="49832DF8" w14:textId="77777777" w:rsidR="008D7DB0" w:rsidRDefault="00000000">
      <w:pPr>
        <w:ind w:firstLine="560"/>
      </w:pPr>
      <w:r>
        <w:t>在不影响矿山下步发展的前提下，尽可能地靠近采场，从而缩短排土运距。</w:t>
      </w:r>
    </w:p>
    <w:p w14:paraId="48875F2E" w14:textId="77777777" w:rsidR="008D7DB0" w:rsidRDefault="00000000">
      <w:pPr>
        <w:ind w:firstLine="560"/>
      </w:pPr>
      <w:r>
        <w:t>以不占农田或少占农田为原则，尽量利用山沟、山谷荒地，并考虑覆土造田。</w:t>
      </w:r>
    </w:p>
    <w:p w14:paraId="0C5B4A9F" w14:textId="77777777" w:rsidR="008D7DB0" w:rsidRDefault="00000000">
      <w:pPr>
        <w:pStyle w:val="3"/>
      </w:pPr>
      <w:bookmarkStart w:id="112" w:name="_Toc20778"/>
      <w:bookmarkStart w:id="113" w:name="_Toc31818"/>
      <w:bookmarkStart w:id="114" w:name="_Toc205883244"/>
      <w:r>
        <w:rPr>
          <w:rFonts w:hint="eastAsia"/>
        </w:rPr>
        <w:t>2.5.5</w:t>
      </w:r>
      <w:r>
        <w:t>排土场</w:t>
      </w:r>
      <w:bookmarkEnd w:id="112"/>
      <w:r>
        <w:t>方案</w:t>
      </w:r>
      <w:bookmarkEnd w:id="113"/>
      <w:bookmarkEnd w:id="114"/>
    </w:p>
    <w:p w14:paraId="254A603F" w14:textId="77777777" w:rsidR="008D7DB0" w:rsidRDefault="00000000">
      <w:pPr>
        <w:ind w:firstLine="560"/>
      </w:pPr>
      <w:r>
        <w:t>排土场堆置高度分为：</w:t>
      </w:r>
      <w:r>
        <w:t>①</w:t>
      </w:r>
      <w:r>
        <w:t>单水平高台阶；</w:t>
      </w:r>
      <w:r>
        <w:t>②</w:t>
      </w:r>
      <w:r>
        <w:t>多水平低台阶两种方式。</w:t>
      </w:r>
    </w:p>
    <w:p w14:paraId="315B2A5A" w14:textId="77777777" w:rsidR="008D7DB0" w:rsidRDefault="00000000">
      <w:pPr>
        <w:ind w:firstLine="560"/>
      </w:pPr>
      <w:bookmarkStart w:id="115" w:name="_Toc13373"/>
      <w:r>
        <w:rPr>
          <w:rFonts w:hint="eastAsia"/>
        </w:rPr>
        <w:t>（</w:t>
      </w:r>
      <w:r>
        <w:rPr>
          <w:rFonts w:hint="eastAsia"/>
        </w:rPr>
        <w:t>1</w:t>
      </w:r>
      <w:r>
        <w:rPr>
          <w:rFonts w:hint="eastAsia"/>
        </w:rPr>
        <w:t>）</w:t>
      </w:r>
      <w:r>
        <w:t>单水平高台阶排土场</w:t>
      </w:r>
      <w:bookmarkEnd w:id="115"/>
    </w:p>
    <w:p w14:paraId="117493E4" w14:textId="77777777" w:rsidR="008D7DB0" w:rsidRDefault="00000000">
      <w:pPr>
        <w:ind w:firstLine="560"/>
      </w:pPr>
      <w:r>
        <w:t>单水平高台阶排土场适用于岩石力学性质较好，地形高差悬殊的陡峭山坡或沟谷，其优点是一次排土标高高，排土场单位长度容量大，外移速度慢，运距相对短；缺点是下沉量大，往往排土场稳定性也较差。适用于深凹露天矿集中排土作业。也就是说适用于矿山进入封闭圈以后排土作业。就我国国内排土场堆排方式，其一次最大堆高可接近于</w:t>
      </w:r>
      <w:r>
        <w:t>200m</w:t>
      </w:r>
      <w:r>
        <w:t>。矿业</w:t>
      </w:r>
      <w:r>
        <w:t>2006</w:t>
      </w:r>
      <w:r>
        <w:t>年以前采用此方法排弃作业的矿山较多。</w:t>
      </w:r>
    </w:p>
    <w:p w14:paraId="405A5976" w14:textId="77777777" w:rsidR="008D7DB0" w:rsidRDefault="00000000">
      <w:pPr>
        <w:ind w:firstLine="560"/>
      </w:pPr>
      <w:bookmarkStart w:id="116" w:name="_Toc5983"/>
      <w:r>
        <w:rPr>
          <w:rFonts w:hint="eastAsia"/>
        </w:rPr>
        <w:t>（</w:t>
      </w:r>
      <w:r>
        <w:rPr>
          <w:rFonts w:hint="eastAsia"/>
        </w:rPr>
        <w:t>2</w:t>
      </w:r>
      <w:r>
        <w:rPr>
          <w:rFonts w:hint="eastAsia"/>
        </w:rPr>
        <w:t>）</w:t>
      </w:r>
      <w:r>
        <w:t>多水平低台阶排土场</w:t>
      </w:r>
      <w:bookmarkEnd w:id="116"/>
    </w:p>
    <w:p w14:paraId="6526D038" w14:textId="77777777" w:rsidR="008D7DB0" w:rsidRDefault="00000000">
      <w:pPr>
        <w:ind w:firstLine="560"/>
      </w:pPr>
      <w:r>
        <w:t>多水平低台阶排土方法适用于岩石力学性质较差，地形高差较小的平缓山丘地带，尤其是山坡露天采场更为适合采用此种方法，其优点是每个排土台阶高度较小，一般在</w:t>
      </w:r>
      <w:r>
        <w:t>40m</w:t>
      </w:r>
      <w:r>
        <w:t>以内或与台阶高度一致，排土台阶的堆积容积小，但是安全性高。</w:t>
      </w:r>
    </w:p>
    <w:p w14:paraId="1D0ED1B5" w14:textId="77777777" w:rsidR="008D7DB0" w:rsidRDefault="00000000">
      <w:pPr>
        <w:ind w:firstLine="560"/>
      </w:pPr>
      <w:r>
        <w:rPr>
          <w:rFonts w:hint="eastAsia"/>
        </w:rPr>
        <w:t>设计</w:t>
      </w:r>
      <w:r>
        <w:t>排土场为永久排土场，考虑到安全、管理等因素，</w:t>
      </w:r>
      <w:r>
        <w:rPr>
          <w:rFonts w:hint="eastAsia"/>
        </w:rPr>
        <w:t>设计</w:t>
      </w:r>
      <w:r>
        <w:t>采用多水平低台阶排土工艺。</w:t>
      </w:r>
    </w:p>
    <w:p w14:paraId="5C8FCCAB" w14:textId="77777777" w:rsidR="008D7DB0" w:rsidRDefault="00000000">
      <w:pPr>
        <w:pStyle w:val="3"/>
      </w:pPr>
      <w:bookmarkStart w:id="117" w:name="_Toc31371"/>
      <w:bookmarkStart w:id="118" w:name="_Toc205883245"/>
      <w:r>
        <w:rPr>
          <w:rFonts w:hint="eastAsia"/>
        </w:rPr>
        <w:lastRenderedPageBreak/>
        <w:t>2.5.6</w:t>
      </w:r>
      <w:bookmarkStart w:id="119" w:name="_Toc6681"/>
      <w:bookmarkStart w:id="120" w:name="_Toc19586"/>
      <w:r>
        <w:rPr>
          <w:rFonts w:hint="eastAsia"/>
        </w:rPr>
        <w:t>排土场堆高及</w:t>
      </w:r>
      <w:bookmarkEnd w:id="119"/>
      <w:r>
        <w:rPr>
          <w:rFonts w:hint="eastAsia"/>
        </w:rPr>
        <w:t>容积</w:t>
      </w:r>
      <w:bookmarkEnd w:id="117"/>
      <w:bookmarkEnd w:id="118"/>
      <w:bookmarkEnd w:id="120"/>
    </w:p>
    <w:p w14:paraId="11BB2E49" w14:textId="77777777" w:rsidR="00EF2B8D" w:rsidRDefault="00EF2B8D" w:rsidP="00EF2B8D">
      <w:pPr>
        <w:ind w:firstLine="560"/>
      </w:pPr>
      <w:r>
        <w:rPr>
          <w:rFonts w:hint="eastAsia"/>
        </w:rPr>
        <w:t>本着既要少占地（农用、造林地）又要运输距离短的原则，根据《北票市富贵鸟矿业有限公司老排渣场现状勘察稳定性分析岩土工程勘察报告》拟建场地位于一个山沟中，根据排土场的现有实际堆存情况、拟建范围及堆置高度，采用剖面法计算容积，剖面积约为</w:t>
      </w:r>
      <w:r>
        <w:rPr>
          <w:rFonts w:hint="eastAsia"/>
        </w:rPr>
        <w:t>60174</w:t>
      </w:r>
      <w:r>
        <w:rPr>
          <w:rFonts w:hint="eastAsia"/>
        </w:rPr>
        <w:t>㎡，剖面长度约为</w:t>
      </w:r>
      <w:r>
        <w:rPr>
          <w:rFonts w:hint="eastAsia"/>
        </w:rPr>
        <w:t>1277m</w:t>
      </w:r>
      <w:r>
        <w:rPr>
          <w:rFonts w:hint="eastAsia"/>
        </w:rPr>
        <w:t>，经计算本次排土场设计可排放总容积约为</w:t>
      </w:r>
      <w:r>
        <w:rPr>
          <w:rFonts w:hint="eastAsia"/>
        </w:rPr>
        <w:t>7684.28</w:t>
      </w:r>
      <w:r>
        <w:rPr>
          <w:rFonts w:hint="eastAsia"/>
        </w:rPr>
        <w:t>万</w:t>
      </w:r>
      <w:r>
        <w:rPr>
          <w:rFonts w:hint="eastAsia"/>
        </w:rPr>
        <w:t>m</w:t>
      </w:r>
      <w:r>
        <w:rPr>
          <w:rFonts w:hint="eastAsia"/>
        </w:rPr>
        <w:t>³，现已排放体积约为</w:t>
      </w:r>
      <w:r>
        <w:rPr>
          <w:rFonts w:hint="eastAsia"/>
        </w:rPr>
        <w:t>4021.26</w:t>
      </w:r>
      <w:r>
        <w:rPr>
          <w:rFonts w:hint="eastAsia"/>
        </w:rPr>
        <w:t>万</w:t>
      </w:r>
      <w:r>
        <w:rPr>
          <w:rFonts w:hint="eastAsia"/>
        </w:rPr>
        <w:t>m</w:t>
      </w:r>
      <w:r w:rsidRPr="00EF2B8D">
        <w:rPr>
          <w:rFonts w:hint="eastAsia"/>
          <w:vertAlign w:val="superscript"/>
        </w:rPr>
        <w:t>3</w:t>
      </w:r>
      <w:r>
        <w:rPr>
          <w:rFonts w:hint="eastAsia"/>
        </w:rPr>
        <w:t>。（该矿山正在编制《勘探报告》及《矿产资源开发利用方案》，目的为提升规模至</w:t>
      </w:r>
      <w:r>
        <w:rPr>
          <w:rFonts w:hint="eastAsia"/>
        </w:rPr>
        <w:t>600-800</w:t>
      </w:r>
      <w:r>
        <w:rPr>
          <w:rFonts w:hint="eastAsia"/>
        </w:rPr>
        <w:t>万</w:t>
      </w:r>
      <w:r>
        <w:rPr>
          <w:rFonts w:hint="eastAsia"/>
        </w:rPr>
        <w:t>t/a</w:t>
      </w:r>
      <w:r>
        <w:rPr>
          <w:rFonts w:hint="eastAsia"/>
        </w:rPr>
        <w:t>。本次设计排土场容积，考虑维持该矿山今后的生产需要）。</w:t>
      </w:r>
      <w:r>
        <w:t xml:space="preserve"> </w:t>
      </w:r>
    </w:p>
    <w:p w14:paraId="13AB93A4" w14:textId="6663003C" w:rsidR="008D7DB0" w:rsidRDefault="00EF2B8D" w:rsidP="00EF2B8D">
      <w:pPr>
        <w:ind w:firstLine="560"/>
      </w:pPr>
      <w:r>
        <w:rPr>
          <w:rFonts w:hint="eastAsia"/>
        </w:rPr>
        <w:t>采用为防止废石滚落，在排土场底部边缘设置毛石挡墙，防止滚石滚落</w:t>
      </w:r>
      <w:r>
        <w:t>。</w:t>
      </w:r>
    </w:p>
    <w:p w14:paraId="384BB40D" w14:textId="63F3EF2F" w:rsidR="008D7DB0" w:rsidRDefault="00000000">
      <w:pPr>
        <w:pStyle w:val="3"/>
      </w:pPr>
      <w:bookmarkStart w:id="121" w:name="_Toc2687"/>
      <w:bookmarkStart w:id="122" w:name="_Toc10911"/>
      <w:bookmarkStart w:id="123" w:name="_Toc25849"/>
      <w:bookmarkStart w:id="124" w:name="_Toc205883246"/>
      <w:r>
        <w:rPr>
          <w:rFonts w:hint="eastAsia"/>
        </w:rPr>
        <w:t>2.5.7</w:t>
      </w:r>
      <w:bookmarkEnd w:id="121"/>
      <w:bookmarkEnd w:id="122"/>
      <w:bookmarkEnd w:id="123"/>
      <w:r w:rsidR="00EF2B8D" w:rsidRPr="00EF2B8D">
        <w:rPr>
          <w:rFonts w:hint="eastAsia"/>
        </w:rPr>
        <w:t>排土场服务年限、排土顺序及排土场运输道路</w:t>
      </w:r>
      <w:bookmarkEnd w:id="124"/>
    </w:p>
    <w:p w14:paraId="4B471669" w14:textId="1204853D" w:rsidR="008D7DB0" w:rsidRDefault="00000000">
      <w:pPr>
        <w:pStyle w:val="4"/>
      </w:pPr>
      <w:bookmarkStart w:id="125" w:name="_Toc14188"/>
      <w:r>
        <w:rPr>
          <w:rFonts w:hint="eastAsia"/>
        </w:rPr>
        <w:t>2.5.7.1</w:t>
      </w:r>
      <w:bookmarkEnd w:id="125"/>
      <w:r w:rsidR="00EF2B8D" w:rsidRPr="00EF2B8D">
        <w:rPr>
          <w:rFonts w:hint="eastAsia"/>
        </w:rPr>
        <w:t>排土场服务年限</w:t>
      </w:r>
    </w:p>
    <w:p w14:paraId="7B1C370B" w14:textId="77777777" w:rsidR="00EF2B8D" w:rsidRDefault="00EF2B8D" w:rsidP="00EF2B8D">
      <w:pPr>
        <w:ind w:firstLine="560"/>
      </w:pPr>
      <w:r>
        <w:rPr>
          <w:rFonts w:hint="eastAsia"/>
        </w:rPr>
        <w:t>排土作业工作制度为年工作</w:t>
      </w:r>
      <w:r>
        <w:rPr>
          <w:rFonts w:hint="eastAsia"/>
        </w:rPr>
        <w:t>300</w:t>
      </w:r>
      <w:r>
        <w:rPr>
          <w:rFonts w:hint="eastAsia"/>
        </w:rPr>
        <w:t>天，每天</w:t>
      </w:r>
      <w:r>
        <w:rPr>
          <w:rFonts w:hint="eastAsia"/>
        </w:rPr>
        <w:t>3</w:t>
      </w:r>
      <w:r>
        <w:rPr>
          <w:rFonts w:hint="eastAsia"/>
        </w:rPr>
        <w:t>班，每班</w:t>
      </w:r>
      <w:r>
        <w:rPr>
          <w:rFonts w:hint="eastAsia"/>
        </w:rPr>
        <w:t>8</w:t>
      </w:r>
      <w:r>
        <w:rPr>
          <w:rFonts w:hint="eastAsia"/>
        </w:rPr>
        <w:t>小时。</w:t>
      </w:r>
    </w:p>
    <w:p w14:paraId="0133A320" w14:textId="1FB956B6" w:rsidR="008D7DB0" w:rsidRDefault="00EF2B8D" w:rsidP="00EF2B8D">
      <w:pPr>
        <w:ind w:firstLine="560"/>
      </w:pPr>
      <w:r>
        <w:rPr>
          <w:rFonts w:hint="eastAsia"/>
        </w:rPr>
        <w:t>该排土场可排放总容积约为</w:t>
      </w:r>
      <w:r>
        <w:rPr>
          <w:rFonts w:hint="eastAsia"/>
        </w:rPr>
        <w:t>7684.28</w:t>
      </w:r>
      <w:r>
        <w:rPr>
          <w:rFonts w:hint="eastAsia"/>
        </w:rPr>
        <w:t>万</w:t>
      </w:r>
      <w:r>
        <w:rPr>
          <w:rFonts w:hint="eastAsia"/>
        </w:rPr>
        <w:t>m</w:t>
      </w:r>
      <w:r>
        <w:rPr>
          <w:rFonts w:hint="eastAsia"/>
        </w:rPr>
        <w:t>³，现已排放体积约为</w:t>
      </w:r>
      <w:r>
        <w:rPr>
          <w:rFonts w:hint="eastAsia"/>
        </w:rPr>
        <w:t>4021.26</w:t>
      </w:r>
      <w:r>
        <w:rPr>
          <w:rFonts w:hint="eastAsia"/>
        </w:rPr>
        <w:t>万</w:t>
      </w:r>
      <w:r>
        <w:rPr>
          <w:rFonts w:hint="eastAsia"/>
        </w:rPr>
        <w:t>m3</w:t>
      </w:r>
      <w:r>
        <w:rPr>
          <w:rFonts w:hint="eastAsia"/>
        </w:rPr>
        <w:t>，剩余可排放体积约为</w:t>
      </w:r>
      <w:r>
        <w:rPr>
          <w:rFonts w:hint="eastAsia"/>
        </w:rPr>
        <w:t>3663.02</w:t>
      </w:r>
      <w:r>
        <w:rPr>
          <w:rFonts w:hint="eastAsia"/>
        </w:rPr>
        <w:t>万</w:t>
      </w:r>
      <w:r>
        <w:rPr>
          <w:rFonts w:hint="eastAsia"/>
        </w:rPr>
        <w:t>m3</w:t>
      </w:r>
      <w:r>
        <w:rPr>
          <w:rFonts w:hint="eastAsia"/>
        </w:rPr>
        <w:t>。现阶段矿山年生产规模为</w:t>
      </w:r>
      <w:r>
        <w:rPr>
          <w:rFonts w:hint="eastAsia"/>
        </w:rPr>
        <w:t>15</w:t>
      </w:r>
      <w:r>
        <w:rPr>
          <w:rFonts w:hint="eastAsia"/>
        </w:rPr>
        <w:t>万</w:t>
      </w:r>
      <w:r>
        <w:rPr>
          <w:rFonts w:hint="eastAsia"/>
        </w:rPr>
        <w:t>t</w:t>
      </w:r>
      <w:r>
        <w:rPr>
          <w:rFonts w:hint="eastAsia"/>
        </w:rPr>
        <w:t>，年剥离废石约为</w:t>
      </w:r>
      <w:r>
        <w:rPr>
          <w:rFonts w:hint="eastAsia"/>
        </w:rPr>
        <w:t>133.5</w:t>
      </w:r>
      <w:r>
        <w:rPr>
          <w:rFonts w:hint="eastAsia"/>
        </w:rPr>
        <w:t>万</w:t>
      </w:r>
      <w:r>
        <w:rPr>
          <w:rFonts w:hint="eastAsia"/>
        </w:rPr>
        <w:t>t</w:t>
      </w:r>
      <w:r>
        <w:rPr>
          <w:rFonts w:hint="eastAsia"/>
        </w:rPr>
        <w:t>，废石体重按</w:t>
      </w:r>
      <w:r>
        <w:rPr>
          <w:rFonts w:hint="eastAsia"/>
        </w:rPr>
        <w:t>2.7t/m</w:t>
      </w:r>
      <w:r>
        <w:rPr>
          <w:rFonts w:hint="eastAsia"/>
        </w:rPr>
        <w:t>³进行折算，压实系数取</w:t>
      </w:r>
      <w:r>
        <w:rPr>
          <w:rFonts w:hint="eastAsia"/>
        </w:rPr>
        <w:t>1.1</w:t>
      </w:r>
      <w:r>
        <w:rPr>
          <w:rFonts w:hint="eastAsia"/>
        </w:rPr>
        <w:t>，松散系数取</w:t>
      </w:r>
      <w:r>
        <w:rPr>
          <w:rFonts w:hint="eastAsia"/>
        </w:rPr>
        <w:t>1.5</w:t>
      </w:r>
      <w:r>
        <w:rPr>
          <w:rFonts w:hint="eastAsia"/>
        </w:rPr>
        <w:t>，折合年剥离废石所需排土场容积为</w:t>
      </w:r>
      <w:r>
        <w:rPr>
          <w:rFonts w:hint="eastAsia"/>
        </w:rPr>
        <w:t>67.4</w:t>
      </w:r>
      <w:r>
        <w:rPr>
          <w:rFonts w:hint="eastAsia"/>
        </w:rPr>
        <w:t>万</w:t>
      </w:r>
      <w:r>
        <w:rPr>
          <w:rFonts w:hint="eastAsia"/>
        </w:rPr>
        <w:t>m</w:t>
      </w:r>
      <w:r>
        <w:rPr>
          <w:rFonts w:hint="eastAsia"/>
        </w:rPr>
        <w:t>³，经计算，该排土场可服务年限为</w:t>
      </w:r>
      <w:r>
        <w:rPr>
          <w:rFonts w:hint="eastAsia"/>
        </w:rPr>
        <w:t>54.35</w:t>
      </w:r>
      <w:r>
        <w:rPr>
          <w:rFonts w:hint="eastAsia"/>
        </w:rPr>
        <w:t>年，同时该矿山正在编制《勘探报告》及《矿产资源开发利用方案》，目的为提升矿山生产规模至</w:t>
      </w:r>
      <w:r>
        <w:rPr>
          <w:rFonts w:hint="eastAsia"/>
        </w:rPr>
        <w:t>600-800</w:t>
      </w:r>
      <w:r>
        <w:rPr>
          <w:rFonts w:hint="eastAsia"/>
        </w:rPr>
        <w:t>万</w:t>
      </w:r>
      <w:r>
        <w:rPr>
          <w:rFonts w:hint="eastAsia"/>
        </w:rPr>
        <w:t>t/a</w:t>
      </w:r>
      <w:r>
        <w:rPr>
          <w:rFonts w:hint="eastAsia"/>
        </w:rPr>
        <w:t>。本次设计排土场容积，考虑维持该矿山今后的生产需要，待矿山生产规模提升后，需要对排土场进行重新另行设计。</w:t>
      </w:r>
    </w:p>
    <w:p w14:paraId="3505A219" w14:textId="77777777" w:rsidR="008D7DB0" w:rsidRDefault="00000000">
      <w:pPr>
        <w:pStyle w:val="4"/>
      </w:pPr>
      <w:bookmarkStart w:id="126" w:name="_Toc29320"/>
      <w:bookmarkStart w:id="127" w:name="_Toc31614"/>
      <w:bookmarkStart w:id="128" w:name="_Toc221500504"/>
      <w:r>
        <w:rPr>
          <w:rFonts w:hint="eastAsia"/>
        </w:rPr>
        <w:t>2.5.7.2</w:t>
      </w:r>
      <w:r>
        <w:rPr>
          <w:rFonts w:hint="eastAsia"/>
        </w:rPr>
        <w:t>排土顺序</w:t>
      </w:r>
      <w:bookmarkEnd w:id="126"/>
      <w:bookmarkEnd w:id="127"/>
    </w:p>
    <w:p w14:paraId="342857A6" w14:textId="77777777" w:rsidR="008D7DB0" w:rsidRDefault="00000000">
      <w:pPr>
        <w:ind w:firstLine="560"/>
      </w:pPr>
      <w:r>
        <w:rPr>
          <w:rFonts w:hint="eastAsia"/>
        </w:rPr>
        <w:t>排土场排弃应按照上土上排，下土下排，就近排弃，由南向北逐</w:t>
      </w:r>
      <w:r>
        <w:rPr>
          <w:rFonts w:hint="eastAsia"/>
        </w:rPr>
        <w:lastRenderedPageBreak/>
        <w:t>步推进的排土方式。并分层排土作业，自下而上作业。</w:t>
      </w:r>
    </w:p>
    <w:p w14:paraId="0AB753FC" w14:textId="77777777" w:rsidR="008D7DB0" w:rsidRDefault="00000000">
      <w:pPr>
        <w:ind w:firstLine="560"/>
      </w:pPr>
      <w:r>
        <w:rPr>
          <w:rFonts w:hint="eastAsia"/>
        </w:rPr>
        <w:t>根据排土台阶高度，确定安全超前距离</w:t>
      </w:r>
      <w:r>
        <w:rPr>
          <w:rFonts w:hint="eastAsia"/>
        </w:rPr>
        <w:t>65m</w:t>
      </w:r>
      <w:r>
        <w:rPr>
          <w:rFonts w:hint="eastAsia"/>
        </w:rPr>
        <w:t>，为保持这个距离，上层特别是最上一层排土工作要加强，否则会影响下层的排土推进。</w:t>
      </w:r>
    </w:p>
    <w:p w14:paraId="361DB01E" w14:textId="77777777" w:rsidR="008D7DB0" w:rsidRDefault="00000000">
      <w:pPr>
        <w:ind w:firstLine="560"/>
      </w:pPr>
      <w:r>
        <w:rPr>
          <w:rFonts w:hint="eastAsia"/>
        </w:rPr>
        <w:t>排土场受天气变化，矿山实施爆破等其它因素的影响，将会产生局部滚石下落砸伤下层通行的行人和设备，为保证安全生产，也为了通往各层排土工作面的需要，台阶与台阶之间应预留足够宽的运输通道，其宽度不小于</w:t>
      </w:r>
      <w:r>
        <w:rPr>
          <w:rFonts w:hint="eastAsia"/>
        </w:rPr>
        <w:t>40m</w:t>
      </w:r>
      <w:r>
        <w:rPr>
          <w:rFonts w:hint="eastAsia"/>
        </w:rPr>
        <w:t>。</w:t>
      </w:r>
    </w:p>
    <w:p w14:paraId="2BFA4E9F" w14:textId="77777777" w:rsidR="008D7DB0" w:rsidRDefault="00000000">
      <w:pPr>
        <w:pStyle w:val="4"/>
      </w:pPr>
      <w:bookmarkStart w:id="129" w:name="_Toc4150"/>
      <w:r>
        <w:rPr>
          <w:rFonts w:hint="eastAsia"/>
        </w:rPr>
        <w:t>2.5.7.3</w:t>
      </w:r>
      <w:r>
        <w:rPr>
          <w:rFonts w:hint="eastAsia"/>
        </w:rPr>
        <w:t>排土方式</w:t>
      </w:r>
      <w:bookmarkEnd w:id="129"/>
    </w:p>
    <w:p w14:paraId="3CA6F225" w14:textId="6EB2C0D1" w:rsidR="008D7DB0" w:rsidRDefault="00EF2B8D">
      <w:pPr>
        <w:ind w:firstLine="560"/>
      </w:pPr>
      <w:r w:rsidRPr="00EF2B8D">
        <w:rPr>
          <w:rFonts w:hint="eastAsia"/>
        </w:rPr>
        <w:t>结合该排土场条件及特点本次设计采用胶带倒装至汽车再采用推土机排土方式</w:t>
      </w:r>
      <w:r>
        <w:rPr>
          <w:rFonts w:hint="eastAsia"/>
        </w:rPr>
        <w:t>。</w:t>
      </w:r>
    </w:p>
    <w:p w14:paraId="6BA43ABF" w14:textId="77777777" w:rsidR="008D7DB0" w:rsidRDefault="00000000">
      <w:pPr>
        <w:pStyle w:val="4"/>
      </w:pPr>
      <w:bookmarkStart w:id="130" w:name="_Toc13746"/>
      <w:bookmarkStart w:id="131" w:name="_Toc31217"/>
      <w:r>
        <w:rPr>
          <w:rFonts w:hint="eastAsia"/>
        </w:rPr>
        <w:t>2.5.7.4</w:t>
      </w:r>
      <w:r>
        <w:rPr>
          <w:rFonts w:hint="eastAsia"/>
        </w:rPr>
        <w:t>排土场运输</w:t>
      </w:r>
      <w:bookmarkEnd w:id="130"/>
      <w:bookmarkEnd w:id="131"/>
    </w:p>
    <w:p w14:paraId="166EB244" w14:textId="77777777" w:rsidR="008D7DB0" w:rsidRDefault="00000000">
      <w:pPr>
        <w:ind w:firstLine="560"/>
      </w:pPr>
      <w:r>
        <w:rPr>
          <w:rFonts w:hint="eastAsia"/>
        </w:rPr>
        <w:t>通过排土场各水平台阶的初始路基的形成，应充分依托排土场北部山坡地形展线，线路最大纵坡度控制在</w:t>
      </w:r>
      <w:r>
        <w:rPr>
          <w:rFonts w:hint="eastAsia"/>
        </w:rPr>
        <w:t>8%</w:t>
      </w:r>
      <w:r>
        <w:rPr>
          <w:rFonts w:hint="eastAsia"/>
        </w:rPr>
        <w:t>以内，最小转弯半径为</w:t>
      </w:r>
      <w:r>
        <w:rPr>
          <w:rFonts w:hint="eastAsia"/>
        </w:rPr>
        <w:t>25m</w:t>
      </w:r>
      <w:r>
        <w:rPr>
          <w:rFonts w:hint="eastAsia"/>
        </w:rPr>
        <w:t>。</w:t>
      </w:r>
      <w:bookmarkEnd w:id="128"/>
    </w:p>
    <w:p w14:paraId="2FB99E5D" w14:textId="77777777" w:rsidR="008D7DB0" w:rsidRDefault="00000000">
      <w:pPr>
        <w:pStyle w:val="3"/>
      </w:pPr>
      <w:bookmarkStart w:id="132" w:name="_Toc7759"/>
      <w:bookmarkStart w:id="133" w:name="_Toc7296"/>
      <w:bookmarkStart w:id="134" w:name="_Toc3949"/>
      <w:bookmarkStart w:id="135" w:name="_Toc205883247"/>
      <w:r>
        <w:rPr>
          <w:rFonts w:hint="eastAsia"/>
        </w:rPr>
        <w:t>2.5.8</w:t>
      </w:r>
      <w:r>
        <w:rPr>
          <w:rFonts w:hint="eastAsia"/>
        </w:rPr>
        <w:t>排土场防排水</w:t>
      </w:r>
      <w:bookmarkEnd w:id="132"/>
      <w:bookmarkEnd w:id="133"/>
      <w:bookmarkEnd w:id="134"/>
      <w:bookmarkEnd w:id="135"/>
    </w:p>
    <w:p w14:paraId="7EFD3072" w14:textId="4AD2AAE7" w:rsidR="008D7DB0" w:rsidRDefault="00EF2B8D">
      <w:pPr>
        <w:ind w:firstLine="560"/>
      </w:pPr>
      <w:r w:rsidRPr="00EF2B8D">
        <w:rPr>
          <w:rFonts w:hint="eastAsia"/>
        </w:rPr>
        <w:t>设计排土标高最低为</w:t>
      </w:r>
      <w:r w:rsidRPr="00EF2B8D">
        <w:rPr>
          <w:rFonts w:hint="eastAsia"/>
        </w:rPr>
        <w:t>390m</w:t>
      </w:r>
      <w:r w:rsidRPr="00EF2B8D">
        <w:rPr>
          <w:rFonts w:hint="eastAsia"/>
        </w:rPr>
        <w:t>，最高排弃高度为</w:t>
      </w:r>
      <w:r w:rsidRPr="00EF2B8D">
        <w:rPr>
          <w:rFonts w:hint="eastAsia"/>
        </w:rPr>
        <w:t>523m</w:t>
      </w:r>
      <w:r w:rsidRPr="00EF2B8D">
        <w:rPr>
          <w:rFonts w:hint="eastAsia"/>
        </w:rPr>
        <w:t>，排土场外留设截洪沟，场外的地表水流入截洪沟。排土场平台留设有</w:t>
      </w:r>
      <w:r w:rsidRPr="00EF2B8D">
        <w:rPr>
          <w:rFonts w:hint="eastAsia"/>
        </w:rPr>
        <w:t>2%-5%</w:t>
      </w:r>
      <w:r w:rsidRPr="00EF2B8D">
        <w:rPr>
          <w:rFonts w:hint="eastAsia"/>
        </w:rPr>
        <w:t>的反坡，排土场边坡每隔约</w:t>
      </w:r>
      <w:r w:rsidRPr="00EF2B8D">
        <w:rPr>
          <w:rFonts w:hint="eastAsia"/>
        </w:rPr>
        <w:t>100m</w:t>
      </w:r>
      <w:r w:rsidRPr="00EF2B8D">
        <w:rPr>
          <w:rFonts w:hint="eastAsia"/>
        </w:rPr>
        <w:t>留设排水沟（排水沟为矩形，尺寸</w:t>
      </w:r>
      <w:r w:rsidRPr="00EF2B8D">
        <w:rPr>
          <w:rFonts w:hint="eastAsia"/>
        </w:rPr>
        <w:t>0.4m</w:t>
      </w:r>
      <w:r w:rsidRPr="00EF2B8D">
        <w:rPr>
          <w:rFonts w:hint="eastAsia"/>
        </w:rPr>
        <w:t>×</w:t>
      </w:r>
      <w:r w:rsidRPr="00EF2B8D">
        <w:rPr>
          <w:rFonts w:hint="eastAsia"/>
        </w:rPr>
        <w:t>0.4m</w:t>
      </w:r>
      <w:r w:rsidRPr="00EF2B8D">
        <w:rPr>
          <w:rFonts w:hint="eastAsia"/>
        </w:rPr>
        <w:t>），排水沟采用水泥毯或毛石混凝土砌筑而成，</w:t>
      </w:r>
      <w:r w:rsidRPr="00EF2B8D">
        <w:rPr>
          <w:rFonts w:hint="eastAsia"/>
        </w:rPr>
        <w:t xml:space="preserve"> </w:t>
      </w:r>
      <w:r w:rsidRPr="00EF2B8D">
        <w:rPr>
          <w:rFonts w:hint="eastAsia"/>
        </w:rPr>
        <w:t>场内的地表水流入截洪沟及排水沟，并引出境界之外。设计要求排土场坡脚采用大块石填筑高</w:t>
      </w:r>
      <w:r w:rsidRPr="00EF2B8D">
        <w:rPr>
          <w:rFonts w:hint="eastAsia"/>
        </w:rPr>
        <w:t>2m</w:t>
      </w:r>
      <w:r w:rsidRPr="00EF2B8D">
        <w:rPr>
          <w:rFonts w:hint="eastAsia"/>
        </w:rPr>
        <w:t>～</w:t>
      </w:r>
      <w:r w:rsidRPr="00EF2B8D">
        <w:rPr>
          <w:rFonts w:hint="eastAsia"/>
        </w:rPr>
        <w:t>3m</w:t>
      </w:r>
      <w:r w:rsidRPr="00EF2B8D">
        <w:rPr>
          <w:rFonts w:hint="eastAsia"/>
        </w:rPr>
        <w:t>的渗水层</w:t>
      </w:r>
      <w:r>
        <w:rPr>
          <w:rFonts w:hint="eastAsia"/>
        </w:rPr>
        <w:t>。</w:t>
      </w:r>
    </w:p>
    <w:p w14:paraId="52387D60" w14:textId="4B5D6EDC" w:rsidR="008D7DB0" w:rsidRDefault="00BF3720">
      <w:pPr>
        <w:ind w:firstLine="560"/>
        <w:sectPr w:rsidR="008D7DB0">
          <w:headerReference w:type="default" r:id="rId32"/>
          <w:pgSz w:w="11906" w:h="16838"/>
          <w:pgMar w:top="1701" w:right="1701" w:bottom="1701" w:left="1701" w:header="1134" w:footer="1134" w:gutter="0"/>
          <w:paperSrc w:first="1" w:other="1"/>
          <w:cols w:space="720"/>
          <w:docGrid w:linePitch="312"/>
        </w:sectPr>
      </w:pPr>
      <w:r w:rsidRPr="00BF3720">
        <w:rPr>
          <w:rFonts w:hint="eastAsia"/>
        </w:rPr>
        <w:t>排土场外部设截洪沟，将境界外的大气降水自流排出，截洪沟断面为</w:t>
      </w:r>
      <w:r w:rsidRPr="00BF3720">
        <w:rPr>
          <w:rFonts w:hint="eastAsia"/>
        </w:rPr>
        <w:t>0.175m</w:t>
      </w:r>
      <w:r w:rsidRPr="00BF3720">
        <w:rPr>
          <w:rFonts w:hint="eastAsia"/>
          <w:vertAlign w:val="superscript"/>
        </w:rPr>
        <w:t>2</w:t>
      </w:r>
      <w:r w:rsidRPr="00BF3720">
        <w:rPr>
          <w:rFonts w:hint="eastAsia"/>
        </w:rPr>
        <w:t>，截洪沟槽内用块石砌筑而成。截洪沟由采场中央向两端坡降，坡度为</w:t>
      </w:r>
      <w:r w:rsidRPr="00BF3720">
        <w:rPr>
          <w:rFonts w:hint="eastAsia"/>
        </w:rPr>
        <w:t>3</w:t>
      </w:r>
      <w:r w:rsidRPr="00BF3720">
        <w:rPr>
          <w:rFonts w:hint="eastAsia"/>
        </w:rPr>
        <w:t>‰。</w:t>
      </w:r>
    </w:p>
    <w:p w14:paraId="5C2E9E5F" w14:textId="77777777" w:rsidR="008D7DB0" w:rsidRDefault="00000000">
      <w:pPr>
        <w:pStyle w:val="1"/>
        <w:spacing w:before="120"/>
      </w:pPr>
      <w:bookmarkStart w:id="136" w:name="_Toc205883248"/>
      <w:r>
        <w:rPr>
          <w:rFonts w:hint="eastAsia"/>
        </w:rPr>
        <w:lastRenderedPageBreak/>
        <w:t>3.</w:t>
      </w:r>
      <w:r>
        <w:rPr>
          <w:rFonts w:hint="eastAsia"/>
        </w:rPr>
        <w:t>定性、定量评价</w:t>
      </w:r>
      <w:bookmarkEnd w:id="136"/>
    </w:p>
    <w:p w14:paraId="037E7BD5" w14:textId="77777777" w:rsidR="008D7DB0" w:rsidRDefault="00000000">
      <w:pPr>
        <w:ind w:firstLine="560"/>
        <w:rPr>
          <w:lang w:val="zh-CN"/>
        </w:rPr>
      </w:pPr>
      <w:r>
        <w:rPr>
          <w:lang w:val="zh-CN"/>
        </w:rPr>
        <w:t>根据项目建设特点，结合该矿山主要危险、有害因素的性质和存在部位，划分为</w:t>
      </w:r>
      <w:r>
        <w:rPr>
          <w:rFonts w:hint="eastAsia"/>
        </w:rPr>
        <w:t>4</w:t>
      </w:r>
      <w:r>
        <w:rPr>
          <w:rFonts w:hint="eastAsia"/>
          <w:lang w:val="zh-CN"/>
        </w:rPr>
        <w:t>个单元。</w:t>
      </w:r>
    </w:p>
    <w:p w14:paraId="26613B46" w14:textId="77777777" w:rsidR="008D7DB0" w:rsidRDefault="00000000">
      <w:pPr>
        <w:snapToGrid w:val="0"/>
        <w:ind w:firstLineChars="0" w:firstLine="0"/>
        <w:jc w:val="center"/>
        <w:rPr>
          <w:rFonts w:cs="宋体"/>
          <w:color w:val="000000"/>
          <w:sz w:val="21"/>
          <w:szCs w:val="21"/>
        </w:rPr>
      </w:pPr>
      <w:r>
        <w:rPr>
          <w:rFonts w:cs="宋体" w:hint="eastAsia"/>
          <w:color w:val="000000"/>
          <w:sz w:val="21"/>
          <w:szCs w:val="21"/>
        </w:rPr>
        <w:t>表</w:t>
      </w:r>
      <w:r>
        <w:rPr>
          <w:rFonts w:cs="宋体" w:hint="eastAsia"/>
          <w:color w:val="000000"/>
          <w:sz w:val="21"/>
          <w:szCs w:val="21"/>
        </w:rPr>
        <w:t>3</w:t>
      </w:r>
      <w:r>
        <w:rPr>
          <w:rFonts w:cs="宋体" w:hint="eastAsia"/>
          <w:color w:val="000000"/>
          <w:sz w:val="21"/>
          <w:szCs w:val="21"/>
        </w:rPr>
        <w:t>评价单元划分表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3744"/>
        <w:gridCol w:w="3745"/>
      </w:tblGrid>
      <w:tr w:rsidR="008D7DB0" w14:paraId="612A37D9" w14:textId="77777777">
        <w:trPr>
          <w:cantSplit/>
          <w:trHeight w:val="96"/>
          <w:tblHeader/>
          <w:jc w:val="center"/>
        </w:trPr>
        <w:tc>
          <w:tcPr>
            <w:tcW w:w="704" w:type="pct"/>
            <w:vAlign w:val="center"/>
          </w:tcPr>
          <w:p w14:paraId="7B2BBC4D" w14:textId="77777777" w:rsidR="008D7DB0" w:rsidRDefault="00000000">
            <w:pPr>
              <w:snapToGrid w:val="0"/>
              <w:spacing w:line="240" w:lineRule="auto"/>
              <w:ind w:firstLineChars="0" w:firstLine="0"/>
              <w:jc w:val="center"/>
              <w:rPr>
                <w:rFonts w:cs="宋体"/>
                <w:bCs/>
                <w:color w:val="000000"/>
                <w:sz w:val="21"/>
                <w:szCs w:val="21"/>
              </w:rPr>
            </w:pPr>
            <w:r>
              <w:rPr>
                <w:rFonts w:cs="宋体" w:hint="eastAsia"/>
                <w:bCs/>
                <w:color w:val="000000"/>
                <w:sz w:val="21"/>
                <w:szCs w:val="21"/>
              </w:rPr>
              <w:t>序号</w:t>
            </w:r>
          </w:p>
        </w:tc>
        <w:tc>
          <w:tcPr>
            <w:tcW w:w="2147" w:type="pct"/>
            <w:vAlign w:val="center"/>
          </w:tcPr>
          <w:p w14:paraId="57E3C7F0" w14:textId="77777777" w:rsidR="008D7DB0" w:rsidRDefault="00000000">
            <w:pPr>
              <w:snapToGrid w:val="0"/>
              <w:spacing w:line="240" w:lineRule="auto"/>
              <w:ind w:firstLineChars="0" w:firstLine="0"/>
              <w:jc w:val="center"/>
              <w:rPr>
                <w:rFonts w:cs="宋体"/>
                <w:color w:val="000000"/>
                <w:sz w:val="21"/>
                <w:szCs w:val="21"/>
              </w:rPr>
            </w:pPr>
            <w:r>
              <w:rPr>
                <w:rFonts w:cs="宋体" w:hint="eastAsia"/>
                <w:bCs/>
                <w:color w:val="000000"/>
                <w:sz w:val="21"/>
                <w:szCs w:val="21"/>
              </w:rPr>
              <w:t>评价单元划分</w:t>
            </w:r>
          </w:p>
        </w:tc>
        <w:tc>
          <w:tcPr>
            <w:tcW w:w="2148" w:type="pct"/>
            <w:vAlign w:val="center"/>
          </w:tcPr>
          <w:p w14:paraId="587A26AA" w14:textId="77777777" w:rsidR="008D7DB0" w:rsidRDefault="00000000">
            <w:pPr>
              <w:snapToGrid w:val="0"/>
              <w:spacing w:line="240" w:lineRule="auto"/>
              <w:ind w:firstLineChars="0" w:firstLine="0"/>
              <w:jc w:val="center"/>
              <w:rPr>
                <w:rFonts w:cs="宋体"/>
                <w:bCs/>
                <w:color w:val="000000"/>
                <w:sz w:val="21"/>
                <w:szCs w:val="21"/>
              </w:rPr>
            </w:pPr>
            <w:r>
              <w:rPr>
                <w:rFonts w:cs="宋体" w:hint="eastAsia"/>
                <w:bCs/>
                <w:color w:val="000000"/>
                <w:sz w:val="21"/>
                <w:szCs w:val="21"/>
              </w:rPr>
              <w:t>评价方法</w:t>
            </w:r>
          </w:p>
        </w:tc>
      </w:tr>
      <w:tr w:rsidR="008D7DB0" w14:paraId="6F782832" w14:textId="77777777">
        <w:trPr>
          <w:cantSplit/>
          <w:trHeight w:val="342"/>
          <w:tblHeader/>
          <w:jc w:val="center"/>
        </w:trPr>
        <w:tc>
          <w:tcPr>
            <w:tcW w:w="704" w:type="pct"/>
            <w:vAlign w:val="center"/>
          </w:tcPr>
          <w:p w14:paraId="2BAD75D8" w14:textId="77777777" w:rsidR="008D7DB0" w:rsidRDefault="00000000">
            <w:pPr>
              <w:snapToGrid w:val="0"/>
              <w:spacing w:line="240" w:lineRule="auto"/>
              <w:ind w:firstLineChars="0" w:firstLine="0"/>
              <w:jc w:val="center"/>
              <w:rPr>
                <w:rFonts w:cs="宋体"/>
                <w:bCs/>
                <w:color w:val="000000"/>
                <w:sz w:val="21"/>
                <w:szCs w:val="21"/>
              </w:rPr>
            </w:pPr>
            <w:r>
              <w:rPr>
                <w:rFonts w:cs="宋体" w:hint="eastAsia"/>
                <w:bCs/>
                <w:color w:val="000000"/>
                <w:sz w:val="21"/>
                <w:szCs w:val="21"/>
              </w:rPr>
              <w:t>1</w:t>
            </w:r>
          </w:p>
        </w:tc>
        <w:tc>
          <w:tcPr>
            <w:tcW w:w="2147" w:type="pct"/>
            <w:vAlign w:val="center"/>
          </w:tcPr>
          <w:p w14:paraId="388EBC88"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总平面布置</w:t>
            </w:r>
          </w:p>
        </w:tc>
        <w:tc>
          <w:tcPr>
            <w:tcW w:w="2148" w:type="pct"/>
            <w:vAlign w:val="center"/>
          </w:tcPr>
          <w:p w14:paraId="56E377CF"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专家评议法</w:t>
            </w:r>
          </w:p>
        </w:tc>
      </w:tr>
      <w:tr w:rsidR="008D7DB0" w14:paraId="7D23E15C" w14:textId="77777777">
        <w:trPr>
          <w:cantSplit/>
          <w:jc w:val="center"/>
        </w:trPr>
        <w:tc>
          <w:tcPr>
            <w:tcW w:w="704" w:type="pct"/>
            <w:vAlign w:val="center"/>
          </w:tcPr>
          <w:p w14:paraId="6FAB0ADC"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2</w:t>
            </w:r>
          </w:p>
        </w:tc>
        <w:tc>
          <w:tcPr>
            <w:tcW w:w="2147" w:type="pct"/>
            <w:vAlign w:val="center"/>
          </w:tcPr>
          <w:p w14:paraId="0FCC8E24"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排土场单元</w:t>
            </w:r>
          </w:p>
        </w:tc>
        <w:tc>
          <w:tcPr>
            <w:tcW w:w="2148" w:type="pct"/>
            <w:vAlign w:val="center"/>
          </w:tcPr>
          <w:p w14:paraId="3575A411"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安全检查表法、预先危险性分析法</w:t>
            </w:r>
          </w:p>
        </w:tc>
      </w:tr>
      <w:tr w:rsidR="008D7DB0" w14:paraId="505CA974" w14:textId="77777777">
        <w:trPr>
          <w:cantSplit/>
          <w:trHeight w:val="274"/>
          <w:jc w:val="center"/>
        </w:trPr>
        <w:tc>
          <w:tcPr>
            <w:tcW w:w="704" w:type="pct"/>
            <w:vAlign w:val="center"/>
          </w:tcPr>
          <w:p w14:paraId="648987AC"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3</w:t>
            </w:r>
          </w:p>
        </w:tc>
        <w:tc>
          <w:tcPr>
            <w:tcW w:w="2147" w:type="pct"/>
            <w:vAlign w:val="center"/>
          </w:tcPr>
          <w:p w14:paraId="0B26B811"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安全管理</w:t>
            </w:r>
          </w:p>
        </w:tc>
        <w:tc>
          <w:tcPr>
            <w:tcW w:w="2148" w:type="pct"/>
            <w:vAlign w:val="center"/>
          </w:tcPr>
          <w:p w14:paraId="67700AD6"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安全检查表法</w:t>
            </w:r>
          </w:p>
        </w:tc>
      </w:tr>
      <w:tr w:rsidR="008D7DB0" w14:paraId="0FB3CD9D" w14:textId="77777777">
        <w:trPr>
          <w:cantSplit/>
          <w:jc w:val="center"/>
        </w:trPr>
        <w:tc>
          <w:tcPr>
            <w:tcW w:w="704" w:type="pct"/>
            <w:vAlign w:val="center"/>
          </w:tcPr>
          <w:p w14:paraId="0DDDAEB2"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4</w:t>
            </w:r>
          </w:p>
        </w:tc>
        <w:tc>
          <w:tcPr>
            <w:tcW w:w="2147" w:type="pct"/>
            <w:vAlign w:val="center"/>
          </w:tcPr>
          <w:p w14:paraId="0C839731"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重大危险源辨识</w:t>
            </w:r>
          </w:p>
        </w:tc>
        <w:tc>
          <w:tcPr>
            <w:tcW w:w="2148" w:type="pct"/>
            <w:vAlign w:val="center"/>
          </w:tcPr>
          <w:p w14:paraId="2F4BF2F1" w14:textId="77777777" w:rsidR="008D7DB0" w:rsidRDefault="00000000">
            <w:pPr>
              <w:snapToGrid w:val="0"/>
              <w:spacing w:line="240" w:lineRule="auto"/>
              <w:ind w:firstLineChars="0" w:firstLine="0"/>
              <w:jc w:val="center"/>
              <w:rPr>
                <w:rFonts w:cs="宋体"/>
                <w:color w:val="000000"/>
                <w:sz w:val="21"/>
                <w:szCs w:val="21"/>
              </w:rPr>
            </w:pPr>
            <w:r>
              <w:rPr>
                <w:rFonts w:cs="宋体" w:hint="eastAsia"/>
                <w:color w:val="000000"/>
                <w:sz w:val="21"/>
                <w:szCs w:val="21"/>
              </w:rPr>
              <w:t>专家评议法</w:t>
            </w:r>
          </w:p>
        </w:tc>
      </w:tr>
      <w:tr w:rsidR="008D7DB0" w14:paraId="3A8353CB" w14:textId="77777777">
        <w:trPr>
          <w:cantSplit/>
          <w:jc w:val="center"/>
        </w:trPr>
        <w:tc>
          <w:tcPr>
            <w:tcW w:w="704" w:type="pct"/>
            <w:vAlign w:val="center"/>
          </w:tcPr>
          <w:p w14:paraId="7FE3AD23" w14:textId="77777777" w:rsidR="008D7DB0" w:rsidRDefault="008D7DB0">
            <w:pPr>
              <w:snapToGrid w:val="0"/>
              <w:spacing w:line="240" w:lineRule="auto"/>
              <w:ind w:firstLineChars="0" w:firstLine="0"/>
              <w:jc w:val="center"/>
              <w:rPr>
                <w:rFonts w:cs="宋体"/>
                <w:color w:val="000000"/>
                <w:sz w:val="21"/>
                <w:szCs w:val="21"/>
              </w:rPr>
            </w:pPr>
          </w:p>
        </w:tc>
        <w:tc>
          <w:tcPr>
            <w:tcW w:w="2147" w:type="pct"/>
            <w:vAlign w:val="center"/>
          </w:tcPr>
          <w:p w14:paraId="5C762541" w14:textId="77777777" w:rsidR="008D7DB0" w:rsidRDefault="008D7DB0">
            <w:pPr>
              <w:snapToGrid w:val="0"/>
              <w:spacing w:line="240" w:lineRule="auto"/>
              <w:ind w:firstLineChars="0" w:firstLine="0"/>
              <w:jc w:val="center"/>
              <w:rPr>
                <w:rFonts w:cs="宋体"/>
                <w:color w:val="000000"/>
                <w:sz w:val="21"/>
                <w:szCs w:val="21"/>
              </w:rPr>
            </w:pPr>
          </w:p>
        </w:tc>
        <w:tc>
          <w:tcPr>
            <w:tcW w:w="2148" w:type="pct"/>
            <w:vAlign w:val="center"/>
          </w:tcPr>
          <w:p w14:paraId="3B800D19" w14:textId="77777777" w:rsidR="008D7DB0" w:rsidRDefault="008D7DB0">
            <w:pPr>
              <w:snapToGrid w:val="0"/>
              <w:spacing w:line="240" w:lineRule="auto"/>
              <w:ind w:firstLineChars="0" w:firstLine="0"/>
              <w:jc w:val="center"/>
              <w:rPr>
                <w:rFonts w:cs="宋体"/>
                <w:color w:val="000000"/>
                <w:sz w:val="21"/>
                <w:szCs w:val="21"/>
              </w:rPr>
            </w:pPr>
          </w:p>
        </w:tc>
      </w:tr>
      <w:tr w:rsidR="008D7DB0" w14:paraId="34B52C98" w14:textId="77777777">
        <w:trPr>
          <w:cantSplit/>
          <w:jc w:val="center"/>
        </w:trPr>
        <w:tc>
          <w:tcPr>
            <w:tcW w:w="704" w:type="pct"/>
            <w:vAlign w:val="center"/>
          </w:tcPr>
          <w:p w14:paraId="5B32792C" w14:textId="77777777" w:rsidR="008D7DB0" w:rsidRDefault="008D7DB0">
            <w:pPr>
              <w:snapToGrid w:val="0"/>
              <w:spacing w:line="240" w:lineRule="auto"/>
              <w:ind w:firstLineChars="0" w:firstLine="0"/>
              <w:jc w:val="center"/>
              <w:rPr>
                <w:rFonts w:cs="宋体"/>
                <w:color w:val="000000"/>
                <w:sz w:val="21"/>
                <w:szCs w:val="21"/>
              </w:rPr>
            </w:pPr>
          </w:p>
        </w:tc>
        <w:tc>
          <w:tcPr>
            <w:tcW w:w="2147" w:type="pct"/>
            <w:vAlign w:val="center"/>
          </w:tcPr>
          <w:p w14:paraId="3A5F7270" w14:textId="77777777" w:rsidR="008D7DB0" w:rsidRDefault="008D7DB0">
            <w:pPr>
              <w:snapToGrid w:val="0"/>
              <w:spacing w:line="240" w:lineRule="auto"/>
              <w:ind w:firstLineChars="0" w:firstLine="0"/>
              <w:jc w:val="center"/>
              <w:rPr>
                <w:rFonts w:cs="宋体"/>
                <w:color w:val="000000"/>
                <w:sz w:val="21"/>
                <w:szCs w:val="21"/>
              </w:rPr>
            </w:pPr>
          </w:p>
        </w:tc>
        <w:tc>
          <w:tcPr>
            <w:tcW w:w="2148" w:type="pct"/>
            <w:vAlign w:val="center"/>
          </w:tcPr>
          <w:p w14:paraId="7AB60A47" w14:textId="77777777" w:rsidR="008D7DB0" w:rsidRDefault="008D7DB0">
            <w:pPr>
              <w:snapToGrid w:val="0"/>
              <w:spacing w:line="240" w:lineRule="auto"/>
              <w:ind w:firstLineChars="0" w:firstLine="0"/>
              <w:jc w:val="center"/>
              <w:rPr>
                <w:rFonts w:cs="宋体"/>
                <w:color w:val="000000"/>
                <w:sz w:val="21"/>
                <w:szCs w:val="21"/>
              </w:rPr>
            </w:pPr>
          </w:p>
        </w:tc>
      </w:tr>
      <w:tr w:rsidR="008D7DB0" w14:paraId="77DEDACA" w14:textId="77777777">
        <w:trPr>
          <w:cantSplit/>
          <w:jc w:val="center"/>
        </w:trPr>
        <w:tc>
          <w:tcPr>
            <w:tcW w:w="704" w:type="pct"/>
            <w:vAlign w:val="center"/>
          </w:tcPr>
          <w:p w14:paraId="257CA527" w14:textId="77777777" w:rsidR="008D7DB0" w:rsidRDefault="008D7DB0">
            <w:pPr>
              <w:snapToGrid w:val="0"/>
              <w:spacing w:line="240" w:lineRule="auto"/>
              <w:ind w:firstLineChars="0" w:firstLine="0"/>
              <w:jc w:val="center"/>
              <w:rPr>
                <w:rFonts w:cs="宋体"/>
                <w:color w:val="000000"/>
                <w:sz w:val="21"/>
                <w:szCs w:val="21"/>
              </w:rPr>
            </w:pPr>
          </w:p>
        </w:tc>
        <w:tc>
          <w:tcPr>
            <w:tcW w:w="2147" w:type="pct"/>
            <w:vAlign w:val="center"/>
          </w:tcPr>
          <w:p w14:paraId="39D88C28" w14:textId="77777777" w:rsidR="008D7DB0" w:rsidRDefault="008D7DB0">
            <w:pPr>
              <w:snapToGrid w:val="0"/>
              <w:spacing w:line="240" w:lineRule="auto"/>
              <w:ind w:firstLineChars="0" w:firstLine="0"/>
              <w:jc w:val="center"/>
              <w:rPr>
                <w:rFonts w:cs="宋体"/>
                <w:color w:val="000000"/>
                <w:sz w:val="21"/>
                <w:szCs w:val="21"/>
              </w:rPr>
            </w:pPr>
          </w:p>
        </w:tc>
        <w:tc>
          <w:tcPr>
            <w:tcW w:w="2148" w:type="pct"/>
            <w:vAlign w:val="center"/>
          </w:tcPr>
          <w:p w14:paraId="43859CD8" w14:textId="77777777" w:rsidR="008D7DB0" w:rsidRDefault="008D7DB0">
            <w:pPr>
              <w:snapToGrid w:val="0"/>
              <w:spacing w:line="240" w:lineRule="auto"/>
              <w:ind w:firstLineChars="0" w:firstLine="0"/>
              <w:jc w:val="center"/>
              <w:rPr>
                <w:rFonts w:cs="宋体"/>
                <w:color w:val="000000"/>
                <w:sz w:val="21"/>
                <w:szCs w:val="21"/>
              </w:rPr>
            </w:pPr>
          </w:p>
        </w:tc>
      </w:tr>
    </w:tbl>
    <w:p w14:paraId="3B7C6CCC" w14:textId="77777777" w:rsidR="008D7DB0" w:rsidRDefault="00000000">
      <w:pPr>
        <w:snapToGrid w:val="0"/>
        <w:spacing w:beforeLines="50" w:before="120"/>
        <w:ind w:firstLine="560"/>
        <w:rPr>
          <w:sz w:val="24"/>
        </w:rPr>
      </w:pPr>
      <w:r>
        <w:rPr>
          <w:snapToGrid w:val="0"/>
          <w:color w:val="000000"/>
          <w:kern w:val="0"/>
          <w:lang w:val="zh-CN"/>
        </w:rPr>
        <w:t>根据《金属非金属矿山</w:t>
      </w:r>
      <w:r>
        <w:rPr>
          <w:rFonts w:hint="eastAsia"/>
          <w:snapToGrid w:val="0"/>
          <w:color w:val="000000"/>
          <w:kern w:val="0"/>
        </w:rPr>
        <w:t>露天矿山</w:t>
      </w:r>
      <w:r>
        <w:rPr>
          <w:snapToGrid w:val="0"/>
          <w:color w:val="000000"/>
          <w:kern w:val="0"/>
          <w:lang w:val="zh-CN"/>
        </w:rPr>
        <w:t>建设项目安全预评价报告编写提纲》，本章节采用如下评价方法进行评价：安全检查表法、</w:t>
      </w:r>
      <w:r>
        <w:rPr>
          <w:rFonts w:hint="eastAsia"/>
          <w:snapToGrid w:val="0"/>
          <w:color w:val="000000"/>
          <w:kern w:val="0"/>
        </w:rPr>
        <w:t>专家评议法</w:t>
      </w:r>
      <w:r>
        <w:rPr>
          <w:snapToGrid w:val="0"/>
          <w:color w:val="000000"/>
          <w:kern w:val="0"/>
          <w:lang w:val="zh-CN"/>
        </w:rPr>
        <w:t>、工程类比法</w:t>
      </w:r>
      <w:r>
        <w:rPr>
          <w:rFonts w:hint="eastAsia"/>
          <w:snapToGrid w:val="0"/>
          <w:color w:val="000000"/>
          <w:kern w:val="0"/>
          <w:lang w:val="zh-CN"/>
        </w:rPr>
        <w:t>、</w:t>
      </w:r>
      <w:r>
        <w:rPr>
          <w:snapToGrid w:val="0"/>
          <w:color w:val="000000"/>
          <w:kern w:val="0"/>
          <w:lang w:val="zh-CN"/>
        </w:rPr>
        <w:t>预先危险性分析法等定性评价方法。</w:t>
      </w:r>
    </w:p>
    <w:p w14:paraId="2F6699DD" w14:textId="77777777" w:rsidR="008D7DB0" w:rsidRDefault="00000000">
      <w:pPr>
        <w:pStyle w:val="2"/>
      </w:pPr>
      <w:bookmarkStart w:id="137" w:name="_Toc174533731"/>
      <w:bookmarkStart w:id="138" w:name="_Toc294674083"/>
      <w:bookmarkStart w:id="139" w:name="_Toc205883249"/>
      <w:r>
        <w:t>3.1</w:t>
      </w:r>
      <w:r>
        <w:t>场址选择单元</w:t>
      </w:r>
      <w:bookmarkEnd w:id="137"/>
      <w:bookmarkEnd w:id="138"/>
      <w:bookmarkEnd w:id="139"/>
    </w:p>
    <w:p w14:paraId="0E297F44" w14:textId="77777777" w:rsidR="008D7DB0" w:rsidRDefault="00000000">
      <w:pPr>
        <w:keepNext/>
        <w:keepLines/>
        <w:ind w:firstLineChars="0" w:firstLine="0"/>
        <w:jc w:val="left"/>
        <w:outlineLvl w:val="2"/>
        <w:rPr>
          <w:b/>
          <w:bCs/>
          <w:szCs w:val="32"/>
        </w:rPr>
      </w:pPr>
      <w:bookmarkStart w:id="140" w:name="_Toc4619"/>
      <w:bookmarkStart w:id="141" w:name="_Toc536086488"/>
      <w:bookmarkStart w:id="142" w:name="_Toc166671598"/>
      <w:bookmarkStart w:id="143" w:name="_Toc477267209"/>
      <w:bookmarkStart w:id="144" w:name="_Toc31086"/>
      <w:bookmarkStart w:id="145" w:name="_Toc170806169"/>
      <w:bookmarkStart w:id="146" w:name="_Toc3963"/>
      <w:bookmarkStart w:id="147" w:name="_Toc2720"/>
      <w:bookmarkStart w:id="148" w:name="_Toc27251"/>
      <w:bookmarkStart w:id="149" w:name="_Toc23379"/>
      <w:bookmarkStart w:id="150" w:name="_Toc23563"/>
      <w:bookmarkStart w:id="151" w:name="_Toc174533732"/>
      <w:bookmarkStart w:id="152" w:name="_Toc205883250"/>
      <w:r>
        <w:rPr>
          <w:b/>
          <w:bCs/>
          <w:szCs w:val="32"/>
        </w:rPr>
        <w:t>3.1.1</w:t>
      </w:r>
      <w:r>
        <w:rPr>
          <w:b/>
          <w:bCs/>
          <w:szCs w:val="32"/>
        </w:rPr>
        <w:t>危险、有害因素辨识</w:t>
      </w:r>
      <w:bookmarkEnd w:id="140"/>
      <w:bookmarkEnd w:id="141"/>
      <w:bookmarkEnd w:id="142"/>
      <w:bookmarkEnd w:id="143"/>
      <w:bookmarkEnd w:id="144"/>
      <w:bookmarkEnd w:id="145"/>
      <w:bookmarkEnd w:id="146"/>
      <w:bookmarkEnd w:id="147"/>
      <w:bookmarkEnd w:id="148"/>
      <w:bookmarkEnd w:id="149"/>
      <w:bookmarkEnd w:id="150"/>
      <w:bookmarkEnd w:id="151"/>
      <w:bookmarkEnd w:id="152"/>
    </w:p>
    <w:p w14:paraId="69040E38" w14:textId="03702962" w:rsidR="008D7DB0" w:rsidRDefault="00000000">
      <w:pPr>
        <w:ind w:firstLine="560"/>
        <w:rPr>
          <w:rFonts w:hint="eastAsia"/>
        </w:rPr>
      </w:pPr>
      <w:r>
        <w:t>总平面布置单元涉及到的危险、有害因素有山体滑坡、泥石流、暴雨、山洪等。</w:t>
      </w:r>
    </w:p>
    <w:p w14:paraId="5BA2753A" w14:textId="77777777" w:rsidR="008D7DB0" w:rsidRDefault="00000000">
      <w:pPr>
        <w:ind w:firstLine="560"/>
      </w:pPr>
      <w:r>
        <w:t>造成山体滑坡、泥石流、暴雨、山洪等危险因素均来自于</w:t>
      </w:r>
      <w:r>
        <w:rPr>
          <w:rFonts w:hint="eastAsia"/>
        </w:rPr>
        <w:t>排土场</w:t>
      </w:r>
      <w:r>
        <w:t>周边的山体，如果矿山的</w:t>
      </w:r>
      <w:r>
        <w:rPr>
          <w:rFonts w:hint="eastAsia"/>
        </w:rPr>
        <w:t>排土场</w:t>
      </w:r>
      <w:r>
        <w:t>选址不合理，在山体滑坡、泥石流、暴雨及洪水影响范围内，可能造成</w:t>
      </w:r>
      <w:r>
        <w:rPr>
          <w:rFonts w:hint="eastAsia"/>
        </w:rPr>
        <w:t>排土场</w:t>
      </w:r>
      <w:r>
        <w:t>被埋没、被洪水淹没的后果。</w:t>
      </w:r>
    </w:p>
    <w:p w14:paraId="027807B8" w14:textId="77777777" w:rsidR="008D7DB0" w:rsidRDefault="00000000">
      <w:pPr>
        <w:keepNext/>
        <w:keepLines/>
        <w:ind w:firstLineChars="0" w:firstLine="0"/>
        <w:jc w:val="left"/>
        <w:outlineLvl w:val="2"/>
        <w:rPr>
          <w:b/>
          <w:bCs/>
          <w:szCs w:val="32"/>
        </w:rPr>
      </w:pPr>
      <w:bookmarkStart w:id="153" w:name="_Toc31236"/>
      <w:bookmarkStart w:id="154" w:name="_Toc174533733"/>
      <w:bookmarkStart w:id="155" w:name="_Toc26080"/>
      <w:bookmarkStart w:id="156" w:name="_Toc31609"/>
      <w:bookmarkStart w:id="157" w:name="_Toc31396"/>
      <w:bookmarkStart w:id="158" w:name="_Toc11724"/>
      <w:bookmarkStart w:id="159" w:name="_Toc1113"/>
      <w:bookmarkStart w:id="160" w:name="_Toc536086489"/>
      <w:bookmarkStart w:id="161" w:name="_Toc166671599"/>
      <w:bookmarkStart w:id="162" w:name="_Toc170806170"/>
      <w:bookmarkStart w:id="163" w:name="_Toc205883251"/>
      <w:r>
        <w:rPr>
          <w:b/>
          <w:bCs/>
          <w:szCs w:val="32"/>
        </w:rPr>
        <w:t>3.1.2</w:t>
      </w:r>
      <w:r>
        <w:rPr>
          <w:b/>
          <w:bCs/>
          <w:szCs w:val="32"/>
        </w:rPr>
        <w:t>安全分析及符合性评价</w:t>
      </w:r>
      <w:bookmarkEnd w:id="153"/>
      <w:bookmarkEnd w:id="154"/>
      <w:bookmarkEnd w:id="155"/>
      <w:bookmarkEnd w:id="156"/>
      <w:bookmarkEnd w:id="157"/>
      <w:bookmarkEnd w:id="158"/>
      <w:bookmarkEnd w:id="159"/>
      <w:bookmarkEnd w:id="160"/>
      <w:bookmarkEnd w:id="161"/>
      <w:bookmarkEnd w:id="162"/>
      <w:bookmarkEnd w:id="163"/>
    </w:p>
    <w:p w14:paraId="51CCC28F" w14:textId="77777777" w:rsidR="008D7DB0" w:rsidRDefault="00000000">
      <w:pPr>
        <w:adjustRightInd w:val="0"/>
        <w:snapToGrid w:val="0"/>
        <w:spacing w:beforeLines="50" w:before="120"/>
        <w:ind w:firstLineChars="0" w:firstLine="0"/>
        <w:jc w:val="center"/>
        <w:rPr>
          <w:rFonts w:cs="宋体"/>
          <w:sz w:val="21"/>
          <w:szCs w:val="21"/>
        </w:rPr>
      </w:pPr>
      <w:r>
        <w:rPr>
          <w:rFonts w:cs="宋体" w:hint="eastAsia"/>
          <w:sz w:val="21"/>
          <w:szCs w:val="21"/>
        </w:rPr>
        <w:t>表</w:t>
      </w:r>
      <w:r>
        <w:rPr>
          <w:rFonts w:cs="宋体" w:hint="eastAsia"/>
          <w:sz w:val="21"/>
          <w:szCs w:val="21"/>
        </w:rPr>
        <w:t>3.1-1</w:t>
      </w:r>
      <w:r>
        <w:rPr>
          <w:rFonts w:cs="宋体" w:hint="eastAsia"/>
          <w:sz w:val="21"/>
          <w:szCs w:val="21"/>
        </w:rPr>
        <w:t>场址选择单元安全检查表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0"/>
        <w:gridCol w:w="3461"/>
        <w:gridCol w:w="1476"/>
        <w:gridCol w:w="2226"/>
        <w:gridCol w:w="889"/>
      </w:tblGrid>
      <w:tr w:rsidR="00497DDF" w14:paraId="3E5F323E" w14:textId="77777777" w:rsidTr="005F5AE0">
        <w:trPr>
          <w:tblHeader/>
          <w:jc w:val="center"/>
        </w:trPr>
        <w:tc>
          <w:tcPr>
            <w:tcW w:w="470" w:type="dxa"/>
            <w:tcBorders>
              <w:left w:val="single" w:sz="4" w:space="0" w:color="auto"/>
            </w:tcBorders>
            <w:vAlign w:val="center"/>
          </w:tcPr>
          <w:p w14:paraId="3750C1F1" w14:textId="77777777" w:rsidR="00497DDF" w:rsidRDefault="00497DDF" w:rsidP="00497DDF">
            <w:pPr>
              <w:snapToGrid w:val="0"/>
              <w:spacing w:line="240" w:lineRule="auto"/>
              <w:ind w:firstLineChars="0" w:firstLine="0"/>
              <w:jc w:val="center"/>
              <w:rPr>
                <w:sz w:val="21"/>
                <w:szCs w:val="21"/>
              </w:rPr>
            </w:pPr>
            <w:r>
              <w:rPr>
                <w:rFonts w:hint="eastAsia"/>
                <w:sz w:val="21"/>
                <w:szCs w:val="21"/>
              </w:rPr>
              <w:t>编号</w:t>
            </w:r>
          </w:p>
        </w:tc>
        <w:tc>
          <w:tcPr>
            <w:tcW w:w="3461" w:type="dxa"/>
            <w:vAlign w:val="center"/>
          </w:tcPr>
          <w:p w14:paraId="302D0ACD" w14:textId="77777777" w:rsidR="00497DDF" w:rsidRDefault="00497DDF" w:rsidP="00497DDF">
            <w:pPr>
              <w:snapToGrid w:val="0"/>
              <w:spacing w:line="240" w:lineRule="auto"/>
              <w:ind w:firstLineChars="0" w:firstLine="0"/>
              <w:jc w:val="center"/>
              <w:rPr>
                <w:sz w:val="21"/>
                <w:szCs w:val="21"/>
              </w:rPr>
            </w:pPr>
            <w:r>
              <w:rPr>
                <w:rFonts w:hint="eastAsia"/>
                <w:sz w:val="21"/>
                <w:szCs w:val="21"/>
              </w:rPr>
              <w:t>评价内容</w:t>
            </w:r>
          </w:p>
        </w:tc>
        <w:tc>
          <w:tcPr>
            <w:tcW w:w="1476" w:type="dxa"/>
            <w:tcBorders>
              <w:right w:val="single" w:sz="4" w:space="0" w:color="auto"/>
            </w:tcBorders>
            <w:vAlign w:val="center"/>
          </w:tcPr>
          <w:p w14:paraId="4B04228E" w14:textId="77777777" w:rsidR="00497DDF" w:rsidRDefault="00497DDF" w:rsidP="00497DDF">
            <w:pPr>
              <w:snapToGrid w:val="0"/>
              <w:spacing w:line="240" w:lineRule="auto"/>
              <w:ind w:firstLineChars="0" w:firstLine="0"/>
              <w:jc w:val="center"/>
              <w:rPr>
                <w:sz w:val="21"/>
                <w:szCs w:val="21"/>
              </w:rPr>
            </w:pPr>
            <w:r>
              <w:rPr>
                <w:rFonts w:hint="eastAsia"/>
                <w:sz w:val="21"/>
                <w:szCs w:val="21"/>
              </w:rPr>
              <w:t>依据标准</w:t>
            </w:r>
          </w:p>
          <w:p w14:paraId="78AE7162" w14:textId="77777777" w:rsidR="00497DDF" w:rsidRDefault="00497DDF" w:rsidP="00497DDF">
            <w:pPr>
              <w:snapToGrid w:val="0"/>
              <w:spacing w:line="240" w:lineRule="auto"/>
              <w:ind w:firstLineChars="0" w:firstLine="0"/>
              <w:jc w:val="center"/>
              <w:rPr>
                <w:sz w:val="21"/>
                <w:szCs w:val="21"/>
              </w:rPr>
            </w:pPr>
            <w:r>
              <w:rPr>
                <w:rFonts w:hint="eastAsia"/>
                <w:sz w:val="21"/>
                <w:szCs w:val="21"/>
              </w:rPr>
              <w:t>条款</w:t>
            </w:r>
          </w:p>
        </w:tc>
        <w:tc>
          <w:tcPr>
            <w:tcW w:w="2226" w:type="dxa"/>
            <w:tcBorders>
              <w:right w:val="single" w:sz="4" w:space="0" w:color="auto"/>
            </w:tcBorders>
          </w:tcPr>
          <w:p w14:paraId="5740A799" w14:textId="0F0C979A"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666A811B" w14:textId="77777777" w:rsidR="00497DDF" w:rsidRDefault="00497DDF" w:rsidP="00497DDF">
            <w:pPr>
              <w:snapToGrid w:val="0"/>
              <w:spacing w:line="240" w:lineRule="auto"/>
              <w:ind w:firstLineChars="0" w:firstLine="0"/>
              <w:jc w:val="center"/>
              <w:rPr>
                <w:sz w:val="21"/>
                <w:szCs w:val="21"/>
              </w:rPr>
            </w:pPr>
            <w:r>
              <w:rPr>
                <w:rFonts w:hint="eastAsia"/>
                <w:sz w:val="21"/>
                <w:szCs w:val="21"/>
              </w:rPr>
              <w:t>检查</w:t>
            </w:r>
          </w:p>
          <w:p w14:paraId="1EE7D190" w14:textId="77777777" w:rsidR="00497DDF" w:rsidRDefault="00497DDF" w:rsidP="00497DDF">
            <w:pPr>
              <w:snapToGrid w:val="0"/>
              <w:spacing w:line="240" w:lineRule="auto"/>
              <w:ind w:firstLineChars="0" w:firstLine="0"/>
              <w:jc w:val="center"/>
              <w:rPr>
                <w:sz w:val="21"/>
                <w:szCs w:val="21"/>
              </w:rPr>
            </w:pPr>
            <w:r>
              <w:rPr>
                <w:rFonts w:hint="eastAsia"/>
                <w:sz w:val="21"/>
                <w:szCs w:val="21"/>
              </w:rPr>
              <w:t>结果</w:t>
            </w:r>
          </w:p>
        </w:tc>
      </w:tr>
      <w:tr w:rsidR="00497DDF" w14:paraId="0E3B4A7C" w14:textId="77777777" w:rsidTr="005F5AE0">
        <w:trPr>
          <w:jc w:val="center"/>
        </w:trPr>
        <w:tc>
          <w:tcPr>
            <w:tcW w:w="470" w:type="dxa"/>
            <w:tcBorders>
              <w:left w:val="single" w:sz="4" w:space="0" w:color="auto"/>
            </w:tcBorders>
            <w:vAlign w:val="center"/>
          </w:tcPr>
          <w:p w14:paraId="65173F73" w14:textId="77777777" w:rsidR="00497DDF" w:rsidRDefault="00497DDF" w:rsidP="00497DDF">
            <w:pPr>
              <w:snapToGrid w:val="0"/>
              <w:spacing w:line="240" w:lineRule="auto"/>
              <w:ind w:firstLineChars="0" w:firstLine="0"/>
              <w:jc w:val="center"/>
              <w:rPr>
                <w:sz w:val="21"/>
                <w:szCs w:val="21"/>
              </w:rPr>
            </w:pPr>
            <w:r>
              <w:rPr>
                <w:rFonts w:hint="eastAsia"/>
                <w:sz w:val="21"/>
                <w:szCs w:val="21"/>
              </w:rPr>
              <w:t>1</w:t>
            </w:r>
          </w:p>
        </w:tc>
        <w:tc>
          <w:tcPr>
            <w:tcW w:w="3461" w:type="dxa"/>
            <w:vAlign w:val="center"/>
          </w:tcPr>
          <w:p w14:paraId="47EA1131" w14:textId="77777777" w:rsidR="00497DDF" w:rsidRDefault="00497DDF" w:rsidP="00497DDF">
            <w:pPr>
              <w:snapToGrid w:val="0"/>
              <w:spacing w:line="240" w:lineRule="auto"/>
              <w:ind w:firstLineChars="0" w:firstLine="0"/>
              <w:jc w:val="center"/>
              <w:rPr>
                <w:sz w:val="21"/>
                <w:szCs w:val="21"/>
              </w:rPr>
            </w:pPr>
            <w:r>
              <w:rPr>
                <w:rFonts w:hint="eastAsia"/>
                <w:sz w:val="21"/>
                <w:szCs w:val="21"/>
              </w:rPr>
              <w:t>排土场不应受洪水威胁或者由于上游汇水造成滑坡、塌方、泥石流等灾害。</w:t>
            </w:r>
          </w:p>
        </w:tc>
        <w:tc>
          <w:tcPr>
            <w:tcW w:w="1476" w:type="dxa"/>
            <w:tcBorders>
              <w:right w:val="single" w:sz="4" w:space="0" w:color="auto"/>
            </w:tcBorders>
            <w:vAlign w:val="center"/>
          </w:tcPr>
          <w:p w14:paraId="79A26CA6" w14:textId="77777777" w:rsidR="00497DDF" w:rsidRDefault="00497DDF" w:rsidP="00497DDF">
            <w:pPr>
              <w:snapToGrid w:val="0"/>
              <w:spacing w:line="240" w:lineRule="auto"/>
              <w:ind w:firstLineChars="0" w:firstLine="0"/>
              <w:jc w:val="center"/>
              <w:rPr>
                <w:sz w:val="21"/>
                <w:szCs w:val="21"/>
              </w:rPr>
            </w:pPr>
            <w:r>
              <w:rPr>
                <w:rFonts w:hint="eastAsia"/>
                <w:sz w:val="21"/>
                <w:szCs w:val="21"/>
              </w:rPr>
              <w:t>GB16423-2020</w:t>
            </w:r>
          </w:p>
          <w:p w14:paraId="672F1310" w14:textId="77777777" w:rsidR="00497DDF" w:rsidRDefault="00497DDF" w:rsidP="00497DDF">
            <w:pPr>
              <w:snapToGrid w:val="0"/>
              <w:spacing w:line="240" w:lineRule="auto"/>
              <w:ind w:firstLineChars="0" w:firstLine="0"/>
              <w:jc w:val="center"/>
              <w:rPr>
                <w:sz w:val="21"/>
                <w:szCs w:val="21"/>
              </w:rPr>
            </w:pPr>
            <w:r>
              <w:rPr>
                <w:rFonts w:hint="eastAsia"/>
                <w:sz w:val="21"/>
                <w:szCs w:val="21"/>
              </w:rPr>
              <w:t>5.5.1.1</w:t>
            </w:r>
          </w:p>
        </w:tc>
        <w:tc>
          <w:tcPr>
            <w:tcW w:w="2226" w:type="dxa"/>
            <w:tcBorders>
              <w:right w:val="single" w:sz="4" w:space="0" w:color="auto"/>
            </w:tcBorders>
          </w:tcPr>
          <w:p w14:paraId="13FB4945" w14:textId="0E3181D2"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2A36AA98"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1AD11F9A" w14:textId="77777777" w:rsidTr="005F5AE0">
        <w:trPr>
          <w:jc w:val="center"/>
        </w:trPr>
        <w:tc>
          <w:tcPr>
            <w:tcW w:w="470" w:type="dxa"/>
            <w:tcBorders>
              <w:left w:val="single" w:sz="4" w:space="0" w:color="auto"/>
            </w:tcBorders>
            <w:vAlign w:val="center"/>
          </w:tcPr>
          <w:p w14:paraId="13A5328B" w14:textId="77777777" w:rsidR="00497DDF" w:rsidRDefault="00497DDF" w:rsidP="00497DDF">
            <w:pPr>
              <w:snapToGrid w:val="0"/>
              <w:spacing w:line="240" w:lineRule="auto"/>
              <w:ind w:firstLineChars="0" w:firstLine="0"/>
              <w:jc w:val="center"/>
              <w:rPr>
                <w:sz w:val="21"/>
                <w:szCs w:val="21"/>
              </w:rPr>
            </w:pPr>
            <w:r>
              <w:rPr>
                <w:rFonts w:hint="eastAsia"/>
                <w:sz w:val="21"/>
                <w:szCs w:val="21"/>
              </w:rPr>
              <w:t>2</w:t>
            </w:r>
          </w:p>
        </w:tc>
        <w:tc>
          <w:tcPr>
            <w:tcW w:w="3461" w:type="dxa"/>
            <w:vAlign w:val="center"/>
          </w:tcPr>
          <w:p w14:paraId="4390BA84" w14:textId="77777777" w:rsidR="00497DDF" w:rsidRDefault="00497DDF" w:rsidP="00497DDF">
            <w:pPr>
              <w:snapToGrid w:val="0"/>
              <w:spacing w:line="240" w:lineRule="auto"/>
              <w:ind w:firstLineChars="0" w:firstLine="0"/>
              <w:jc w:val="center"/>
              <w:rPr>
                <w:sz w:val="21"/>
                <w:szCs w:val="21"/>
              </w:rPr>
            </w:pPr>
            <w:r>
              <w:rPr>
                <w:rFonts w:hint="eastAsia"/>
                <w:sz w:val="21"/>
                <w:szCs w:val="21"/>
              </w:rPr>
              <w:t>排土场不应给采矿场、工业场地、居民区、铁路、公路和其他设施造成安全隐患。</w:t>
            </w:r>
          </w:p>
        </w:tc>
        <w:tc>
          <w:tcPr>
            <w:tcW w:w="1476" w:type="dxa"/>
            <w:tcBorders>
              <w:right w:val="single" w:sz="4" w:space="0" w:color="auto"/>
            </w:tcBorders>
            <w:vAlign w:val="center"/>
          </w:tcPr>
          <w:p w14:paraId="22502063" w14:textId="77777777" w:rsidR="00497DDF" w:rsidRDefault="00497DDF" w:rsidP="00497DDF">
            <w:pPr>
              <w:snapToGrid w:val="0"/>
              <w:spacing w:line="240" w:lineRule="auto"/>
              <w:ind w:firstLineChars="0" w:firstLine="0"/>
              <w:jc w:val="center"/>
              <w:rPr>
                <w:sz w:val="21"/>
                <w:szCs w:val="21"/>
              </w:rPr>
            </w:pPr>
            <w:r>
              <w:rPr>
                <w:rFonts w:hint="eastAsia"/>
                <w:sz w:val="21"/>
                <w:szCs w:val="21"/>
              </w:rPr>
              <w:t>GB16423-2020</w:t>
            </w:r>
          </w:p>
          <w:p w14:paraId="76F745E9" w14:textId="77777777" w:rsidR="00497DDF" w:rsidRDefault="00497DDF" w:rsidP="00497DDF">
            <w:pPr>
              <w:snapToGrid w:val="0"/>
              <w:spacing w:line="240" w:lineRule="auto"/>
              <w:ind w:firstLineChars="0" w:firstLine="0"/>
              <w:jc w:val="center"/>
              <w:rPr>
                <w:sz w:val="21"/>
                <w:szCs w:val="21"/>
              </w:rPr>
            </w:pPr>
            <w:r>
              <w:rPr>
                <w:rFonts w:hint="eastAsia"/>
                <w:sz w:val="21"/>
                <w:szCs w:val="21"/>
              </w:rPr>
              <w:t>5.5.1.2</w:t>
            </w:r>
          </w:p>
        </w:tc>
        <w:tc>
          <w:tcPr>
            <w:tcW w:w="2226" w:type="dxa"/>
            <w:tcBorders>
              <w:right w:val="single" w:sz="4" w:space="0" w:color="auto"/>
            </w:tcBorders>
          </w:tcPr>
          <w:p w14:paraId="0741F495" w14:textId="798D8F0B"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0850B234"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63F04AE5" w14:textId="77777777" w:rsidTr="005F5AE0">
        <w:trPr>
          <w:jc w:val="center"/>
        </w:trPr>
        <w:tc>
          <w:tcPr>
            <w:tcW w:w="470" w:type="dxa"/>
            <w:tcBorders>
              <w:left w:val="single" w:sz="4" w:space="0" w:color="auto"/>
            </w:tcBorders>
            <w:vAlign w:val="center"/>
          </w:tcPr>
          <w:p w14:paraId="63B61EF3" w14:textId="77777777" w:rsidR="00497DDF" w:rsidRDefault="00497DDF" w:rsidP="00497DDF">
            <w:pPr>
              <w:snapToGrid w:val="0"/>
              <w:spacing w:line="240" w:lineRule="auto"/>
              <w:ind w:firstLineChars="0" w:firstLine="0"/>
              <w:jc w:val="center"/>
              <w:rPr>
                <w:sz w:val="21"/>
                <w:szCs w:val="21"/>
              </w:rPr>
            </w:pPr>
            <w:r>
              <w:rPr>
                <w:rFonts w:hint="eastAsia"/>
                <w:sz w:val="21"/>
                <w:szCs w:val="21"/>
              </w:rPr>
              <w:lastRenderedPageBreak/>
              <w:t>3</w:t>
            </w:r>
          </w:p>
        </w:tc>
        <w:tc>
          <w:tcPr>
            <w:tcW w:w="3461" w:type="dxa"/>
            <w:vAlign w:val="center"/>
          </w:tcPr>
          <w:p w14:paraId="5CCE3F78" w14:textId="77777777" w:rsidR="00497DDF" w:rsidRDefault="00497DDF" w:rsidP="00497DDF">
            <w:pPr>
              <w:snapToGrid w:val="0"/>
              <w:spacing w:line="240" w:lineRule="auto"/>
              <w:ind w:firstLineChars="0" w:firstLine="0"/>
              <w:jc w:val="center"/>
              <w:rPr>
                <w:sz w:val="21"/>
                <w:szCs w:val="21"/>
              </w:rPr>
            </w:pPr>
            <w:r>
              <w:rPr>
                <w:rFonts w:hint="eastAsia"/>
                <w:sz w:val="21"/>
                <w:szCs w:val="21"/>
              </w:rPr>
              <w:t>排土场不应影响露天矿山边坡稳定，不应产生滚石、滑塌等危害。</w:t>
            </w:r>
          </w:p>
        </w:tc>
        <w:tc>
          <w:tcPr>
            <w:tcW w:w="1476" w:type="dxa"/>
            <w:tcBorders>
              <w:right w:val="single" w:sz="4" w:space="0" w:color="auto"/>
            </w:tcBorders>
            <w:vAlign w:val="center"/>
          </w:tcPr>
          <w:p w14:paraId="6F65CDB6" w14:textId="77777777" w:rsidR="00497DDF" w:rsidRDefault="00497DDF" w:rsidP="00497DDF">
            <w:pPr>
              <w:snapToGrid w:val="0"/>
              <w:spacing w:line="240" w:lineRule="auto"/>
              <w:ind w:firstLineChars="0" w:firstLine="0"/>
              <w:jc w:val="center"/>
              <w:rPr>
                <w:sz w:val="21"/>
                <w:szCs w:val="21"/>
              </w:rPr>
            </w:pPr>
            <w:r>
              <w:rPr>
                <w:rFonts w:hint="eastAsia"/>
                <w:sz w:val="21"/>
                <w:szCs w:val="21"/>
              </w:rPr>
              <w:t>GB16423-2020</w:t>
            </w:r>
          </w:p>
          <w:p w14:paraId="2F91A745" w14:textId="77777777" w:rsidR="00497DDF" w:rsidRDefault="00497DDF" w:rsidP="00497DDF">
            <w:pPr>
              <w:snapToGrid w:val="0"/>
              <w:spacing w:line="240" w:lineRule="auto"/>
              <w:ind w:firstLineChars="0" w:firstLine="0"/>
              <w:jc w:val="center"/>
              <w:rPr>
                <w:sz w:val="21"/>
                <w:szCs w:val="21"/>
              </w:rPr>
            </w:pPr>
            <w:r>
              <w:rPr>
                <w:rFonts w:hint="eastAsia"/>
                <w:sz w:val="21"/>
                <w:szCs w:val="21"/>
              </w:rPr>
              <w:t>5.5.1.3</w:t>
            </w:r>
          </w:p>
        </w:tc>
        <w:tc>
          <w:tcPr>
            <w:tcW w:w="2226" w:type="dxa"/>
            <w:tcBorders>
              <w:right w:val="single" w:sz="4" w:space="0" w:color="auto"/>
            </w:tcBorders>
          </w:tcPr>
          <w:p w14:paraId="01CAC821" w14:textId="3EC056EA"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5B6C4718"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28ED06DE" w14:textId="77777777" w:rsidTr="005F5AE0">
        <w:trPr>
          <w:jc w:val="center"/>
        </w:trPr>
        <w:tc>
          <w:tcPr>
            <w:tcW w:w="470" w:type="dxa"/>
            <w:tcBorders>
              <w:left w:val="single" w:sz="4" w:space="0" w:color="auto"/>
            </w:tcBorders>
            <w:vAlign w:val="center"/>
          </w:tcPr>
          <w:p w14:paraId="1476289B" w14:textId="77777777" w:rsidR="00497DDF" w:rsidRDefault="00497DDF" w:rsidP="00497DDF">
            <w:pPr>
              <w:snapToGrid w:val="0"/>
              <w:spacing w:line="240" w:lineRule="auto"/>
              <w:ind w:firstLineChars="0" w:firstLine="0"/>
              <w:jc w:val="center"/>
              <w:rPr>
                <w:sz w:val="21"/>
                <w:szCs w:val="21"/>
              </w:rPr>
            </w:pPr>
            <w:r>
              <w:rPr>
                <w:rFonts w:hint="eastAsia"/>
                <w:sz w:val="21"/>
                <w:szCs w:val="21"/>
              </w:rPr>
              <w:t>4</w:t>
            </w:r>
          </w:p>
        </w:tc>
        <w:tc>
          <w:tcPr>
            <w:tcW w:w="3461" w:type="dxa"/>
            <w:vAlign w:val="center"/>
          </w:tcPr>
          <w:p w14:paraId="14008DFD" w14:textId="77777777" w:rsidR="00497DDF" w:rsidRDefault="00497DDF" w:rsidP="00497DDF">
            <w:pPr>
              <w:snapToGrid w:val="0"/>
              <w:spacing w:line="240" w:lineRule="auto"/>
              <w:ind w:firstLineChars="0" w:firstLine="0"/>
              <w:jc w:val="center"/>
              <w:rPr>
                <w:sz w:val="21"/>
                <w:szCs w:val="21"/>
              </w:rPr>
            </w:pPr>
            <w:r>
              <w:rPr>
                <w:rFonts w:hint="eastAsia"/>
                <w:sz w:val="21"/>
                <w:szCs w:val="21"/>
              </w:rPr>
              <w:t>排土场应靠近采场</w:t>
            </w:r>
          </w:p>
        </w:tc>
        <w:tc>
          <w:tcPr>
            <w:tcW w:w="1476" w:type="dxa"/>
            <w:tcBorders>
              <w:right w:val="single" w:sz="4" w:space="0" w:color="auto"/>
            </w:tcBorders>
            <w:vAlign w:val="center"/>
          </w:tcPr>
          <w:p w14:paraId="7453E7EB" w14:textId="77777777" w:rsidR="00497DDF" w:rsidRDefault="00497DDF" w:rsidP="00497DDF">
            <w:pPr>
              <w:pStyle w:val="a0"/>
              <w:rPr>
                <w:szCs w:val="21"/>
              </w:rPr>
            </w:pPr>
            <w:r>
              <w:rPr>
                <w:rFonts w:hint="eastAsia"/>
                <w:szCs w:val="21"/>
              </w:rPr>
              <w:t>GB51119-2015</w:t>
            </w:r>
          </w:p>
          <w:p w14:paraId="51F50760" w14:textId="77777777" w:rsidR="00497DDF" w:rsidRDefault="00497DDF" w:rsidP="00497DDF">
            <w:pPr>
              <w:pStyle w:val="a0"/>
              <w:rPr>
                <w:szCs w:val="21"/>
              </w:rPr>
            </w:pPr>
            <w:r>
              <w:rPr>
                <w:rFonts w:hint="eastAsia"/>
                <w:szCs w:val="21"/>
              </w:rPr>
              <w:t>4.2.3</w:t>
            </w:r>
          </w:p>
        </w:tc>
        <w:tc>
          <w:tcPr>
            <w:tcW w:w="2226" w:type="dxa"/>
            <w:tcBorders>
              <w:right w:val="single" w:sz="4" w:space="0" w:color="auto"/>
            </w:tcBorders>
          </w:tcPr>
          <w:p w14:paraId="4028C205" w14:textId="05E4493E"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76A812FA"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2ED9DD42" w14:textId="77777777" w:rsidTr="005F5AE0">
        <w:trPr>
          <w:jc w:val="center"/>
        </w:trPr>
        <w:tc>
          <w:tcPr>
            <w:tcW w:w="470" w:type="dxa"/>
            <w:tcBorders>
              <w:left w:val="single" w:sz="4" w:space="0" w:color="auto"/>
            </w:tcBorders>
            <w:vAlign w:val="center"/>
          </w:tcPr>
          <w:p w14:paraId="282D4AD7" w14:textId="77777777" w:rsidR="00497DDF" w:rsidRDefault="00497DDF" w:rsidP="00497DDF">
            <w:pPr>
              <w:snapToGrid w:val="0"/>
              <w:spacing w:line="240" w:lineRule="auto"/>
              <w:ind w:firstLineChars="0" w:firstLine="0"/>
              <w:jc w:val="center"/>
              <w:rPr>
                <w:sz w:val="21"/>
                <w:szCs w:val="21"/>
              </w:rPr>
            </w:pPr>
            <w:r>
              <w:rPr>
                <w:rFonts w:hint="eastAsia"/>
                <w:sz w:val="21"/>
                <w:szCs w:val="21"/>
              </w:rPr>
              <w:t>5</w:t>
            </w:r>
          </w:p>
        </w:tc>
        <w:tc>
          <w:tcPr>
            <w:tcW w:w="3461" w:type="dxa"/>
            <w:vAlign w:val="center"/>
          </w:tcPr>
          <w:p w14:paraId="6C9CEBED" w14:textId="77777777" w:rsidR="00497DDF" w:rsidRDefault="00497DDF" w:rsidP="00497DDF">
            <w:pPr>
              <w:snapToGrid w:val="0"/>
              <w:spacing w:line="240" w:lineRule="auto"/>
              <w:ind w:firstLineChars="0" w:firstLine="0"/>
              <w:jc w:val="center"/>
              <w:rPr>
                <w:sz w:val="21"/>
                <w:szCs w:val="21"/>
              </w:rPr>
            </w:pPr>
            <w:r>
              <w:rPr>
                <w:rFonts w:hint="eastAsia"/>
                <w:sz w:val="21"/>
                <w:szCs w:val="21"/>
              </w:rPr>
              <w:t>排土场设计应进行现场勘查或工程地质、水文地质勘查工作</w:t>
            </w:r>
          </w:p>
        </w:tc>
        <w:tc>
          <w:tcPr>
            <w:tcW w:w="1476" w:type="dxa"/>
            <w:tcBorders>
              <w:right w:val="single" w:sz="4" w:space="0" w:color="auto"/>
            </w:tcBorders>
            <w:vAlign w:val="center"/>
          </w:tcPr>
          <w:p w14:paraId="5B13CA6C" w14:textId="77777777" w:rsidR="00497DDF" w:rsidRDefault="00497DDF" w:rsidP="00497DDF">
            <w:pPr>
              <w:snapToGrid w:val="0"/>
              <w:spacing w:line="240" w:lineRule="auto"/>
              <w:ind w:firstLineChars="0" w:firstLine="0"/>
              <w:jc w:val="center"/>
              <w:rPr>
                <w:sz w:val="21"/>
                <w:szCs w:val="21"/>
              </w:rPr>
            </w:pPr>
            <w:r>
              <w:rPr>
                <w:rFonts w:hint="eastAsia"/>
                <w:sz w:val="21"/>
                <w:szCs w:val="21"/>
              </w:rPr>
              <w:t>GB51119-2015</w:t>
            </w:r>
          </w:p>
          <w:p w14:paraId="21497DA8" w14:textId="77777777" w:rsidR="00497DDF" w:rsidRDefault="00497DDF" w:rsidP="00497DDF">
            <w:pPr>
              <w:pStyle w:val="a0"/>
              <w:rPr>
                <w:szCs w:val="21"/>
              </w:rPr>
            </w:pPr>
            <w:r>
              <w:rPr>
                <w:rFonts w:hint="eastAsia"/>
                <w:szCs w:val="21"/>
              </w:rPr>
              <w:t>.3.1.4</w:t>
            </w:r>
          </w:p>
        </w:tc>
        <w:tc>
          <w:tcPr>
            <w:tcW w:w="2226" w:type="dxa"/>
            <w:tcBorders>
              <w:right w:val="single" w:sz="4" w:space="0" w:color="auto"/>
            </w:tcBorders>
          </w:tcPr>
          <w:p w14:paraId="1B666981" w14:textId="56566EE1"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42EA3AAD"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63AB26E4" w14:textId="77777777" w:rsidTr="005F5AE0">
        <w:trPr>
          <w:jc w:val="center"/>
        </w:trPr>
        <w:tc>
          <w:tcPr>
            <w:tcW w:w="470" w:type="dxa"/>
            <w:tcBorders>
              <w:left w:val="single" w:sz="4" w:space="0" w:color="auto"/>
            </w:tcBorders>
            <w:vAlign w:val="center"/>
          </w:tcPr>
          <w:p w14:paraId="770A01B8" w14:textId="77777777" w:rsidR="00497DDF" w:rsidRDefault="00497DDF" w:rsidP="00497DDF">
            <w:pPr>
              <w:snapToGrid w:val="0"/>
              <w:spacing w:line="240" w:lineRule="auto"/>
              <w:ind w:firstLineChars="0" w:firstLine="0"/>
              <w:jc w:val="center"/>
              <w:rPr>
                <w:sz w:val="21"/>
                <w:szCs w:val="21"/>
              </w:rPr>
            </w:pPr>
            <w:r>
              <w:rPr>
                <w:rFonts w:hint="eastAsia"/>
                <w:sz w:val="21"/>
                <w:szCs w:val="21"/>
              </w:rPr>
              <w:t>6</w:t>
            </w:r>
          </w:p>
        </w:tc>
        <w:tc>
          <w:tcPr>
            <w:tcW w:w="3461" w:type="dxa"/>
            <w:vAlign w:val="center"/>
          </w:tcPr>
          <w:p w14:paraId="55F0DA64" w14:textId="77777777" w:rsidR="00497DDF" w:rsidRDefault="00497DDF" w:rsidP="00497DDF">
            <w:pPr>
              <w:snapToGrid w:val="0"/>
              <w:spacing w:line="240" w:lineRule="auto"/>
              <w:ind w:firstLineChars="0" w:firstLine="0"/>
              <w:jc w:val="center"/>
              <w:rPr>
                <w:sz w:val="21"/>
                <w:szCs w:val="21"/>
              </w:rPr>
            </w:pPr>
            <w:r>
              <w:rPr>
                <w:sz w:val="21"/>
                <w:szCs w:val="21"/>
              </w:rPr>
              <w:t>内部排土场不应影响矿山正常开采和边坡稳定，排土场坡脚与开采作业点之间应留设安全距离，必要时设置滚石或泥石流拦挡设施。</w:t>
            </w:r>
          </w:p>
        </w:tc>
        <w:tc>
          <w:tcPr>
            <w:tcW w:w="1476" w:type="dxa"/>
            <w:tcBorders>
              <w:right w:val="single" w:sz="4" w:space="0" w:color="auto"/>
            </w:tcBorders>
            <w:vAlign w:val="center"/>
          </w:tcPr>
          <w:p w14:paraId="13F7138F" w14:textId="77777777" w:rsidR="00497DDF" w:rsidRDefault="00497DDF" w:rsidP="00497DDF">
            <w:pPr>
              <w:pStyle w:val="a0"/>
              <w:rPr>
                <w:szCs w:val="21"/>
              </w:rPr>
            </w:pPr>
            <w:r>
              <w:rPr>
                <w:rFonts w:hint="eastAsia"/>
                <w:szCs w:val="21"/>
              </w:rPr>
              <w:t>GB51119-2015</w:t>
            </w:r>
          </w:p>
          <w:p w14:paraId="08B617A4" w14:textId="77777777" w:rsidR="00497DDF" w:rsidRDefault="00497DDF" w:rsidP="00497DDF">
            <w:pPr>
              <w:pStyle w:val="a0"/>
              <w:rPr>
                <w:szCs w:val="21"/>
              </w:rPr>
            </w:pPr>
            <w:r>
              <w:rPr>
                <w:rFonts w:hint="eastAsia"/>
                <w:szCs w:val="21"/>
              </w:rPr>
              <w:t>5.1.5</w:t>
            </w:r>
          </w:p>
        </w:tc>
        <w:tc>
          <w:tcPr>
            <w:tcW w:w="2226" w:type="dxa"/>
            <w:tcBorders>
              <w:right w:val="single" w:sz="4" w:space="0" w:color="auto"/>
            </w:tcBorders>
          </w:tcPr>
          <w:p w14:paraId="4CB59504" w14:textId="107AC0DF" w:rsidR="00497DDF" w:rsidRDefault="00497DDF" w:rsidP="00497DDF">
            <w:pPr>
              <w:snapToGrid w:val="0"/>
              <w:spacing w:line="240" w:lineRule="auto"/>
              <w:ind w:firstLineChars="0" w:firstLine="0"/>
              <w:jc w:val="center"/>
              <w:rPr>
                <w:sz w:val="21"/>
                <w:szCs w:val="21"/>
              </w:rPr>
            </w:pPr>
            <w:r w:rsidRPr="00980A7B">
              <w:rPr>
                <w:rFonts w:hint="eastAsia"/>
              </w:rPr>
              <w:t>xxxxx</w:t>
            </w:r>
          </w:p>
        </w:tc>
        <w:tc>
          <w:tcPr>
            <w:tcW w:w="889" w:type="dxa"/>
            <w:tcBorders>
              <w:right w:val="single" w:sz="4" w:space="0" w:color="auto"/>
            </w:tcBorders>
            <w:vAlign w:val="center"/>
          </w:tcPr>
          <w:p w14:paraId="6D229B42"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bl>
    <w:p w14:paraId="37FFD2AB" w14:textId="77777777" w:rsidR="008D7DB0" w:rsidRDefault="00000000">
      <w:pPr>
        <w:ind w:firstLine="560"/>
      </w:pPr>
      <w:r>
        <w:t>由以上检查表分析可知，《</w:t>
      </w:r>
      <w:r>
        <w:rPr>
          <w:rFonts w:hint="eastAsia"/>
        </w:rPr>
        <w:t>初步重大设计变更</w:t>
      </w:r>
      <w:r>
        <w:t>》充分考虑了</w:t>
      </w:r>
      <w:r>
        <w:rPr>
          <w:rFonts w:hint="eastAsia"/>
        </w:rPr>
        <w:t>场址选择</w:t>
      </w:r>
      <w:r>
        <w:t>方面潜在的危险、有害因素，由安全检查表得出的结论为：该项目选址合理</w:t>
      </w:r>
      <w:r>
        <w:rPr>
          <w:rFonts w:hint="eastAsia"/>
        </w:rPr>
        <w:t>。</w:t>
      </w:r>
    </w:p>
    <w:p w14:paraId="6C41BBCA" w14:textId="203E163C" w:rsidR="008D7DB0" w:rsidRDefault="00000000">
      <w:pPr>
        <w:pStyle w:val="3"/>
      </w:pPr>
      <w:bookmarkStart w:id="164" w:name="_Toc406688056"/>
      <w:bookmarkStart w:id="165" w:name="_Toc25921"/>
      <w:bookmarkStart w:id="166" w:name="_Toc174533734"/>
      <w:bookmarkStart w:id="167" w:name="_Toc1679"/>
      <w:bookmarkStart w:id="168" w:name="_Toc2924"/>
      <w:bookmarkStart w:id="169" w:name="_Toc5706"/>
      <w:bookmarkStart w:id="170" w:name="_Toc294674096"/>
      <w:bookmarkStart w:id="171" w:name="_Toc15146"/>
      <w:bookmarkStart w:id="172" w:name="_Toc170806171"/>
      <w:bookmarkStart w:id="173" w:name="_Toc11199"/>
      <w:bookmarkStart w:id="174" w:name="_Toc166671600"/>
      <w:bookmarkStart w:id="175" w:name="_Toc205883252"/>
      <w:r>
        <w:t>3.1.</w:t>
      </w:r>
      <w:r w:rsidR="004E7858">
        <w:rPr>
          <w:rFonts w:hint="eastAsia"/>
        </w:rPr>
        <w:t>3</w:t>
      </w:r>
      <w:r>
        <w:t>边环境子单元</w:t>
      </w:r>
      <w:bookmarkEnd w:id="164"/>
      <w:bookmarkEnd w:id="165"/>
      <w:bookmarkEnd w:id="166"/>
      <w:bookmarkEnd w:id="167"/>
      <w:bookmarkEnd w:id="168"/>
      <w:bookmarkEnd w:id="169"/>
      <w:bookmarkEnd w:id="170"/>
      <w:bookmarkEnd w:id="171"/>
      <w:bookmarkEnd w:id="172"/>
      <w:bookmarkEnd w:id="173"/>
      <w:bookmarkEnd w:id="174"/>
      <w:bookmarkEnd w:id="175"/>
    </w:p>
    <w:p w14:paraId="30CE3423" w14:textId="06071ACD" w:rsidR="008D7DB0" w:rsidRDefault="00000000">
      <w:pPr>
        <w:ind w:firstLine="560"/>
      </w:pPr>
      <w:bookmarkStart w:id="176" w:name="_Toc174533735"/>
      <w:bookmarkStart w:id="177" w:name="_Toc6079"/>
      <w:bookmarkStart w:id="178" w:name="_Toc10787"/>
      <w:bookmarkStart w:id="179" w:name="_Toc11838"/>
      <w:bookmarkStart w:id="180" w:name="_Toc15039"/>
      <w:bookmarkStart w:id="181" w:name="_Toc170806172"/>
      <w:bookmarkStart w:id="182" w:name="_Toc25566"/>
      <w:bookmarkStart w:id="183" w:name="_Toc166671601"/>
      <w:r>
        <w:rPr>
          <w:rFonts w:hint="eastAsia"/>
        </w:rPr>
        <w:t>排土场周边环境</w:t>
      </w:r>
    </w:p>
    <w:p w14:paraId="3D69033E" w14:textId="02BCE481" w:rsidR="00EF2B8D" w:rsidRDefault="00EF2B8D" w:rsidP="00EF2B8D">
      <w:pPr>
        <w:adjustRightInd w:val="0"/>
        <w:snapToGrid w:val="0"/>
        <w:ind w:firstLine="560"/>
      </w:pPr>
      <w:r>
        <w:rPr>
          <w:rFonts w:hint="eastAsia"/>
        </w:rPr>
        <w:t>排土场范围内西南侧为原有排土场，利用原有排土场向东北侧扩大排土面积，对现有排土场范围内顶部不进行加高，排土场南侧现有堆存高度为</w:t>
      </w:r>
      <w:r>
        <w:rPr>
          <w:rFonts w:hint="eastAsia"/>
        </w:rPr>
        <w:t>103m</w:t>
      </w:r>
      <w:r>
        <w:rPr>
          <w:rFonts w:hint="eastAsia"/>
        </w:rPr>
        <w:t>（顶部标高</w:t>
      </w:r>
      <w:r>
        <w:rPr>
          <w:rFonts w:hint="eastAsia"/>
        </w:rPr>
        <w:t>523m</w:t>
      </w:r>
      <w:r>
        <w:rPr>
          <w:rFonts w:hint="eastAsia"/>
        </w:rPr>
        <w:t>，底部标高</w:t>
      </w:r>
      <w:r>
        <w:rPr>
          <w:rFonts w:hint="eastAsia"/>
        </w:rPr>
        <w:t>420m</w:t>
      </w:r>
      <w:r>
        <w:rPr>
          <w:rFonts w:hint="eastAsia"/>
        </w:rPr>
        <w:t>），南侧下游的宿舍楼已进行迁移，因此排土场对宿舍楼无影响，排土场西侧有碎石加工车间，距离最近距离约为</w:t>
      </w:r>
      <w:r>
        <w:rPr>
          <w:rFonts w:hint="eastAsia"/>
        </w:rPr>
        <w:t>146m</w:t>
      </w:r>
      <w:r>
        <w:rPr>
          <w:rFonts w:hint="eastAsia"/>
        </w:rPr>
        <w:t>，该方向排土场最大堆高</w:t>
      </w:r>
      <w:r>
        <w:rPr>
          <w:rFonts w:hint="eastAsia"/>
        </w:rPr>
        <w:t>51m</w:t>
      </w:r>
      <w:r>
        <w:rPr>
          <w:rFonts w:hint="eastAsia"/>
        </w:rPr>
        <w:t>，远大于二倍堆高距离，满足安全生产要求。排土场西南侧为露天采场，与排土场最近距离为</w:t>
      </w:r>
      <w:r>
        <w:rPr>
          <w:rFonts w:hint="eastAsia"/>
        </w:rPr>
        <w:t>466m</w:t>
      </w:r>
      <w:r>
        <w:rPr>
          <w:rFonts w:hint="eastAsia"/>
        </w:rPr>
        <w:t>，因此该排土场对露天采场无影响。</w:t>
      </w:r>
      <w:r>
        <w:rPr>
          <w:rFonts w:hint="eastAsia"/>
        </w:rPr>
        <w:t xml:space="preserve"> </w:t>
      </w:r>
    </w:p>
    <w:p w14:paraId="00AE311A" w14:textId="2396CAF5" w:rsidR="00EF2B8D" w:rsidRDefault="00EF2B8D" w:rsidP="00EF2B8D">
      <w:pPr>
        <w:adjustRightInd w:val="0"/>
        <w:snapToGrid w:val="0"/>
        <w:ind w:firstLine="560"/>
      </w:pPr>
      <w:r>
        <w:rPr>
          <w:rFonts w:hint="eastAsia"/>
        </w:rPr>
        <w:t>排土场单台阶坡面角为</w:t>
      </w:r>
      <w:r>
        <w:rPr>
          <w:rFonts w:hint="eastAsia"/>
        </w:rPr>
        <w:t>38</w:t>
      </w:r>
      <w:r>
        <w:rPr>
          <w:rFonts w:hint="eastAsia"/>
        </w:rPr>
        <w:t>°，各个台阶之间留设不小于</w:t>
      </w:r>
      <w:r>
        <w:rPr>
          <w:rFonts w:hint="eastAsia"/>
        </w:rPr>
        <w:t>6m</w:t>
      </w:r>
      <w:r>
        <w:rPr>
          <w:rFonts w:hint="eastAsia"/>
        </w:rPr>
        <w:t>安全平台，最终边坡角为</w:t>
      </w:r>
      <w:r>
        <w:rPr>
          <w:rFonts w:hint="eastAsia"/>
        </w:rPr>
        <w:t>17-29</w:t>
      </w:r>
      <w:r>
        <w:rPr>
          <w:rFonts w:hint="eastAsia"/>
        </w:rPr>
        <w:t>°，小于自然安息角</w:t>
      </w:r>
      <w:r>
        <w:rPr>
          <w:rFonts w:hint="eastAsia"/>
        </w:rPr>
        <w:t>38</w:t>
      </w:r>
      <w:r>
        <w:rPr>
          <w:rFonts w:hint="eastAsia"/>
        </w:rPr>
        <w:t>°。</w:t>
      </w:r>
    </w:p>
    <w:p w14:paraId="359E622D" w14:textId="77777777" w:rsidR="00EF2B8D" w:rsidRDefault="00EF2B8D" w:rsidP="00EF2B8D">
      <w:pPr>
        <w:adjustRightInd w:val="0"/>
        <w:snapToGrid w:val="0"/>
        <w:ind w:firstLine="560"/>
      </w:pPr>
      <w:r>
        <w:rPr>
          <w:rFonts w:hint="eastAsia"/>
        </w:rPr>
        <w:t>2025</w:t>
      </w:r>
      <w:r>
        <w:rPr>
          <w:rFonts w:hint="eastAsia"/>
        </w:rPr>
        <w:t>年</w:t>
      </w:r>
      <w:r>
        <w:rPr>
          <w:rFonts w:hint="eastAsia"/>
        </w:rPr>
        <w:t>6</w:t>
      </w:r>
      <w:r>
        <w:rPr>
          <w:rFonts w:hint="eastAsia"/>
        </w:rPr>
        <w:t>月，辽宁诺诚安全科技有限公司根据《北票市富贵鸟矿业有限公司排土场岩土工程勘察报告》及企业现在施工记录，施工初期企业对排土场基底进行剥离（详见：排土场基底剥离复查记录），</w:t>
      </w:r>
      <w:r>
        <w:rPr>
          <w:rFonts w:hint="eastAsia"/>
        </w:rPr>
        <w:lastRenderedPageBreak/>
        <w:t>编制完成了《北票市富贵鸟矿业有限公司铁帽子采区排土场安全现状评价报告》，结论如下：“北票市富贵鸟矿业有限公司铁帽子采区排土场现状情况下是安全稳定的，该排土场现状情况下对下游建构筑物无影响，满足安全生产要求。”</w:t>
      </w:r>
    </w:p>
    <w:p w14:paraId="182926E0" w14:textId="6AF4E548" w:rsidR="00EF2B8D" w:rsidRDefault="00EF2B8D" w:rsidP="00EF2B8D">
      <w:pPr>
        <w:adjustRightInd w:val="0"/>
        <w:snapToGrid w:val="0"/>
        <w:ind w:firstLine="560"/>
      </w:pPr>
      <w:r>
        <w:rPr>
          <w:rFonts w:hint="eastAsia"/>
        </w:rPr>
        <w:t>南侧下游为企业自用通往工业场地的道路，距离道路最近距离约为</w:t>
      </w:r>
      <w:r>
        <w:rPr>
          <w:rFonts w:hint="eastAsia"/>
        </w:rPr>
        <w:t>8m</w:t>
      </w:r>
      <w:r>
        <w:rPr>
          <w:rFonts w:hint="eastAsia"/>
        </w:rPr>
        <w:t>。经现场踏勘，企业现已根据《北票市富贵鸟矿业有限公司治理工程初步设计》对排土场下游道路两侧现已修筑挡墙，挡墙总长度达到</w:t>
      </w:r>
      <w:r>
        <w:rPr>
          <w:rFonts w:hint="eastAsia"/>
        </w:rPr>
        <w:t>2.0km</w:t>
      </w:r>
      <w:r>
        <w:rPr>
          <w:rFonts w:hint="eastAsia"/>
        </w:rPr>
        <w:t>，挡墙规格详见下图。</w:t>
      </w:r>
    </w:p>
    <w:p w14:paraId="7DC52C19" w14:textId="77777777" w:rsidR="00EF2B8D" w:rsidRDefault="00EF2B8D" w:rsidP="00EF2B8D">
      <w:pPr>
        <w:adjustRightInd w:val="0"/>
        <w:snapToGrid w:val="0"/>
        <w:ind w:firstLine="560"/>
      </w:pPr>
      <w:r>
        <w:rPr>
          <w:rFonts w:hint="eastAsia"/>
        </w:rPr>
        <w:t>挡墙：挡墙顶宽</w:t>
      </w:r>
      <w:r>
        <w:rPr>
          <w:rFonts w:hint="eastAsia"/>
        </w:rPr>
        <w:t>0.6m</w:t>
      </w:r>
      <w:r>
        <w:rPr>
          <w:rFonts w:hint="eastAsia"/>
        </w:rPr>
        <w:t>，墙身高</w:t>
      </w:r>
      <w:r>
        <w:rPr>
          <w:rFonts w:hint="eastAsia"/>
        </w:rPr>
        <w:t>2.5m</w:t>
      </w:r>
      <w:r>
        <w:rPr>
          <w:rFonts w:hint="eastAsia"/>
        </w:rPr>
        <w:t>，基础埋深</w:t>
      </w:r>
      <w:r>
        <w:rPr>
          <w:rFonts w:hint="eastAsia"/>
        </w:rPr>
        <w:t>1.5m</w:t>
      </w:r>
      <w:r>
        <w:rPr>
          <w:rFonts w:hint="eastAsia"/>
        </w:rPr>
        <w:t>，墙顶为</w:t>
      </w:r>
      <w:r>
        <w:rPr>
          <w:rFonts w:hint="eastAsia"/>
        </w:rPr>
        <w:t xml:space="preserve"> 10cm</w:t>
      </w:r>
      <w:r>
        <w:rPr>
          <w:rFonts w:hint="eastAsia"/>
        </w:rPr>
        <w:t>厚</w:t>
      </w:r>
      <w:r>
        <w:rPr>
          <w:rFonts w:hint="eastAsia"/>
        </w:rPr>
        <w:t>C25</w:t>
      </w:r>
      <w:r>
        <w:rPr>
          <w:rFonts w:hint="eastAsia"/>
        </w:rPr>
        <w:t>细石砼压顶，砼压顶上方砌筑浆砌砖城墙垛口，浆砌砖垛宽</w:t>
      </w:r>
      <w:r>
        <w:rPr>
          <w:rFonts w:hint="eastAsia"/>
        </w:rPr>
        <w:t>0.5m</w:t>
      </w:r>
      <w:r>
        <w:rPr>
          <w:rFonts w:hint="eastAsia"/>
        </w:rPr>
        <w:t>、全高</w:t>
      </w:r>
      <w:r>
        <w:rPr>
          <w:rFonts w:hint="eastAsia"/>
        </w:rPr>
        <w:t>0.5m</w:t>
      </w:r>
      <w:r>
        <w:rPr>
          <w:rFonts w:hint="eastAsia"/>
        </w:rPr>
        <w:t>；挡墙及垛口砌筑砂浆标号为</w:t>
      </w:r>
      <w:r>
        <w:rPr>
          <w:rFonts w:hint="eastAsia"/>
        </w:rPr>
        <w:t xml:space="preserve">M10 </w:t>
      </w:r>
      <w:r>
        <w:rPr>
          <w:rFonts w:hint="eastAsia"/>
        </w:rPr>
        <w:t>。</w:t>
      </w:r>
      <w:r>
        <w:rPr>
          <w:rFonts w:hint="eastAsia"/>
        </w:rPr>
        <w:t xml:space="preserve"> </w:t>
      </w:r>
    </w:p>
    <w:p w14:paraId="0A17CA88" w14:textId="20DB38D0" w:rsidR="008D7DB0" w:rsidRDefault="00EF2B8D" w:rsidP="00EF2B8D">
      <w:pPr>
        <w:adjustRightInd w:val="0"/>
        <w:snapToGrid w:val="0"/>
        <w:ind w:firstLine="560"/>
      </w:pPr>
      <w:r>
        <w:rPr>
          <w:rFonts w:hint="eastAsia"/>
        </w:rPr>
        <w:t>对现有排土场范围不再进行加高，通过上述《工程勘察报告》、《现状评价报告》、“基底剥离复查记录”、“排土场边坡稳定分析报告”及矿山企业已经修建的</w:t>
      </w:r>
      <w:r>
        <w:rPr>
          <w:rFonts w:hint="eastAsia"/>
        </w:rPr>
        <w:t>2.0km</w:t>
      </w:r>
      <w:r>
        <w:rPr>
          <w:rFonts w:hint="eastAsia"/>
        </w:rPr>
        <w:t>挡墙，该排土场对下游建构筑物无影响，满足安全生产要求（与现状评价结论一致）</w:t>
      </w:r>
      <w:r w:rsidR="002F5496" w:rsidRPr="002F5496">
        <w:rPr>
          <w:rFonts w:hint="eastAsia"/>
        </w:rPr>
        <w:t>。</w:t>
      </w:r>
    </w:p>
    <w:p w14:paraId="6EB990D0" w14:textId="77777777" w:rsidR="004E7858" w:rsidRDefault="004E7858" w:rsidP="004E7858">
      <w:pPr>
        <w:pStyle w:val="a0"/>
      </w:pPr>
    </w:p>
    <w:p w14:paraId="65273C24" w14:textId="5045DFFC" w:rsidR="004E7858" w:rsidRDefault="004E7858" w:rsidP="004E7858">
      <w:pPr>
        <w:ind w:firstLine="560"/>
      </w:pPr>
    </w:p>
    <w:p w14:paraId="347BE946" w14:textId="77777777" w:rsidR="004E7858" w:rsidRPr="004E7858" w:rsidRDefault="004E7858" w:rsidP="004E7858">
      <w:pPr>
        <w:pStyle w:val="a0"/>
        <w:rPr>
          <w:b/>
          <w:bCs/>
        </w:rPr>
      </w:pPr>
      <w:r w:rsidRPr="004E7858">
        <w:rPr>
          <w:rFonts w:hint="eastAsia"/>
          <w:b/>
          <w:bCs/>
        </w:rPr>
        <w:t>挡墙示意图</w:t>
      </w:r>
    </w:p>
    <w:p w14:paraId="4DC18844" w14:textId="77777777" w:rsidR="008D7DB0" w:rsidRDefault="00000000">
      <w:pPr>
        <w:adjustRightInd w:val="0"/>
        <w:snapToGrid w:val="0"/>
        <w:spacing w:beforeLines="50" w:before="120"/>
        <w:ind w:firstLineChars="0" w:firstLine="0"/>
        <w:jc w:val="center"/>
        <w:rPr>
          <w:rFonts w:cs="宋体"/>
          <w:sz w:val="21"/>
          <w:szCs w:val="21"/>
        </w:rPr>
      </w:pPr>
      <w:r>
        <w:rPr>
          <w:rFonts w:cs="宋体" w:hint="eastAsia"/>
          <w:sz w:val="21"/>
          <w:szCs w:val="21"/>
        </w:rPr>
        <w:t>表</w:t>
      </w:r>
      <w:r>
        <w:rPr>
          <w:rFonts w:cs="宋体" w:hint="eastAsia"/>
          <w:sz w:val="21"/>
          <w:szCs w:val="21"/>
        </w:rPr>
        <w:t>3.1-2</w:t>
      </w:r>
      <w:r>
        <w:rPr>
          <w:rFonts w:cs="宋体" w:hint="eastAsia"/>
          <w:sz w:val="21"/>
          <w:szCs w:val="21"/>
        </w:rPr>
        <w:t>周边环境子单元安全检查表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0"/>
        <w:gridCol w:w="3461"/>
        <w:gridCol w:w="1476"/>
        <w:gridCol w:w="2226"/>
        <w:gridCol w:w="889"/>
      </w:tblGrid>
      <w:tr w:rsidR="00497DDF" w14:paraId="34544D70" w14:textId="77777777" w:rsidTr="00E30064">
        <w:trPr>
          <w:tblHeader/>
          <w:jc w:val="center"/>
        </w:trPr>
        <w:tc>
          <w:tcPr>
            <w:tcW w:w="470" w:type="dxa"/>
            <w:tcBorders>
              <w:left w:val="single" w:sz="4" w:space="0" w:color="auto"/>
            </w:tcBorders>
            <w:vAlign w:val="center"/>
          </w:tcPr>
          <w:p w14:paraId="14956FC6" w14:textId="77777777" w:rsidR="00497DDF" w:rsidRDefault="00497DDF" w:rsidP="00497DDF">
            <w:pPr>
              <w:snapToGrid w:val="0"/>
              <w:spacing w:line="240" w:lineRule="auto"/>
              <w:ind w:firstLineChars="0" w:firstLine="0"/>
              <w:jc w:val="center"/>
              <w:rPr>
                <w:sz w:val="21"/>
                <w:szCs w:val="21"/>
              </w:rPr>
            </w:pPr>
            <w:r>
              <w:rPr>
                <w:rFonts w:hint="eastAsia"/>
                <w:sz w:val="21"/>
                <w:szCs w:val="21"/>
              </w:rPr>
              <w:t>编号</w:t>
            </w:r>
          </w:p>
        </w:tc>
        <w:tc>
          <w:tcPr>
            <w:tcW w:w="3461" w:type="dxa"/>
            <w:vAlign w:val="center"/>
          </w:tcPr>
          <w:p w14:paraId="43EDB4F4" w14:textId="77777777" w:rsidR="00497DDF" w:rsidRDefault="00497DDF" w:rsidP="00497DDF">
            <w:pPr>
              <w:snapToGrid w:val="0"/>
              <w:spacing w:line="240" w:lineRule="auto"/>
              <w:ind w:firstLineChars="0" w:firstLine="0"/>
              <w:jc w:val="center"/>
              <w:rPr>
                <w:sz w:val="21"/>
                <w:szCs w:val="21"/>
              </w:rPr>
            </w:pPr>
            <w:r>
              <w:rPr>
                <w:rFonts w:hint="eastAsia"/>
                <w:sz w:val="21"/>
                <w:szCs w:val="21"/>
              </w:rPr>
              <w:t>评价内容</w:t>
            </w:r>
          </w:p>
        </w:tc>
        <w:tc>
          <w:tcPr>
            <w:tcW w:w="1476" w:type="dxa"/>
            <w:tcBorders>
              <w:right w:val="single" w:sz="4" w:space="0" w:color="auto"/>
            </w:tcBorders>
            <w:vAlign w:val="center"/>
          </w:tcPr>
          <w:p w14:paraId="1143CD0F" w14:textId="77777777" w:rsidR="00497DDF" w:rsidRDefault="00497DDF" w:rsidP="00497DDF">
            <w:pPr>
              <w:snapToGrid w:val="0"/>
              <w:spacing w:line="240" w:lineRule="auto"/>
              <w:ind w:firstLineChars="0" w:firstLine="0"/>
              <w:jc w:val="center"/>
              <w:rPr>
                <w:sz w:val="21"/>
                <w:szCs w:val="21"/>
              </w:rPr>
            </w:pPr>
            <w:r>
              <w:rPr>
                <w:rFonts w:hint="eastAsia"/>
                <w:sz w:val="21"/>
                <w:szCs w:val="21"/>
              </w:rPr>
              <w:t>依据标准</w:t>
            </w:r>
          </w:p>
          <w:p w14:paraId="711E78CF" w14:textId="77777777" w:rsidR="00497DDF" w:rsidRDefault="00497DDF" w:rsidP="00497DDF">
            <w:pPr>
              <w:snapToGrid w:val="0"/>
              <w:spacing w:line="240" w:lineRule="auto"/>
              <w:ind w:firstLineChars="0" w:firstLine="0"/>
              <w:jc w:val="center"/>
              <w:rPr>
                <w:sz w:val="21"/>
                <w:szCs w:val="21"/>
              </w:rPr>
            </w:pPr>
            <w:r>
              <w:rPr>
                <w:rFonts w:hint="eastAsia"/>
                <w:sz w:val="21"/>
                <w:szCs w:val="21"/>
              </w:rPr>
              <w:t>条款</w:t>
            </w:r>
          </w:p>
        </w:tc>
        <w:tc>
          <w:tcPr>
            <w:tcW w:w="2226" w:type="dxa"/>
            <w:tcBorders>
              <w:right w:val="single" w:sz="4" w:space="0" w:color="auto"/>
            </w:tcBorders>
          </w:tcPr>
          <w:p w14:paraId="390D9E87" w14:textId="31029CED" w:rsidR="00497DDF" w:rsidRDefault="00497DDF" w:rsidP="00497DDF">
            <w:pPr>
              <w:snapToGrid w:val="0"/>
              <w:spacing w:line="240" w:lineRule="auto"/>
              <w:ind w:firstLineChars="0" w:firstLine="0"/>
              <w:jc w:val="center"/>
              <w:rPr>
                <w:sz w:val="21"/>
                <w:szCs w:val="21"/>
              </w:rPr>
            </w:pPr>
            <w:r w:rsidRPr="005344B7">
              <w:rPr>
                <w:rFonts w:hint="eastAsia"/>
              </w:rPr>
              <w:t>xxxxx</w:t>
            </w:r>
          </w:p>
        </w:tc>
        <w:tc>
          <w:tcPr>
            <w:tcW w:w="889" w:type="dxa"/>
            <w:tcBorders>
              <w:right w:val="single" w:sz="4" w:space="0" w:color="auto"/>
            </w:tcBorders>
            <w:vAlign w:val="center"/>
          </w:tcPr>
          <w:p w14:paraId="5A87684C" w14:textId="77777777" w:rsidR="00497DDF" w:rsidRDefault="00497DDF" w:rsidP="00497DDF">
            <w:pPr>
              <w:snapToGrid w:val="0"/>
              <w:spacing w:line="240" w:lineRule="auto"/>
              <w:ind w:firstLineChars="0" w:firstLine="0"/>
              <w:jc w:val="center"/>
              <w:rPr>
                <w:sz w:val="21"/>
                <w:szCs w:val="21"/>
              </w:rPr>
            </w:pPr>
            <w:r>
              <w:rPr>
                <w:rFonts w:hint="eastAsia"/>
                <w:sz w:val="21"/>
                <w:szCs w:val="21"/>
              </w:rPr>
              <w:t>检查</w:t>
            </w:r>
          </w:p>
          <w:p w14:paraId="17B921D9" w14:textId="77777777" w:rsidR="00497DDF" w:rsidRDefault="00497DDF" w:rsidP="00497DDF">
            <w:pPr>
              <w:snapToGrid w:val="0"/>
              <w:spacing w:line="240" w:lineRule="auto"/>
              <w:ind w:firstLineChars="0" w:firstLine="0"/>
              <w:jc w:val="center"/>
              <w:rPr>
                <w:sz w:val="21"/>
                <w:szCs w:val="21"/>
              </w:rPr>
            </w:pPr>
            <w:r>
              <w:rPr>
                <w:rFonts w:hint="eastAsia"/>
                <w:sz w:val="21"/>
                <w:szCs w:val="21"/>
              </w:rPr>
              <w:t>结果</w:t>
            </w:r>
          </w:p>
        </w:tc>
      </w:tr>
      <w:tr w:rsidR="00497DDF" w14:paraId="47C9D905" w14:textId="77777777" w:rsidTr="00E30064">
        <w:trPr>
          <w:tblHeader/>
          <w:jc w:val="center"/>
        </w:trPr>
        <w:tc>
          <w:tcPr>
            <w:tcW w:w="470" w:type="dxa"/>
            <w:tcBorders>
              <w:left w:val="single" w:sz="4" w:space="0" w:color="auto"/>
            </w:tcBorders>
            <w:vAlign w:val="center"/>
          </w:tcPr>
          <w:p w14:paraId="212B7FBB" w14:textId="77777777" w:rsidR="00497DDF" w:rsidRDefault="00497DDF" w:rsidP="00497DDF">
            <w:pPr>
              <w:snapToGrid w:val="0"/>
              <w:spacing w:line="240" w:lineRule="auto"/>
              <w:ind w:firstLineChars="0" w:firstLine="0"/>
              <w:jc w:val="center"/>
              <w:rPr>
                <w:sz w:val="21"/>
                <w:szCs w:val="21"/>
              </w:rPr>
            </w:pPr>
            <w:r>
              <w:rPr>
                <w:rFonts w:hint="eastAsia"/>
                <w:sz w:val="21"/>
                <w:szCs w:val="21"/>
              </w:rPr>
              <w:t>1</w:t>
            </w:r>
          </w:p>
        </w:tc>
        <w:tc>
          <w:tcPr>
            <w:tcW w:w="3461" w:type="dxa"/>
            <w:vAlign w:val="center"/>
          </w:tcPr>
          <w:p w14:paraId="1CCFEBB2" w14:textId="77777777" w:rsidR="00497DDF" w:rsidRDefault="00497DDF" w:rsidP="00497DDF">
            <w:pPr>
              <w:snapToGrid w:val="0"/>
              <w:spacing w:line="240" w:lineRule="auto"/>
              <w:ind w:firstLineChars="0" w:firstLine="0"/>
              <w:jc w:val="center"/>
              <w:rPr>
                <w:sz w:val="21"/>
                <w:szCs w:val="21"/>
              </w:rPr>
            </w:pPr>
            <w:r>
              <w:rPr>
                <w:sz w:val="21"/>
                <w:szCs w:val="21"/>
              </w:rPr>
              <w:t>内部排土场不应影响矿山正常开采和边坡稳定，排土场坡脚与开采作业点之间应留设安全距离，必要时设置滚石或泥石流拦挡设施。</w:t>
            </w:r>
          </w:p>
        </w:tc>
        <w:tc>
          <w:tcPr>
            <w:tcW w:w="1476" w:type="dxa"/>
            <w:tcBorders>
              <w:right w:val="single" w:sz="4" w:space="0" w:color="auto"/>
            </w:tcBorders>
            <w:vAlign w:val="center"/>
          </w:tcPr>
          <w:p w14:paraId="6F91DF6E" w14:textId="77777777" w:rsidR="00497DDF" w:rsidRDefault="00497DDF" w:rsidP="00497DDF">
            <w:pPr>
              <w:pStyle w:val="a0"/>
              <w:rPr>
                <w:szCs w:val="21"/>
              </w:rPr>
            </w:pPr>
            <w:r>
              <w:rPr>
                <w:rFonts w:hint="eastAsia"/>
                <w:szCs w:val="21"/>
              </w:rPr>
              <w:t>GB51119-2015</w:t>
            </w:r>
          </w:p>
          <w:p w14:paraId="4A358203" w14:textId="77777777" w:rsidR="00497DDF" w:rsidRDefault="00497DDF" w:rsidP="00497DDF">
            <w:pPr>
              <w:pStyle w:val="a0"/>
              <w:rPr>
                <w:szCs w:val="21"/>
              </w:rPr>
            </w:pPr>
            <w:r>
              <w:rPr>
                <w:rFonts w:hint="eastAsia"/>
                <w:szCs w:val="21"/>
              </w:rPr>
              <w:t>5.1.5</w:t>
            </w:r>
          </w:p>
        </w:tc>
        <w:tc>
          <w:tcPr>
            <w:tcW w:w="2226" w:type="dxa"/>
            <w:tcBorders>
              <w:right w:val="single" w:sz="4" w:space="0" w:color="auto"/>
            </w:tcBorders>
          </w:tcPr>
          <w:p w14:paraId="01C97B18" w14:textId="72DDAF7B" w:rsidR="00497DDF" w:rsidRDefault="00497DDF" w:rsidP="00497DDF">
            <w:pPr>
              <w:snapToGrid w:val="0"/>
              <w:spacing w:line="240" w:lineRule="auto"/>
              <w:ind w:firstLineChars="0" w:firstLine="0"/>
              <w:jc w:val="center"/>
              <w:rPr>
                <w:sz w:val="21"/>
                <w:szCs w:val="21"/>
              </w:rPr>
            </w:pPr>
            <w:r w:rsidRPr="005344B7">
              <w:rPr>
                <w:rFonts w:hint="eastAsia"/>
              </w:rPr>
              <w:t>xxxxx</w:t>
            </w:r>
          </w:p>
        </w:tc>
        <w:tc>
          <w:tcPr>
            <w:tcW w:w="889" w:type="dxa"/>
            <w:tcBorders>
              <w:right w:val="single" w:sz="4" w:space="0" w:color="auto"/>
            </w:tcBorders>
            <w:vAlign w:val="center"/>
          </w:tcPr>
          <w:p w14:paraId="2983FE91"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2A96C331" w14:textId="77777777" w:rsidTr="00E30064">
        <w:trPr>
          <w:tblHeader/>
          <w:jc w:val="center"/>
        </w:trPr>
        <w:tc>
          <w:tcPr>
            <w:tcW w:w="470" w:type="dxa"/>
            <w:tcBorders>
              <w:left w:val="single" w:sz="4" w:space="0" w:color="auto"/>
            </w:tcBorders>
            <w:vAlign w:val="center"/>
          </w:tcPr>
          <w:p w14:paraId="25976537" w14:textId="77777777" w:rsidR="00497DDF" w:rsidRDefault="00497DDF" w:rsidP="00497DDF">
            <w:pPr>
              <w:snapToGrid w:val="0"/>
              <w:spacing w:line="240" w:lineRule="auto"/>
              <w:ind w:firstLineChars="0" w:firstLine="0"/>
              <w:jc w:val="center"/>
              <w:rPr>
                <w:sz w:val="21"/>
                <w:szCs w:val="21"/>
              </w:rPr>
            </w:pPr>
            <w:r>
              <w:rPr>
                <w:rFonts w:hint="eastAsia"/>
                <w:sz w:val="21"/>
                <w:szCs w:val="21"/>
              </w:rPr>
              <w:t>2</w:t>
            </w:r>
          </w:p>
        </w:tc>
        <w:tc>
          <w:tcPr>
            <w:tcW w:w="3461" w:type="dxa"/>
            <w:vAlign w:val="center"/>
          </w:tcPr>
          <w:p w14:paraId="3C12C500" w14:textId="77777777" w:rsidR="00497DDF" w:rsidRDefault="00497DDF" w:rsidP="00497DDF">
            <w:pPr>
              <w:snapToGrid w:val="0"/>
              <w:spacing w:line="240" w:lineRule="auto"/>
              <w:ind w:firstLineChars="0" w:firstLine="0"/>
              <w:jc w:val="center"/>
              <w:rPr>
                <w:sz w:val="21"/>
                <w:szCs w:val="21"/>
              </w:rPr>
            </w:pPr>
            <w:r>
              <w:rPr>
                <w:sz w:val="21"/>
                <w:szCs w:val="21"/>
              </w:rPr>
              <w:t>排土场不宜设在工程地质或水文地质条件不良的地带</w:t>
            </w:r>
            <w:r>
              <w:rPr>
                <w:sz w:val="21"/>
                <w:szCs w:val="21"/>
              </w:rPr>
              <w:t xml:space="preserve"> </w:t>
            </w:r>
            <w:r>
              <w:rPr>
                <w:sz w:val="21"/>
                <w:szCs w:val="21"/>
              </w:rPr>
              <w:t>如因地基不良而影响安全</w:t>
            </w:r>
            <w:r>
              <w:rPr>
                <w:sz w:val="21"/>
                <w:szCs w:val="21"/>
              </w:rPr>
              <w:t>,</w:t>
            </w:r>
            <w:r>
              <w:rPr>
                <w:sz w:val="21"/>
                <w:szCs w:val="21"/>
              </w:rPr>
              <w:t>必须采取有效措施</w:t>
            </w:r>
            <w:r>
              <w:rPr>
                <w:sz w:val="21"/>
                <w:szCs w:val="21"/>
              </w:rPr>
              <w:t>:</w:t>
            </w:r>
          </w:p>
        </w:tc>
        <w:tc>
          <w:tcPr>
            <w:tcW w:w="1476" w:type="dxa"/>
            <w:tcBorders>
              <w:right w:val="single" w:sz="4" w:space="0" w:color="auto"/>
            </w:tcBorders>
            <w:vAlign w:val="center"/>
          </w:tcPr>
          <w:p w14:paraId="371C588F" w14:textId="77777777" w:rsidR="00497DDF" w:rsidRDefault="00497DDF" w:rsidP="00497DDF">
            <w:pPr>
              <w:pStyle w:val="a0"/>
              <w:rPr>
                <w:szCs w:val="21"/>
              </w:rPr>
            </w:pPr>
            <w:r>
              <w:rPr>
                <w:rFonts w:hint="eastAsia"/>
                <w:szCs w:val="21"/>
              </w:rPr>
              <w:t>AQ2005-2005</w:t>
            </w:r>
          </w:p>
          <w:p w14:paraId="557E2B55" w14:textId="77777777" w:rsidR="00497DDF" w:rsidRDefault="00497DDF" w:rsidP="00497DDF">
            <w:pPr>
              <w:ind w:firstLine="420"/>
            </w:pPr>
            <w:r>
              <w:rPr>
                <w:rFonts w:hint="eastAsia"/>
                <w:sz w:val="21"/>
                <w:szCs w:val="21"/>
              </w:rPr>
              <w:t>5.2.2</w:t>
            </w:r>
          </w:p>
        </w:tc>
        <w:tc>
          <w:tcPr>
            <w:tcW w:w="2226" w:type="dxa"/>
            <w:tcBorders>
              <w:right w:val="single" w:sz="4" w:space="0" w:color="auto"/>
            </w:tcBorders>
          </w:tcPr>
          <w:p w14:paraId="64513D5C" w14:textId="0AB678A6" w:rsidR="00497DDF" w:rsidRDefault="00497DDF" w:rsidP="00497DDF">
            <w:pPr>
              <w:snapToGrid w:val="0"/>
              <w:spacing w:line="240" w:lineRule="auto"/>
              <w:ind w:firstLineChars="0" w:firstLine="0"/>
              <w:jc w:val="center"/>
              <w:rPr>
                <w:sz w:val="21"/>
                <w:szCs w:val="21"/>
              </w:rPr>
            </w:pPr>
            <w:r w:rsidRPr="005344B7">
              <w:rPr>
                <w:rFonts w:hint="eastAsia"/>
              </w:rPr>
              <w:t>xxxxx</w:t>
            </w:r>
          </w:p>
        </w:tc>
        <w:tc>
          <w:tcPr>
            <w:tcW w:w="889" w:type="dxa"/>
            <w:tcBorders>
              <w:right w:val="single" w:sz="4" w:space="0" w:color="auto"/>
            </w:tcBorders>
            <w:vAlign w:val="center"/>
          </w:tcPr>
          <w:p w14:paraId="1BABD854"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42C71F61" w14:textId="77777777" w:rsidTr="00E30064">
        <w:trPr>
          <w:tblHeader/>
          <w:jc w:val="center"/>
        </w:trPr>
        <w:tc>
          <w:tcPr>
            <w:tcW w:w="470" w:type="dxa"/>
            <w:tcBorders>
              <w:left w:val="single" w:sz="4" w:space="0" w:color="auto"/>
            </w:tcBorders>
            <w:vAlign w:val="center"/>
          </w:tcPr>
          <w:p w14:paraId="74CAFCE0" w14:textId="77777777" w:rsidR="00497DDF" w:rsidRDefault="00497DDF" w:rsidP="00497DDF">
            <w:pPr>
              <w:snapToGrid w:val="0"/>
              <w:spacing w:line="240" w:lineRule="auto"/>
              <w:ind w:firstLineChars="0" w:firstLine="0"/>
              <w:jc w:val="center"/>
              <w:rPr>
                <w:sz w:val="21"/>
                <w:szCs w:val="21"/>
              </w:rPr>
            </w:pPr>
            <w:r>
              <w:rPr>
                <w:rFonts w:hint="eastAsia"/>
                <w:sz w:val="21"/>
                <w:szCs w:val="21"/>
              </w:rPr>
              <w:lastRenderedPageBreak/>
              <w:t>3</w:t>
            </w:r>
          </w:p>
        </w:tc>
        <w:tc>
          <w:tcPr>
            <w:tcW w:w="3461" w:type="dxa"/>
            <w:vAlign w:val="center"/>
          </w:tcPr>
          <w:p w14:paraId="2A54018E" w14:textId="77777777" w:rsidR="00497DDF" w:rsidRDefault="00497DDF" w:rsidP="00497DDF">
            <w:pPr>
              <w:snapToGrid w:val="0"/>
              <w:spacing w:line="240" w:lineRule="auto"/>
              <w:ind w:firstLineChars="0" w:firstLine="0"/>
              <w:jc w:val="center"/>
              <w:rPr>
                <w:sz w:val="21"/>
                <w:szCs w:val="21"/>
              </w:rPr>
            </w:pPr>
            <w:r>
              <w:rPr>
                <w:sz w:val="21"/>
                <w:szCs w:val="21"/>
              </w:rPr>
              <w:t>初步设计阶段勘察应以工程地质及水文地质测绘为基础并应针对场地特征选用物探、钻探、槽</w:t>
            </w:r>
            <w:r>
              <w:rPr>
                <w:sz w:val="21"/>
                <w:szCs w:val="21"/>
              </w:rPr>
              <w:t>(</w:t>
            </w:r>
            <w:r>
              <w:rPr>
                <w:sz w:val="21"/>
                <w:szCs w:val="21"/>
              </w:rPr>
              <w:t>井</w:t>
            </w:r>
            <w:r>
              <w:rPr>
                <w:sz w:val="21"/>
                <w:szCs w:val="21"/>
              </w:rPr>
              <w:t>)</w:t>
            </w:r>
            <w:r>
              <w:rPr>
                <w:sz w:val="21"/>
                <w:szCs w:val="21"/>
              </w:rPr>
              <w:t>探等方法进行</w:t>
            </w:r>
          </w:p>
        </w:tc>
        <w:tc>
          <w:tcPr>
            <w:tcW w:w="1476" w:type="dxa"/>
            <w:tcBorders>
              <w:right w:val="single" w:sz="4" w:space="0" w:color="auto"/>
            </w:tcBorders>
            <w:vAlign w:val="center"/>
          </w:tcPr>
          <w:p w14:paraId="73CC78E1" w14:textId="77777777" w:rsidR="00497DDF" w:rsidRDefault="00497DDF" w:rsidP="00497DDF">
            <w:pPr>
              <w:adjustRightInd w:val="0"/>
              <w:snapToGrid w:val="0"/>
              <w:ind w:firstLineChars="0" w:firstLine="0"/>
              <w:jc w:val="center"/>
              <w:rPr>
                <w:spacing w:val="-2"/>
                <w:kern w:val="0"/>
                <w:sz w:val="21"/>
                <w:szCs w:val="21"/>
              </w:rPr>
            </w:pPr>
            <w:r>
              <w:rPr>
                <w:rFonts w:hint="eastAsia"/>
                <w:spacing w:val="-2"/>
                <w:kern w:val="0"/>
                <w:sz w:val="21"/>
                <w:szCs w:val="21"/>
              </w:rPr>
              <w:t>GB51119-2015</w:t>
            </w:r>
          </w:p>
          <w:p w14:paraId="064636D8" w14:textId="77777777" w:rsidR="00497DDF" w:rsidRDefault="00497DDF" w:rsidP="00497DDF">
            <w:pPr>
              <w:ind w:firstLine="420"/>
              <w:rPr>
                <w:sz w:val="21"/>
                <w:szCs w:val="21"/>
              </w:rPr>
            </w:pPr>
            <w:r>
              <w:rPr>
                <w:rFonts w:hint="eastAsia"/>
                <w:sz w:val="21"/>
                <w:szCs w:val="21"/>
              </w:rPr>
              <w:t>3.5.3</w:t>
            </w:r>
          </w:p>
        </w:tc>
        <w:tc>
          <w:tcPr>
            <w:tcW w:w="2226" w:type="dxa"/>
            <w:tcBorders>
              <w:right w:val="single" w:sz="4" w:space="0" w:color="auto"/>
            </w:tcBorders>
          </w:tcPr>
          <w:p w14:paraId="4EB2AD8C" w14:textId="31AADE69" w:rsidR="00497DDF" w:rsidRDefault="00497DDF" w:rsidP="00497DDF">
            <w:pPr>
              <w:snapToGrid w:val="0"/>
              <w:spacing w:line="240" w:lineRule="auto"/>
              <w:ind w:firstLineChars="0" w:firstLine="0"/>
              <w:jc w:val="center"/>
              <w:rPr>
                <w:sz w:val="21"/>
                <w:szCs w:val="21"/>
              </w:rPr>
            </w:pPr>
            <w:r w:rsidRPr="005344B7">
              <w:rPr>
                <w:rFonts w:hint="eastAsia"/>
              </w:rPr>
              <w:t>xxxxx</w:t>
            </w:r>
          </w:p>
        </w:tc>
        <w:tc>
          <w:tcPr>
            <w:tcW w:w="889" w:type="dxa"/>
            <w:tcBorders>
              <w:right w:val="single" w:sz="4" w:space="0" w:color="auto"/>
            </w:tcBorders>
            <w:vAlign w:val="center"/>
          </w:tcPr>
          <w:p w14:paraId="37B8ACBA"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027009C8" w14:textId="77777777" w:rsidTr="00E30064">
        <w:trPr>
          <w:tblHeader/>
          <w:jc w:val="center"/>
        </w:trPr>
        <w:tc>
          <w:tcPr>
            <w:tcW w:w="470" w:type="dxa"/>
            <w:tcBorders>
              <w:left w:val="single" w:sz="4" w:space="0" w:color="auto"/>
            </w:tcBorders>
            <w:vAlign w:val="center"/>
          </w:tcPr>
          <w:p w14:paraId="6C0BB4D6" w14:textId="77777777" w:rsidR="00497DDF" w:rsidRDefault="00497DDF" w:rsidP="00497DDF">
            <w:pPr>
              <w:snapToGrid w:val="0"/>
              <w:spacing w:line="240" w:lineRule="auto"/>
              <w:ind w:firstLineChars="0" w:firstLine="0"/>
              <w:jc w:val="center"/>
              <w:rPr>
                <w:sz w:val="21"/>
                <w:szCs w:val="21"/>
              </w:rPr>
            </w:pPr>
            <w:r>
              <w:rPr>
                <w:rFonts w:hint="eastAsia"/>
                <w:sz w:val="21"/>
                <w:szCs w:val="21"/>
              </w:rPr>
              <w:t>5</w:t>
            </w:r>
          </w:p>
        </w:tc>
        <w:tc>
          <w:tcPr>
            <w:tcW w:w="3461" w:type="dxa"/>
            <w:vAlign w:val="center"/>
          </w:tcPr>
          <w:p w14:paraId="18256577" w14:textId="77777777" w:rsidR="00497DDF" w:rsidRDefault="00497DDF" w:rsidP="00497DDF">
            <w:pPr>
              <w:snapToGrid w:val="0"/>
              <w:spacing w:line="240" w:lineRule="auto"/>
              <w:ind w:firstLineChars="0" w:firstLine="0"/>
              <w:jc w:val="center"/>
              <w:rPr>
                <w:sz w:val="21"/>
                <w:szCs w:val="21"/>
              </w:rPr>
            </w:pPr>
            <w:r>
              <w:rPr>
                <w:rFonts w:hint="eastAsia"/>
                <w:sz w:val="21"/>
                <w:szCs w:val="21"/>
              </w:rPr>
              <w:t>排土场设计应进行现场勘查或工程地质、水文地质勘查工作</w:t>
            </w:r>
          </w:p>
        </w:tc>
        <w:tc>
          <w:tcPr>
            <w:tcW w:w="1476" w:type="dxa"/>
            <w:tcBorders>
              <w:right w:val="single" w:sz="4" w:space="0" w:color="auto"/>
            </w:tcBorders>
            <w:vAlign w:val="center"/>
          </w:tcPr>
          <w:p w14:paraId="6DB2331C" w14:textId="77777777" w:rsidR="00497DDF" w:rsidRDefault="00497DDF" w:rsidP="00497DDF">
            <w:pPr>
              <w:snapToGrid w:val="0"/>
              <w:spacing w:line="240" w:lineRule="auto"/>
              <w:ind w:firstLineChars="0" w:firstLine="0"/>
              <w:jc w:val="center"/>
              <w:rPr>
                <w:sz w:val="21"/>
                <w:szCs w:val="21"/>
              </w:rPr>
            </w:pPr>
            <w:r>
              <w:rPr>
                <w:rFonts w:hint="eastAsia"/>
                <w:sz w:val="21"/>
                <w:szCs w:val="21"/>
              </w:rPr>
              <w:t>GB51119-2015</w:t>
            </w:r>
          </w:p>
          <w:p w14:paraId="685FB1CE" w14:textId="77777777" w:rsidR="00497DDF" w:rsidRDefault="00497DDF" w:rsidP="00497DDF">
            <w:pPr>
              <w:pStyle w:val="a0"/>
              <w:rPr>
                <w:szCs w:val="21"/>
              </w:rPr>
            </w:pPr>
            <w:r>
              <w:rPr>
                <w:rFonts w:hint="eastAsia"/>
                <w:szCs w:val="21"/>
              </w:rPr>
              <w:t>.3.1.4</w:t>
            </w:r>
          </w:p>
        </w:tc>
        <w:tc>
          <w:tcPr>
            <w:tcW w:w="2226" w:type="dxa"/>
            <w:tcBorders>
              <w:right w:val="single" w:sz="4" w:space="0" w:color="auto"/>
            </w:tcBorders>
          </w:tcPr>
          <w:p w14:paraId="3A3516C2" w14:textId="76DE4574" w:rsidR="00497DDF" w:rsidRDefault="00497DDF" w:rsidP="00497DDF">
            <w:pPr>
              <w:snapToGrid w:val="0"/>
              <w:spacing w:line="240" w:lineRule="auto"/>
              <w:ind w:firstLineChars="0" w:firstLine="0"/>
              <w:jc w:val="center"/>
              <w:rPr>
                <w:sz w:val="21"/>
                <w:szCs w:val="21"/>
              </w:rPr>
            </w:pPr>
            <w:r w:rsidRPr="005344B7">
              <w:rPr>
                <w:rFonts w:hint="eastAsia"/>
              </w:rPr>
              <w:t>xxxxx</w:t>
            </w:r>
          </w:p>
        </w:tc>
        <w:tc>
          <w:tcPr>
            <w:tcW w:w="889" w:type="dxa"/>
            <w:tcBorders>
              <w:right w:val="single" w:sz="4" w:space="0" w:color="auto"/>
            </w:tcBorders>
            <w:vAlign w:val="center"/>
          </w:tcPr>
          <w:p w14:paraId="21B6F209"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r w:rsidR="00497DDF" w14:paraId="56DB5778" w14:textId="77777777" w:rsidTr="00E30064">
        <w:trPr>
          <w:tblHeader/>
          <w:jc w:val="center"/>
        </w:trPr>
        <w:tc>
          <w:tcPr>
            <w:tcW w:w="470" w:type="dxa"/>
            <w:tcBorders>
              <w:left w:val="single" w:sz="4" w:space="0" w:color="auto"/>
            </w:tcBorders>
            <w:vAlign w:val="center"/>
          </w:tcPr>
          <w:p w14:paraId="1F33EE36" w14:textId="77777777" w:rsidR="00497DDF" w:rsidRDefault="00497DDF" w:rsidP="00497DDF">
            <w:pPr>
              <w:snapToGrid w:val="0"/>
              <w:spacing w:line="240" w:lineRule="auto"/>
              <w:ind w:firstLineChars="0" w:firstLine="0"/>
              <w:jc w:val="center"/>
              <w:rPr>
                <w:sz w:val="21"/>
                <w:szCs w:val="21"/>
              </w:rPr>
            </w:pPr>
          </w:p>
        </w:tc>
        <w:tc>
          <w:tcPr>
            <w:tcW w:w="3461" w:type="dxa"/>
            <w:vAlign w:val="center"/>
          </w:tcPr>
          <w:p w14:paraId="26465C12" w14:textId="77777777" w:rsidR="00497DDF" w:rsidRDefault="00497DDF" w:rsidP="00497DDF">
            <w:pPr>
              <w:snapToGrid w:val="0"/>
              <w:spacing w:line="240" w:lineRule="auto"/>
              <w:ind w:firstLineChars="0" w:firstLine="0"/>
              <w:jc w:val="center"/>
              <w:rPr>
                <w:sz w:val="21"/>
                <w:szCs w:val="21"/>
              </w:rPr>
            </w:pPr>
            <w:r>
              <w:rPr>
                <w:rFonts w:hint="eastAsia"/>
                <w:sz w:val="21"/>
                <w:szCs w:val="21"/>
              </w:rPr>
              <w:t>不具有形成泥石流条件、基底工程地质或水文地质条件良好的排土场</w:t>
            </w:r>
            <w:r>
              <w:rPr>
                <w:rFonts w:hint="eastAsia"/>
                <w:sz w:val="21"/>
                <w:szCs w:val="21"/>
              </w:rPr>
              <w:t>,</w:t>
            </w:r>
            <w:r>
              <w:rPr>
                <w:rFonts w:hint="eastAsia"/>
                <w:sz w:val="21"/>
                <w:szCs w:val="21"/>
              </w:rPr>
              <w:t>设计最终坡底线与主要设施、场地、居住区等的安全距离应满足下列规定</w:t>
            </w:r>
            <w:r>
              <w:rPr>
                <w:rFonts w:hint="eastAsia"/>
                <w:sz w:val="21"/>
                <w:szCs w:val="21"/>
              </w:rPr>
              <w:t>:</w:t>
            </w:r>
            <w:r>
              <w:rPr>
                <w:rFonts w:hint="eastAsia"/>
                <w:sz w:val="21"/>
                <w:szCs w:val="21"/>
              </w:rPr>
              <w:t>当设置防护工程时</w:t>
            </w:r>
            <w:r>
              <w:rPr>
                <w:rFonts w:hint="eastAsia"/>
                <w:sz w:val="21"/>
                <w:szCs w:val="21"/>
              </w:rPr>
              <w:t>,</w:t>
            </w:r>
            <w:r>
              <w:rPr>
                <w:rFonts w:hint="eastAsia"/>
                <w:sz w:val="21"/>
                <w:szCs w:val="21"/>
              </w:rPr>
              <w:t>应按采取工程措施要求确定</w:t>
            </w:r>
          </w:p>
        </w:tc>
        <w:tc>
          <w:tcPr>
            <w:tcW w:w="1476" w:type="dxa"/>
            <w:tcBorders>
              <w:right w:val="single" w:sz="4" w:space="0" w:color="auto"/>
            </w:tcBorders>
            <w:vAlign w:val="center"/>
          </w:tcPr>
          <w:p w14:paraId="7446EFD5" w14:textId="77777777" w:rsidR="00497DDF" w:rsidRDefault="00497DDF" w:rsidP="00497DDF">
            <w:pPr>
              <w:pStyle w:val="a0"/>
              <w:jc w:val="both"/>
              <w:rPr>
                <w:szCs w:val="21"/>
              </w:rPr>
            </w:pPr>
          </w:p>
          <w:p w14:paraId="606BC1A7" w14:textId="77777777" w:rsidR="00497DDF" w:rsidRDefault="00497DDF" w:rsidP="00497DDF">
            <w:pPr>
              <w:pStyle w:val="a0"/>
              <w:rPr>
                <w:szCs w:val="21"/>
              </w:rPr>
            </w:pPr>
            <w:r>
              <w:rPr>
                <w:rFonts w:hint="eastAsia"/>
                <w:szCs w:val="21"/>
              </w:rPr>
              <w:t>GB51119-2015</w:t>
            </w:r>
          </w:p>
          <w:p w14:paraId="20F10680" w14:textId="77777777" w:rsidR="00497DDF" w:rsidRDefault="00497DDF" w:rsidP="00497DDF">
            <w:pPr>
              <w:pStyle w:val="a0"/>
              <w:rPr>
                <w:szCs w:val="21"/>
              </w:rPr>
            </w:pPr>
            <w:r>
              <w:rPr>
                <w:rFonts w:hint="eastAsia"/>
                <w:szCs w:val="21"/>
              </w:rPr>
              <w:t>5.4.1</w:t>
            </w:r>
          </w:p>
        </w:tc>
        <w:tc>
          <w:tcPr>
            <w:tcW w:w="2226" w:type="dxa"/>
            <w:tcBorders>
              <w:right w:val="single" w:sz="4" w:space="0" w:color="auto"/>
            </w:tcBorders>
          </w:tcPr>
          <w:p w14:paraId="59932661" w14:textId="5DD1DA7D" w:rsidR="00497DDF" w:rsidRDefault="00497DDF" w:rsidP="00497DDF">
            <w:pPr>
              <w:snapToGrid w:val="0"/>
              <w:spacing w:line="240" w:lineRule="auto"/>
              <w:ind w:firstLineChars="0" w:firstLine="0"/>
              <w:jc w:val="center"/>
              <w:rPr>
                <w:sz w:val="21"/>
                <w:szCs w:val="21"/>
              </w:rPr>
            </w:pPr>
            <w:r w:rsidRPr="005344B7">
              <w:rPr>
                <w:rFonts w:hint="eastAsia"/>
              </w:rPr>
              <w:t>xxxxx</w:t>
            </w:r>
          </w:p>
        </w:tc>
        <w:tc>
          <w:tcPr>
            <w:tcW w:w="889" w:type="dxa"/>
            <w:tcBorders>
              <w:right w:val="single" w:sz="4" w:space="0" w:color="auto"/>
            </w:tcBorders>
            <w:vAlign w:val="center"/>
          </w:tcPr>
          <w:p w14:paraId="7D3434D2" w14:textId="77777777" w:rsidR="00497DDF" w:rsidRDefault="00497DDF" w:rsidP="00497DDF">
            <w:pPr>
              <w:snapToGrid w:val="0"/>
              <w:spacing w:line="240" w:lineRule="auto"/>
              <w:ind w:firstLineChars="0" w:firstLine="0"/>
              <w:jc w:val="center"/>
              <w:rPr>
                <w:sz w:val="21"/>
                <w:szCs w:val="21"/>
              </w:rPr>
            </w:pPr>
            <w:r>
              <w:rPr>
                <w:rFonts w:hint="eastAsia"/>
                <w:sz w:val="21"/>
                <w:szCs w:val="21"/>
              </w:rPr>
              <w:t>符合</w:t>
            </w:r>
          </w:p>
        </w:tc>
      </w:tr>
    </w:tbl>
    <w:p w14:paraId="37B7881C" w14:textId="77777777" w:rsidR="008D7DB0" w:rsidRDefault="00000000">
      <w:pPr>
        <w:ind w:firstLine="560"/>
      </w:pPr>
      <w:r>
        <w:t>由安全检查表得出的结论为：该项目</w:t>
      </w:r>
      <w:r>
        <w:rPr>
          <w:rFonts w:hint="eastAsia"/>
        </w:rPr>
        <w:t>周边环境单元</w:t>
      </w:r>
      <w:r>
        <w:t>合理</w:t>
      </w:r>
      <w:r>
        <w:rPr>
          <w:rFonts w:hint="eastAsia"/>
        </w:rPr>
        <w:t>。</w:t>
      </w:r>
    </w:p>
    <w:p w14:paraId="16ED7B22" w14:textId="2A84A682" w:rsidR="008D7DB0" w:rsidRDefault="00000000">
      <w:pPr>
        <w:pStyle w:val="3"/>
      </w:pPr>
      <w:bookmarkStart w:id="184" w:name="_Toc13890"/>
      <w:bookmarkStart w:id="185" w:name="_Toc205883253"/>
      <w:r>
        <w:rPr>
          <w:rFonts w:hint="eastAsia"/>
        </w:rPr>
        <w:t>3.1.</w:t>
      </w:r>
      <w:r w:rsidR="004E7858">
        <w:rPr>
          <w:rFonts w:hint="eastAsia"/>
        </w:rPr>
        <w:t>4</w:t>
      </w:r>
      <w:r>
        <w:rPr>
          <w:rFonts w:hint="eastAsia"/>
        </w:rPr>
        <w:t>结果小结</w:t>
      </w:r>
      <w:bookmarkEnd w:id="176"/>
      <w:bookmarkEnd w:id="177"/>
      <w:bookmarkEnd w:id="178"/>
      <w:bookmarkEnd w:id="179"/>
      <w:bookmarkEnd w:id="180"/>
      <w:bookmarkEnd w:id="181"/>
      <w:bookmarkEnd w:id="182"/>
      <w:bookmarkEnd w:id="183"/>
      <w:bookmarkEnd w:id="184"/>
      <w:bookmarkEnd w:id="185"/>
    </w:p>
    <w:p w14:paraId="2F997C7A" w14:textId="77777777" w:rsidR="008D7DB0" w:rsidRDefault="00000000">
      <w:pPr>
        <w:ind w:firstLine="560"/>
      </w:pPr>
      <w:r>
        <w:rPr>
          <w:rFonts w:hint="eastAsia"/>
        </w:rPr>
        <w:t>综上所述，建设单位在建设和生产中落实《初步设计重大变更》及本预评价报告提出的相关安全措施并严格执行后，本项目场址选择单元符合安全要求。</w:t>
      </w:r>
      <w:bookmarkStart w:id="186" w:name="_Toc331618243"/>
      <w:bookmarkStart w:id="187" w:name="_Toc174533752"/>
    </w:p>
    <w:p w14:paraId="2E4925D8" w14:textId="77777777" w:rsidR="008D7DB0" w:rsidRDefault="00000000">
      <w:pPr>
        <w:pStyle w:val="2"/>
      </w:pPr>
      <w:bookmarkStart w:id="188" w:name="_Toc205883254"/>
      <w:r>
        <w:rPr>
          <w:rFonts w:hint="eastAsia"/>
        </w:rPr>
        <w:t>3.2</w:t>
      </w:r>
      <w:r>
        <w:rPr>
          <w:rFonts w:hint="eastAsia"/>
        </w:rPr>
        <w:t>排土工艺单元评价</w:t>
      </w:r>
      <w:bookmarkEnd w:id="188"/>
    </w:p>
    <w:p w14:paraId="473D9AEC" w14:textId="77777777" w:rsidR="008D7DB0" w:rsidRDefault="00000000">
      <w:pPr>
        <w:pStyle w:val="3"/>
      </w:pPr>
      <w:bookmarkStart w:id="189" w:name="_Toc205883255"/>
      <w:r>
        <w:rPr>
          <w:rFonts w:hint="eastAsia"/>
        </w:rPr>
        <w:t xml:space="preserve">3.2.1 </w:t>
      </w:r>
      <w:r>
        <w:rPr>
          <w:rFonts w:hint="eastAsia"/>
        </w:rPr>
        <w:t>排土子单元</w:t>
      </w:r>
      <w:bookmarkEnd w:id="189"/>
    </w:p>
    <w:p w14:paraId="216D2634" w14:textId="77777777" w:rsidR="008D7DB0" w:rsidRDefault="00000000">
      <w:pPr>
        <w:pStyle w:val="4"/>
      </w:pPr>
      <w:r>
        <w:rPr>
          <w:rFonts w:hint="eastAsia"/>
        </w:rPr>
        <w:t>3.2.1.1</w:t>
      </w:r>
      <w:r>
        <w:rPr>
          <w:rFonts w:hint="eastAsia"/>
        </w:rPr>
        <w:t>危险、有害因素辨识</w:t>
      </w:r>
    </w:p>
    <w:p w14:paraId="735F63E4" w14:textId="77777777" w:rsidR="008D7DB0" w:rsidRDefault="00000000">
      <w:pPr>
        <w:pStyle w:val="a4"/>
        <w:ind w:firstLine="560"/>
      </w:pPr>
      <w:r>
        <w:rPr>
          <w:rFonts w:hint="eastAsia"/>
        </w:rPr>
        <w:t>该项目在排土作业过程中将使用推土机、矿用自卸汽车等机械设备，在机械运行过程中，存在人员被机械伤害、高处坠落及物体打击的危险。</w:t>
      </w:r>
    </w:p>
    <w:p w14:paraId="2D881B37" w14:textId="77777777" w:rsidR="008D7DB0" w:rsidRDefault="00000000">
      <w:pPr>
        <w:pStyle w:val="a4"/>
        <w:ind w:firstLine="560"/>
      </w:pPr>
      <w:r>
        <w:rPr>
          <w:rFonts w:hint="eastAsia"/>
        </w:rPr>
        <w:t>机械伤害和其它事故一样，是由人的不安全行为或物的不安全状态造成的：</w:t>
      </w:r>
    </w:p>
    <w:p w14:paraId="5988CA58" w14:textId="77777777" w:rsidR="008D7DB0" w:rsidRDefault="00000000">
      <w:pPr>
        <w:pStyle w:val="a4"/>
        <w:ind w:firstLine="560"/>
      </w:pPr>
      <w:r>
        <w:rPr>
          <w:rFonts w:hint="eastAsia"/>
        </w:rPr>
        <w:t>（</w:t>
      </w:r>
      <w:r>
        <w:rPr>
          <w:rFonts w:hint="eastAsia"/>
        </w:rPr>
        <w:t>1</w:t>
      </w:r>
      <w:r>
        <w:rPr>
          <w:rFonts w:hint="eastAsia"/>
        </w:rPr>
        <w:t>）人的不安全行为</w:t>
      </w:r>
    </w:p>
    <w:p w14:paraId="6FC7891A" w14:textId="77777777" w:rsidR="008D7DB0" w:rsidRDefault="00000000">
      <w:pPr>
        <w:pStyle w:val="a4"/>
        <w:ind w:firstLine="560"/>
      </w:pPr>
      <w:r>
        <w:rPr>
          <w:rFonts w:hint="eastAsia"/>
        </w:rPr>
        <w:t>1</w:t>
      </w:r>
      <w:r>
        <w:rPr>
          <w:rFonts w:hint="eastAsia"/>
        </w:rPr>
        <w:t>）作业人员违反操作规程或者某些失误造成不安全的行为；没有穿戴合适的防护用品而得不到良好的保护；</w:t>
      </w:r>
    </w:p>
    <w:p w14:paraId="54E3A34E" w14:textId="77777777" w:rsidR="008D7DB0" w:rsidRDefault="00000000">
      <w:pPr>
        <w:pStyle w:val="a4"/>
        <w:ind w:firstLine="560"/>
      </w:pPr>
      <w:r>
        <w:rPr>
          <w:rFonts w:hint="eastAsia"/>
        </w:rPr>
        <w:t>2</w:t>
      </w:r>
      <w:r>
        <w:rPr>
          <w:rFonts w:hint="eastAsia"/>
        </w:rPr>
        <w:t>）正在检修机器或者刚检修好尚未离开，因他人误开动而被机器伤害；</w:t>
      </w:r>
    </w:p>
    <w:p w14:paraId="3BFCC0BA" w14:textId="77777777" w:rsidR="008D7DB0" w:rsidRDefault="00000000">
      <w:pPr>
        <w:pStyle w:val="a4"/>
        <w:ind w:firstLine="560"/>
      </w:pPr>
      <w:r>
        <w:rPr>
          <w:rFonts w:hint="eastAsia"/>
        </w:rPr>
        <w:lastRenderedPageBreak/>
        <w:t>3</w:t>
      </w:r>
      <w:r>
        <w:rPr>
          <w:rFonts w:hint="eastAsia"/>
        </w:rPr>
        <w:t>）在机器运转时进行检查、保养或做其它工作，因误入某些危险区域和部位造成伤害；</w:t>
      </w:r>
    </w:p>
    <w:p w14:paraId="6A7A6DCB" w14:textId="77777777" w:rsidR="008D7DB0" w:rsidRDefault="00000000">
      <w:pPr>
        <w:pStyle w:val="a4"/>
        <w:ind w:firstLine="560"/>
      </w:pPr>
      <w:r>
        <w:rPr>
          <w:rFonts w:hint="eastAsia"/>
        </w:rPr>
        <w:t>4</w:t>
      </w:r>
      <w:r>
        <w:rPr>
          <w:rFonts w:hint="eastAsia"/>
        </w:rPr>
        <w:t>）操作方法不当或不慎造成事故。</w:t>
      </w:r>
    </w:p>
    <w:p w14:paraId="75D2F6DC" w14:textId="77777777" w:rsidR="008D7DB0" w:rsidRDefault="00000000">
      <w:pPr>
        <w:pStyle w:val="a4"/>
        <w:ind w:firstLine="560"/>
      </w:pPr>
      <w:r>
        <w:rPr>
          <w:rFonts w:hint="eastAsia"/>
        </w:rPr>
        <w:t>（</w:t>
      </w:r>
      <w:r>
        <w:rPr>
          <w:rFonts w:hint="eastAsia"/>
        </w:rPr>
        <w:t>2</w:t>
      </w:r>
      <w:r>
        <w:rPr>
          <w:rFonts w:hint="eastAsia"/>
        </w:rPr>
        <w:t>）设备的不安全状态</w:t>
      </w:r>
    </w:p>
    <w:p w14:paraId="39554843" w14:textId="77777777" w:rsidR="008D7DB0" w:rsidRDefault="00000000">
      <w:pPr>
        <w:pStyle w:val="a4"/>
        <w:ind w:firstLine="560"/>
      </w:pPr>
      <w:r>
        <w:rPr>
          <w:rFonts w:hint="eastAsia"/>
        </w:rPr>
        <w:t>机械设备先天不足，缺乏安全防护装置，结构不合理，强度达不到要求，或者设备安装维修不当，是导致机械伤害的主要原因之一。</w:t>
      </w:r>
    </w:p>
    <w:p w14:paraId="17C21360" w14:textId="77777777" w:rsidR="008D7DB0" w:rsidRDefault="00000000">
      <w:pPr>
        <w:pStyle w:val="a4"/>
        <w:ind w:firstLine="560"/>
      </w:pPr>
      <w:r>
        <w:rPr>
          <w:rFonts w:hint="eastAsia"/>
        </w:rPr>
        <w:t>1</w:t>
      </w:r>
      <w:r>
        <w:rPr>
          <w:rFonts w:hint="eastAsia"/>
        </w:rPr>
        <w:t>）机械传动部分没有防护罩而轧伤人员，或传动部件的螺丝松脱而飞出伤人；</w:t>
      </w:r>
    </w:p>
    <w:p w14:paraId="0B6E05F9" w14:textId="77777777" w:rsidR="008D7DB0" w:rsidRDefault="00000000">
      <w:pPr>
        <w:pStyle w:val="a4"/>
        <w:ind w:firstLine="560"/>
      </w:pPr>
      <w:r>
        <w:rPr>
          <w:rFonts w:hint="eastAsia"/>
        </w:rPr>
        <w:t>2</w:t>
      </w:r>
      <w:r>
        <w:rPr>
          <w:rFonts w:hint="eastAsia"/>
        </w:rPr>
        <w:t>）机械某些零件强度不够或受损伤，突然断裂伤人；</w:t>
      </w:r>
    </w:p>
    <w:p w14:paraId="16E7C87F" w14:textId="77777777" w:rsidR="008D7DB0" w:rsidRDefault="00000000">
      <w:pPr>
        <w:pStyle w:val="a4"/>
        <w:ind w:firstLine="560"/>
      </w:pPr>
      <w:r>
        <w:rPr>
          <w:rFonts w:hint="eastAsia"/>
        </w:rPr>
        <w:t>3</w:t>
      </w:r>
      <w:r>
        <w:rPr>
          <w:rFonts w:hint="eastAsia"/>
        </w:rPr>
        <w:t>）缺乏必要的安全保险装置，或其失灵而不能起到应有的作用。</w:t>
      </w:r>
    </w:p>
    <w:p w14:paraId="55037BF7" w14:textId="77777777" w:rsidR="008D7DB0" w:rsidRDefault="00000000">
      <w:pPr>
        <w:pStyle w:val="a4"/>
        <w:ind w:firstLine="560"/>
      </w:pPr>
      <w:r>
        <w:rPr>
          <w:rFonts w:hint="eastAsia"/>
        </w:rPr>
        <w:t>（</w:t>
      </w:r>
      <w:r>
        <w:rPr>
          <w:rFonts w:hint="eastAsia"/>
        </w:rPr>
        <w:t>3</w:t>
      </w:r>
      <w:r>
        <w:rPr>
          <w:rFonts w:hint="eastAsia"/>
        </w:rPr>
        <w:t>）工作场所环境不良</w:t>
      </w:r>
    </w:p>
    <w:p w14:paraId="01B785AE" w14:textId="77777777" w:rsidR="008D7DB0" w:rsidRDefault="00000000">
      <w:pPr>
        <w:pStyle w:val="a4"/>
        <w:ind w:firstLine="560"/>
      </w:pPr>
      <w:r>
        <w:rPr>
          <w:rFonts w:hint="eastAsia"/>
        </w:rPr>
        <w:t>机械设备所处的环境条件不好，会妨碍作业人员的工作，容易引起人员操作失误，造成伤害。</w:t>
      </w:r>
    </w:p>
    <w:p w14:paraId="78901A9B" w14:textId="77777777" w:rsidR="008D7DB0" w:rsidRDefault="00000000">
      <w:pPr>
        <w:pStyle w:val="a4"/>
        <w:ind w:firstLine="560"/>
      </w:pPr>
      <w:r>
        <w:rPr>
          <w:rFonts w:hint="eastAsia"/>
        </w:rPr>
        <w:t>此外，运输车辆、作业人员临近边坡作业时，若防护设施欠缺，易造成高处坠落事故；</w:t>
      </w:r>
    </w:p>
    <w:p w14:paraId="4B59A791" w14:textId="77777777" w:rsidR="008D7DB0" w:rsidRDefault="00000000">
      <w:pPr>
        <w:pStyle w:val="a4"/>
        <w:ind w:firstLine="560"/>
      </w:pPr>
      <w:r>
        <w:rPr>
          <w:rFonts w:hint="eastAsia"/>
        </w:rPr>
        <w:t>推土机在进行作业时，操作失误或推土板直接从车辆驾驶室上方通过易造成物体打击事故，这些事故多是由于人的不安全行为造成的。</w:t>
      </w:r>
    </w:p>
    <w:p w14:paraId="497E4ECD" w14:textId="77777777" w:rsidR="008D7DB0" w:rsidRDefault="00000000">
      <w:pPr>
        <w:pStyle w:val="4"/>
      </w:pPr>
      <w:bookmarkStart w:id="190" w:name="_Toc502928913"/>
      <w:bookmarkStart w:id="191" w:name="_Toc502929556"/>
      <w:bookmarkStart w:id="192" w:name="_Toc12925"/>
      <w:bookmarkStart w:id="193" w:name="_Toc53311492"/>
      <w:bookmarkStart w:id="194" w:name="_Toc27209"/>
      <w:bookmarkStart w:id="195" w:name="_Toc2825"/>
      <w:bookmarkStart w:id="196" w:name="_Toc80883243"/>
      <w:bookmarkStart w:id="197" w:name="_Toc4156"/>
      <w:bookmarkStart w:id="198" w:name="_Toc56554653"/>
      <w:bookmarkStart w:id="199" w:name="_Toc505723215"/>
      <w:r>
        <w:rPr>
          <w:rFonts w:hint="eastAsia"/>
        </w:rPr>
        <w:t>3.2.1.2</w:t>
      </w:r>
      <w:r>
        <w:rPr>
          <w:rFonts w:hint="eastAsia"/>
        </w:rPr>
        <w:t>评价</w:t>
      </w:r>
      <w:bookmarkEnd w:id="190"/>
      <w:bookmarkEnd w:id="191"/>
      <w:r>
        <w:rPr>
          <w:rFonts w:hint="eastAsia"/>
        </w:rPr>
        <w:t>小节</w:t>
      </w:r>
      <w:bookmarkEnd w:id="192"/>
      <w:bookmarkEnd w:id="193"/>
      <w:bookmarkEnd w:id="194"/>
      <w:bookmarkEnd w:id="195"/>
      <w:bookmarkEnd w:id="196"/>
      <w:bookmarkEnd w:id="197"/>
      <w:bookmarkEnd w:id="198"/>
      <w:bookmarkEnd w:id="199"/>
    </w:p>
    <w:p w14:paraId="0DA1E23F" w14:textId="77777777" w:rsidR="008D7DB0" w:rsidRDefault="00000000">
      <w:pPr>
        <w:pStyle w:val="a4"/>
        <w:ind w:firstLine="560"/>
      </w:pPr>
      <w:r>
        <w:rPr>
          <w:rFonts w:hint="eastAsia"/>
        </w:rPr>
        <w:t>通过对排土作业子单元存在的危险、有害因素进行辨识和分析，确定该单元存在的危险因素为“机械伤害”、“高处坠落”、“物体打击”。</w:t>
      </w:r>
    </w:p>
    <w:p w14:paraId="16714136" w14:textId="77777777" w:rsidR="008D7DB0" w:rsidRDefault="00000000">
      <w:pPr>
        <w:pStyle w:val="3"/>
      </w:pPr>
      <w:bookmarkStart w:id="200" w:name="_Toc205883256"/>
      <w:r>
        <w:rPr>
          <w:rFonts w:hint="eastAsia"/>
        </w:rPr>
        <w:t>3.2.2</w:t>
      </w:r>
      <w:r>
        <w:rPr>
          <w:rFonts w:hint="eastAsia"/>
        </w:rPr>
        <w:t>边坡稳定性子单元</w:t>
      </w:r>
      <w:bookmarkEnd w:id="200"/>
    </w:p>
    <w:p w14:paraId="11DF828C" w14:textId="77777777" w:rsidR="008D7DB0" w:rsidRDefault="00000000">
      <w:pPr>
        <w:keepNext/>
        <w:keepLines/>
        <w:snapToGrid w:val="0"/>
        <w:spacing w:beforeLines="50" w:before="120"/>
        <w:ind w:firstLineChars="0" w:firstLine="0"/>
        <w:jc w:val="left"/>
        <w:outlineLvl w:val="3"/>
      </w:pPr>
      <w:bookmarkStart w:id="201" w:name="_Toc53311487"/>
      <w:bookmarkStart w:id="202" w:name="_Toc12121"/>
      <w:bookmarkStart w:id="203" w:name="_Toc502928907"/>
      <w:bookmarkStart w:id="204" w:name="_Toc7490"/>
      <w:bookmarkStart w:id="205" w:name="_Toc502929550"/>
      <w:bookmarkStart w:id="206" w:name="_Toc505723209"/>
      <w:bookmarkStart w:id="207" w:name="_Toc8140"/>
      <w:bookmarkStart w:id="208" w:name="_Toc12351"/>
      <w:bookmarkStart w:id="209" w:name="_Toc56554648"/>
      <w:bookmarkStart w:id="210" w:name="_Toc80883237"/>
      <w:r>
        <w:rPr>
          <w:rFonts w:hint="eastAsia"/>
          <w:szCs w:val="28"/>
        </w:rPr>
        <w:t>3.2.2.1</w:t>
      </w:r>
      <w:r>
        <w:rPr>
          <w:szCs w:val="28"/>
        </w:rPr>
        <w:t>危险、有害因素的辨识和分析</w:t>
      </w:r>
      <w:bookmarkEnd w:id="201"/>
      <w:bookmarkEnd w:id="202"/>
      <w:bookmarkEnd w:id="203"/>
      <w:bookmarkEnd w:id="204"/>
      <w:bookmarkEnd w:id="205"/>
      <w:bookmarkEnd w:id="206"/>
      <w:bookmarkEnd w:id="207"/>
      <w:bookmarkEnd w:id="208"/>
      <w:bookmarkEnd w:id="209"/>
      <w:bookmarkEnd w:id="210"/>
    </w:p>
    <w:p w14:paraId="469FE4BD" w14:textId="77777777" w:rsidR="008D7DB0" w:rsidRDefault="00000000">
      <w:pPr>
        <w:ind w:firstLine="560"/>
        <w:rPr>
          <w:szCs w:val="28"/>
        </w:rPr>
      </w:pPr>
      <w:r>
        <w:rPr>
          <w:rFonts w:hint="eastAsia"/>
          <w:szCs w:val="28"/>
        </w:rPr>
        <w:t>排土场的滑坡是由于松散固体大规模错动、滑移，对环境造成破</w:t>
      </w:r>
      <w:r>
        <w:rPr>
          <w:rFonts w:hint="eastAsia"/>
          <w:szCs w:val="28"/>
        </w:rPr>
        <w:lastRenderedPageBreak/>
        <w:t>坏性的危害。排土场滑坡原因大致有以下五种；</w:t>
      </w:r>
    </w:p>
    <w:p w14:paraId="7F17031E" w14:textId="77777777" w:rsidR="008D7DB0" w:rsidRDefault="00000000">
      <w:pPr>
        <w:numPr>
          <w:ilvl w:val="0"/>
          <w:numId w:val="7"/>
        </w:numPr>
        <w:ind w:firstLine="560"/>
        <w:rPr>
          <w:szCs w:val="28"/>
        </w:rPr>
      </w:pPr>
      <w:r>
        <w:rPr>
          <w:rFonts w:hint="eastAsia"/>
          <w:szCs w:val="28"/>
        </w:rPr>
        <w:t>建设初期排土场勘察设计、建设不符合要求。</w:t>
      </w:r>
    </w:p>
    <w:p w14:paraId="30DF9BA6" w14:textId="77777777" w:rsidR="008D7DB0" w:rsidRDefault="00000000">
      <w:pPr>
        <w:ind w:firstLine="560"/>
        <w:rPr>
          <w:szCs w:val="28"/>
        </w:rPr>
      </w:pPr>
      <w:r>
        <w:rPr>
          <w:rFonts w:hint="eastAsia"/>
          <w:szCs w:val="28"/>
        </w:rPr>
        <w:t>（</w:t>
      </w:r>
      <w:r>
        <w:rPr>
          <w:rFonts w:hint="eastAsia"/>
          <w:szCs w:val="28"/>
        </w:rPr>
        <w:t>2</w:t>
      </w:r>
      <w:r>
        <w:rPr>
          <w:rFonts w:hint="eastAsia"/>
          <w:szCs w:val="28"/>
        </w:rPr>
        <w:t>）生产中排土不科学，没有严格按照设计要求组织排土作业。初期排士场底部排弃的疏水性块石厚度不够，或在生产的某一时期，进行岩土混排，从而人为地在排土场内部形成了软弱面。</w:t>
      </w:r>
    </w:p>
    <w:p w14:paraId="0D62EBA0" w14:textId="77777777" w:rsidR="008D7DB0" w:rsidRDefault="00000000">
      <w:pPr>
        <w:ind w:firstLine="560"/>
        <w:rPr>
          <w:szCs w:val="28"/>
        </w:rPr>
      </w:pPr>
      <w:r>
        <w:rPr>
          <w:rFonts w:hint="eastAsia"/>
          <w:szCs w:val="28"/>
        </w:rPr>
        <w:t>（</w:t>
      </w:r>
      <w:r>
        <w:rPr>
          <w:rFonts w:hint="eastAsia"/>
          <w:szCs w:val="28"/>
        </w:rPr>
        <w:t>3</w:t>
      </w:r>
      <w:r>
        <w:rPr>
          <w:rFonts w:hint="eastAsia"/>
          <w:szCs w:val="28"/>
        </w:rPr>
        <w:t>）排水设施不健全。导致排土场滑坡的另一重要原因是大气降雨和地表水对排土场的浸润作用，排土场初始稳定状态发生改变，稳定性条件迅速恶化。如果在暴雨时，排土场排水不及时，大量的地表水便汇入排土场。雨水入内部后，排土场原来的平衡状态便会发生变化，排土场充水饱和，一方面增加了排土场重量，同时又降低了排土场内部潜在滑动面的摩擦力，从而形成排土场滑坡。</w:t>
      </w:r>
    </w:p>
    <w:p w14:paraId="26F61512" w14:textId="77777777" w:rsidR="008D7DB0" w:rsidRDefault="00000000">
      <w:pPr>
        <w:ind w:firstLine="560"/>
        <w:rPr>
          <w:szCs w:val="28"/>
        </w:rPr>
      </w:pPr>
      <w:r>
        <w:rPr>
          <w:rFonts w:hint="eastAsia"/>
          <w:szCs w:val="28"/>
        </w:rPr>
        <w:t>（</w:t>
      </w:r>
      <w:r>
        <w:rPr>
          <w:rFonts w:hint="eastAsia"/>
          <w:szCs w:val="28"/>
        </w:rPr>
        <w:t>4</w:t>
      </w:r>
      <w:r>
        <w:rPr>
          <w:rFonts w:hint="eastAsia"/>
          <w:szCs w:val="28"/>
        </w:rPr>
        <w:t>）人为因素，在靠近排土场的坡底和两侧进行采石、取土活动，削弱了排土场的底部抗剪力和两侧的阻挡力；此外临近排土场的爆破振动效应对排土场稳定性的影响也是不容忽视的。上述危害排士场安全的人为因素极有可能引起排士场滑坡。</w:t>
      </w:r>
    </w:p>
    <w:p w14:paraId="49931301" w14:textId="77777777" w:rsidR="008D7DB0" w:rsidRDefault="00000000">
      <w:pPr>
        <w:ind w:firstLine="560"/>
        <w:rPr>
          <w:szCs w:val="28"/>
        </w:rPr>
      </w:pPr>
      <w:r>
        <w:rPr>
          <w:rFonts w:hint="eastAsia"/>
          <w:szCs w:val="28"/>
        </w:rPr>
        <w:t>（</w:t>
      </w:r>
      <w:r>
        <w:rPr>
          <w:rFonts w:hint="eastAsia"/>
          <w:szCs w:val="28"/>
        </w:rPr>
        <w:t>5</w:t>
      </w:r>
      <w:r>
        <w:rPr>
          <w:rFonts w:hint="eastAsia"/>
          <w:szCs w:val="28"/>
        </w:rPr>
        <w:t>）其他人力不可抗拒因素。排土场滑坡除了设计、施工和生产管理方面的原因外，有时人力不可抗拒因素也会造成排士场滑坡，例如，地震、大暴雨等。</w:t>
      </w:r>
    </w:p>
    <w:p w14:paraId="2A4CE16F" w14:textId="77777777" w:rsidR="008D7DB0" w:rsidRDefault="00000000">
      <w:pPr>
        <w:ind w:firstLine="560"/>
        <w:rPr>
          <w:szCs w:val="28"/>
        </w:rPr>
      </w:pPr>
      <w:r>
        <w:rPr>
          <w:szCs w:val="28"/>
        </w:rPr>
        <w:t>形成泥石流的三个基本条件</w:t>
      </w:r>
      <w:r>
        <w:rPr>
          <w:szCs w:val="28"/>
        </w:rPr>
        <w:t>:</w:t>
      </w:r>
      <w:r>
        <w:rPr>
          <w:szCs w:val="28"/>
        </w:rPr>
        <w:t>泥石流区内含有丰富的松散岩土</w:t>
      </w:r>
      <w:r>
        <w:rPr>
          <w:rFonts w:hint="eastAsia"/>
          <w:szCs w:val="28"/>
        </w:rPr>
        <w:t>；</w:t>
      </w:r>
      <w:r>
        <w:rPr>
          <w:szCs w:val="28"/>
        </w:rPr>
        <w:t>山坡地形陡峻，具有较大的沟床纵坡</w:t>
      </w:r>
      <w:r>
        <w:rPr>
          <w:rFonts w:hint="eastAsia"/>
          <w:szCs w:val="28"/>
        </w:rPr>
        <w:t>；</w:t>
      </w:r>
      <w:r>
        <w:rPr>
          <w:szCs w:val="28"/>
        </w:rPr>
        <w:t>泥石流区的上中游有较大的汇水面积和充足的水源。产生原因主要有两种情况</w:t>
      </w:r>
      <w:r w:rsidR="001E4427">
        <w:rPr>
          <w:szCs w:val="28"/>
        </w:rPr>
        <w:t>：</w:t>
      </w:r>
    </w:p>
    <w:p w14:paraId="62713185" w14:textId="77777777" w:rsidR="008D7DB0" w:rsidRDefault="00000000">
      <w:pPr>
        <w:ind w:firstLine="560"/>
        <w:rPr>
          <w:szCs w:val="28"/>
        </w:rPr>
      </w:pPr>
      <w:r>
        <w:rPr>
          <w:rFonts w:hint="eastAsia"/>
          <w:szCs w:val="28"/>
        </w:rPr>
        <w:t>（</w:t>
      </w:r>
      <w:r>
        <w:rPr>
          <w:rFonts w:hint="eastAsia"/>
          <w:szCs w:val="28"/>
        </w:rPr>
        <w:t>1</w:t>
      </w:r>
      <w:r>
        <w:rPr>
          <w:rFonts w:hint="eastAsia"/>
          <w:szCs w:val="28"/>
        </w:rPr>
        <w:t>）</w:t>
      </w:r>
      <w:r>
        <w:rPr>
          <w:szCs w:val="28"/>
        </w:rPr>
        <w:t>水动力成因泥石流是大量松散的固体物料堆积在汇水面积大的山谷地带，在动水冲刷作用下沿陡坡地形急速流动</w:t>
      </w:r>
      <w:r>
        <w:rPr>
          <w:szCs w:val="28"/>
        </w:rPr>
        <w:t>,</w:t>
      </w:r>
      <w:r>
        <w:rPr>
          <w:szCs w:val="28"/>
        </w:rPr>
        <w:t>这种成因的泥石流主要是受发达地表水系的影响。</w:t>
      </w:r>
    </w:p>
    <w:p w14:paraId="2B859F1F" w14:textId="77777777" w:rsidR="008D7DB0" w:rsidRDefault="00000000">
      <w:pPr>
        <w:ind w:firstLine="560"/>
        <w:rPr>
          <w:szCs w:val="28"/>
        </w:rPr>
      </w:pPr>
      <w:r>
        <w:rPr>
          <w:rFonts w:hint="eastAsia"/>
          <w:szCs w:val="28"/>
        </w:rPr>
        <w:t>（</w:t>
      </w:r>
      <w:r>
        <w:rPr>
          <w:rFonts w:hint="eastAsia"/>
          <w:szCs w:val="28"/>
        </w:rPr>
        <w:t>2</w:t>
      </w:r>
      <w:r>
        <w:rPr>
          <w:rFonts w:hint="eastAsia"/>
          <w:szCs w:val="28"/>
        </w:rPr>
        <w:t>）</w:t>
      </w:r>
      <w:r>
        <w:rPr>
          <w:szCs w:val="28"/>
        </w:rPr>
        <w:t>重力成因泥石流是吸水岩土遇水软化，当含水量达到一定时，</w:t>
      </w:r>
      <w:r>
        <w:rPr>
          <w:szCs w:val="28"/>
        </w:rPr>
        <w:lastRenderedPageBreak/>
        <w:t>便转化为黏稠状流体。此外，亦可能由坍塌、滑坡体直接转变为泥石流。根据</w:t>
      </w:r>
      <w:r>
        <w:rPr>
          <w:szCs w:val="28"/>
        </w:rPr>
        <w:t>R·A</w:t>
      </w:r>
      <w:r>
        <w:rPr>
          <w:szCs w:val="28"/>
        </w:rPr>
        <w:t>拜格诺的颗粒流理论，黏滞流体中的固体颗粒在动能作用下，彼此撞击频繁，使颖粒及相邻滑移层间动量交换，进而使流体中的固体颗粒具有弥散压力，被水软化成似液态的泥化母者</w:t>
      </w:r>
      <w:r>
        <w:rPr>
          <w:szCs w:val="28"/>
        </w:rPr>
        <w:t>(</w:t>
      </w:r>
      <w:r>
        <w:rPr>
          <w:szCs w:val="28"/>
        </w:rPr>
        <w:t>如黏土、风化岩</w:t>
      </w:r>
      <w:r>
        <w:rPr>
          <w:szCs w:val="28"/>
        </w:rPr>
        <w:t>)</w:t>
      </w:r>
      <w:r>
        <w:rPr>
          <w:szCs w:val="28"/>
        </w:rPr>
        <w:t>与岩士块及水混合成浆体</w:t>
      </w:r>
      <w:r>
        <w:rPr>
          <w:szCs w:val="28"/>
        </w:rPr>
        <w:t>(</w:t>
      </w:r>
      <w:r>
        <w:rPr>
          <w:szCs w:val="28"/>
        </w:rPr>
        <w:t>液固相</w:t>
      </w:r>
      <w:r>
        <w:rPr>
          <w:szCs w:val="28"/>
        </w:rPr>
        <w:t>)</w:t>
      </w:r>
      <w:r>
        <w:rPr>
          <w:szCs w:val="28"/>
        </w:rPr>
        <w:t>在滑坡势能转化来的动能作用下，促使滑体向流动转化，酿成泥石流。</w:t>
      </w:r>
    </w:p>
    <w:p w14:paraId="40364001" w14:textId="77777777" w:rsidR="008D7DB0" w:rsidRDefault="00000000">
      <w:pPr>
        <w:ind w:firstLine="560"/>
        <w:rPr>
          <w:szCs w:val="28"/>
        </w:rPr>
      </w:pPr>
      <w:r>
        <w:rPr>
          <w:rFonts w:hint="eastAsia"/>
          <w:szCs w:val="28"/>
        </w:rPr>
        <w:t>一</w:t>
      </w:r>
      <w:r>
        <w:rPr>
          <w:szCs w:val="28"/>
        </w:rPr>
        <w:t>旦发生泥石流将对下游环境造成严重危害后果。</w:t>
      </w:r>
    </w:p>
    <w:p w14:paraId="7C4234BC" w14:textId="77777777" w:rsidR="008D7DB0" w:rsidRDefault="00000000">
      <w:pPr>
        <w:ind w:firstLine="560"/>
        <w:rPr>
          <w:szCs w:val="28"/>
        </w:rPr>
      </w:pPr>
      <w:r>
        <w:rPr>
          <w:szCs w:val="28"/>
        </w:rPr>
        <w:t>通过对采场边坡子单元存在的危险、有害因素进行辨识和分析，确定该单元存在的危险因素为</w:t>
      </w:r>
      <w:r>
        <w:rPr>
          <w:szCs w:val="28"/>
        </w:rPr>
        <w:t>“</w:t>
      </w:r>
      <w:r>
        <w:rPr>
          <w:szCs w:val="28"/>
        </w:rPr>
        <w:t>滑坡</w:t>
      </w:r>
      <w:r>
        <w:rPr>
          <w:szCs w:val="28"/>
        </w:rPr>
        <w:t>”</w:t>
      </w:r>
      <w:r>
        <w:rPr>
          <w:szCs w:val="28"/>
        </w:rPr>
        <w:t>、</w:t>
      </w:r>
      <w:r>
        <w:rPr>
          <w:szCs w:val="28"/>
        </w:rPr>
        <w:t>“</w:t>
      </w:r>
      <w:r>
        <w:rPr>
          <w:rFonts w:hint="eastAsia"/>
          <w:szCs w:val="28"/>
        </w:rPr>
        <w:t>泥石流</w:t>
      </w:r>
      <w:r>
        <w:rPr>
          <w:szCs w:val="28"/>
        </w:rPr>
        <w:t>”</w:t>
      </w:r>
      <w:r>
        <w:rPr>
          <w:szCs w:val="28"/>
        </w:rPr>
        <w:t>。</w:t>
      </w:r>
    </w:p>
    <w:p w14:paraId="12EE105A" w14:textId="77777777" w:rsidR="008D7DB0" w:rsidRDefault="00000000">
      <w:pPr>
        <w:pStyle w:val="4"/>
      </w:pPr>
      <w:bookmarkStart w:id="211" w:name="_Toc80883239"/>
      <w:bookmarkStart w:id="212" w:name="_Toc14679"/>
      <w:bookmarkStart w:id="213" w:name="_Toc25114"/>
      <w:bookmarkStart w:id="214" w:name="_Toc21720"/>
      <w:bookmarkStart w:id="215" w:name="_Toc32530"/>
      <w:r>
        <w:t>3.</w:t>
      </w:r>
      <w:r>
        <w:rPr>
          <w:rFonts w:hint="eastAsia"/>
        </w:rPr>
        <w:t>2</w:t>
      </w:r>
      <w:r>
        <w:t>.</w:t>
      </w:r>
      <w:r>
        <w:rPr>
          <w:rFonts w:hint="eastAsia"/>
        </w:rPr>
        <w:t>2</w:t>
      </w:r>
      <w:r>
        <w:t>.2</w:t>
      </w:r>
      <w:r>
        <w:t>预先危险性分析法</w:t>
      </w:r>
      <w:bookmarkEnd w:id="211"/>
      <w:bookmarkEnd w:id="212"/>
      <w:bookmarkEnd w:id="213"/>
      <w:bookmarkEnd w:id="214"/>
      <w:bookmarkEnd w:id="215"/>
    </w:p>
    <w:p w14:paraId="51F61081" w14:textId="77777777" w:rsidR="008D7DB0" w:rsidRDefault="00000000">
      <w:pPr>
        <w:ind w:firstLine="560"/>
      </w:pPr>
      <w:r>
        <w:t>采用预先危险性分析法对边坡稳定性子单元存在的危险、有害因素进行评价，见下表</w:t>
      </w:r>
      <w:r>
        <w:t>3.</w:t>
      </w:r>
      <w:r>
        <w:rPr>
          <w:rFonts w:hint="eastAsia"/>
        </w:rPr>
        <w:t>2</w:t>
      </w:r>
      <w:r>
        <w:t>-1</w:t>
      </w:r>
      <w:r>
        <w:t>。</w:t>
      </w:r>
    </w:p>
    <w:p w14:paraId="67E40D76" w14:textId="77777777" w:rsidR="008D7DB0" w:rsidRDefault="00000000">
      <w:pPr>
        <w:ind w:firstLineChars="0" w:firstLine="0"/>
        <w:jc w:val="center"/>
        <w:rPr>
          <w:sz w:val="21"/>
          <w:szCs w:val="21"/>
        </w:rPr>
      </w:pPr>
      <w:r>
        <w:rPr>
          <w:rFonts w:hint="eastAsia"/>
          <w:sz w:val="21"/>
          <w:szCs w:val="21"/>
        </w:rPr>
        <w:t>表</w:t>
      </w:r>
      <w:r>
        <w:rPr>
          <w:rFonts w:hint="eastAsia"/>
          <w:sz w:val="21"/>
          <w:szCs w:val="21"/>
        </w:rPr>
        <w:t>3.2-1</w:t>
      </w:r>
      <w:r>
        <w:rPr>
          <w:rFonts w:hint="eastAsia"/>
          <w:sz w:val="21"/>
          <w:szCs w:val="21"/>
        </w:rPr>
        <w:t>边坡稳定性子单元预先危险性分析检查表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2609"/>
        <w:gridCol w:w="1868"/>
        <w:gridCol w:w="556"/>
        <w:gridCol w:w="2881"/>
      </w:tblGrid>
      <w:tr w:rsidR="008D7DB0" w14:paraId="0A850641" w14:textId="77777777">
        <w:trPr>
          <w:tblHeader/>
        </w:trPr>
        <w:tc>
          <w:tcPr>
            <w:tcW w:w="462" w:type="pct"/>
            <w:vAlign w:val="center"/>
          </w:tcPr>
          <w:p w14:paraId="32E55796" w14:textId="77777777" w:rsidR="008D7DB0" w:rsidRDefault="00000000">
            <w:pPr>
              <w:snapToGrid w:val="0"/>
              <w:spacing w:line="240" w:lineRule="auto"/>
              <w:ind w:rightChars="-51" w:right="-143" w:firstLineChars="0" w:firstLine="0"/>
              <w:jc w:val="center"/>
              <w:rPr>
                <w:sz w:val="21"/>
                <w:szCs w:val="21"/>
              </w:rPr>
            </w:pPr>
            <w:r>
              <w:rPr>
                <w:sz w:val="21"/>
                <w:szCs w:val="21"/>
              </w:rPr>
              <w:t>存在的危险</w:t>
            </w:r>
          </w:p>
        </w:tc>
        <w:tc>
          <w:tcPr>
            <w:tcW w:w="1495" w:type="pct"/>
            <w:vAlign w:val="center"/>
          </w:tcPr>
          <w:p w14:paraId="235DE8AA" w14:textId="77777777" w:rsidR="008D7DB0" w:rsidRDefault="00000000">
            <w:pPr>
              <w:snapToGrid w:val="0"/>
              <w:spacing w:line="240" w:lineRule="auto"/>
              <w:ind w:firstLineChars="0" w:firstLine="0"/>
              <w:jc w:val="center"/>
              <w:rPr>
                <w:sz w:val="21"/>
                <w:szCs w:val="21"/>
              </w:rPr>
            </w:pPr>
            <w:r>
              <w:rPr>
                <w:sz w:val="21"/>
                <w:szCs w:val="21"/>
              </w:rPr>
              <w:t>引发事故的原因</w:t>
            </w:r>
          </w:p>
        </w:tc>
        <w:tc>
          <w:tcPr>
            <w:tcW w:w="1071" w:type="pct"/>
            <w:vAlign w:val="center"/>
          </w:tcPr>
          <w:p w14:paraId="64B38D0F" w14:textId="77777777" w:rsidR="008D7DB0" w:rsidRDefault="00000000">
            <w:pPr>
              <w:snapToGrid w:val="0"/>
              <w:spacing w:line="240" w:lineRule="auto"/>
              <w:ind w:firstLineChars="0" w:firstLine="0"/>
              <w:rPr>
                <w:sz w:val="21"/>
                <w:szCs w:val="21"/>
              </w:rPr>
            </w:pPr>
            <w:r>
              <w:rPr>
                <w:sz w:val="21"/>
                <w:szCs w:val="21"/>
              </w:rPr>
              <w:t>导致的事故后果</w:t>
            </w:r>
          </w:p>
        </w:tc>
        <w:tc>
          <w:tcPr>
            <w:tcW w:w="319" w:type="pct"/>
            <w:vAlign w:val="center"/>
          </w:tcPr>
          <w:p w14:paraId="57376758" w14:textId="77777777" w:rsidR="008D7DB0" w:rsidRDefault="00000000">
            <w:pPr>
              <w:snapToGrid w:val="0"/>
              <w:spacing w:line="240" w:lineRule="auto"/>
              <w:ind w:rightChars="-50" w:right="-140" w:firstLineChars="0" w:firstLine="0"/>
              <w:jc w:val="center"/>
              <w:rPr>
                <w:sz w:val="21"/>
                <w:szCs w:val="21"/>
              </w:rPr>
            </w:pPr>
            <w:r>
              <w:rPr>
                <w:sz w:val="21"/>
                <w:szCs w:val="21"/>
              </w:rPr>
              <w:t>危险等级</w:t>
            </w:r>
          </w:p>
        </w:tc>
        <w:tc>
          <w:tcPr>
            <w:tcW w:w="1651" w:type="pct"/>
            <w:vAlign w:val="center"/>
          </w:tcPr>
          <w:p w14:paraId="03846E38" w14:textId="77777777" w:rsidR="008D7DB0" w:rsidRDefault="00000000">
            <w:pPr>
              <w:snapToGrid w:val="0"/>
              <w:spacing w:line="240" w:lineRule="auto"/>
              <w:ind w:firstLineChars="0" w:firstLine="0"/>
              <w:jc w:val="center"/>
              <w:rPr>
                <w:sz w:val="21"/>
                <w:szCs w:val="21"/>
              </w:rPr>
            </w:pPr>
            <w:r>
              <w:rPr>
                <w:sz w:val="21"/>
                <w:szCs w:val="21"/>
              </w:rPr>
              <w:t>预防措施</w:t>
            </w:r>
          </w:p>
        </w:tc>
      </w:tr>
      <w:tr w:rsidR="008D7DB0" w14:paraId="1A197911" w14:textId="77777777" w:rsidTr="001E4427">
        <w:trPr>
          <w:trHeight w:val="3822"/>
          <w:tblHeader/>
        </w:trPr>
        <w:tc>
          <w:tcPr>
            <w:tcW w:w="462" w:type="pct"/>
            <w:vAlign w:val="center"/>
          </w:tcPr>
          <w:p w14:paraId="2C4DB006" w14:textId="77777777" w:rsidR="008D7DB0" w:rsidRDefault="00000000">
            <w:pPr>
              <w:snapToGrid w:val="0"/>
              <w:spacing w:line="240" w:lineRule="auto"/>
              <w:ind w:rightChars="-51" w:right="-143" w:firstLineChars="0" w:firstLine="0"/>
              <w:jc w:val="center"/>
              <w:rPr>
                <w:sz w:val="21"/>
                <w:szCs w:val="21"/>
              </w:rPr>
            </w:pPr>
            <w:r>
              <w:rPr>
                <w:rFonts w:hint="eastAsia"/>
                <w:sz w:val="21"/>
                <w:szCs w:val="21"/>
              </w:rPr>
              <w:t>滑坡、泥石流</w:t>
            </w:r>
          </w:p>
        </w:tc>
        <w:tc>
          <w:tcPr>
            <w:tcW w:w="1495" w:type="pct"/>
            <w:vAlign w:val="center"/>
          </w:tcPr>
          <w:p w14:paraId="3B66A9CD" w14:textId="77777777" w:rsidR="008D7DB0" w:rsidRDefault="00000000">
            <w:pPr>
              <w:snapToGrid w:val="0"/>
              <w:spacing w:line="240" w:lineRule="auto"/>
              <w:ind w:firstLineChars="0" w:firstLine="0"/>
              <w:jc w:val="center"/>
              <w:rPr>
                <w:sz w:val="21"/>
                <w:szCs w:val="21"/>
              </w:rPr>
            </w:pPr>
            <w:r>
              <w:rPr>
                <w:rFonts w:hint="eastAsia"/>
                <w:sz w:val="21"/>
                <w:szCs w:val="21"/>
              </w:rPr>
              <w:t>1.</w:t>
            </w:r>
            <w:r>
              <w:rPr>
                <w:rFonts w:hint="eastAsia"/>
                <w:sz w:val="21"/>
                <w:szCs w:val="21"/>
              </w:rPr>
              <w:t>拟扩建的排土场堆积高度过大，排弃作业时违反规程造成坡面较陡。</w:t>
            </w:r>
          </w:p>
          <w:p w14:paraId="6C8CEC38" w14:textId="77777777" w:rsidR="008D7DB0" w:rsidRDefault="00000000">
            <w:pPr>
              <w:snapToGrid w:val="0"/>
              <w:spacing w:line="240" w:lineRule="auto"/>
              <w:ind w:firstLineChars="0" w:firstLine="0"/>
              <w:jc w:val="center"/>
              <w:rPr>
                <w:sz w:val="21"/>
                <w:szCs w:val="21"/>
              </w:rPr>
            </w:pPr>
            <w:r>
              <w:rPr>
                <w:rFonts w:hint="eastAsia"/>
                <w:sz w:val="21"/>
                <w:szCs w:val="21"/>
              </w:rPr>
              <w:t>2.</w:t>
            </w:r>
            <w:r>
              <w:rPr>
                <w:rFonts w:hint="eastAsia"/>
                <w:sz w:val="21"/>
                <w:szCs w:val="21"/>
              </w:rPr>
              <w:t>排土场堆积坡角、分层高度等参数设计不合理或设计合理，但未按设计施工</w:t>
            </w:r>
          </w:p>
          <w:p w14:paraId="754F1CDF" w14:textId="77777777" w:rsidR="008D7DB0" w:rsidRDefault="00000000">
            <w:pPr>
              <w:snapToGrid w:val="0"/>
              <w:spacing w:line="240" w:lineRule="auto"/>
              <w:ind w:firstLineChars="0" w:firstLine="0"/>
              <w:jc w:val="center"/>
              <w:rPr>
                <w:sz w:val="21"/>
                <w:szCs w:val="21"/>
              </w:rPr>
            </w:pPr>
            <w:r>
              <w:rPr>
                <w:rFonts w:hint="eastAsia"/>
                <w:sz w:val="21"/>
                <w:szCs w:val="21"/>
              </w:rPr>
              <w:t>3.</w:t>
            </w:r>
            <w:r>
              <w:rPr>
                <w:rFonts w:hint="eastAsia"/>
                <w:sz w:val="21"/>
                <w:szCs w:val="21"/>
              </w:rPr>
              <w:t>防排水工作不力，未在排土场上游设置截洪沟，暴雨冲刷排土场。</w:t>
            </w:r>
          </w:p>
          <w:p w14:paraId="77139304" w14:textId="77777777" w:rsidR="008D7DB0" w:rsidRDefault="00000000">
            <w:pPr>
              <w:snapToGrid w:val="0"/>
              <w:spacing w:line="240" w:lineRule="auto"/>
              <w:ind w:firstLineChars="0" w:firstLine="0"/>
              <w:rPr>
                <w:sz w:val="21"/>
                <w:szCs w:val="21"/>
              </w:rPr>
            </w:pPr>
            <w:r>
              <w:rPr>
                <w:rFonts w:hint="eastAsia"/>
                <w:sz w:val="21"/>
                <w:szCs w:val="21"/>
              </w:rPr>
              <w:t>4.</w:t>
            </w:r>
            <w:r>
              <w:rPr>
                <w:rFonts w:hint="eastAsia"/>
                <w:sz w:val="21"/>
                <w:szCs w:val="21"/>
              </w:rPr>
              <w:t>雨洪水冲刷排土场。</w:t>
            </w:r>
          </w:p>
          <w:p w14:paraId="44FBF1F8" w14:textId="77777777" w:rsidR="008D7DB0" w:rsidRDefault="00000000">
            <w:pPr>
              <w:snapToGrid w:val="0"/>
              <w:spacing w:line="240" w:lineRule="auto"/>
              <w:ind w:firstLineChars="0" w:firstLine="0"/>
              <w:rPr>
                <w:sz w:val="21"/>
                <w:szCs w:val="21"/>
              </w:rPr>
            </w:pPr>
            <w:r>
              <w:rPr>
                <w:rFonts w:hint="eastAsia"/>
                <w:sz w:val="21"/>
                <w:szCs w:val="21"/>
              </w:rPr>
              <w:t>5.</w:t>
            </w:r>
            <w:r>
              <w:rPr>
                <w:rFonts w:hint="eastAsia"/>
                <w:sz w:val="21"/>
                <w:szCs w:val="21"/>
              </w:rPr>
              <w:t>排土场内未设反坡或坡度不合理。</w:t>
            </w:r>
          </w:p>
          <w:p w14:paraId="107E9821" w14:textId="77777777" w:rsidR="008D7DB0" w:rsidRDefault="00000000">
            <w:pPr>
              <w:snapToGrid w:val="0"/>
              <w:spacing w:line="240" w:lineRule="auto"/>
              <w:ind w:firstLineChars="0" w:firstLine="0"/>
              <w:rPr>
                <w:sz w:val="21"/>
                <w:szCs w:val="21"/>
              </w:rPr>
            </w:pPr>
            <w:r>
              <w:rPr>
                <w:rFonts w:hint="eastAsia"/>
                <w:sz w:val="21"/>
                <w:szCs w:val="21"/>
              </w:rPr>
              <w:t>6.</w:t>
            </w:r>
            <w:r>
              <w:rPr>
                <w:rFonts w:hint="eastAsia"/>
                <w:sz w:val="21"/>
                <w:szCs w:val="21"/>
              </w:rPr>
              <w:t>在暴雨、大雪、大风等天气进行卸载作业。</w:t>
            </w:r>
          </w:p>
          <w:p w14:paraId="639EE614" w14:textId="77777777" w:rsidR="008D7DB0" w:rsidRDefault="008D7DB0">
            <w:pPr>
              <w:snapToGrid w:val="0"/>
              <w:spacing w:line="240" w:lineRule="auto"/>
              <w:ind w:firstLineChars="0" w:firstLine="0"/>
              <w:rPr>
                <w:sz w:val="21"/>
                <w:szCs w:val="21"/>
              </w:rPr>
            </w:pPr>
          </w:p>
        </w:tc>
        <w:tc>
          <w:tcPr>
            <w:tcW w:w="1071" w:type="pct"/>
            <w:vAlign w:val="center"/>
          </w:tcPr>
          <w:p w14:paraId="61ED8107" w14:textId="77777777" w:rsidR="008D7DB0" w:rsidRDefault="00000000">
            <w:pPr>
              <w:snapToGrid w:val="0"/>
              <w:spacing w:line="240" w:lineRule="auto"/>
              <w:ind w:firstLineChars="0" w:firstLine="0"/>
              <w:rPr>
                <w:sz w:val="21"/>
                <w:szCs w:val="21"/>
              </w:rPr>
            </w:pPr>
            <w:r>
              <w:rPr>
                <w:rFonts w:hint="eastAsia"/>
                <w:sz w:val="21"/>
                <w:szCs w:val="21"/>
              </w:rPr>
              <w:t>排土场发生滑坡、泥石流，造成人员伤亡或财产损失并影响生产。</w:t>
            </w:r>
          </w:p>
          <w:p w14:paraId="6F7BDBBB" w14:textId="77777777" w:rsidR="008D7DB0" w:rsidRDefault="008D7DB0">
            <w:pPr>
              <w:snapToGrid w:val="0"/>
              <w:spacing w:line="240" w:lineRule="auto"/>
              <w:ind w:firstLineChars="0" w:firstLine="0"/>
              <w:rPr>
                <w:sz w:val="21"/>
                <w:szCs w:val="21"/>
              </w:rPr>
            </w:pPr>
          </w:p>
        </w:tc>
        <w:tc>
          <w:tcPr>
            <w:tcW w:w="319" w:type="pct"/>
            <w:vAlign w:val="center"/>
          </w:tcPr>
          <w:p w14:paraId="7DA98E3D" w14:textId="77777777" w:rsidR="008D7DB0" w:rsidRDefault="00000000">
            <w:pPr>
              <w:snapToGrid w:val="0"/>
              <w:spacing w:line="240" w:lineRule="auto"/>
              <w:ind w:rightChars="-50" w:right="-140" w:firstLineChars="0" w:firstLine="0"/>
              <w:rPr>
                <w:sz w:val="21"/>
                <w:szCs w:val="21"/>
              </w:rPr>
            </w:pPr>
            <w:r>
              <w:rPr>
                <w:rFonts w:hint="eastAsia"/>
                <w:sz w:val="21"/>
                <w:szCs w:val="21"/>
              </w:rPr>
              <w:t>Ⅱ</w:t>
            </w:r>
          </w:p>
        </w:tc>
        <w:tc>
          <w:tcPr>
            <w:tcW w:w="1651" w:type="pct"/>
            <w:vAlign w:val="center"/>
          </w:tcPr>
          <w:p w14:paraId="6CC2BD5B" w14:textId="77777777" w:rsidR="008D7DB0" w:rsidRDefault="00000000">
            <w:pPr>
              <w:snapToGrid w:val="0"/>
              <w:spacing w:line="240" w:lineRule="auto"/>
              <w:ind w:firstLineChars="0" w:firstLine="0"/>
              <w:jc w:val="center"/>
              <w:rPr>
                <w:sz w:val="21"/>
                <w:szCs w:val="21"/>
              </w:rPr>
            </w:pPr>
            <w:r>
              <w:rPr>
                <w:rFonts w:hint="eastAsia"/>
                <w:sz w:val="21"/>
                <w:szCs w:val="21"/>
              </w:rPr>
              <w:t xml:space="preserve">1. </w:t>
            </w:r>
            <w:r>
              <w:rPr>
                <w:rFonts w:hint="eastAsia"/>
                <w:sz w:val="21"/>
                <w:szCs w:val="21"/>
              </w:rPr>
              <w:t>按要求设计排土场堆积坡角、总堆置高度、分层高度等参数。</w:t>
            </w:r>
          </w:p>
          <w:p w14:paraId="05E74E5D" w14:textId="77777777" w:rsidR="008D7DB0" w:rsidRDefault="00000000">
            <w:pPr>
              <w:snapToGrid w:val="0"/>
              <w:spacing w:line="240" w:lineRule="auto"/>
              <w:ind w:firstLineChars="0" w:firstLine="0"/>
              <w:jc w:val="center"/>
              <w:rPr>
                <w:sz w:val="21"/>
                <w:szCs w:val="21"/>
              </w:rPr>
            </w:pPr>
            <w:r>
              <w:rPr>
                <w:rFonts w:hint="eastAsia"/>
                <w:sz w:val="21"/>
                <w:szCs w:val="21"/>
              </w:rPr>
              <w:t xml:space="preserve">2. </w:t>
            </w:r>
            <w:r>
              <w:rPr>
                <w:rFonts w:hint="eastAsia"/>
                <w:sz w:val="21"/>
                <w:szCs w:val="21"/>
              </w:rPr>
              <w:t>在排土场周围设置截洪沟与排水设施。</w:t>
            </w:r>
          </w:p>
          <w:p w14:paraId="15B5F478" w14:textId="77777777" w:rsidR="008D7DB0" w:rsidRDefault="00000000">
            <w:pPr>
              <w:snapToGrid w:val="0"/>
              <w:spacing w:line="240" w:lineRule="auto"/>
              <w:ind w:firstLineChars="0" w:firstLine="0"/>
              <w:jc w:val="center"/>
              <w:rPr>
                <w:sz w:val="21"/>
                <w:szCs w:val="21"/>
              </w:rPr>
            </w:pPr>
            <w:r>
              <w:rPr>
                <w:rFonts w:hint="eastAsia"/>
                <w:sz w:val="21"/>
                <w:szCs w:val="21"/>
              </w:rPr>
              <w:t xml:space="preserve">3. </w:t>
            </w:r>
            <w:r>
              <w:rPr>
                <w:rFonts w:hint="eastAsia"/>
                <w:sz w:val="21"/>
                <w:szCs w:val="21"/>
              </w:rPr>
              <w:t>排土场内必须设反坡，坡度符合要求。</w:t>
            </w:r>
          </w:p>
          <w:p w14:paraId="0070594B" w14:textId="77777777" w:rsidR="008D7DB0" w:rsidRDefault="00000000">
            <w:pPr>
              <w:snapToGrid w:val="0"/>
              <w:spacing w:line="240" w:lineRule="auto"/>
              <w:ind w:firstLineChars="0" w:firstLine="0"/>
              <w:jc w:val="center"/>
              <w:rPr>
                <w:sz w:val="21"/>
                <w:szCs w:val="21"/>
              </w:rPr>
            </w:pPr>
            <w:r>
              <w:rPr>
                <w:rFonts w:hint="eastAsia"/>
                <w:sz w:val="21"/>
                <w:szCs w:val="21"/>
              </w:rPr>
              <w:t xml:space="preserve">8. </w:t>
            </w:r>
            <w:r>
              <w:rPr>
                <w:rFonts w:hint="eastAsia"/>
                <w:sz w:val="21"/>
                <w:szCs w:val="21"/>
              </w:rPr>
              <w:t>汽车卸载时必须设置专人指挥。</w:t>
            </w:r>
          </w:p>
          <w:p w14:paraId="711E4079" w14:textId="77777777" w:rsidR="008D7DB0" w:rsidRDefault="00000000">
            <w:pPr>
              <w:snapToGrid w:val="0"/>
              <w:spacing w:line="240" w:lineRule="auto"/>
              <w:ind w:firstLineChars="0" w:firstLine="0"/>
              <w:jc w:val="center"/>
              <w:rPr>
                <w:sz w:val="21"/>
                <w:szCs w:val="21"/>
              </w:rPr>
            </w:pPr>
            <w:r>
              <w:rPr>
                <w:rFonts w:hint="eastAsia"/>
                <w:sz w:val="21"/>
                <w:szCs w:val="21"/>
              </w:rPr>
              <w:t>4</w:t>
            </w:r>
            <w:r>
              <w:rPr>
                <w:rFonts w:hint="eastAsia"/>
                <w:sz w:val="21"/>
                <w:szCs w:val="21"/>
              </w:rPr>
              <w:t>．在同一地段进行卸车和推土作业时，设备之间应保持足够的安全距离。</w:t>
            </w:r>
          </w:p>
          <w:p w14:paraId="309C64EF" w14:textId="77777777" w:rsidR="008D7DB0" w:rsidRDefault="00000000">
            <w:pPr>
              <w:snapToGrid w:val="0"/>
              <w:spacing w:line="240" w:lineRule="auto"/>
              <w:ind w:firstLineChars="0" w:firstLine="0"/>
              <w:jc w:val="center"/>
              <w:rPr>
                <w:sz w:val="21"/>
                <w:szCs w:val="21"/>
              </w:rPr>
            </w:pPr>
            <w:r>
              <w:rPr>
                <w:rFonts w:hint="eastAsia"/>
                <w:sz w:val="21"/>
                <w:szCs w:val="21"/>
              </w:rPr>
              <w:t>5</w:t>
            </w:r>
            <w:r>
              <w:rPr>
                <w:rFonts w:hint="eastAsia"/>
                <w:sz w:val="21"/>
                <w:szCs w:val="21"/>
              </w:rPr>
              <w:t>．在排土场边缘，推土机不得沿平行坡顶线方向推土。</w:t>
            </w:r>
          </w:p>
          <w:p w14:paraId="7AD8F751" w14:textId="77777777" w:rsidR="008D7DB0" w:rsidRDefault="00000000">
            <w:pPr>
              <w:snapToGrid w:val="0"/>
              <w:spacing w:line="240" w:lineRule="auto"/>
              <w:ind w:firstLineChars="0" w:firstLine="0"/>
              <w:jc w:val="center"/>
              <w:rPr>
                <w:sz w:val="21"/>
                <w:szCs w:val="21"/>
              </w:rPr>
            </w:pPr>
            <w:r>
              <w:rPr>
                <w:rFonts w:hint="eastAsia"/>
                <w:sz w:val="21"/>
                <w:szCs w:val="21"/>
              </w:rPr>
              <w:t>6</w:t>
            </w:r>
            <w:r>
              <w:rPr>
                <w:rFonts w:hint="eastAsia"/>
                <w:sz w:val="21"/>
                <w:szCs w:val="21"/>
              </w:rPr>
              <w:t>．在暴雨、大雪、大风等天气不得进行排土作业。</w:t>
            </w:r>
          </w:p>
          <w:p w14:paraId="7094DE1A" w14:textId="77777777" w:rsidR="008D7DB0" w:rsidRDefault="008D7DB0">
            <w:pPr>
              <w:snapToGrid w:val="0"/>
              <w:spacing w:line="240" w:lineRule="auto"/>
              <w:ind w:firstLineChars="0" w:firstLine="0"/>
              <w:jc w:val="center"/>
              <w:rPr>
                <w:sz w:val="21"/>
                <w:szCs w:val="21"/>
              </w:rPr>
            </w:pPr>
          </w:p>
        </w:tc>
      </w:tr>
    </w:tbl>
    <w:p w14:paraId="5E46511F" w14:textId="77777777" w:rsidR="008D7DB0" w:rsidRDefault="00000000">
      <w:pPr>
        <w:keepNext/>
        <w:keepLines/>
        <w:snapToGrid w:val="0"/>
        <w:spacing w:beforeLines="50" w:before="120"/>
        <w:ind w:firstLineChars="0" w:firstLine="0"/>
        <w:jc w:val="left"/>
        <w:outlineLvl w:val="3"/>
        <w:rPr>
          <w:szCs w:val="28"/>
        </w:rPr>
      </w:pPr>
      <w:bookmarkStart w:id="216" w:name="_Toc12584"/>
      <w:bookmarkStart w:id="217" w:name="_Toc11390"/>
      <w:bookmarkStart w:id="218" w:name="_Toc22449"/>
      <w:bookmarkStart w:id="219" w:name="_Toc4836"/>
      <w:bookmarkStart w:id="220" w:name="_Toc502928909"/>
      <w:bookmarkStart w:id="221" w:name="_Toc56554650"/>
      <w:bookmarkStart w:id="222" w:name="_Toc80883240"/>
      <w:bookmarkStart w:id="223" w:name="_Toc53311489"/>
      <w:bookmarkStart w:id="224" w:name="_Toc505723211"/>
      <w:bookmarkStart w:id="225" w:name="_Toc502929552"/>
      <w:r>
        <w:rPr>
          <w:rFonts w:hint="eastAsia"/>
          <w:szCs w:val="28"/>
        </w:rPr>
        <w:t>3.2.2.3</w:t>
      </w:r>
      <w:r>
        <w:rPr>
          <w:rFonts w:hint="eastAsia"/>
          <w:szCs w:val="28"/>
        </w:rPr>
        <w:t>边坡稳定性分析计算</w:t>
      </w:r>
      <w:bookmarkEnd w:id="216"/>
      <w:bookmarkEnd w:id="217"/>
      <w:bookmarkEnd w:id="218"/>
      <w:bookmarkEnd w:id="219"/>
    </w:p>
    <w:p w14:paraId="774B9F90" w14:textId="71EC86F1" w:rsidR="008D7DB0" w:rsidRDefault="00497DDF">
      <w:pPr>
        <w:ind w:firstLine="560"/>
      </w:pPr>
      <w:bookmarkStart w:id="226" w:name="_Toc24200"/>
      <w:bookmarkStart w:id="227" w:name="_Toc505723203"/>
      <w:bookmarkStart w:id="228" w:name="_Toc352424823"/>
      <w:bookmarkStart w:id="229" w:name="_Toc454915727"/>
      <w:bookmarkEnd w:id="220"/>
      <w:bookmarkEnd w:id="221"/>
      <w:bookmarkEnd w:id="222"/>
      <w:bookmarkEnd w:id="223"/>
      <w:bookmarkEnd w:id="224"/>
      <w:bookmarkEnd w:id="225"/>
      <w:r>
        <w:rPr>
          <w:rFonts w:hint="eastAsia"/>
        </w:rPr>
        <w:t>xxxxx</w:t>
      </w:r>
      <w:r w:rsidR="00000000">
        <w:rPr>
          <w:rFonts w:hint="eastAsia"/>
        </w:rPr>
        <w:t>。</w:t>
      </w:r>
    </w:p>
    <w:p w14:paraId="2B355FC2" w14:textId="77777777" w:rsidR="008D7DB0" w:rsidRDefault="00000000">
      <w:pPr>
        <w:keepNext/>
        <w:keepLines/>
        <w:snapToGrid w:val="0"/>
        <w:spacing w:beforeLines="100" w:before="240" w:afterLines="50" w:after="120"/>
        <w:ind w:firstLineChars="0" w:firstLine="0"/>
        <w:jc w:val="center"/>
        <w:outlineLvl w:val="1"/>
        <w:rPr>
          <w:b/>
          <w:bCs/>
          <w:snapToGrid w:val="0"/>
          <w:szCs w:val="32"/>
        </w:rPr>
      </w:pPr>
      <w:bookmarkStart w:id="230" w:name="_Toc205883258"/>
      <w:r>
        <w:rPr>
          <w:rFonts w:hint="eastAsia"/>
          <w:b/>
          <w:bCs/>
          <w:snapToGrid w:val="0"/>
          <w:szCs w:val="32"/>
        </w:rPr>
        <w:lastRenderedPageBreak/>
        <w:t>3.3</w:t>
      </w:r>
      <w:r>
        <w:rPr>
          <w:b/>
          <w:bCs/>
          <w:snapToGrid w:val="0"/>
          <w:szCs w:val="32"/>
        </w:rPr>
        <w:t>运输单元</w:t>
      </w:r>
      <w:bookmarkEnd w:id="226"/>
      <w:bookmarkEnd w:id="227"/>
      <w:bookmarkEnd w:id="228"/>
      <w:bookmarkEnd w:id="229"/>
      <w:bookmarkEnd w:id="230"/>
    </w:p>
    <w:p w14:paraId="39A7667A" w14:textId="77777777" w:rsidR="008D7DB0" w:rsidRDefault="00000000">
      <w:pPr>
        <w:snapToGrid w:val="0"/>
        <w:spacing w:beforeLines="100" w:before="240" w:afterLines="50" w:after="120"/>
        <w:ind w:firstLine="562"/>
        <w:outlineLvl w:val="2"/>
        <w:rPr>
          <w:b/>
          <w:snapToGrid w:val="0"/>
        </w:rPr>
      </w:pPr>
      <w:bookmarkStart w:id="231" w:name="_Toc53310140"/>
      <w:bookmarkStart w:id="232" w:name="_Toc53310139"/>
      <w:bookmarkStart w:id="233" w:name="_Toc53310138"/>
      <w:bookmarkStart w:id="234" w:name="_Toc502928901"/>
      <w:bookmarkStart w:id="235" w:name="_Toc505723204"/>
      <w:bookmarkStart w:id="236" w:name="_Toc502929544"/>
      <w:bookmarkStart w:id="237" w:name="_Toc205883259"/>
      <w:bookmarkEnd w:id="231"/>
      <w:bookmarkEnd w:id="232"/>
      <w:bookmarkEnd w:id="233"/>
      <w:r>
        <w:rPr>
          <w:rFonts w:hint="eastAsia"/>
          <w:b/>
          <w:snapToGrid w:val="0"/>
        </w:rPr>
        <w:t>3</w:t>
      </w:r>
      <w:r>
        <w:rPr>
          <w:b/>
          <w:snapToGrid w:val="0"/>
        </w:rPr>
        <w:t>.</w:t>
      </w:r>
      <w:r>
        <w:rPr>
          <w:rFonts w:hint="eastAsia"/>
          <w:b/>
          <w:snapToGrid w:val="0"/>
        </w:rPr>
        <w:t>3</w:t>
      </w:r>
      <w:r>
        <w:rPr>
          <w:b/>
          <w:snapToGrid w:val="0"/>
        </w:rPr>
        <w:t>.1</w:t>
      </w:r>
      <w:r>
        <w:rPr>
          <w:b/>
          <w:snapToGrid w:val="0"/>
        </w:rPr>
        <w:t>危险、有害因素的辨识和分析</w:t>
      </w:r>
      <w:bookmarkEnd w:id="234"/>
      <w:bookmarkEnd w:id="235"/>
      <w:bookmarkEnd w:id="236"/>
      <w:bookmarkEnd w:id="237"/>
    </w:p>
    <w:p w14:paraId="6613175B" w14:textId="77777777" w:rsidR="008D7DB0" w:rsidRDefault="00000000">
      <w:pPr>
        <w:snapToGrid w:val="0"/>
        <w:ind w:firstLine="560"/>
        <w:rPr>
          <w:snapToGrid w:val="0"/>
          <w:kern w:val="0"/>
          <w:szCs w:val="28"/>
        </w:rPr>
      </w:pPr>
      <w:r>
        <w:rPr>
          <w:snapToGrid w:val="0"/>
          <w:szCs w:val="28"/>
        </w:rPr>
        <w:t>《</w:t>
      </w:r>
      <w:r>
        <w:rPr>
          <w:rFonts w:hint="eastAsia"/>
          <w:snapToGrid w:val="0"/>
          <w:szCs w:val="28"/>
        </w:rPr>
        <w:t>初步重大设计变更</w:t>
      </w:r>
      <w:r>
        <w:rPr>
          <w:snapToGrid w:val="0"/>
          <w:szCs w:val="28"/>
        </w:rPr>
        <w:t>》提出，该项目选用</w:t>
      </w:r>
      <w:r>
        <w:rPr>
          <w:rFonts w:hint="eastAsia"/>
          <w:snapToGrid w:val="0"/>
          <w:szCs w:val="28"/>
        </w:rPr>
        <w:t>7</w:t>
      </w:r>
      <w:r>
        <w:rPr>
          <w:rFonts w:hint="eastAsia"/>
          <w:snapToGrid w:val="0"/>
          <w:szCs w:val="28"/>
        </w:rPr>
        <w:t>台</w:t>
      </w:r>
      <w:r>
        <w:rPr>
          <w:rFonts w:hint="eastAsia"/>
          <w:snapToGrid w:val="0"/>
          <w:szCs w:val="28"/>
        </w:rPr>
        <w:t>20t</w:t>
      </w:r>
      <w:r>
        <w:rPr>
          <w:rFonts w:hint="eastAsia"/>
          <w:snapToGrid w:val="0"/>
          <w:szCs w:val="28"/>
        </w:rPr>
        <w:t>级矿用自卸汽车</w:t>
      </w:r>
      <w:r>
        <w:rPr>
          <w:snapToGrid w:val="0"/>
          <w:szCs w:val="28"/>
        </w:rPr>
        <w:t>运输矿岩，若道路（或其局部）不符合要求：坡度过大、转弯半径过小、路宽不够、路面不平，路面缺乏维护保养等，易发生意外事故，主要表现为车辆挤人、压人、撞车或撞人、车辆倾覆等。</w:t>
      </w:r>
    </w:p>
    <w:p w14:paraId="0573F161" w14:textId="77777777" w:rsidR="008D7DB0" w:rsidRDefault="00000000">
      <w:pPr>
        <w:snapToGrid w:val="0"/>
        <w:ind w:firstLine="560"/>
        <w:rPr>
          <w:snapToGrid w:val="0"/>
          <w:kern w:val="0"/>
          <w:szCs w:val="28"/>
        </w:rPr>
      </w:pPr>
      <w:r>
        <w:rPr>
          <w:snapToGrid w:val="0"/>
          <w:kern w:val="0"/>
          <w:szCs w:val="28"/>
        </w:rPr>
        <w:t>（</w:t>
      </w:r>
      <w:r>
        <w:rPr>
          <w:snapToGrid w:val="0"/>
          <w:kern w:val="0"/>
          <w:szCs w:val="28"/>
        </w:rPr>
        <w:t>1</w:t>
      </w:r>
      <w:r>
        <w:rPr>
          <w:snapToGrid w:val="0"/>
          <w:kern w:val="0"/>
          <w:szCs w:val="28"/>
        </w:rPr>
        <w:t>）运输道路设计不符合要求，如坡度大，转弯半径过小，路宽不够，路面不平等。</w:t>
      </w:r>
    </w:p>
    <w:p w14:paraId="4BFFB841" w14:textId="77777777" w:rsidR="008D7DB0" w:rsidRDefault="00000000">
      <w:pPr>
        <w:snapToGrid w:val="0"/>
        <w:ind w:firstLine="560"/>
        <w:rPr>
          <w:snapToGrid w:val="0"/>
          <w:kern w:val="0"/>
          <w:szCs w:val="28"/>
        </w:rPr>
      </w:pPr>
      <w:r>
        <w:rPr>
          <w:snapToGrid w:val="0"/>
          <w:kern w:val="0"/>
          <w:szCs w:val="28"/>
        </w:rPr>
        <w:t>（</w:t>
      </w:r>
      <w:r>
        <w:rPr>
          <w:snapToGrid w:val="0"/>
          <w:kern w:val="0"/>
          <w:szCs w:val="28"/>
        </w:rPr>
        <w:t>2</w:t>
      </w:r>
      <w:r>
        <w:rPr>
          <w:snapToGrid w:val="0"/>
          <w:kern w:val="0"/>
          <w:szCs w:val="28"/>
        </w:rPr>
        <w:t>）运输道路路面缺乏维护保养。</w:t>
      </w:r>
    </w:p>
    <w:p w14:paraId="2C4C8149" w14:textId="77777777" w:rsidR="008D7DB0" w:rsidRDefault="00000000">
      <w:pPr>
        <w:snapToGrid w:val="0"/>
        <w:ind w:firstLine="560"/>
        <w:rPr>
          <w:snapToGrid w:val="0"/>
          <w:kern w:val="0"/>
          <w:szCs w:val="28"/>
        </w:rPr>
      </w:pPr>
      <w:r>
        <w:rPr>
          <w:snapToGrid w:val="0"/>
          <w:kern w:val="0"/>
          <w:szCs w:val="28"/>
        </w:rPr>
        <w:t>（</w:t>
      </w:r>
      <w:r>
        <w:rPr>
          <w:snapToGrid w:val="0"/>
          <w:kern w:val="0"/>
          <w:szCs w:val="28"/>
        </w:rPr>
        <w:t>3</w:t>
      </w:r>
      <w:r>
        <w:rPr>
          <w:snapToGrid w:val="0"/>
          <w:kern w:val="0"/>
          <w:szCs w:val="28"/>
        </w:rPr>
        <w:t>）车辆驾驶员没有经过培训考试持证上岗，或没有严格执行行车规则和驾驶操作规程。</w:t>
      </w:r>
    </w:p>
    <w:p w14:paraId="0E08A809" w14:textId="77777777" w:rsidR="008D7DB0" w:rsidRDefault="00000000">
      <w:pPr>
        <w:snapToGrid w:val="0"/>
        <w:ind w:firstLine="560"/>
        <w:rPr>
          <w:snapToGrid w:val="0"/>
          <w:kern w:val="0"/>
          <w:szCs w:val="28"/>
        </w:rPr>
      </w:pPr>
      <w:r>
        <w:rPr>
          <w:snapToGrid w:val="0"/>
          <w:kern w:val="0"/>
          <w:szCs w:val="28"/>
        </w:rPr>
        <w:t>（</w:t>
      </w:r>
      <w:r>
        <w:rPr>
          <w:snapToGrid w:val="0"/>
          <w:kern w:val="0"/>
          <w:szCs w:val="28"/>
        </w:rPr>
        <w:t>4</w:t>
      </w:r>
      <w:r>
        <w:rPr>
          <w:snapToGrid w:val="0"/>
          <w:kern w:val="0"/>
          <w:szCs w:val="28"/>
        </w:rPr>
        <w:t>）车辆没有按照有关规定进行保养，其安全防护装置有缺陷。</w:t>
      </w:r>
    </w:p>
    <w:p w14:paraId="7D2324ED" w14:textId="77777777" w:rsidR="008D7DB0" w:rsidRDefault="00000000">
      <w:pPr>
        <w:snapToGrid w:val="0"/>
        <w:ind w:firstLine="560"/>
        <w:rPr>
          <w:snapToGrid w:val="0"/>
          <w:kern w:val="0"/>
          <w:szCs w:val="28"/>
        </w:rPr>
      </w:pPr>
      <w:r>
        <w:rPr>
          <w:snapToGrid w:val="0"/>
          <w:kern w:val="0"/>
          <w:szCs w:val="28"/>
        </w:rPr>
        <w:t>（</w:t>
      </w:r>
      <w:r>
        <w:rPr>
          <w:snapToGrid w:val="0"/>
          <w:kern w:val="0"/>
          <w:szCs w:val="28"/>
        </w:rPr>
        <w:t>5</w:t>
      </w:r>
      <w:r>
        <w:rPr>
          <w:snapToGrid w:val="0"/>
          <w:kern w:val="0"/>
          <w:szCs w:val="28"/>
        </w:rPr>
        <w:t>）自然条件恶劣，如雾天影响视线，冰雪和雨水使路面变滑等。</w:t>
      </w:r>
    </w:p>
    <w:p w14:paraId="484C9920" w14:textId="77777777" w:rsidR="008D7DB0" w:rsidRDefault="00000000">
      <w:pPr>
        <w:snapToGrid w:val="0"/>
        <w:ind w:firstLine="560"/>
        <w:rPr>
          <w:snapToGrid w:val="0"/>
          <w:szCs w:val="28"/>
        </w:rPr>
      </w:pPr>
      <w:r>
        <w:rPr>
          <w:snapToGrid w:val="0"/>
          <w:kern w:val="0"/>
          <w:szCs w:val="28"/>
        </w:rPr>
        <w:t>此外，</w:t>
      </w:r>
      <w:r>
        <w:rPr>
          <w:snapToGrid w:val="0"/>
          <w:szCs w:val="28"/>
        </w:rPr>
        <w:t>由于该项目使用的车辆较多，行车公路上将经常沉积大量粉尘，在大风干燥天气下车辆运行时，导致尘土弥漫，空气中每立方米的粉尘量可能高达几十甚至几百毫克。运输车辆在行使过程中，产尘量的大小与路面种类、路面上积尘多少、天气干湿、有无雨雪以及汽车行驶速度等因素有关。</w:t>
      </w:r>
    </w:p>
    <w:p w14:paraId="3D9B325F" w14:textId="77777777" w:rsidR="008D7DB0" w:rsidRDefault="00000000">
      <w:pPr>
        <w:snapToGrid w:val="0"/>
        <w:ind w:firstLine="560"/>
        <w:rPr>
          <w:snapToGrid w:val="0"/>
          <w:szCs w:val="28"/>
        </w:rPr>
      </w:pPr>
      <w:r>
        <w:rPr>
          <w:snapToGrid w:val="0"/>
          <w:szCs w:val="28"/>
        </w:rPr>
        <w:t>粉（矿）尘对人的主要危害是能引起尘肺病。尘肺病是由于长期大量吸入微细矿尘而引起的一种慢性职业病。尘肺病是矿工的主要职业病，发病率高，对身体影响大，迄今尚无根治的方法。</w:t>
      </w:r>
    </w:p>
    <w:p w14:paraId="05E846E0" w14:textId="77777777" w:rsidR="008D7DB0" w:rsidRDefault="00000000">
      <w:pPr>
        <w:snapToGrid w:val="0"/>
        <w:ind w:firstLine="560"/>
        <w:rPr>
          <w:snapToGrid w:val="0"/>
          <w:kern w:val="0"/>
          <w:szCs w:val="28"/>
        </w:rPr>
      </w:pPr>
      <w:r>
        <w:rPr>
          <w:snapToGrid w:val="0"/>
          <w:kern w:val="0"/>
          <w:szCs w:val="28"/>
        </w:rPr>
        <w:t>通过对</w:t>
      </w:r>
      <w:r>
        <w:rPr>
          <w:rFonts w:hint="eastAsia"/>
          <w:snapToGrid w:val="0"/>
          <w:kern w:val="0"/>
          <w:szCs w:val="28"/>
        </w:rPr>
        <w:t>排土场</w:t>
      </w:r>
      <w:r>
        <w:rPr>
          <w:snapToGrid w:val="0"/>
          <w:kern w:val="0"/>
          <w:szCs w:val="28"/>
        </w:rPr>
        <w:t>运输单元存在的危险、有害因素进行辨识和分析，确定该单元存在的危险因素为</w:t>
      </w:r>
      <w:r>
        <w:rPr>
          <w:rFonts w:hint="eastAsia"/>
          <w:snapToGrid w:val="0"/>
          <w:kern w:val="0"/>
          <w:szCs w:val="28"/>
        </w:rPr>
        <w:t>“</w:t>
      </w:r>
      <w:r>
        <w:rPr>
          <w:snapToGrid w:val="0"/>
          <w:kern w:val="0"/>
          <w:szCs w:val="28"/>
        </w:rPr>
        <w:t>车辆伤害</w:t>
      </w:r>
      <w:r>
        <w:rPr>
          <w:rFonts w:hint="eastAsia"/>
          <w:snapToGrid w:val="0"/>
          <w:kern w:val="0"/>
          <w:szCs w:val="28"/>
        </w:rPr>
        <w:t>”</w:t>
      </w:r>
      <w:r>
        <w:rPr>
          <w:snapToGrid w:val="0"/>
          <w:kern w:val="0"/>
          <w:szCs w:val="28"/>
        </w:rPr>
        <w:t>，有害因素为</w:t>
      </w:r>
      <w:r>
        <w:rPr>
          <w:rFonts w:hint="eastAsia"/>
          <w:snapToGrid w:val="0"/>
          <w:kern w:val="0"/>
          <w:szCs w:val="28"/>
        </w:rPr>
        <w:t>“</w:t>
      </w:r>
      <w:r>
        <w:rPr>
          <w:snapToGrid w:val="0"/>
          <w:kern w:val="0"/>
          <w:szCs w:val="28"/>
        </w:rPr>
        <w:t>尘毒</w:t>
      </w:r>
      <w:r>
        <w:rPr>
          <w:rFonts w:hint="eastAsia"/>
          <w:snapToGrid w:val="0"/>
          <w:kern w:val="0"/>
          <w:szCs w:val="28"/>
        </w:rPr>
        <w:t>”</w:t>
      </w:r>
      <w:r>
        <w:rPr>
          <w:snapToGrid w:val="0"/>
          <w:kern w:val="0"/>
          <w:szCs w:val="28"/>
        </w:rPr>
        <w:t>。</w:t>
      </w:r>
    </w:p>
    <w:p w14:paraId="3AF3A31E" w14:textId="77777777" w:rsidR="008D7DB0" w:rsidRDefault="00000000">
      <w:pPr>
        <w:snapToGrid w:val="0"/>
        <w:ind w:firstLine="562"/>
        <w:outlineLvl w:val="2"/>
        <w:rPr>
          <w:b/>
          <w:snapToGrid w:val="0"/>
        </w:rPr>
      </w:pPr>
      <w:bookmarkStart w:id="238" w:name="_Toc505723205"/>
      <w:bookmarkStart w:id="239" w:name="_Toc502929545"/>
      <w:bookmarkStart w:id="240" w:name="_Toc502928902"/>
      <w:bookmarkStart w:id="241" w:name="_Toc205883260"/>
      <w:r>
        <w:rPr>
          <w:rFonts w:hint="eastAsia"/>
          <w:b/>
          <w:snapToGrid w:val="0"/>
        </w:rPr>
        <w:t>3</w:t>
      </w:r>
      <w:r>
        <w:rPr>
          <w:b/>
          <w:snapToGrid w:val="0"/>
        </w:rPr>
        <w:t>.</w:t>
      </w:r>
      <w:r>
        <w:rPr>
          <w:rFonts w:hint="eastAsia"/>
          <w:b/>
          <w:snapToGrid w:val="0"/>
        </w:rPr>
        <w:t>3</w:t>
      </w:r>
      <w:r>
        <w:rPr>
          <w:b/>
          <w:snapToGrid w:val="0"/>
        </w:rPr>
        <w:t>.2</w:t>
      </w:r>
      <w:r>
        <w:rPr>
          <w:b/>
          <w:snapToGrid w:val="0"/>
        </w:rPr>
        <w:t>预先危险性分析法评价</w:t>
      </w:r>
      <w:bookmarkEnd w:id="238"/>
      <w:bookmarkEnd w:id="239"/>
      <w:bookmarkEnd w:id="240"/>
      <w:bookmarkEnd w:id="241"/>
    </w:p>
    <w:p w14:paraId="2FC58207" w14:textId="77777777" w:rsidR="008D7DB0" w:rsidRDefault="00000000">
      <w:pPr>
        <w:snapToGrid w:val="0"/>
        <w:ind w:firstLine="560"/>
        <w:rPr>
          <w:snapToGrid w:val="0"/>
          <w:szCs w:val="28"/>
        </w:rPr>
      </w:pPr>
      <w:bookmarkStart w:id="242" w:name="_Toc502928903"/>
      <w:bookmarkStart w:id="243" w:name="_Toc502929546"/>
      <w:r>
        <w:rPr>
          <w:rFonts w:hint="eastAsia"/>
          <w:snapToGrid w:val="0"/>
          <w:szCs w:val="28"/>
        </w:rPr>
        <w:lastRenderedPageBreak/>
        <w:t>采用</w:t>
      </w:r>
      <w:r>
        <w:rPr>
          <w:snapToGrid w:val="0"/>
          <w:szCs w:val="28"/>
        </w:rPr>
        <w:t>预先危险性分析法对</w:t>
      </w:r>
      <w:r>
        <w:rPr>
          <w:rFonts w:hint="eastAsia"/>
          <w:snapToGrid w:val="0"/>
          <w:szCs w:val="28"/>
        </w:rPr>
        <w:t>开拓</w:t>
      </w:r>
      <w:r>
        <w:rPr>
          <w:snapToGrid w:val="0"/>
          <w:szCs w:val="28"/>
        </w:rPr>
        <w:t>运输单元进行安全评价</w:t>
      </w:r>
      <w:bookmarkEnd w:id="242"/>
      <w:bookmarkEnd w:id="243"/>
      <w:r>
        <w:rPr>
          <w:snapToGrid w:val="0"/>
          <w:szCs w:val="28"/>
        </w:rPr>
        <w:t>，见表</w:t>
      </w:r>
      <w:r>
        <w:rPr>
          <w:snapToGrid w:val="0"/>
          <w:szCs w:val="28"/>
        </w:rPr>
        <w:t>3</w:t>
      </w:r>
      <w:r>
        <w:rPr>
          <w:rFonts w:hint="eastAsia"/>
          <w:snapToGrid w:val="0"/>
          <w:szCs w:val="28"/>
        </w:rPr>
        <w:t>.2</w:t>
      </w:r>
      <w:r>
        <w:rPr>
          <w:snapToGrid w:val="0"/>
          <w:szCs w:val="28"/>
        </w:rPr>
        <w:t>-</w:t>
      </w:r>
      <w:r>
        <w:rPr>
          <w:rFonts w:hint="eastAsia"/>
          <w:snapToGrid w:val="0"/>
          <w:szCs w:val="28"/>
        </w:rPr>
        <w:t>1</w:t>
      </w:r>
      <w:r>
        <w:rPr>
          <w:snapToGrid w:val="0"/>
          <w:szCs w:val="28"/>
        </w:rPr>
        <w:t>。</w:t>
      </w:r>
    </w:p>
    <w:p w14:paraId="471A0F00" w14:textId="77777777" w:rsidR="008D7DB0" w:rsidRDefault="00000000">
      <w:pPr>
        <w:snapToGrid w:val="0"/>
        <w:ind w:firstLine="480"/>
        <w:jc w:val="center"/>
        <w:rPr>
          <w:sz w:val="24"/>
        </w:rPr>
      </w:pPr>
      <w:r>
        <w:rPr>
          <w:sz w:val="24"/>
        </w:rPr>
        <w:t>表</w:t>
      </w:r>
      <w:r>
        <w:rPr>
          <w:sz w:val="24"/>
        </w:rPr>
        <w:t>3.</w:t>
      </w:r>
      <w:r>
        <w:rPr>
          <w:rFonts w:hint="eastAsia"/>
          <w:sz w:val="24"/>
        </w:rPr>
        <w:t>3</w:t>
      </w:r>
      <w:r>
        <w:rPr>
          <w:sz w:val="24"/>
        </w:rPr>
        <w:t>-</w:t>
      </w:r>
      <w:r>
        <w:rPr>
          <w:rFonts w:hint="eastAsia"/>
          <w:sz w:val="24"/>
        </w:rPr>
        <w:t>1</w:t>
      </w:r>
      <w:r>
        <w:rPr>
          <w:sz w:val="24"/>
        </w:rPr>
        <w:t>开拓运输单元预先危险性分析</w:t>
      </w:r>
      <w:r>
        <w:rPr>
          <w:rFonts w:hint="eastAsia"/>
          <w:sz w:val="24"/>
        </w:rPr>
        <w:t>检查表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2865"/>
        <w:gridCol w:w="1240"/>
        <w:gridCol w:w="774"/>
        <w:gridCol w:w="2768"/>
      </w:tblGrid>
      <w:tr w:rsidR="008D7DB0" w14:paraId="37CE8DDA" w14:textId="77777777">
        <w:trPr>
          <w:trHeight w:val="974"/>
        </w:trPr>
        <w:tc>
          <w:tcPr>
            <w:tcW w:w="615" w:type="pct"/>
            <w:vAlign w:val="center"/>
          </w:tcPr>
          <w:p w14:paraId="4DBE3F47" w14:textId="77777777" w:rsidR="008D7DB0" w:rsidRDefault="00000000">
            <w:pPr>
              <w:snapToGrid w:val="0"/>
              <w:spacing w:line="240" w:lineRule="auto"/>
              <w:ind w:firstLineChars="0" w:firstLine="0"/>
              <w:jc w:val="center"/>
              <w:rPr>
                <w:spacing w:val="16"/>
                <w:sz w:val="21"/>
              </w:rPr>
            </w:pPr>
            <w:r>
              <w:rPr>
                <w:spacing w:val="16"/>
                <w:sz w:val="21"/>
              </w:rPr>
              <w:t>危险有害因素</w:t>
            </w:r>
          </w:p>
        </w:tc>
        <w:tc>
          <w:tcPr>
            <w:tcW w:w="1642" w:type="pct"/>
            <w:vAlign w:val="center"/>
          </w:tcPr>
          <w:p w14:paraId="168E5D30" w14:textId="77777777" w:rsidR="008D7DB0" w:rsidRDefault="00000000">
            <w:pPr>
              <w:snapToGrid w:val="0"/>
              <w:spacing w:line="240" w:lineRule="auto"/>
              <w:ind w:firstLineChars="0" w:firstLine="0"/>
              <w:jc w:val="center"/>
              <w:rPr>
                <w:spacing w:val="16"/>
                <w:sz w:val="21"/>
              </w:rPr>
            </w:pPr>
            <w:r>
              <w:rPr>
                <w:spacing w:val="16"/>
                <w:sz w:val="21"/>
              </w:rPr>
              <w:t>致因因素</w:t>
            </w:r>
          </w:p>
        </w:tc>
        <w:tc>
          <w:tcPr>
            <w:tcW w:w="711" w:type="pct"/>
            <w:vAlign w:val="center"/>
          </w:tcPr>
          <w:p w14:paraId="6E99BE78" w14:textId="77777777" w:rsidR="008D7DB0" w:rsidRDefault="00000000">
            <w:pPr>
              <w:snapToGrid w:val="0"/>
              <w:spacing w:line="240" w:lineRule="auto"/>
              <w:ind w:firstLineChars="0" w:firstLine="0"/>
              <w:jc w:val="center"/>
              <w:rPr>
                <w:spacing w:val="16"/>
                <w:sz w:val="21"/>
              </w:rPr>
            </w:pPr>
            <w:r>
              <w:rPr>
                <w:spacing w:val="16"/>
                <w:sz w:val="21"/>
              </w:rPr>
              <w:t>事故后果</w:t>
            </w:r>
          </w:p>
        </w:tc>
        <w:tc>
          <w:tcPr>
            <w:tcW w:w="444" w:type="pct"/>
            <w:vAlign w:val="center"/>
          </w:tcPr>
          <w:p w14:paraId="1B2CFF1A" w14:textId="77777777" w:rsidR="008D7DB0" w:rsidRDefault="00000000">
            <w:pPr>
              <w:snapToGrid w:val="0"/>
              <w:spacing w:line="240" w:lineRule="auto"/>
              <w:ind w:leftChars="19" w:left="53" w:firstLineChars="0" w:firstLine="0"/>
              <w:jc w:val="center"/>
              <w:rPr>
                <w:spacing w:val="16"/>
                <w:sz w:val="21"/>
              </w:rPr>
            </w:pPr>
            <w:r>
              <w:rPr>
                <w:spacing w:val="16"/>
                <w:sz w:val="21"/>
              </w:rPr>
              <w:t>危险等级</w:t>
            </w:r>
          </w:p>
        </w:tc>
        <w:tc>
          <w:tcPr>
            <w:tcW w:w="1586" w:type="pct"/>
            <w:vAlign w:val="center"/>
          </w:tcPr>
          <w:p w14:paraId="28434583" w14:textId="77777777" w:rsidR="008D7DB0" w:rsidRDefault="00000000">
            <w:pPr>
              <w:snapToGrid w:val="0"/>
              <w:spacing w:line="240" w:lineRule="auto"/>
              <w:ind w:firstLineChars="0" w:firstLine="0"/>
              <w:jc w:val="center"/>
              <w:rPr>
                <w:spacing w:val="16"/>
                <w:sz w:val="21"/>
              </w:rPr>
            </w:pPr>
            <w:r>
              <w:rPr>
                <w:spacing w:val="16"/>
                <w:sz w:val="21"/>
              </w:rPr>
              <w:t>预防措施</w:t>
            </w:r>
          </w:p>
        </w:tc>
      </w:tr>
      <w:tr w:rsidR="008D7DB0" w14:paraId="33750699" w14:textId="77777777" w:rsidTr="004E7858">
        <w:trPr>
          <w:cantSplit/>
          <w:trHeight w:val="6077"/>
        </w:trPr>
        <w:tc>
          <w:tcPr>
            <w:tcW w:w="615" w:type="pct"/>
            <w:textDirection w:val="tbRlV"/>
            <w:vAlign w:val="center"/>
          </w:tcPr>
          <w:p w14:paraId="0A24C72E" w14:textId="77777777" w:rsidR="008D7DB0" w:rsidRDefault="00000000">
            <w:pPr>
              <w:snapToGrid w:val="0"/>
              <w:spacing w:line="240" w:lineRule="auto"/>
              <w:ind w:left="113" w:right="113" w:firstLineChars="0" w:firstLine="0"/>
              <w:jc w:val="center"/>
              <w:rPr>
                <w:spacing w:val="16"/>
                <w:sz w:val="21"/>
              </w:rPr>
            </w:pPr>
            <w:r>
              <w:rPr>
                <w:spacing w:val="16"/>
                <w:sz w:val="21"/>
              </w:rPr>
              <w:t>车辆伤害</w:t>
            </w:r>
          </w:p>
        </w:tc>
        <w:tc>
          <w:tcPr>
            <w:tcW w:w="1642" w:type="pct"/>
            <w:vAlign w:val="center"/>
          </w:tcPr>
          <w:p w14:paraId="3FF9E12A" w14:textId="77777777" w:rsidR="008D7DB0" w:rsidRDefault="00000000">
            <w:pPr>
              <w:snapToGrid w:val="0"/>
              <w:spacing w:line="240" w:lineRule="auto"/>
              <w:ind w:firstLineChars="0" w:firstLine="0"/>
              <w:rPr>
                <w:spacing w:val="16"/>
                <w:sz w:val="21"/>
              </w:rPr>
            </w:pPr>
            <w:r>
              <w:rPr>
                <w:spacing w:val="16"/>
                <w:sz w:val="21"/>
              </w:rPr>
              <w:t>1.</w:t>
            </w:r>
            <w:r>
              <w:rPr>
                <w:spacing w:val="16"/>
                <w:sz w:val="21"/>
              </w:rPr>
              <w:t>车辆老化，设备损坏。</w:t>
            </w:r>
          </w:p>
          <w:p w14:paraId="703FDD99" w14:textId="77777777" w:rsidR="008D7DB0" w:rsidRDefault="00000000">
            <w:pPr>
              <w:snapToGrid w:val="0"/>
              <w:spacing w:line="240" w:lineRule="auto"/>
              <w:ind w:firstLineChars="0" w:firstLine="0"/>
              <w:rPr>
                <w:spacing w:val="16"/>
                <w:sz w:val="21"/>
              </w:rPr>
            </w:pPr>
            <w:r>
              <w:rPr>
                <w:spacing w:val="16"/>
                <w:sz w:val="21"/>
              </w:rPr>
              <w:t>2.</w:t>
            </w:r>
            <w:r>
              <w:rPr>
                <w:spacing w:val="16"/>
                <w:sz w:val="21"/>
              </w:rPr>
              <w:t>道口未设有明显的警示标志。</w:t>
            </w:r>
          </w:p>
          <w:p w14:paraId="5D253283" w14:textId="77777777" w:rsidR="008D7DB0" w:rsidRDefault="00000000">
            <w:pPr>
              <w:snapToGrid w:val="0"/>
              <w:spacing w:line="240" w:lineRule="auto"/>
              <w:ind w:firstLineChars="0" w:firstLine="0"/>
              <w:rPr>
                <w:spacing w:val="16"/>
                <w:sz w:val="21"/>
              </w:rPr>
            </w:pPr>
            <w:r>
              <w:rPr>
                <w:spacing w:val="16"/>
                <w:sz w:val="21"/>
              </w:rPr>
              <w:t>3.</w:t>
            </w:r>
            <w:r>
              <w:rPr>
                <w:spacing w:val="16"/>
                <w:sz w:val="21"/>
              </w:rPr>
              <w:t>采场道路外侧未设有安全车挡。</w:t>
            </w:r>
          </w:p>
          <w:p w14:paraId="770FB636" w14:textId="77777777" w:rsidR="008D7DB0" w:rsidRDefault="00000000">
            <w:pPr>
              <w:snapToGrid w:val="0"/>
              <w:spacing w:line="240" w:lineRule="auto"/>
              <w:ind w:firstLineChars="0" w:firstLine="0"/>
              <w:rPr>
                <w:spacing w:val="16"/>
                <w:sz w:val="21"/>
              </w:rPr>
            </w:pPr>
            <w:r>
              <w:rPr>
                <w:spacing w:val="16"/>
                <w:sz w:val="21"/>
                <w:szCs w:val="21"/>
              </w:rPr>
              <w:t>4.</w:t>
            </w:r>
            <w:r>
              <w:rPr>
                <w:spacing w:val="16"/>
                <w:sz w:val="21"/>
              </w:rPr>
              <w:t>道路盲区，道口交叉。</w:t>
            </w:r>
          </w:p>
          <w:p w14:paraId="30CE21AA" w14:textId="77777777" w:rsidR="008D7DB0" w:rsidRDefault="00000000">
            <w:pPr>
              <w:snapToGrid w:val="0"/>
              <w:spacing w:line="240" w:lineRule="auto"/>
              <w:ind w:firstLineChars="0" w:firstLine="0"/>
              <w:rPr>
                <w:spacing w:val="16"/>
                <w:sz w:val="21"/>
              </w:rPr>
            </w:pPr>
            <w:r>
              <w:rPr>
                <w:spacing w:val="16"/>
                <w:sz w:val="21"/>
                <w:szCs w:val="21"/>
              </w:rPr>
              <w:t>5.</w:t>
            </w:r>
            <w:r>
              <w:rPr>
                <w:spacing w:val="16"/>
                <w:sz w:val="21"/>
              </w:rPr>
              <w:t>违章驾驶。</w:t>
            </w:r>
          </w:p>
          <w:p w14:paraId="6EEE4DE6" w14:textId="77777777" w:rsidR="008D7DB0" w:rsidRDefault="00000000">
            <w:pPr>
              <w:snapToGrid w:val="0"/>
              <w:spacing w:line="240" w:lineRule="auto"/>
              <w:ind w:firstLineChars="0" w:firstLine="0"/>
              <w:rPr>
                <w:spacing w:val="16"/>
                <w:sz w:val="21"/>
              </w:rPr>
            </w:pPr>
            <w:r>
              <w:rPr>
                <w:spacing w:val="16"/>
                <w:sz w:val="21"/>
                <w:szCs w:val="21"/>
              </w:rPr>
              <w:t>6.</w:t>
            </w:r>
            <w:r>
              <w:rPr>
                <w:spacing w:val="16"/>
                <w:sz w:val="21"/>
              </w:rPr>
              <w:t>信号警示差，安全距离不够。</w:t>
            </w:r>
          </w:p>
          <w:p w14:paraId="472F53E9" w14:textId="77777777" w:rsidR="008D7DB0" w:rsidRDefault="00000000">
            <w:pPr>
              <w:snapToGrid w:val="0"/>
              <w:spacing w:line="240" w:lineRule="auto"/>
              <w:ind w:firstLineChars="0" w:firstLine="0"/>
              <w:rPr>
                <w:spacing w:val="16"/>
                <w:sz w:val="21"/>
                <w:szCs w:val="21"/>
              </w:rPr>
            </w:pPr>
            <w:r>
              <w:rPr>
                <w:spacing w:val="16"/>
                <w:sz w:val="21"/>
                <w:szCs w:val="21"/>
              </w:rPr>
              <w:t>7.</w:t>
            </w:r>
            <w:r>
              <w:rPr>
                <w:spacing w:val="16"/>
                <w:sz w:val="21"/>
              </w:rPr>
              <w:t>运输道路不标准，检修道路不及时</w:t>
            </w:r>
            <w:r>
              <w:rPr>
                <w:spacing w:val="16"/>
                <w:sz w:val="21"/>
                <w:szCs w:val="21"/>
              </w:rPr>
              <w:t>。</w:t>
            </w:r>
          </w:p>
          <w:p w14:paraId="7DB2E616" w14:textId="77777777" w:rsidR="008D7DB0" w:rsidRDefault="00000000">
            <w:pPr>
              <w:snapToGrid w:val="0"/>
              <w:spacing w:line="240" w:lineRule="auto"/>
              <w:ind w:firstLineChars="0" w:firstLine="0"/>
              <w:rPr>
                <w:spacing w:val="16"/>
                <w:sz w:val="21"/>
              </w:rPr>
            </w:pPr>
            <w:r>
              <w:rPr>
                <w:spacing w:val="16"/>
                <w:sz w:val="21"/>
              </w:rPr>
              <w:t>8.</w:t>
            </w:r>
            <w:r>
              <w:rPr>
                <w:spacing w:val="16"/>
                <w:sz w:val="21"/>
              </w:rPr>
              <w:t>驾驶室外平台、脚踏板及车斗不应载人；不应在运行中升降车斗。</w:t>
            </w:r>
          </w:p>
          <w:p w14:paraId="5331CF08" w14:textId="77777777" w:rsidR="008D7DB0" w:rsidRDefault="00000000">
            <w:pPr>
              <w:snapToGrid w:val="0"/>
              <w:spacing w:line="240" w:lineRule="auto"/>
              <w:ind w:firstLineChars="0" w:firstLine="0"/>
              <w:rPr>
                <w:spacing w:val="16"/>
                <w:sz w:val="21"/>
              </w:rPr>
            </w:pPr>
            <w:r>
              <w:rPr>
                <w:spacing w:val="16"/>
                <w:sz w:val="21"/>
              </w:rPr>
              <w:t>9.</w:t>
            </w:r>
            <w:r>
              <w:rPr>
                <w:spacing w:val="16"/>
                <w:sz w:val="21"/>
              </w:rPr>
              <w:t>冰雪或多雨季节道路较滑时，未设防滑措施。</w:t>
            </w:r>
          </w:p>
          <w:p w14:paraId="38E03542" w14:textId="77777777" w:rsidR="008D7DB0" w:rsidRDefault="00000000">
            <w:pPr>
              <w:snapToGrid w:val="0"/>
              <w:spacing w:line="240" w:lineRule="auto"/>
              <w:ind w:firstLineChars="0" w:firstLine="0"/>
              <w:rPr>
                <w:spacing w:val="16"/>
                <w:sz w:val="21"/>
              </w:rPr>
            </w:pPr>
            <w:r>
              <w:rPr>
                <w:spacing w:val="16"/>
                <w:sz w:val="21"/>
              </w:rPr>
              <w:t>10.</w:t>
            </w:r>
            <w:r>
              <w:rPr>
                <w:spacing w:val="16"/>
                <w:sz w:val="21"/>
              </w:rPr>
              <w:t>同类车超车，前后车距离应保持适当。生产干线、坡道上无故停车。</w:t>
            </w:r>
          </w:p>
          <w:p w14:paraId="0C67E62B" w14:textId="77777777" w:rsidR="008D7DB0" w:rsidRDefault="00000000">
            <w:pPr>
              <w:snapToGrid w:val="0"/>
              <w:spacing w:line="240" w:lineRule="auto"/>
              <w:ind w:firstLineChars="0" w:firstLine="0"/>
              <w:rPr>
                <w:spacing w:val="16"/>
                <w:sz w:val="21"/>
              </w:rPr>
            </w:pPr>
            <w:r>
              <w:rPr>
                <w:spacing w:val="16"/>
                <w:sz w:val="21"/>
              </w:rPr>
              <w:t>11.</w:t>
            </w:r>
            <w:r>
              <w:rPr>
                <w:spacing w:val="16"/>
                <w:sz w:val="21"/>
              </w:rPr>
              <w:t>采用溜车方式发动车辆，下坡行驶空档滑行。</w:t>
            </w:r>
          </w:p>
        </w:tc>
        <w:tc>
          <w:tcPr>
            <w:tcW w:w="711" w:type="pct"/>
            <w:vAlign w:val="center"/>
          </w:tcPr>
          <w:p w14:paraId="08F5B426" w14:textId="77777777" w:rsidR="008D7DB0" w:rsidRDefault="00000000">
            <w:pPr>
              <w:snapToGrid w:val="0"/>
              <w:spacing w:line="240" w:lineRule="auto"/>
              <w:ind w:firstLineChars="0" w:firstLine="0"/>
              <w:jc w:val="center"/>
              <w:rPr>
                <w:spacing w:val="16"/>
                <w:sz w:val="21"/>
              </w:rPr>
            </w:pPr>
            <w:r>
              <w:rPr>
                <w:spacing w:val="16"/>
                <w:sz w:val="21"/>
              </w:rPr>
              <w:t>人员伤亡。</w:t>
            </w:r>
          </w:p>
        </w:tc>
        <w:tc>
          <w:tcPr>
            <w:tcW w:w="444" w:type="pct"/>
            <w:vAlign w:val="center"/>
          </w:tcPr>
          <w:p w14:paraId="550CD5F1" w14:textId="77777777" w:rsidR="008D7DB0" w:rsidRDefault="00000000">
            <w:pPr>
              <w:snapToGrid w:val="0"/>
              <w:spacing w:line="240" w:lineRule="auto"/>
              <w:ind w:firstLineChars="0" w:firstLine="0"/>
              <w:jc w:val="center"/>
              <w:rPr>
                <w:spacing w:val="16"/>
                <w:sz w:val="21"/>
              </w:rPr>
            </w:pPr>
            <w:r>
              <w:rPr>
                <w:spacing w:val="16"/>
                <w:sz w:val="21"/>
              </w:rPr>
              <w:t>Ⅲ</w:t>
            </w:r>
          </w:p>
        </w:tc>
        <w:tc>
          <w:tcPr>
            <w:tcW w:w="1586" w:type="pct"/>
            <w:vAlign w:val="center"/>
          </w:tcPr>
          <w:p w14:paraId="68786AF8" w14:textId="77777777" w:rsidR="008D7DB0" w:rsidRDefault="00000000" w:rsidP="004E7858">
            <w:pPr>
              <w:snapToGrid w:val="0"/>
              <w:spacing w:line="240" w:lineRule="auto"/>
              <w:ind w:firstLineChars="0" w:firstLine="0"/>
              <w:rPr>
                <w:spacing w:val="16"/>
                <w:sz w:val="21"/>
              </w:rPr>
            </w:pPr>
            <w:r>
              <w:rPr>
                <w:spacing w:val="16"/>
                <w:sz w:val="21"/>
              </w:rPr>
              <w:t>1.</w:t>
            </w:r>
            <w:r>
              <w:rPr>
                <w:spacing w:val="16"/>
                <w:sz w:val="21"/>
              </w:rPr>
              <w:t>经常检查与维护车辆，损坏车辆维修前严禁作业。</w:t>
            </w:r>
          </w:p>
          <w:p w14:paraId="6EACA5ED" w14:textId="77777777" w:rsidR="008D7DB0" w:rsidRDefault="00000000" w:rsidP="004E7858">
            <w:pPr>
              <w:snapToGrid w:val="0"/>
              <w:spacing w:line="240" w:lineRule="auto"/>
              <w:ind w:firstLineChars="0" w:firstLine="0"/>
              <w:rPr>
                <w:spacing w:val="16"/>
                <w:sz w:val="21"/>
              </w:rPr>
            </w:pPr>
            <w:r>
              <w:rPr>
                <w:spacing w:val="16"/>
                <w:sz w:val="21"/>
              </w:rPr>
              <w:t>2.</w:t>
            </w:r>
            <w:r>
              <w:rPr>
                <w:spacing w:val="16"/>
                <w:sz w:val="21"/>
              </w:rPr>
              <w:t>道口设置明显的警示标志。</w:t>
            </w:r>
          </w:p>
          <w:p w14:paraId="70665C45" w14:textId="77777777" w:rsidR="008D7DB0" w:rsidRDefault="00000000" w:rsidP="004E7858">
            <w:pPr>
              <w:snapToGrid w:val="0"/>
              <w:spacing w:line="240" w:lineRule="auto"/>
              <w:ind w:firstLineChars="0" w:firstLine="0"/>
              <w:rPr>
                <w:spacing w:val="16"/>
                <w:sz w:val="21"/>
              </w:rPr>
            </w:pPr>
            <w:r>
              <w:rPr>
                <w:spacing w:val="16"/>
                <w:sz w:val="21"/>
              </w:rPr>
              <w:t>3.</w:t>
            </w:r>
            <w:r>
              <w:rPr>
                <w:spacing w:val="16"/>
                <w:sz w:val="21"/>
              </w:rPr>
              <w:t>采场或排土场道路外侧设不小于车辆轮胎高度</w:t>
            </w:r>
            <w:r>
              <w:rPr>
                <w:spacing w:val="16"/>
                <w:sz w:val="21"/>
              </w:rPr>
              <w:t>1/2</w:t>
            </w:r>
            <w:r>
              <w:rPr>
                <w:spacing w:val="16"/>
                <w:sz w:val="21"/>
              </w:rPr>
              <w:t>的安全车挡。</w:t>
            </w:r>
          </w:p>
          <w:p w14:paraId="21EEC7EB" w14:textId="77777777" w:rsidR="008D7DB0" w:rsidRDefault="00000000" w:rsidP="004E7858">
            <w:pPr>
              <w:snapToGrid w:val="0"/>
              <w:spacing w:line="240" w:lineRule="auto"/>
              <w:ind w:firstLineChars="0" w:firstLine="0"/>
              <w:rPr>
                <w:spacing w:val="16"/>
                <w:sz w:val="21"/>
              </w:rPr>
            </w:pPr>
            <w:r>
              <w:rPr>
                <w:spacing w:val="16"/>
                <w:sz w:val="21"/>
                <w:szCs w:val="21"/>
              </w:rPr>
              <w:t>4.</w:t>
            </w:r>
            <w:r>
              <w:rPr>
                <w:spacing w:val="16"/>
                <w:sz w:val="21"/>
              </w:rPr>
              <w:t>人员加强道路盲区及道路交叉处的了望，增设醒目的警示牌。</w:t>
            </w:r>
          </w:p>
          <w:p w14:paraId="607837CB" w14:textId="77777777" w:rsidR="008D7DB0" w:rsidRDefault="00000000" w:rsidP="004E7858">
            <w:pPr>
              <w:snapToGrid w:val="0"/>
              <w:spacing w:line="240" w:lineRule="auto"/>
              <w:ind w:firstLineChars="0" w:firstLine="0"/>
              <w:rPr>
                <w:spacing w:val="16"/>
                <w:sz w:val="21"/>
              </w:rPr>
            </w:pPr>
            <w:r>
              <w:rPr>
                <w:spacing w:val="16"/>
                <w:sz w:val="21"/>
                <w:szCs w:val="21"/>
              </w:rPr>
              <w:t>5.</w:t>
            </w:r>
            <w:r>
              <w:rPr>
                <w:spacing w:val="16"/>
                <w:sz w:val="21"/>
                <w:szCs w:val="21"/>
              </w:rPr>
              <w:t>司机持证上岗，</w:t>
            </w:r>
            <w:r>
              <w:rPr>
                <w:spacing w:val="16"/>
                <w:sz w:val="21"/>
              </w:rPr>
              <w:t>按规程驾驶车辆。</w:t>
            </w:r>
          </w:p>
          <w:p w14:paraId="7F015423" w14:textId="77777777" w:rsidR="008D7DB0" w:rsidRDefault="00000000" w:rsidP="004E7858">
            <w:pPr>
              <w:snapToGrid w:val="0"/>
              <w:spacing w:line="240" w:lineRule="auto"/>
              <w:ind w:firstLineChars="0" w:firstLine="0"/>
              <w:rPr>
                <w:spacing w:val="16"/>
                <w:sz w:val="21"/>
              </w:rPr>
            </w:pPr>
            <w:r>
              <w:rPr>
                <w:spacing w:val="16"/>
                <w:sz w:val="21"/>
              </w:rPr>
              <w:t>6</w:t>
            </w:r>
            <w:r>
              <w:rPr>
                <w:spacing w:val="16"/>
                <w:sz w:val="21"/>
                <w:szCs w:val="21"/>
              </w:rPr>
              <w:t>.</w:t>
            </w:r>
            <w:r>
              <w:rPr>
                <w:spacing w:val="16"/>
                <w:sz w:val="21"/>
              </w:rPr>
              <w:t>设置明显的警示指示信号。</w:t>
            </w:r>
          </w:p>
          <w:p w14:paraId="7105CA68" w14:textId="77777777" w:rsidR="008D7DB0" w:rsidRDefault="00000000" w:rsidP="004E7858">
            <w:pPr>
              <w:snapToGrid w:val="0"/>
              <w:spacing w:line="240" w:lineRule="auto"/>
              <w:ind w:firstLineChars="0" w:firstLine="0"/>
              <w:rPr>
                <w:spacing w:val="16"/>
                <w:sz w:val="21"/>
              </w:rPr>
            </w:pPr>
            <w:r>
              <w:rPr>
                <w:spacing w:val="16"/>
                <w:sz w:val="21"/>
              </w:rPr>
              <w:t>7.</w:t>
            </w:r>
            <w:r>
              <w:rPr>
                <w:spacing w:val="16"/>
                <w:sz w:val="21"/>
              </w:rPr>
              <w:t>经常检查与维护道路。</w:t>
            </w:r>
          </w:p>
          <w:p w14:paraId="0632F630" w14:textId="77777777" w:rsidR="008D7DB0" w:rsidRDefault="00000000" w:rsidP="004E7858">
            <w:pPr>
              <w:snapToGrid w:val="0"/>
              <w:spacing w:line="240" w:lineRule="auto"/>
              <w:ind w:firstLineChars="0" w:firstLine="0"/>
              <w:rPr>
                <w:spacing w:val="16"/>
                <w:sz w:val="21"/>
              </w:rPr>
            </w:pPr>
            <w:r>
              <w:rPr>
                <w:spacing w:val="16"/>
                <w:sz w:val="21"/>
              </w:rPr>
              <w:t>8</w:t>
            </w:r>
            <w:r>
              <w:rPr>
                <w:spacing w:val="16"/>
                <w:sz w:val="21"/>
                <w:szCs w:val="21"/>
              </w:rPr>
              <w:t>.</w:t>
            </w:r>
            <w:r>
              <w:rPr>
                <w:spacing w:val="16"/>
                <w:sz w:val="21"/>
              </w:rPr>
              <w:t>按照设计要求修建矿区道路。</w:t>
            </w:r>
          </w:p>
          <w:p w14:paraId="6C1B5365" w14:textId="77777777" w:rsidR="008D7DB0" w:rsidRDefault="00000000" w:rsidP="004E7858">
            <w:pPr>
              <w:snapToGrid w:val="0"/>
              <w:spacing w:line="240" w:lineRule="auto"/>
              <w:ind w:firstLineChars="0" w:firstLine="0"/>
              <w:rPr>
                <w:spacing w:val="16"/>
                <w:sz w:val="21"/>
              </w:rPr>
            </w:pPr>
            <w:r>
              <w:rPr>
                <w:spacing w:val="16"/>
                <w:sz w:val="21"/>
              </w:rPr>
              <w:t>9</w:t>
            </w:r>
            <w:r>
              <w:rPr>
                <w:spacing w:val="16"/>
                <w:sz w:val="21"/>
                <w:szCs w:val="21"/>
              </w:rPr>
              <w:t>.</w:t>
            </w:r>
            <w:r>
              <w:rPr>
                <w:spacing w:val="16"/>
                <w:sz w:val="21"/>
              </w:rPr>
              <w:t>遵守岗位操作规程，冰雪或多雨季节制定防滑措施。</w:t>
            </w:r>
          </w:p>
          <w:p w14:paraId="6F5B403A" w14:textId="77777777" w:rsidR="008D7DB0" w:rsidRDefault="00000000" w:rsidP="004E7858">
            <w:pPr>
              <w:snapToGrid w:val="0"/>
              <w:spacing w:line="240" w:lineRule="auto"/>
              <w:ind w:firstLineChars="0" w:firstLine="0"/>
              <w:rPr>
                <w:spacing w:val="16"/>
                <w:sz w:val="21"/>
              </w:rPr>
            </w:pPr>
            <w:r>
              <w:rPr>
                <w:spacing w:val="16"/>
                <w:sz w:val="21"/>
              </w:rPr>
              <w:t>10.</w:t>
            </w:r>
            <w:r>
              <w:rPr>
                <w:spacing w:val="16"/>
                <w:sz w:val="21"/>
              </w:rPr>
              <w:t>车辆之间保持足够的安全距离。</w:t>
            </w:r>
          </w:p>
          <w:p w14:paraId="1ABBD8B3" w14:textId="77777777" w:rsidR="008D7DB0" w:rsidRDefault="00000000" w:rsidP="004E7858">
            <w:pPr>
              <w:snapToGrid w:val="0"/>
              <w:spacing w:line="240" w:lineRule="auto"/>
              <w:ind w:firstLineChars="0" w:firstLine="0"/>
              <w:rPr>
                <w:spacing w:val="16"/>
                <w:sz w:val="21"/>
              </w:rPr>
            </w:pPr>
            <w:r>
              <w:rPr>
                <w:spacing w:val="16"/>
                <w:sz w:val="21"/>
              </w:rPr>
              <w:t>11.</w:t>
            </w:r>
            <w:r>
              <w:rPr>
                <w:spacing w:val="16"/>
                <w:sz w:val="21"/>
              </w:rPr>
              <w:t>严禁采用溜车方式发动车辆，下坡行驶空档滑行。</w:t>
            </w:r>
          </w:p>
        </w:tc>
      </w:tr>
      <w:tr w:rsidR="008D7DB0" w14:paraId="65B1EDEB" w14:textId="77777777" w:rsidTr="004E7858">
        <w:trPr>
          <w:trHeight w:val="1116"/>
        </w:trPr>
        <w:tc>
          <w:tcPr>
            <w:tcW w:w="615" w:type="pct"/>
            <w:vAlign w:val="center"/>
          </w:tcPr>
          <w:p w14:paraId="2B8ADE92" w14:textId="77777777" w:rsidR="008D7DB0" w:rsidRDefault="00000000">
            <w:pPr>
              <w:snapToGrid w:val="0"/>
              <w:spacing w:line="240" w:lineRule="auto"/>
              <w:ind w:firstLineChars="0" w:firstLine="0"/>
              <w:jc w:val="center"/>
              <w:rPr>
                <w:spacing w:val="16"/>
                <w:sz w:val="21"/>
                <w:szCs w:val="21"/>
              </w:rPr>
            </w:pPr>
            <w:r>
              <w:rPr>
                <w:spacing w:val="16"/>
                <w:sz w:val="21"/>
                <w:szCs w:val="21"/>
              </w:rPr>
              <w:t>尘毒</w:t>
            </w:r>
          </w:p>
        </w:tc>
        <w:tc>
          <w:tcPr>
            <w:tcW w:w="1642" w:type="pct"/>
            <w:vAlign w:val="center"/>
          </w:tcPr>
          <w:p w14:paraId="0989495B" w14:textId="77777777" w:rsidR="008D7DB0" w:rsidRDefault="00000000">
            <w:pPr>
              <w:snapToGrid w:val="0"/>
              <w:spacing w:line="240" w:lineRule="auto"/>
              <w:ind w:firstLineChars="0" w:firstLine="0"/>
              <w:rPr>
                <w:spacing w:val="16"/>
                <w:sz w:val="21"/>
                <w:szCs w:val="21"/>
              </w:rPr>
            </w:pPr>
            <w:r>
              <w:rPr>
                <w:spacing w:val="16"/>
                <w:sz w:val="21"/>
                <w:szCs w:val="21"/>
              </w:rPr>
              <w:t>汽车作业时产生尾气、粉尘。</w:t>
            </w:r>
          </w:p>
        </w:tc>
        <w:tc>
          <w:tcPr>
            <w:tcW w:w="711" w:type="pct"/>
            <w:vAlign w:val="center"/>
          </w:tcPr>
          <w:p w14:paraId="72CFD204" w14:textId="77777777" w:rsidR="008D7DB0" w:rsidRDefault="00000000">
            <w:pPr>
              <w:snapToGrid w:val="0"/>
              <w:spacing w:line="240" w:lineRule="auto"/>
              <w:ind w:firstLineChars="0" w:firstLine="0"/>
              <w:jc w:val="center"/>
              <w:rPr>
                <w:spacing w:val="16"/>
                <w:sz w:val="21"/>
                <w:szCs w:val="21"/>
              </w:rPr>
            </w:pPr>
            <w:r>
              <w:rPr>
                <w:spacing w:val="16"/>
                <w:sz w:val="21"/>
                <w:szCs w:val="21"/>
              </w:rPr>
              <w:t>影响人员健康。</w:t>
            </w:r>
          </w:p>
        </w:tc>
        <w:tc>
          <w:tcPr>
            <w:tcW w:w="444" w:type="pct"/>
            <w:vAlign w:val="center"/>
          </w:tcPr>
          <w:p w14:paraId="29B8D8DE" w14:textId="77777777" w:rsidR="008D7DB0" w:rsidRDefault="00000000">
            <w:pPr>
              <w:snapToGrid w:val="0"/>
              <w:spacing w:line="240" w:lineRule="auto"/>
              <w:ind w:firstLineChars="0" w:firstLine="0"/>
              <w:jc w:val="center"/>
              <w:rPr>
                <w:spacing w:val="16"/>
                <w:sz w:val="21"/>
                <w:szCs w:val="21"/>
              </w:rPr>
            </w:pPr>
            <w:r>
              <w:rPr>
                <w:spacing w:val="16"/>
                <w:sz w:val="21"/>
                <w:szCs w:val="21"/>
              </w:rPr>
              <w:t>Ⅱ</w:t>
            </w:r>
          </w:p>
        </w:tc>
        <w:tc>
          <w:tcPr>
            <w:tcW w:w="1586" w:type="pct"/>
            <w:vAlign w:val="center"/>
          </w:tcPr>
          <w:p w14:paraId="33648867" w14:textId="77777777" w:rsidR="008D7DB0" w:rsidRDefault="00000000">
            <w:pPr>
              <w:snapToGrid w:val="0"/>
              <w:spacing w:line="240" w:lineRule="auto"/>
              <w:ind w:firstLineChars="0" w:firstLine="0"/>
              <w:rPr>
                <w:spacing w:val="16"/>
                <w:sz w:val="21"/>
                <w:szCs w:val="21"/>
              </w:rPr>
            </w:pPr>
            <w:r>
              <w:rPr>
                <w:spacing w:val="16"/>
                <w:sz w:val="21"/>
                <w:szCs w:val="21"/>
              </w:rPr>
              <w:t>1.</w:t>
            </w:r>
            <w:r>
              <w:rPr>
                <w:spacing w:val="16"/>
                <w:sz w:val="21"/>
                <w:szCs w:val="21"/>
              </w:rPr>
              <w:t>汽车安装尾气净化装置；</w:t>
            </w:r>
          </w:p>
          <w:p w14:paraId="32D1A365" w14:textId="77777777" w:rsidR="008D7DB0" w:rsidRDefault="00000000">
            <w:pPr>
              <w:snapToGrid w:val="0"/>
              <w:spacing w:line="240" w:lineRule="auto"/>
              <w:ind w:firstLineChars="0" w:firstLine="0"/>
              <w:rPr>
                <w:spacing w:val="16"/>
                <w:sz w:val="21"/>
                <w:szCs w:val="21"/>
              </w:rPr>
            </w:pPr>
            <w:r>
              <w:rPr>
                <w:spacing w:val="16"/>
                <w:sz w:val="21"/>
                <w:szCs w:val="21"/>
              </w:rPr>
              <w:t>2.</w:t>
            </w:r>
            <w:r>
              <w:rPr>
                <w:spacing w:val="16"/>
                <w:sz w:val="21"/>
                <w:szCs w:val="21"/>
              </w:rPr>
              <w:t>加强洒水作业；</w:t>
            </w:r>
          </w:p>
          <w:p w14:paraId="2F763A93" w14:textId="77777777" w:rsidR="008D7DB0" w:rsidRDefault="00000000">
            <w:pPr>
              <w:snapToGrid w:val="0"/>
              <w:spacing w:line="240" w:lineRule="auto"/>
              <w:ind w:firstLineChars="0" w:firstLine="0"/>
              <w:rPr>
                <w:spacing w:val="16"/>
                <w:sz w:val="21"/>
                <w:szCs w:val="21"/>
              </w:rPr>
            </w:pPr>
            <w:r>
              <w:rPr>
                <w:spacing w:val="16"/>
                <w:sz w:val="21"/>
                <w:szCs w:val="21"/>
              </w:rPr>
              <w:t>3.</w:t>
            </w:r>
            <w:r>
              <w:rPr>
                <w:spacing w:val="16"/>
                <w:sz w:val="21"/>
                <w:szCs w:val="21"/>
              </w:rPr>
              <w:t>加强个体防护等。</w:t>
            </w:r>
          </w:p>
        </w:tc>
      </w:tr>
    </w:tbl>
    <w:p w14:paraId="76014C60" w14:textId="77777777" w:rsidR="008D7DB0" w:rsidRDefault="00000000">
      <w:pPr>
        <w:snapToGrid w:val="0"/>
        <w:ind w:firstLine="562"/>
        <w:outlineLvl w:val="2"/>
        <w:rPr>
          <w:b/>
          <w:snapToGrid w:val="0"/>
        </w:rPr>
      </w:pPr>
      <w:bookmarkStart w:id="244" w:name="_Toc502929547"/>
      <w:bookmarkStart w:id="245" w:name="_Toc505723206"/>
      <w:bookmarkStart w:id="246" w:name="_Toc502928904"/>
      <w:bookmarkStart w:id="247" w:name="_Toc205883261"/>
      <w:r>
        <w:rPr>
          <w:rFonts w:hint="eastAsia"/>
          <w:b/>
          <w:snapToGrid w:val="0"/>
        </w:rPr>
        <w:t>3</w:t>
      </w:r>
      <w:r>
        <w:rPr>
          <w:b/>
          <w:snapToGrid w:val="0"/>
        </w:rPr>
        <w:t>.</w:t>
      </w:r>
      <w:r>
        <w:rPr>
          <w:rFonts w:hint="eastAsia"/>
          <w:b/>
          <w:snapToGrid w:val="0"/>
        </w:rPr>
        <w:t>3</w:t>
      </w:r>
      <w:r>
        <w:rPr>
          <w:b/>
          <w:snapToGrid w:val="0"/>
        </w:rPr>
        <w:t>.3</w:t>
      </w:r>
      <w:r>
        <w:rPr>
          <w:b/>
          <w:snapToGrid w:val="0"/>
        </w:rPr>
        <w:t>评价结果</w:t>
      </w:r>
      <w:bookmarkEnd w:id="244"/>
      <w:bookmarkEnd w:id="245"/>
      <w:bookmarkEnd w:id="246"/>
      <w:bookmarkEnd w:id="247"/>
    </w:p>
    <w:p w14:paraId="2ADBF051" w14:textId="77777777" w:rsidR="008D7DB0" w:rsidRDefault="00000000">
      <w:pPr>
        <w:tabs>
          <w:tab w:val="left" w:pos="1080"/>
          <w:tab w:val="left" w:pos="1260"/>
        </w:tabs>
        <w:adjustRightInd w:val="0"/>
        <w:snapToGrid w:val="0"/>
        <w:ind w:firstLine="560"/>
        <w:rPr>
          <w:szCs w:val="28"/>
        </w:rPr>
      </w:pPr>
      <w:r>
        <w:rPr>
          <w:szCs w:val="28"/>
        </w:rPr>
        <w:t>车辆伤害是常见的运输事故，且事故结果较为严重，因此，本项目运输过程中造成的伤害危险等级定为</w:t>
      </w:r>
      <w:r>
        <w:rPr>
          <w:szCs w:val="28"/>
        </w:rPr>
        <w:t>Ⅱ</w:t>
      </w:r>
      <w:r>
        <w:rPr>
          <w:szCs w:val="28"/>
        </w:rPr>
        <w:t>～</w:t>
      </w:r>
      <w:r>
        <w:rPr>
          <w:szCs w:val="28"/>
        </w:rPr>
        <w:t>Ⅲ</w:t>
      </w:r>
      <w:r>
        <w:rPr>
          <w:szCs w:val="28"/>
        </w:rPr>
        <w:t>级。</w:t>
      </w:r>
    </w:p>
    <w:p w14:paraId="529F2D90" w14:textId="77777777" w:rsidR="008D7DB0" w:rsidRDefault="00000000">
      <w:pPr>
        <w:tabs>
          <w:tab w:val="left" w:pos="1080"/>
          <w:tab w:val="left" w:pos="1260"/>
        </w:tabs>
        <w:adjustRightInd w:val="0"/>
        <w:snapToGrid w:val="0"/>
        <w:ind w:firstLine="560"/>
        <w:rPr>
          <w:szCs w:val="28"/>
        </w:rPr>
      </w:pPr>
      <w:r>
        <w:rPr>
          <w:szCs w:val="28"/>
        </w:rPr>
        <w:t>《</w:t>
      </w:r>
      <w:r>
        <w:rPr>
          <w:rFonts w:hint="eastAsia"/>
          <w:szCs w:val="28"/>
        </w:rPr>
        <w:t>初步设计重大变更</w:t>
      </w:r>
      <w:r>
        <w:rPr>
          <w:szCs w:val="28"/>
        </w:rPr>
        <w:t>》明确</w:t>
      </w:r>
      <w:r>
        <w:rPr>
          <w:rFonts w:hint="eastAsia"/>
          <w:szCs w:val="28"/>
        </w:rPr>
        <w:t>现有运输道路连接采场与排土场，采场道路出入口位于矿区北侧方向，运输道路长度约为</w:t>
      </w:r>
      <w:r>
        <w:rPr>
          <w:rFonts w:hint="eastAsia"/>
          <w:szCs w:val="28"/>
        </w:rPr>
        <w:t>2.0km</w:t>
      </w:r>
      <w:r>
        <w:rPr>
          <w:rFonts w:hint="eastAsia"/>
          <w:szCs w:val="28"/>
        </w:rPr>
        <w:t>，道路宽度</w:t>
      </w:r>
      <w:r>
        <w:rPr>
          <w:rFonts w:hint="eastAsia"/>
          <w:szCs w:val="28"/>
        </w:rPr>
        <w:t>8-10m</w:t>
      </w:r>
      <w:r>
        <w:rPr>
          <w:rFonts w:hint="eastAsia"/>
          <w:szCs w:val="28"/>
        </w:rPr>
        <w:t>不等，运输道路路面为碎石路面</w:t>
      </w:r>
      <w:r>
        <w:rPr>
          <w:szCs w:val="28"/>
        </w:rPr>
        <w:t>，</w:t>
      </w:r>
      <w:r>
        <w:rPr>
          <w:rFonts w:hint="eastAsia"/>
          <w:szCs w:val="28"/>
        </w:rPr>
        <w:t>本次预评价</w:t>
      </w:r>
      <w:r>
        <w:rPr>
          <w:szCs w:val="28"/>
        </w:rPr>
        <w:t>认为</w:t>
      </w:r>
      <w:r>
        <w:rPr>
          <w:rFonts w:hint="eastAsia"/>
          <w:szCs w:val="28"/>
        </w:rPr>
        <w:t>该</w:t>
      </w:r>
      <w:r>
        <w:rPr>
          <w:szCs w:val="28"/>
        </w:rPr>
        <w:t>项目道路建</w:t>
      </w:r>
      <w:r>
        <w:rPr>
          <w:szCs w:val="28"/>
        </w:rPr>
        <w:lastRenderedPageBreak/>
        <w:t>设方案</w:t>
      </w:r>
      <w:r>
        <w:rPr>
          <w:rFonts w:hint="eastAsia"/>
          <w:szCs w:val="28"/>
        </w:rPr>
        <w:t>基本</w:t>
      </w:r>
      <w:r>
        <w:rPr>
          <w:szCs w:val="28"/>
        </w:rPr>
        <w:t>满足《厂矿道路设计规范》（</w:t>
      </w:r>
      <w:r>
        <w:rPr>
          <w:szCs w:val="28"/>
        </w:rPr>
        <w:t>GBJ22-87</w:t>
      </w:r>
      <w:r>
        <w:rPr>
          <w:szCs w:val="28"/>
        </w:rPr>
        <w:t>）要求，因此建设单位只要按照设计要求</w:t>
      </w:r>
      <w:r>
        <w:rPr>
          <w:rFonts w:hint="eastAsia"/>
          <w:szCs w:val="28"/>
        </w:rPr>
        <w:t>日常维护排土场</w:t>
      </w:r>
      <w:r>
        <w:rPr>
          <w:szCs w:val="28"/>
        </w:rPr>
        <w:t>道路，对运输车辆及时检修保持车况良好，并杜绝驾驶人员违章，运输过程中造成的伤害</w:t>
      </w:r>
      <w:r>
        <w:rPr>
          <w:rFonts w:hint="eastAsia"/>
          <w:szCs w:val="28"/>
        </w:rPr>
        <w:t>可以控制在可接受范围内</w:t>
      </w:r>
      <w:r>
        <w:rPr>
          <w:szCs w:val="28"/>
        </w:rPr>
        <w:t>。</w:t>
      </w:r>
    </w:p>
    <w:p w14:paraId="3FA3DADC" w14:textId="77777777" w:rsidR="008D7DB0" w:rsidRDefault="00000000">
      <w:pPr>
        <w:keepNext/>
        <w:keepLines/>
        <w:snapToGrid w:val="0"/>
        <w:spacing w:beforeLines="100" w:before="240" w:afterLines="50" w:after="120"/>
        <w:ind w:firstLineChars="0" w:firstLine="0"/>
        <w:jc w:val="center"/>
        <w:outlineLvl w:val="1"/>
        <w:rPr>
          <w:b/>
          <w:snapToGrid w:val="0"/>
        </w:rPr>
      </w:pPr>
      <w:bookmarkStart w:id="248" w:name="_Toc13117"/>
      <w:bookmarkStart w:id="249" w:name="_Toc505723224"/>
      <w:bookmarkStart w:id="250" w:name="_Toc352424830"/>
      <w:bookmarkStart w:id="251" w:name="_Toc454915733"/>
      <w:bookmarkStart w:id="252" w:name="_Toc205883262"/>
      <w:r>
        <w:rPr>
          <w:rFonts w:hint="eastAsia"/>
          <w:b/>
          <w:snapToGrid w:val="0"/>
        </w:rPr>
        <w:t>3.4</w:t>
      </w:r>
      <w:r>
        <w:rPr>
          <w:b/>
          <w:snapToGrid w:val="0"/>
        </w:rPr>
        <w:t>防排水单元</w:t>
      </w:r>
      <w:bookmarkEnd w:id="248"/>
      <w:bookmarkEnd w:id="249"/>
      <w:bookmarkEnd w:id="250"/>
      <w:bookmarkEnd w:id="251"/>
      <w:bookmarkEnd w:id="252"/>
    </w:p>
    <w:p w14:paraId="0C0FF2D5" w14:textId="77777777" w:rsidR="008D7DB0" w:rsidRDefault="00000000">
      <w:pPr>
        <w:keepNext/>
        <w:keepLines/>
        <w:snapToGrid w:val="0"/>
        <w:spacing w:beforeLines="50" w:before="120"/>
        <w:ind w:firstLineChars="0" w:firstLine="0"/>
        <w:jc w:val="left"/>
        <w:outlineLvl w:val="2"/>
        <w:rPr>
          <w:b/>
          <w:snapToGrid w:val="0"/>
        </w:rPr>
      </w:pPr>
      <w:bookmarkStart w:id="253" w:name="_Toc53310164"/>
      <w:bookmarkStart w:id="254" w:name="_Toc205883263"/>
      <w:bookmarkStart w:id="255" w:name="_Toc505723225"/>
      <w:bookmarkStart w:id="256" w:name="_Toc502929566"/>
      <w:bookmarkStart w:id="257" w:name="_Toc502928923"/>
      <w:bookmarkEnd w:id="253"/>
      <w:r>
        <w:rPr>
          <w:rFonts w:hint="eastAsia"/>
          <w:b/>
          <w:snapToGrid w:val="0"/>
        </w:rPr>
        <w:t>3</w:t>
      </w:r>
      <w:r>
        <w:rPr>
          <w:b/>
          <w:snapToGrid w:val="0"/>
        </w:rPr>
        <w:t>.</w:t>
      </w:r>
      <w:r>
        <w:rPr>
          <w:rFonts w:hint="eastAsia"/>
          <w:b/>
          <w:snapToGrid w:val="0"/>
        </w:rPr>
        <w:t>4</w:t>
      </w:r>
      <w:r>
        <w:rPr>
          <w:b/>
          <w:snapToGrid w:val="0"/>
        </w:rPr>
        <w:t>.1</w:t>
      </w:r>
      <w:r>
        <w:rPr>
          <w:b/>
          <w:snapToGrid w:val="0"/>
        </w:rPr>
        <w:t>危险、有害因素的辨识和分析</w:t>
      </w:r>
      <w:bookmarkEnd w:id="254"/>
    </w:p>
    <w:bookmarkEnd w:id="255"/>
    <w:bookmarkEnd w:id="256"/>
    <w:bookmarkEnd w:id="257"/>
    <w:p w14:paraId="5AE37EBD" w14:textId="77777777" w:rsidR="008D7DB0" w:rsidRDefault="00000000">
      <w:pPr>
        <w:adjustRightInd w:val="0"/>
        <w:snapToGrid w:val="0"/>
        <w:ind w:firstLine="560"/>
        <w:rPr>
          <w:szCs w:val="28"/>
        </w:rPr>
      </w:pPr>
      <w:r>
        <w:rPr>
          <w:rFonts w:hint="eastAsia"/>
          <w:szCs w:val="28"/>
        </w:rPr>
        <w:t>矿区水文地质条件简单，主要危险、有害因素为大气降水。</w:t>
      </w:r>
    </w:p>
    <w:p w14:paraId="6481FCB0" w14:textId="77777777" w:rsidR="008D7DB0" w:rsidRDefault="00000000">
      <w:pPr>
        <w:snapToGrid w:val="0"/>
        <w:ind w:firstLine="562"/>
        <w:outlineLvl w:val="2"/>
        <w:rPr>
          <w:b/>
          <w:snapToGrid w:val="0"/>
        </w:rPr>
      </w:pPr>
      <w:bookmarkStart w:id="258" w:name="_Toc502929567"/>
      <w:bookmarkStart w:id="259" w:name="_Toc502928924"/>
      <w:bookmarkStart w:id="260" w:name="_Toc505723226"/>
      <w:bookmarkStart w:id="261" w:name="_Toc205883264"/>
      <w:r>
        <w:rPr>
          <w:rFonts w:hint="eastAsia"/>
          <w:b/>
          <w:snapToGrid w:val="0"/>
        </w:rPr>
        <w:t>3</w:t>
      </w:r>
      <w:r>
        <w:rPr>
          <w:b/>
          <w:snapToGrid w:val="0"/>
        </w:rPr>
        <w:t>.</w:t>
      </w:r>
      <w:r>
        <w:rPr>
          <w:rFonts w:hint="eastAsia"/>
          <w:b/>
          <w:snapToGrid w:val="0"/>
        </w:rPr>
        <w:t>4</w:t>
      </w:r>
      <w:r>
        <w:rPr>
          <w:b/>
          <w:snapToGrid w:val="0"/>
        </w:rPr>
        <w:t>.2</w:t>
      </w:r>
      <w:r>
        <w:rPr>
          <w:b/>
          <w:szCs w:val="28"/>
        </w:rPr>
        <w:t>预先危险性分析法</w:t>
      </w:r>
      <w:r>
        <w:rPr>
          <w:b/>
          <w:snapToGrid w:val="0"/>
        </w:rPr>
        <w:t>评价</w:t>
      </w:r>
      <w:bookmarkEnd w:id="258"/>
      <w:bookmarkEnd w:id="259"/>
      <w:bookmarkEnd w:id="260"/>
      <w:bookmarkEnd w:id="261"/>
    </w:p>
    <w:p w14:paraId="69C7D895" w14:textId="77777777" w:rsidR="008D7DB0" w:rsidRDefault="00000000">
      <w:pPr>
        <w:adjustRightInd w:val="0"/>
        <w:snapToGrid w:val="0"/>
        <w:ind w:firstLine="560"/>
        <w:rPr>
          <w:sz w:val="21"/>
        </w:rPr>
      </w:pPr>
      <w:r>
        <w:rPr>
          <w:szCs w:val="28"/>
        </w:rPr>
        <w:t>采用预先危险性分析法对</w:t>
      </w:r>
      <w:r>
        <w:rPr>
          <w:rFonts w:hint="eastAsia"/>
          <w:szCs w:val="28"/>
        </w:rPr>
        <w:t>防排水</w:t>
      </w:r>
      <w:r>
        <w:rPr>
          <w:szCs w:val="28"/>
        </w:rPr>
        <w:t>单元进行评价，见下表</w:t>
      </w:r>
      <w:r>
        <w:rPr>
          <w:szCs w:val="28"/>
        </w:rPr>
        <w:t>3</w:t>
      </w:r>
      <w:r>
        <w:rPr>
          <w:rFonts w:hint="eastAsia"/>
          <w:szCs w:val="28"/>
        </w:rPr>
        <w:t>.4-</w:t>
      </w:r>
      <w:r>
        <w:rPr>
          <w:szCs w:val="28"/>
        </w:rPr>
        <w:t>1</w:t>
      </w:r>
      <w:r>
        <w:rPr>
          <w:rFonts w:hint="eastAsia"/>
          <w:szCs w:val="28"/>
        </w:rPr>
        <w:t>。</w:t>
      </w:r>
    </w:p>
    <w:p w14:paraId="32CCB481" w14:textId="77777777" w:rsidR="008D7DB0" w:rsidRDefault="00000000">
      <w:pPr>
        <w:tabs>
          <w:tab w:val="center" w:pos="4252"/>
        </w:tabs>
        <w:spacing w:line="240" w:lineRule="auto"/>
        <w:ind w:firstLineChars="0" w:firstLine="0"/>
        <w:jc w:val="left"/>
        <w:rPr>
          <w:sz w:val="21"/>
          <w:szCs w:val="21"/>
        </w:rPr>
      </w:pPr>
      <w:r>
        <w:rPr>
          <w:rFonts w:hint="eastAsia"/>
          <w:sz w:val="21"/>
        </w:rPr>
        <w:tab/>
      </w:r>
      <w:r>
        <w:rPr>
          <w:sz w:val="21"/>
          <w:szCs w:val="21"/>
        </w:rPr>
        <w:t>表</w:t>
      </w:r>
      <w:r>
        <w:rPr>
          <w:sz w:val="21"/>
          <w:szCs w:val="21"/>
        </w:rPr>
        <w:t>3</w:t>
      </w:r>
      <w:r>
        <w:rPr>
          <w:rFonts w:hint="eastAsia"/>
          <w:sz w:val="21"/>
          <w:szCs w:val="21"/>
        </w:rPr>
        <w:t>.4</w:t>
      </w:r>
      <w:r>
        <w:rPr>
          <w:sz w:val="21"/>
          <w:szCs w:val="21"/>
        </w:rPr>
        <w:t>-1</w:t>
      </w:r>
      <w:r>
        <w:rPr>
          <w:rFonts w:hint="eastAsia"/>
          <w:sz w:val="21"/>
          <w:szCs w:val="21"/>
        </w:rPr>
        <w:t>防排水</w:t>
      </w:r>
      <w:r>
        <w:rPr>
          <w:sz w:val="21"/>
          <w:szCs w:val="21"/>
        </w:rPr>
        <w:t>单元预先危险性分析</w:t>
      </w:r>
      <w:r>
        <w:rPr>
          <w:rFonts w:hint="eastAsia"/>
          <w:sz w:val="21"/>
          <w:szCs w:val="21"/>
        </w:rPr>
        <w:t>检查表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2506"/>
        <w:gridCol w:w="2262"/>
        <w:gridCol w:w="720"/>
        <w:gridCol w:w="2131"/>
      </w:tblGrid>
      <w:tr w:rsidR="008D7DB0" w14:paraId="0B86ABB6" w14:textId="77777777">
        <w:tc>
          <w:tcPr>
            <w:tcW w:w="631" w:type="pct"/>
            <w:vAlign w:val="center"/>
          </w:tcPr>
          <w:p w14:paraId="723593AC" w14:textId="77777777" w:rsidR="008D7DB0" w:rsidRDefault="00000000">
            <w:pPr>
              <w:snapToGrid w:val="0"/>
              <w:spacing w:line="240" w:lineRule="auto"/>
              <w:ind w:firstLineChars="0" w:firstLine="0"/>
              <w:jc w:val="center"/>
              <w:rPr>
                <w:snapToGrid w:val="0"/>
                <w:kern w:val="0"/>
                <w:sz w:val="21"/>
                <w:szCs w:val="21"/>
              </w:rPr>
            </w:pPr>
            <w:r>
              <w:rPr>
                <w:snapToGrid w:val="0"/>
                <w:kern w:val="0"/>
                <w:sz w:val="21"/>
                <w:szCs w:val="21"/>
              </w:rPr>
              <w:t>存在的危险因素</w:t>
            </w:r>
          </w:p>
        </w:tc>
        <w:tc>
          <w:tcPr>
            <w:tcW w:w="1437" w:type="pct"/>
            <w:vAlign w:val="center"/>
          </w:tcPr>
          <w:p w14:paraId="0C6F3362" w14:textId="77777777" w:rsidR="008D7DB0" w:rsidRDefault="00000000">
            <w:pPr>
              <w:snapToGrid w:val="0"/>
              <w:spacing w:line="240" w:lineRule="auto"/>
              <w:ind w:firstLineChars="0" w:firstLine="0"/>
              <w:jc w:val="center"/>
              <w:rPr>
                <w:snapToGrid w:val="0"/>
                <w:kern w:val="0"/>
                <w:sz w:val="21"/>
                <w:szCs w:val="21"/>
              </w:rPr>
            </w:pPr>
            <w:r>
              <w:rPr>
                <w:snapToGrid w:val="0"/>
                <w:kern w:val="0"/>
                <w:sz w:val="21"/>
                <w:szCs w:val="21"/>
              </w:rPr>
              <w:t>引发事故的原因</w:t>
            </w:r>
          </w:p>
        </w:tc>
        <w:tc>
          <w:tcPr>
            <w:tcW w:w="1297" w:type="pct"/>
            <w:vAlign w:val="center"/>
          </w:tcPr>
          <w:p w14:paraId="211300DC" w14:textId="77777777" w:rsidR="008D7DB0" w:rsidRDefault="00000000">
            <w:pPr>
              <w:snapToGrid w:val="0"/>
              <w:spacing w:line="240" w:lineRule="auto"/>
              <w:ind w:firstLineChars="0" w:firstLine="0"/>
              <w:jc w:val="center"/>
              <w:rPr>
                <w:snapToGrid w:val="0"/>
                <w:kern w:val="0"/>
                <w:sz w:val="21"/>
                <w:szCs w:val="21"/>
              </w:rPr>
            </w:pPr>
            <w:r>
              <w:rPr>
                <w:snapToGrid w:val="0"/>
                <w:kern w:val="0"/>
                <w:sz w:val="21"/>
                <w:szCs w:val="21"/>
              </w:rPr>
              <w:t>导致的事故后果</w:t>
            </w:r>
          </w:p>
        </w:tc>
        <w:tc>
          <w:tcPr>
            <w:tcW w:w="413" w:type="pct"/>
            <w:vAlign w:val="center"/>
          </w:tcPr>
          <w:p w14:paraId="7114AB9F" w14:textId="77777777" w:rsidR="008D7DB0" w:rsidRDefault="00000000">
            <w:pPr>
              <w:snapToGrid w:val="0"/>
              <w:spacing w:line="240" w:lineRule="auto"/>
              <w:ind w:firstLineChars="0" w:firstLine="0"/>
              <w:jc w:val="center"/>
              <w:rPr>
                <w:snapToGrid w:val="0"/>
                <w:kern w:val="0"/>
                <w:sz w:val="21"/>
                <w:szCs w:val="21"/>
              </w:rPr>
            </w:pPr>
            <w:r>
              <w:rPr>
                <w:snapToGrid w:val="0"/>
                <w:kern w:val="0"/>
                <w:sz w:val="21"/>
                <w:szCs w:val="21"/>
              </w:rPr>
              <w:t>危险等级</w:t>
            </w:r>
          </w:p>
        </w:tc>
        <w:tc>
          <w:tcPr>
            <w:tcW w:w="1222" w:type="pct"/>
            <w:vAlign w:val="center"/>
          </w:tcPr>
          <w:p w14:paraId="4108D957" w14:textId="77777777" w:rsidR="008D7DB0" w:rsidRDefault="00000000">
            <w:pPr>
              <w:snapToGrid w:val="0"/>
              <w:spacing w:line="240" w:lineRule="auto"/>
              <w:ind w:firstLineChars="0" w:firstLine="0"/>
              <w:jc w:val="center"/>
              <w:rPr>
                <w:snapToGrid w:val="0"/>
                <w:kern w:val="0"/>
                <w:sz w:val="21"/>
                <w:szCs w:val="21"/>
              </w:rPr>
            </w:pPr>
            <w:r>
              <w:rPr>
                <w:snapToGrid w:val="0"/>
                <w:kern w:val="0"/>
                <w:sz w:val="21"/>
                <w:szCs w:val="21"/>
              </w:rPr>
              <w:t>预防措施</w:t>
            </w:r>
          </w:p>
        </w:tc>
      </w:tr>
      <w:tr w:rsidR="008D7DB0" w14:paraId="4F726BE4" w14:textId="77777777" w:rsidTr="004C76B3">
        <w:trPr>
          <w:trHeight w:val="4105"/>
        </w:trPr>
        <w:tc>
          <w:tcPr>
            <w:tcW w:w="631" w:type="pct"/>
            <w:vAlign w:val="center"/>
          </w:tcPr>
          <w:p w14:paraId="48761512" w14:textId="77777777" w:rsidR="008D7DB0" w:rsidRDefault="00000000">
            <w:pPr>
              <w:snapToGrid w:val="0"/>
              <w:spacing w:line="240" w:lineRule="auto"/>
              <w:ind w:firstLineChars="0" w:firstLine="0"/>
              <w:jc w:val="center"/>
              <w:rPr>
                <w:snapToGrid w:val="0"/>
                <w:kern w:val="0"/>
                <w:sz w:val="21"/>
                <w:szCs w:val="21"/>
              </w:rPr>
            </w:pPr>
            <w:r>
              <w:rPr>
                <w:bCs/>
                <w:snapToGrid w:val="0"/>
                <w:kern w:val="0"/>
                <w:sz w:val="21"/>
                <w:szCs w:val="21"/>
              </w:rPr>
              <w:t>水灾</w:t>
            </w:r>
          </w:p>
        </w:tc>
        <w:tc>
          <w:tcPr>
            <w:tcW w:w="1437" w:type="pct"/>
            <w:vAlign w:val="center"/>
          </w:tcPr>
          <w:p w14:paraId="751336F7" w14:textId="77777777" w:rsidR="008D7DB0" w:rsidRDefault="00000000">
            <w:pPr>
              <w:snapToGrid w:val="0"/>
              <w:spacing w:line="240" w:lineRule="auto"/>
              <w:ind w:firstLineChars="0" w:firstLine="0"/>
              <w:rPr>
                <w:sz w:val="21"/>
              </w:rPr>
            </w:pPr>
            <w:r>
              <w:rPr>
                <w:rFonts w:hint="eastAsia"/>
                <w:sz w:val="21"/>
              </w:rPr>
              <w:t>1</w:t>
            </w:r>
            <w:r>
              <w:rPr>
                <w:sz w:val="21"/>
              </w:rPr>
              <w:t>.</w:t>
            </w:r>
            <w:r>
              <w:rPr>
                <w:sz w:val="21"/>
              </w:rPr>
              <w:t>出现特大、罕见的暴雨。</w:t>
            </w:r>
          </w:p>
          <w:p w14:paraId="7D30A35A" w14:textId="77777777" w:rsidR="008D7DB0" w:rsidRDefault="00000000">
            <w:pPr>
              <w:snapToGrid w:val="0"/>
              <w:spacing w:line="240" w:lineRule="auto"/>
              <w:ind w:firstLineChars="0" w:firstLine="0"/>
              <w:rPr>
                <w:sz w:val="21"/>
              </w:rPr>
            </w:pPr>
            <w:r>
              <w:rPr>
                <w:rFonts w:hint="eastAsia"/>
                <w:sz w:val="21"/>
              </w:rPr>
              <w:t>2.</w:t>
            </w:r>
            <w:r>
              <w:rPr>
                <w:rFonts w:hint="eastAsia"/>
                <w:sz w:val="21"/>
              </w:rPr>
              <w:t>边坡台阶未设置排水沟。</w:t>
            </w:r>
          </w:p>
        </w:tc>
        <w:tc>
          <w:tcPr>
            <w:tcW w:w="1297" w:type="pct"/>
            <w:vAlign w:val="center"/>
          </w:tcPr>
          <w:p w14:paraId="4DF7BD30" w14:textId="77777777" w:rsidR="008D7DB0" w:rsidRDefault="00000000">
            <w:pPr>
              <w:snapToGrid w:val="0"/>
              <w:spacing w:line="240" w:lineRule="auto"/>
              <w:ind w:firstLineChars="0" w:firstLine="0"/>
              <w:rPr>
                <w:sz w:val="21"/>
              </w:rPr>
            </w:pPr>
            <w:r>
              <w:rPr>
                <w:sz w:val="21"/>
              </w:rPr>
              <w:t>1.</w:t>
            </w:r>
            <w:r>
              <w:rPr>
                <w:sz w:val="21"/>
              </w:rPr>
              <w:t>淹没台阶，威胁</w:t>
            </w:r>
            <w:r>
              <w:rPr>
                <w:rFonts w:hint="eastAsia"/>
                <w:sz w:val="21"/>
              </w:rPr>
              <w:t>排土场</w:t>
            </w:r>
            <w:r>
              <w:rPr>
                <w:sz w:val="21"/>
              </w:rPr>
              <w:t>内作业人员和设备的安全。</w:t>
            </w:r>
          </w:p>
          <w:p w14:paraId="3421C044" w14:textId="77777777" w:rsidR="008D7DB0" w:rsidRDefault="00000000">
            <w:pPr>
              <w:snapToGrid w:val="0"/>
              <w:spacing w:line="240" w:lineRule="auto"/>
              <w:ind w:firstLineChars="0" w:firstLine="0"/>
              <w:rPr>
                <w:sz w:val="21"/>
              </w:rPr>
            </w:pPr>
            <w:r>
              <w:rPr>
                <w:sz w:val="21"/>
              </w:rPr>
              <w:t>2.</w:t>
            </w:r>
            <w:r>
              <w:rPr>
                <w:sz w:val="21"/>
              </w:rPr>
              <w:t>直接或间接造成泥石流或滑坡，造成人员伤亡或设备损坏。</w:t>
            </w:r>
          </w:p>
          <w:p w14:paraId="0DD9C4C7" w14:textId="77777777" w:rsidR="008D7DB0" w:rsidRDefault="00000000">
            <w:pPr>
              <w:snapToGrid w:val="0"/>
              <w:spacing w:line="240" w:lineRule="auto"/>
              <w:ind w:firstLineChars="0" w:firstLine="0"/>
              <w:rPr>
                <w:sz w:val="21"/>
              </w:rPr>
            </w:pPr>
            <w:r>
              <w:rPr>
                <w:rFonts w:hint="eastAsia"/>
                <w:sz w:val="21"/>
              </w:rPr>
              <w:t>3.</w:t>
            </w:r>
            <w:r>
              <w:rPr>
                <w:rFonts w:hint="eastAsia"/>
                <w:sz w:val="21"/>
              </w:rPr>
              <w:t>雨季突遇暴雨，雨水冲刷坡面有可能引发滚石、塌翻、泥石流等地质灾害。</w:t>
            </w:r>
          </w:p>
        </w:tc>
        <w:tc>
          <w:tcPr>
            <w:tcW w:w="413" w:type="pct"/>
            <w:vAlign w:val="center"/>
          </w:tcPr>
          <w:p w14:paraId="765EB21F" w14:textId="77777777" w:rsidR="008D7DB0" w:rsidRDefault="00000000">
            <w:pPr>
              <w:snapToGrid w:val="0"/>
              <w:spacing w:line="240" w:lineRule="auto"/>
              <w:ind w:firstLineChars="0" w:firstLine="0"/>
              <w:jc w:val="center"/>
              <w:rPr>
                <w:rFonts w:cs="宋体"/>
                <w:snapToGrid w:val="0"/>
                <w:kern w:val="0"/>
                <w:sz w:val="21"/>
                <w:szCs w:val="21"/>
              </w:rPr>
            </w:pPr>
            <w:r>
              <w:rPr>
                <w:rFonts w:cs="宋体" w:hint="eastAsia"/>
                <w:sz w:val="21"/>
                <w:szCs w:val="21"/>
              </w:rPr>
              <w:t>Ⅲ</w:t>
            </w:r>
          </w:p>
        </w:tc>
        <w:tc>
          <w:tcPr>
            <w:tcW w:w="1222" w:type="pct"/>
            <w:vAlign w:val="center"/>
          </w:tcPr>
          <w:p w14:paraId="29E4596E" w14:textId="77777777" w:rsidR="008D7DB0" w:rsidRDefault="00000000">
            <w:pPr>
              <w:snapToGrid w:val="0"/>
              <w:spacing w:line="240" w:lineRule="auto"/>
              <w:ind w:firstLineChars="0" w:firstLine="0"/>
              <w:rPr>
                <w:sz w:val="21"/>
              </w:rPr>
            </w:pPr>
            <w:r>
              <w:rPr>
                <w:sz w:val="21"/>
              </w:rPr>
              <w:t>1.</w:t>
            </w:r>
            <w:r>
              <w:rPr>
                <w:rFonts w:hint="eastAsia"/>
                <w:sz w:val="21"/>
              </w:rPr>
              <w:t>按照设计要求进行排土</w:t>
            </w:r>
            <w:r>
              <w:rPr>
                <w:sz w:val="21"/>
              </w:rPr>
              <w:t>。</w:t>
            </w:r>
          </w:p>
          <w:p w14:paraId="3847A8B4" w14:textId="77777777" w:rsidR="008D7DB0" w:rsidRDefault="00000000">
            <w:pPr>
              <w:snapToGrid w:val="0"/>
              <w:spacing w:line="240" w:lineRule="auto"/>
              <w:ind w:firstLineChars="0" w:firstLine="0"/>
              <w:rPr>
                <w:sz w:val="21"/>
              </w:rPr>
            </w:pPr>
            <w:r>
              <w:rPr>
                <w:rFonts w:hint="eastAsia"/>
                <w:sz w:val="21"/>
              </w:rPr>
              <w:t>2.</w:t>
            </w:r>
            <w:r>
              <w:rPr>
                <w:sz w:val="21"/>
              </w:rPr>
              <w:t>出现特大、罕见的暴雨时，将下部台阶的人员和设备及时撤出，力求将损失降到最小。</w:t>
            </w:r>
          </w:p>
          <w:p w14:paraId="301FCFC4" w14:textId="77777777" w:rsidR="008D7DB0" w:rsidRDefault="00000000">
            <w:pPr>
              <w:snapToGrid w:val="0"/>
              <w:spacing w:line="240" w:lineRule="auto"/>
              <w:ind w:firstLineChars="0" w:firstLine="0"/>
              <w:rPr>
                <w:sz w:val="21"/>
              </w:rPr>
            </w:pPr>
            <w:r>
              <w:rPr>
                <w:rFonts w:hint="eastAsia"/>
                <w:sz w:val="21"/>
              </w:rPr>
              <w:t>3.</w:t>
            </w:r>
            <w:r>
              <w:rPr>
                <w:rFonts w:hint="eastAsia"/>
                <w:sz w:val="21"/>
              </w:rPr>
              <w:t>在上部、工作台阶上开挖截排水沟；在雨季来临之前和雨季过后，对排土场边坡进行安全检查，发现孤石、浮土及时清理。</w:t>
            </w:r>
          </w:p>
        </w:tc>
      </w:tr>
    </w:tbl>
    <w:p w14:paraId="73A1F3EC" w14:textId="77777777" w:rsidR="008D7DB0" w:rsidRDefault="00000000">
      <w:pPr>
        <w:snapToGrid w:val="0"/>
        <w:ind w:firstLine="562"/>
        <w:outlineLvl w:val="2"/>
        <w:rPr>
          <w:b/>
          <w:snapToGrid w:val="0"/>
        </w:rPr>
      </w:pPr>
      <w:bookmarkStart w:id="262" w:name="_Toc205883265"/>
      <w:bookmarkStart w:id="263" w:name="_Toc502929568"/>
      <w:bookmarkStart w:id="264" w:name="_Toc505723227"/>
      <w:bookmarkStart w:id="265" w:name="_Toc502928925"/>
      <w:r>
        <w:rPr>
          <w:rFonts w:hint="eastAsia"/>
          <w:b/>
          <w:snapToGrid w:val="0"/>
        </w:rPr>
        <w:t>3.4</w:t>
      </w:r>
      <w:r>
        <w:rPr>
          <w:b/>
          <w:snapToGrid w:val="0"/>
        </w:rPr>
        <w:t>.3</w:t>
      </w:r>
      <w:r>
        <w:rPr>
          <w:rFonts w:hint="eastAsia"/>
          <w:b/>
          <w:snapToGrid w:val="0"/>
        </w:rPr>
        <w:t>安全检查表法</w:t>
      </w:r>
      <w:bookmarkEnd w:id="262"/>
    </w:p>
    <w:p w14:paraId="2717ACBB" w14:textId="77777777" w:rsidR="008D7DB0" w:rsidRDefault="00000000">
      <w:pPr>
        <w:tabs>
          <w:tab w:val="left" w:pos="1080"/>
          <w:tab w:val="left" w:pos="1260"/>
        </w:tabs>
        <w:adjustRightInd w:val="0"/>
        <w:snapToGrid w:val="0"/>
        <w:ind w:firstLine="560"/>
        <w:rPr>
          <w:szCs w:val="28"/>
        </w:rPr>
      </w:pPr>
      <w:r>
        <w:rPr>
          <w:rFonts w:hint="eastAsia"/>
          <w:szCs w:val="28"/>
        </w:rPr>
        <w:t>（</w:t>
      </w:r>
      <w:r>
        <w:rPr>
          <w:rFonts w:hint="eastAsia"/>
          <w:szCs w:val="28"/>
        </w:rPr>
        <w:t>1</w:t>
      </w:r>
      <w:r>
        <w:rPr>
          <w:rFonts w:hint="eastAsia"/>
          <w:szCs w:val="28"/>
        </w:rPr>
        <w:t>）安全检查表法</w:t>
      </w:r>
    </w:p>
    <w:p w14:paraId="524A4F7C" w14:textId="77777777" w:rsidR="008D7DB0" w:rsidRDefault="00000000">
      <w:pPr>
        <w:tabs>
          <w:tab w:val="left" w:pos="1080"/>
          <w:tab w:val="left" w:pos="1260"/>
        </w:tabs>
        <w:adjustRightInd w:val="0"/>
        <w:snapToGrid w:val="0"/>
        <w:ind w:firstLine="560"/>
        <w:rPr>
          <w:sz w:val="21"/>
          <w:szCs w:val="21"/>
        </w:rPr>
      </w:pPr>
      <w:r>
        <w:rPr>
          <w:rFonts w:hint="eastAsia"/>
          <w:szCs w:val="28"/>
        </w:rPr>
        <w:t>根据《金属非金属矿山安全规程》（</w:t>
      </w:r>
      <w:r>
        <w:rPr>
          <w:rFonts w:hint="eastAsia"/>
          <w:szCs w:val="28"/>
        </w:rPr>
        <w:t>GB16423-2020</w:t>
      </w:r>
      <w:r>
        <w:rPr>
          <w:rFonts w:hint="eastAsia"/>
          <w:szCs w:val="28"/>
        </w:rPr>
        <w:t>）中的相关内容对该项目《初步设计重大变更》中的防排水系统进行对照检查，见表</w:t>
      </w:r>
      <w:r>
        <w:rPr>
          <w:rFonts w:hint="eastAsia"/>
          <w:szCs w:val="28"/>
        </w:rPr>
        <w:t>3.4-2</w:t>
      </w:r>
      <w:r>
        <w:rPr>
          <w:rFonts w:hint="eastAsia"/>
          <w:szCs w:val="28"/>
        </w:rPr>
        <w:t>。</w:t>
      </w:r>
    </w:p>
    <w:p w14:paraId="07D821D1" w14:textId="77777777" w:rsidR="008D7DB0" w:rsidRDefault="00000000">
      <w:pPr>
        <w:tabs>
          <w:tab w:val="left" w:pos="1080"/>
          <w:tab w:val="left" w:pos="1260"/>
        </w:tabs>
        <w:adjustRightInd w:val="0"/>
        <w:snapToGrid w:val="0"/>
        <w:ind w:firstLine="420"/>
        <w:jc w:val="center"/>
        <w:rPr>
          <w:sz w:val="21"/>
          <w:szCs w:val="21"/>
        </w:rPr>
      </w:pPr>
      <w:r>
        <w:rPr>
          <w:rFonts w:hint="eastAsia"/>
          <w:sz w:val="21"/>
          <w:szCs w:val="21"/>
        </w:rPr>
        <w:t>表</w:t>
      </w:r>
      <w:r>
        <w:rPr>
          <w:rFonts w:hint="eastAsia"/>
          <w:sz w:val="21"/>
          <w:szCs w:val="21"/>
        </w:rPr>
        <w:t>3.4-2</w:t>
      </w:r>
      <w:r>
        <w:rPr>
          <w:rFonts w:hint="eastAsia"/>
          <w:sz w:val="21"/>
          <w:szCs w:val="21"/>
        </w:rPr>
        <w:t>防排水、防灭火单元安全检查表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0"/>
        <w:gridCol w:w="3461"/>
        <w:gridCol w:w="1476"/>
        <w:gridCol w:w="2226"/>
        <w:gridCol w:w="889"/>
      </w:tblGrid>
      <w:tr w:rsidR="008D7DB0" w14:paraId="54642047" w14:textId="77777777">
        <w:trPr>
          <w:tblHeader/>
          <w:jc w:val="center"/>
        </w:trPr>
        <w:tc>
          <w:tcPr>
            <w:tcW w:w="470" w:type="dxa"/>
            <w:tcBorders>
              <w:left w:val="single" w:sz="4" w:space="0" w:color="auto"/>
            </w:tcBorders>
            <w:vAlign w:val="center"/>
          </w:tcPr>
          <w:p w14:paraId="0995F345" w14:textId="77777777" w:rsidR="008D7DB0" w:rsidRDefault="00000000">
            <w:pPr>
              <w:snapToGrid w:val="0"/>
              <w:spacing w:line="240" w:lineRule="auto"/>
              <w:ind w:firstLineChars="0" w:firstLine="0"/>
              <w:jc w:val="center"/>
              <w:rPr>
                <w:sz w:val="21"/>
                <w:szCs w:val="21"/>
              </w:rPr>
            </w:pPr>
            <w:r>
              <w:rPr>
                <w:sz w:val="21"/>
                <w:szCs w:val="21"/>
              </w:rPr>
              <w:lastRenderedPageBreak/>
              <w:t>编号</w:t>
            </w:r>
          </w:p>
        </w:tc>
        <w:tc>
          <w:tcPr>
            <w:tcW w:w="3461" w:type="dxa"/>
            <w:vAlign w:val="center"/>
          </w:tcPr>
          <w:p w14:paraId="58A25536" w14:textId="77777777" w:rsidR="008D7DB0" w:rsidRDefault="00000000">
            <w:pPr>
              <w:snapToGrid w:val="0"/>
              <w:spacing w:line="240" w:lineRule="auto"/>
              <w:ind w:firstLineChars="0" w:firstLine="0"/>
              <w:jc w:val="center"/>
              <w:rPr>
                <w:sz w:val="21"/>
                <w:szCs w:val="21"/>
              </w:rPr>
            </w:pPr>
            <w:r>
              <w:rPr>
                <w:sz w:val="21"/>
                <w:szCs w:val="21"/>
              </w:rPr>
              <w:t>评价内容</w:t>
            </w:r>
          </w:p>
        </w:tc>
        <w:tc>
          <w:tcPr>
            <w:tcW w:w="1476" w:type="dxa"/>
            <w:tcBorders>
              <w:right w:val="single" w:sz="4" w:space="0" w:color="auto"/>
            </w:tcBorders>
            <w:vAlign w:val="center"/>
          </w:tcPr>
          <w:p w14:paraId="66ABECD4" w14:textId="77777777" w:rsidR="008D7DB0" w:rsidRDefault="00000000">
            <w:pPr>
              <w:snapToGrid w:val="0"/>
              <w:spacing w:line="240" w:lineRule="auto"/>
              <w:ind w:firstLineChars="0" w:firstLine="0"/>
              <w:jc w:val="center"/>
              <w:rPr>
                <w:sz w:val="21"/>
                <w:szCs w:val="21"/>
              </w:rPr>
            </w:pPr>
            <w:r>
              <w:rPr>
                <w:sz w:val="21"/>
                <w:szCs w:val="21"/>
              </w:rPr>
              <w:t>依据标准</w:t>
            </w:r>
          </w:p>
          <w:p w14:paraId="6CA976A7" w14:textId="77777777" w:rsidR="008D7DB0" w:rsidRDefault="00000000">
            <w:pPr>
              <w:snapToGrid w:val="0"/>
              <w:spacing w:line="240" w:lineRule="auto"/>
              <w:ind w:firstLineChars="0" w:firstLine="0"/>
              <w:jc w:val="center"/>
              <w:rPr>
                <w:sz w:val="21"/>
                <w:szCs w:val="21"/>
              </w:rPr>
            </w:pPr>
            <w:r>
              <w:rPr>
                <w:sz w:val="21"/>
                <w:szCs w:val="21"/>
              </w:rPr>
              <w:t>条款</w:t>
            </w:r>
          </w:p>
        </w:tc>
        <w:tc>
          <w:tcPr>
            <w:tcW w:w="2226" w:type="dxa"/>
            <w:tcBorders>
              <w:right w:val="single" w:sz="4" w:space="0" w:color="auto"/>
            </w:tcBorders>
            <w:vAlign w:val="center"/>
          </w:tcPr>
          <w:p w14:paraId="3C39C540" w14:textId="77777777" w:rsidR="008D7DB0" w:rsidRDefault="00000000">
            <w:pPr>
              <w:snapToGrid w:val="0"/>
              <w:spacing w:line="240" w:lineRule="auto"/>
              <w:ind w:firstLineChars="0" w:firstLine="0"/>
              <w:jc w:val="center"/>
              <w:rPr>
                <w:sz w:val="21"/>
                <w:szCs w:val="21"/>
              </w:rPr>
            </w:pPr>
            <w:r>
              <w:rPr>
                <w:sz w:val="21"/>
                <w:szCs w:val="21"/>
              </w:rPr>
              <w:t>检查情况</w:t>
            </w:r>
          </w:p>
        </w:tc>
        <w:tc>
          <w:tcPr>
            <w:tcW w:w="889" w:type="dxa"/>
            <w:tcBorders>
              <w:right w:val="single" w:sz="4" w:space="0" w:color="auto"/>
            </w:tcBorders>
            <w:vAlign w:val="center"/>
          </w:tcPr>
          <w:p w14:paraId="0F510756" w14:textId="77777777" w:rsidR="008D7DB0" w:rsidRDefault="00000000">
            <w:pPr>
              <w:snapToGrid w:val="0"/>
              <w:spacing w:line="240" w:lineRule="auto"/>
              <w:ind w:firstLineChars="0" w:firstLine="0"/>
              <w:jc w:val="center"/>
              <w:rPr>
                <w:sz w:val="21"/>
                <w:szCs w:val="21"/>
              </w:rPr>
            </w:pPr>
            <w:r>
              <w:rPr>
                <w:sz w:val="21"/>
                <w:szCs w:val="21"/>
              </w:rPr>
              <w:t>检查</w:t>
            </w:r>
          </w:p>
          <w:p w14:paraId="329334FA" w14:textId="77777777" w:rsidR="008D7DB0" w:rsidRDefault="00000000">
            <w:pPr>
              <w:snapToGrid w:val="0"/>
              <w:spacing w:line="240" w:lineRule="auto"/>
              <w:ind w:firstLineChars="0" w:firstLine="0"/>
              <w:jc w:val="center"/>
              <w:rPr>
                <w:sz w:val="21"/>
                <w:szCs w:val="21"/>
              </w:rPr>
            </w:pPr>
            <w:r>
              <w:rPr>
                <w:sz w:val="21"/>
                <w:szCs w:val="21"/>
              </w:rPr>
              <w:t>结果</w:t>
            </w:r>
          </w:p>
        </w:tc>
      </w:tr>
      <w:tr w:rsidR="008D7DB0" w14:paraId="5740EB2F" w14:textId="77777777">
        <w:trPr>
          <w:jc w:val="center"/>
        </w:trPr>
        <w:tc>
          <w:tcPr>
            <w:tcW w:w="470" w:type="dxa"/>
            <w:tcBorders>
              <w:left w:val="single" w:sz="4" w:space="0" w:color="auto"/>
            </w:tcBorders>
            <w:vAlign w:val="center"/>
          </w:tcPr>
          <w:p w14:paraId="20372C3F" w14:textId="77777777" w:rsidR="008D7DB0" w:rsidRDefault="00000000">
            <w:pPr>
              <w:snapToGrid w:val="0"/>
              <w:spacing w:line="240" w:lineRule="auto"/>
              <w:ind w:firstLineChars="0" w:firstLine="0"/>
              <w:jc w:val="center"/>
              <w:rPr>
                <w:sz w:val="21"/>
                <w:szCs w:val="21"/>
              </w:rPr>
            </w:pPr>
            <w:r>
              <w:rPr>
                <w:sz w:val="21"/>
                <w:szCs w:val="21"/>
              </w:rPr>
              <w:t>1</w:t>
            </w:r>
          </w:p>
        </w:tc>
        <w:tc>
          <w:tcPr>
            <w:tcW w:w="3461" w:type="dxa"/>
            <w:vAlign w:val="center"/>
          </w:tcPr>
          <w:p w14:paraId="7FA9284D" w14:textId="77777777" w:rsidR="008D7DB0" w:rsidRDefault="00000000">
            <w:pPr>
              <w:snapToGrid w:val="0"/>
              <w:spacing w:line="240" w:lineRule="auto"/>
              <w:ind w:firstLineChars="0" w:firstLine="0"/>
              <w:jc w:val="center"/>
              <w:rPr>
                <w:sz w:val="21"/>
                <w:szCs w:val="21"/>
              </w:rPr>
            </w:pPr>
            <w:r>
              <w:rPr>
                <w:rFonts w:hint="eastAsia"/>
                <w:sz w:val="21"/>
                <w:szCs w:val="21"/>
              </w:rPr>
              <w:t>山坡排土场周围应修筑可靠的截、排水设施</w:t>
            </w:r>
          </w:p>
        </w:tc>
        <w:tc>
          <w:tcPr>
            <w:tcW w:w="1476" w:type="dxa"/>
            <w:tcBorders>
              <w:right w:val="single" w:sz="4" w:space="0" w:color="auto"/>
            </w:tcBorders>
            <w:vAlign w:val="center"/>
          </w:tcPr>
          <w:p w14:paraId="177C13C0" w14:textId="77777777" w:rsidR="008D7DB0" w:rsidRDefault="00000000">
            <w:pPr>
              <w:pStyle w:val="a0"/>
              <w:rPr>
                <w:szCs w:val="21"/>
              </w:rPr>
            </w:pPr>
            <w:r>
              <w:rPr>
                <w:rFonts w:hint="eastAsia"/>
                <w:szCs w:val="21"/>
              </w:rPr>
              <w:t>GB16423-2020</w:t>
            </w:r>
          </w:p>
          <w:p w14:paraId="0E0E774F" w14:textId="77777777" w:rsidR="008D7DB0" w:rsidRDefault="00000000">
            <w:pPr>
              <w:pStyle w:val="a0"/>
              <w:rPr>
                <w:szCs w:val="21"/>
              </w:rPr>
            </w:pPr>
            <w:r>
              <w:rPr>
                <w:rFonts w:hint="eastAsia"/>
                <w:szCs w:val="21"/>
              </w:rPr>
              <w:t>5.5.1.7</w:t>
            </w:r>
          </w:p>
        </w:tc>
        <w:tc>
          <w:tcPr>
            <w:tcW w:w="2226" w:type="dxa"/>
            <w:tcBorders>
              <w:right w:val="single" w:sz="4" w:space="0" w:color="auto"/>
            </w:tcBorders>
            <w:vAlign w:val="center"/>
          </w:tcPr>
          <w:p w14:paraId="5C03BAE9" w14:textId="77777777" w:rsidR="008D7DB0" w:rsidRDefault="00000000">
            <w:pPr>
              <w:snapToGrid w:val="0"/>
              <w:spacing w:line="240" w:lineRule="auto"/>
              <w:ind w:firstLineChars="0" w:firstLine="0"/>
              <w:jc w:val="center"/>
              <w:rPr>
                <w:sz w:val="21"/>
                <w:szCs w:val="21"/>
              </w:rPr>
            </w:pPr>
            <w:r>
              <w:rPr>
                <w:rFonts w:hint="eastAsia"/>
                <w:sz w:val="21"/>
                <w:szCs w:val="21"/>
              </w:rPr>
              <w:t>《初步设计重大变更》排土场已设置截、排水设施</w:t>
            </w:r>
          </w:p>
        </w:tc>
        <w:tc>
          <w:tcPr>
            <w:tcW w:w="889" w:type="dxa"/>
            <w:tcBorders>
              <w:right w:val="single" w:sz="4" w:space="0" w:color="auto"/>
            </w:tcBorders>
            <w:vAlign w:val="center"/>
          </w:tcPr>
          <w:p w14:paraId="162652BD" w14:textId="77777777" w:rsidR="008D7DB0" w:rsidRDefault="00000000">
            <w:pPr>
              <w:snapToGrid w:val="0"/>
              <w:spacing w:line="240" w:lineRule="auto"/>
              <w:ind w:firstLineChars="0" w:firstLine="0"/>
              <w:jc w:val="center"/>
              <w:rPr>
                <w:sz w:val="21"/>
                <w:szCs w:val="21"/>
              </w:rPr>
            </w:pPr>
            <w:r>
              <w:rPr>
                <w:rFonts w:hint="eastAsia"/>
                <w:sz w:val="21"/>
                <w:szCs w:val="21"/>
              </w:rPr>
              <w:t>符合</w:t>
            </w:r>
          </w:p>
        </w:tc>
      </w:tr>
      <w:tr w:rsidR="008D7DB0" w14:paraId="15589542" w14:textId="77777777">
        <w:trPr>
          <w:jc w:val="center"/>
        </w:trPr>
        <w:tc>
          <w:tcPr>
            <w:tcW w:w="470" w:type="dxa"/>
            <w:tcBorders>
              <w:left w:val="single" w:sz="4" w:space="0" w:color="auto"/>
            </w:tcBorders>
            <w:vAlign w:val="center"/>
          </w:tcPr>
          <w:p w14:paraId="708B51B3" w14:textId="77777777" w:rsidR="008D7DB0" w:rsidRDefault="00000000">
            <w:pPr>
              <w:snapToGrid w:val="0"/>
              <w:ind w:firstLine="420"/>
              <w:jc w:val="center"/>
              <w:outlineLvl w:val="4"/>
              <w:rPr>
                <w:sz w:val="21"/>
                <w:szCs w:val="21"/>
              </w:rPr>
            </w:pPr>
            <w:r>
              <w:rPr>
                <w:rFonts w:hint="eastAsia"/>
                <w:sz w:val="21"/>
                <w:szCs w:val="21"/>
              </w:rPr>
              <w:t>2</w:t>
            </w:r>
          </w:p>
        </w:tc>
        <w:tc>
          <w:tcPr>
            <w:tcW w:w="3461" w:type="dxa"/>
            <w:vAlign w:val="center"/>
          </w:tcPr>
          <w:p w14:paraId="2BCA21E3" w14:textId="77777777" w:rsidR="008D7DB0" w:rsidRDefault="00000000">
            <w:pPr>
              <w:snapToGrid w:val="0"/>
              <w:ind w:firstLine="420"/>
              <w:outlineLvl w:val="4"/>
              <w:rPr>
                <w:sz w:val="21"/>
                <w:szCs w:val="21"/>
              </w:rPr>
            </w:pPr>
            <w:r>
              <w:rPr>
                <w:rFonts w:hint="eastAsia"/>
                <w:sz w:val="21"/>
                <w:szCs w:val="21"/>
              </w:rPr>
              <w:t>山坡排土场内的平台应设置</w:t>
            </w:r>
            <w:r>
              <w:rPr>
                <w:rFonts w:hint="eastAsia"/>
                <w:sz w:val="21"/>
                <w:szCs w:val="21"/>
              </w:rPr>
              <w:t xml:space="preserve"> 2%~5%</w:t>
            </w:r>
            <w:r>
              <w:rPr>
                <w:rFonts w:hint="eastAsia"/>
                <w:sz w:val="21"/>
                <w:szCs w:val="21"/>
              </w:rPr>
              <w:t>的反坡</w:t>
            </w:r>
            <w:r>
              <w:rPr>
                <w:rFonts w:hint="eastAsia"/>
                <w:sz w:val="21"/>
                <w:szCs w:val="21"/>
              </w:rPr>
              <w:t>,</w:t>
            </w:r>
            <w:r>
              <w:rPr>
                <w:rFonts w:hint="eastAsia"/>
                <w:sz w:val="21"/>
                <w:szCs w:val="21"/>
              </w:rPr>
              <w:t>并在靠近山坡处修筑排水沟</w:t>
            </w:r>
          </w:p>
        </w:tc>
        <w:tc>
          <w:tcPr>
            <w:tcW w:w="1476" w:type="dxa"/>
            <w:tcBorders>
              <w:right w:val="single" w:sz="4" w:space="0" w:color="auto"/>
            </w:tcBorders>
            <w:vAlign w:val="center"/>
          </w:tcPr>
          <w:p w14:paraId="0482BDA3" w14:textId="77777777" w:rsidR="008D7DB0" w:rsidRDefault="00000000">
            <w:pPr>
              <w:snapToGrid w:val="0"/>
              <w:spacing w:line="240" w:lineRule="auto"/>
              <w:ind w:firstLineChars="0" w:firstLine="0"/>
              <w:jc w:val="center"/>
              <w:rPr>
                <w:sz w:val="21"/>
                <w:szCs w:val="21"/>
              </w:rPr>
            </w:pPr>
            <w:r>
              <w:rPr>
                <w:rFonts w:hint="eastAsia"/>
                <w:sz w:val="21"/>
                <w:szCs w:val="21"/>
              </w:rPr>
              <w:t>GB16423-2020</w:t>
            </w:r>
          </w:p>
          <w:p w14:paraId="26B1C439" w14:textId="77777777" w:rsidR="008D7DB0" w:rsidRDefault="00000000">
            <w:pPr>
              <w:snapToGrid w:val="0"/>
              <w:spacing w:line="240" w:lineRule="auto"/>
              <w:ind w:firstLineChars="0" w:firstLine="0"/>
              <w:jc w:val="center"/>
              <w:rPr>
                <w:sz w:val="21"/>
                <w:szCs w:val="21"/>
              </w:rPr>
            </w:pPr>
            <w:r>
              <w:rPr>
                <w:rFonts w:hint="eastAsia"/>
                <w:sz w:val="21"/>
                <w:szCs w:val="21"/>
              </w:rPr>
              <w:t>5.5.1.7</w:t>
            </w:r>
          </w:p>
        </w:tc>
        <w:tc>
          <w:tcPr>
            <w:tcW w:w="2226" w:type="dxa"/>
            <w:tcBorders>
              <w:right w:val="single" w:sz="4" w:space="0" w:color="auto"/>
            </w:tcBorders>
            <w:vAlign w:val="center"/>
          </w:tcPr>
          <w:p w14:paraId="0CC1866B" w14:textId="77777777" w:rsidR="008D7DB0" w:rsidRDefault="00000000">
            <w:pPr>
              <w:snapToGrid w:val="0"/>
              <w:spacing w:line="240" w:lineRule="auto"/>
              <w:ind w:firstLineChars="0" w:firstLine="0"/>
              <w:rPr>
                <w:sz w:val="21"/>
                <w:szCs w:val="21"/>
              </w:rPr>
            </w:pPr>
            <w:r>
              <w:rPr>
                <w:rFonts w:hint="eastAsia"/>
                <w:sz w:val="21"/>
                <w:szCs w:val="21"/>
              </w:rPr>
              <w:t>《初步设计重大变更》已设置</w:t>
            </w:r>
            <w:r>
              <w:rPr>
                <w:rFonts w:hint="eastAsia"/>
                <w:sz w:val="21"/>
                <w:szCs w:val="21"/>
              </w:rPr>
              <w:t>2%~5%</w:t>
            </w:r>
            <w:r>
              <w:rPr>
                <w:rFonts w:hint="eastAsia"/>
                <w:sz w:val="21"/>
                <w:szCs w:val="21"/>
              </w:rPr>
              <w:t>的反坡并在山坡处设置排水沟</w:t>
            </w:r>
          </w:p>
        </w:tc>
        <w:tc>
          <w:tcPr>
            <w:tcW w:w="889" w:type="dxa"/>
            <w:tcBorders>
              <w:right w:val="single" w:sz="4" w:space="0" w:color="auto"/>
            </w:tcBorders>
            <w:vAlign w:val="center"/>
          </w:tcPr>
          <w:p w14:paraId="774E63D3" w14:textId="77777777" w:rsidR="008D7DB0" w:rsidRDefault="00000000">
            <w:pPr>
              <w:snapToGrid w:val="0"/>
              <w:spacing w:line="240" w:lineRule="auto"/>
              <w:ind w:firstLineChars="0" w:firstLine="0"/>
              <w:jc w:val="center"/>
              <w:rPr>
                <w:sz w:val="21"/>
                <w:szCs w:val="21"/>
              </w:rPr>
            </w:pPr>
            <w:r>
              <w:rPr>
                <w:sz w:val="21"/>
                <w:szCs w:val="21"/>
              </w:rPr>
              <w:t>符合</w:t>
            </w:r>
          </w:p>
        </w:tc>
      </w:tr>
    </w:tbl>
    <w:p w14:paraId="0262C558" w14:textId="77777777" w:rsidR="008D7DB0" w:rsidRDefault="00000000">
      <w:pPr>
        <w:snapToGrid w:val="0"/>
        <w:ind w:firstLine="562"/>
        <w:outlineLvl w:val="2"/>
        <w:rPr>
          <w:b/>
          <w:snapToGrid w:val="0"/>
        </w:rPr>
      </w:pPr>
      <w:bookmarkStart w:id="266" w:name="_Toc205883266"/>
      <w:r>
        <w:rPr>
          <w:rFonts w:hint="eastAsia"/>
          <w:b/>
          <w:snapToGrid w:val="0"/>
        </w:rPr>
        <w:t>3</w:t>
      </w:r>
      <w:r>
        <w:rPr>
          <w:b/>
          <w:snapToGrid w:val="0"/>
        </w:rPr>
        <w:t>.</w:t>
      </w:r>
      <w:r>
        <w:rPr>
          <w:rFonts w:hint="eastAsia"/>
          <w:b/>
          <w:snapToGrid w:val="0"/>
        </w:rPr>
        <w:t>4</w:t>
      </w:r>
      <w:r>
        <w:rPr>
          <w:b/>
          <w:snapToGrid w:val="0"/>
        </w:rPr>
        <w:t>.</w:t>
      </w:r>
      <w:r>
        <w:rPr>
          <w:rFonts w:hint="eastAsia"/>
          <w:b/>
          <w:snapToGrid w:val="0"/>
        </w:rPr>
        <w:t>4</w:t>
      </w:r>
      <w:r>
        <w:rPr>
          <w:b/>
          <w:snapToGrid w:val="0"/>
        </w:rPr>
        <w:t>评价结果</w:t>
      </w:r>
      <w:bookmarkEnd w:id="263"/>
      <w:bookmarkEnd w:id="264"/>
      <w:bookmarkEnd w:id="265"/>
      <w:bookmarkEnd w:id="266"/>
    </w:p>
    <w:p w14:paraId="22397592" w14:textId="77777777" w:rsidR="008D7DB0" w:rsidRDefault="00000000">
      <w:pPr>
        <w:tabs>
          <w:tab w:val="left" w:pos="1080"/>
          <w:tab w:val="left" w:pos="1260"/>
        </w:tabs>
        <w:adjustRightInd w:val="0"/>
        <w:snapToGrid w:val="0"/>
        <w:ind w:firstLine="560"/>
        <w:rPr>
          <w:szCs w:val="28"/>
        </w:rPr>
      </w:pPr>
      <w:r>
        <w:rPr>
          <w:rFonts w:hint="eastAsia"/>
          <w:szCs w:val="28"/>
        </w:rPr>
        <w:t>以上</w:t>
      </w:r>
      <w:r>
        <w:rPr>
          <w:szCs w:val="28"/>
        </w:rPr>
        <w:t>分析可知，</w:t>
      </w:r>
      <w:r>
        <w:rPr>
          <w:rFonts w:hint="eastAsia"/>
          <w:szCs w:val="28"/>
        </w:rPr>
        <w:t>《初步设计重大变更》明确了排水设施，</w:t>
      </w:r>
      <w:r>
        <w:rPr>
          <w:szCs w:val="28"/>
        </w:rPr>
        <w:t>检查结果表明</w:t>
      </w:r>
      <w:r>
        <w:rPr>
          <w:rFonts w:hint="eastAsia"/>
          <w:szCs w:val="28"/>
        </w:rPr>
        <w:t>北票市富贵鸟矿业有限公司铁帽子采区排土场</w:t>
      </w:r>
      <w:r>
        <w:rPr>
          <w:szCs w:val="28"/>
        </w:rPr>
        <w:t>的</w:t>
      </w:r>
      <w:r>
        <w:rPr>
          <w:rFonts w:hint="eastAsia"/>
          <w:szCs w:val="28"/>
        </w:rPr>
        <w:t>防排水</w:t>
      </w:r>
      <w:r>
        <w:rPr>
          <w:szCs w:val="28"/>
        </w:rPr>
        <w:t>能</w:t>
      </w:r>
      <w:r>
        <w:rPr>
          <w:rFonts w:hint="eastAsia"/>
          <w:szCs w:val="28"/>
        </w:rPr>
        <w:t>适应基本</w:t>
      </w:r>
      <w:r>
        <w:rPr>
          <w:szCs w:val="28"/>
        </w:rPr>
        <w:t>安全生产的要求。</w:t>
      </w:r>
    </w:p>
    <w:p w14:paraId="11602927" w14:textId="77777777" w:rsidR="008D7DB0" w:rsidRDefault="00000000">
      <w:pPr>
        <w:pStyle w:val="a0"/>
        <w:ind w:firstLineChars="200" w:firstLine="552"/>
        <w:jc w:val="both"/>
      </w:pPr>
      <w:r>
        <w:rPr>
          <w:rFonts w:hint="eastAsia"/>
          <w:sz w:val="28"/>
          <w:szCs w:val="28"/>
        </w:rPr>
        <w:t>《初步设计重大变更》未核对汇水面积给出排水沟尺寸，未对排水能力进行核对，建议下一步安全设施设计进行完善。</w:t>
      </w:r>
    </w:p>
    <w:p w14:paraId="31176FBF" w14:textId="77777777" w:rsidR="008D7DB0" w:rsidRDefault="00000000">
      <w:pPr>
        <w:keepNext/>
        <w:keepLines/>
        <w:snapToGrid w:val="0"/>
        <w:spacing w:beforeLines="100" w:before="240" w:afterLines="50" w:after="120"/>
        <w:ind w:firstLineChars="0" w:firstLine="0"/>
        <w:jc w:val="center"/>
        <w:outlineLvl w:val="1"/>
        <w:rPr>
          <w:b/>
          <w:bCs/>
          <w:snapToGrid w:val="0"/>
          <w:szCs w:val="32"/>
        </w:rPr>
      </w:pPr>
      <w:bookmarkStart w:id="267" w:name="_Toc352424834"/>
      <w:bookmarkStart w:id="268" w:name="_Toc505723232"/>
      <w:bookmarkStart w:id="269" w:name="_Toc454915735"/>
      <w:bookmarkStart w:id="270" w:name="_Toc29014"/>
      <w:bookmarkStart w:id="271" w:name="_Toc205883267"/>
      <w:r>
        <w:rPr>
          <w:rFonts w:hint="eastAsia"/>
          <w:b/>
          <w:bCs/>
          <w:snapToGrid w:val="0"/>
          <w:szCs w:val="32"/>
        </w:rPr>
        <w:t>3.5</w:t>
      </w:r>
      <w:r>
        <w:rPr>
          <w:rFonts w:hint="eastAsia"/>
          <w:b/>
          <w:bCs/>
          <w:snapToGrid w:val="0"/>
          <w:szCs w:val="32"/>
        </w:rPr>
        <w:t>安全管理与监测</w:t>
      </w:r>
      <w:r>
        <w:rPr>
          <w:b/>
          <w:bCs/>
          <w:snapToGrid w:val="0"/>
          <w:szCs w:val="32"/>
        </w:rPr>
        <w:t>单元</w:t>
      </w:r>
      <w:bookmarkEnd w:id="267"/>
      <w:bookmarkEnd w:id="268"/>
      <w:bookmarkEnd w:id="269"/>
      <w:bookmarkEnd w:id="270"/>
      <w:bookmarkEnd w:id="271"/>
    </w:p>
    <w:p w14:paraId="6B26BD2A" w14:textId="77777777" w:rsidR="008D7DB0" w:rsidRDefault="00000000">
      <w:pPr>
        <w:snapToGrid w:val="0"/>
        <w:ind w:firstLine="562"/>
        <w:outlineLvl w:val="2"/>
        <w:rPr>
          <w:b/>
        </w:rPr>
      </w:pPr>
      <w:bookmarkStart w:id="272" w:name="_Toc53310174"/>
      <w:bookmarkStart w:id="273" w:name="_Toc502928931"/>
      <w:bookmarkStart w:id="274" w:name="_Toc454915736"/>
      <w:bookmarkStart w:id="275" w:name="_Toc502929574"/>
      <w:bookmarkStart w:id="276" w:name="_Toc505723233"/>
      <w:bookmarkStart w:id="277" w:name="_Toc205883268"/>
      <w:bookmarkEnd w:id="272"/>
      <w:r>
        <w:rPr>
          <w:rFonts w:hint="eastAsia"/>
          <w:b/>
        </w:rPr>
        <w:t>3</w:t>
      </w:r>
      <w:r>
        <w:rPr>
          <w:b/>
        </w:rPr>
        <w:t>.</w:t>
      </w:r>
      <w:r>
        <w:rPr>
          <w:rFonts w:hint="eastAsia"/>
          <w:b/>
        </w:rPr>
        <w:t>5</w:t>
      </w:r>
      <w:r>
        <w:rPr>
          <w:b/>
        </w:rPr>
        <w:t>.1</w:t>
      </w:r>
      <w:r>
        <w:rPr>
          <w:b/>
        </w:rPr>
        <w:t>安全管理</w:t>
      </w:r>
      <w:r>
        <w:rPr>
          <w:rFonts w:hint="eastAsia"/>
          <w:b/>
        </w:rPr>
        <w:t>与监测</w:t>
      </w:r>
      <w:r>
        <w:rPr>
          <w:b/>
        </w:rPr>
        <w:t>单元</w:t>
      </w:r>
      <w:bookmarkEnd w:id="273"/>
      <w:bookmarkEnd w:id="274"/>
      <w:bookmarkEnd w:id="275"/>
      <w:r>
        <w:rPr>
          <w:rFonts w:hint="eastAsia"/>
          <w:b/>
        </w:rPr>
        <w:t>评价</w:t>
      </w:r>
      <w:bookmarkEnd w:id="276"/>
      <w:bookmarkEnd w:id="277"/>
    </w:p>
    <w:p w14:paraId="4833D8BD" w14:textId="77777777" w:rsidR="008D7DB0" w:rsidRDefault="00000000">
      <w:pPr>
        <w:snapToGrid w:val="0"/>
        <w:spacing w:beforeLines="50" w:before="120"/>
        <w:ind w:firstLine="560"/>
      </w:pPr>
      <w:r>
        <w:rPr>
          <w:rFonts w:hint="eastAsia"/>
        </w:rPr>
        <w:t>该项目属重大设计变更项目，《初步重大设计变更》中提出了部门安全生产管理方面和监测方面的建议，但还存在一些不足，评价组对其进行补充完善。</w:t>
      </w:r>
    </w:p>
    <w:p w14:paraId="080E9478" w14:textId="77777777" w:rsidR="008D7DB0" w:rsidRDefault="00000000">
      <w:pPr>
        <w:snapToGrid w:val="0"/>
        <w:spacing w:beforeLines="50" w:before="120"/>
        <w:ind w:firstLine="560"/>
      </w:pPr>
      <w:r>
        <w:rPr>
          <w:rFonts w:hint="eastAsia"/>
        </w:rPr>
        <w:t>（</w:t>
      </w:r>
      <w:r>
        <w:rPr>
          <w:rFonts w:hint="eastAsia"/>
        </w:rPr>
        <w:t>1</w:t>
      </w:r>
      <w:r>
        <w:rPr>
          <w:rFonts w:hint="eastAsia"/>
        </w:rPr>
        <w:t>）矿山应建立排土场监测系统，定期进行排土场监测。排土场发生滑坡时，应加强监测工作；</w:t>
      </w:r>
    </w:p>
    <w:p w14:paraId="32626FD9" w14:textId="77777777" w:rsidR="008D7DB0" w:rsidRDefault="00000000">
      <w:pPr>
        <w:snapToGrid w:val="0"/>
        <w:spacing w:beforeLines="50" w:before="120"/>
        <w:ind w:firstLine="560"/>
      </w:pPr>
      <w:r>
        <w:rPr>
          <w:rFonts w:hint="eastAsia"/>
        </w:rPr>
        <w:t>（</w:t>
      </w:r>
      <w:r>
        <w:rPr>
          <w:rFonts w:hint="eastAsia"/>
        </w:rPr>
        <w:t>2</w:t>
      </w:r>
      <w:r>
        <w:rPr>
          <w:rFonts w:hint="eastAsia"/>
        </w:rPr>
        <w:t>）发生泥石流的矿山应建立泥石流观测站和专门的气象站。泥石流沟谷应定期进行剖面测量，统计泥沙淤积量，为排土场泥石流防治提供资料；</w:t>
      </w:r>
    </w:p>
    <w:p w14:paraId="0569B0C7" w14:textId="77777777" w:rsidR="008D7DB0" w:rsidRDefault="00000000">
      <w:pPr>
        <w:snapToGrid w:val="0"/>
        <w:spacing w:beforeLines="50" w:before="120"/>
        <w:ind w:firstLine="560"/>
      </w:pPr>
      <w:r>
        <w:rPr>
          <w:rFonts w:hint="eastAsia"/>
        </w:rPr>
        <w:t>（</w:t>
      </w:r>
      <w:r>
        <w:rPr>
          <w:rFonts w:hint="eastAsia"/>
        </w:rPr>
        <w:t>3</w:t>
      </w:r>
      <w:r>
        <w:rPr>
          <w:rFonts w:hint="eastAsia"/>
        </w:rPr>
        <w:t>）排土场应进行下列安全检查；</w:t>
      </w:r>
    </w:p>
    <w:p w14:paraId="42AF66B5" w14:textId="77777777" w:rsidR="008D7DB0" w:rsidRDefault="00000000">
      <w:pPr>
        <w:snapToGrid w:val="0"/>
        <w:spacing w:beforeLines="50" w:before="120"/>
        <w:ind w:firstLineChars="400" w:firstLine="1120"/>
      </w:pPr>
      <w:r>
        <w:rPr>
          <w:rFonts w:hint="eastAsia"/>
        </w:rPr>
        <w:lastRenderedPageBreak/>
        <w:t>—排土场台阶高度、排土线长度；</w:t>
      </w:r>
    </w:p>
    <w:p w14:paraId="5E04123B" w14:textId="77777777" w:rsidR="008D7DB0" w:rsidRDefault="00000000">
      <w:pPr>
        <w:snapToGrid w:val="0"/>
        <w:spacing w:beforeLines="50" w:before="120"/>
        <w:ind w:firstLineChars="400" w:firstLine="1120"/>
      </w:pPr>
      <w:r>
        <w:rPr>
          <w:rFonts w:hint="eastAsia"/>
        </w:rPr>
        <w:t>—排土场的反坡坡度</w:t>
      </w:r>
      <w:r>
        <w:rPr>
          <w:rFonts w:hint="eastAsia"/>
        </w:rPr>
        <w:t>,</w:t>
      </w:r>
      <w:r>
        <w:rPr>
          <w:rFonts w:hint="eastAsia"/>
        </w:rPr>
        <w:t>每</w:t>
      </w:r>
      <w:r>
        <w:rPr>
          <w:rFonts w:hint="eastAsia"/>
        </w:rPr>
        <w:t>100m</w:t>
      </w:r>
      <w:r>
        <w:rPr>
          <w:rFonts w:hint="eastAsia"/>
        </w:rPr>
        <w:t>检查剖面不少于</w:t>
      </w:r>
      <w:r>
        <w:rPr>
          <w:rFonts w:hint="eastAsia"/>
        </w:rPr>
        <w:t>2</w:t>
      </w:r>
      <w:r>
        <w:rPr>
          <w:rFonts w:hint="eastAsia"/>
        </w:rPr>
        <w:t>个；</w:t>
      </w:r>
    </w:p>
    <w:p w14:paraId="5D3C5186" w14:textId="77777777" w:rsidR="008D7DB0" w:rsidRDefault="00000000">
      <w:pPr>
        <w:snapToGrid w:val="0"/>
        <w:spacing w:beforeLines="50" w:before="120"/>
        <w:ind w:firstLineChars="400" w:firstLine="1120"/>
      </w:pPr>
      <w:r>
        <w:rPr>
          <w:rFonts w:hint="eastAsia"/>
        </w:rPr>
        <w:t>—排土场边缘的汽车车挡尺寸；</w:t>
      </w:r>
    </w:p>
    <w:p w14:paraId="6E1077B0" w14:textId="77777777" w:rsidR="008D7DB0" w:rsidRDefault="00000000">
      <w:pPr>
        <w:snapToGrid w:val="0"/>
        <w:spacing w:beforeLines="50" w:before="120"/>
        <w:ind w:firstLineChars="400" w:firstLine="1120"/>
      </w:pPr>
      <w:r>
        <w:rPr>
          <w:rFonts w:hint="eastAsia"/>
        </w:rPr>
        <w:t>—排土机排土时履带与台阶坡顶线之间的距离；</w:t>
      </w:r>
    </w:p>
    <w:p w14:paraId="08CC9E5E" w14:textId="77777777" w:rsidR="008D7DB0" w:rsidRDefault="00000000">
      <w:pPr>
        <w:snapToGrid w:val="0"/>
        <w:spacing w:beforeLines="50" w:before="120"/>
        <w:ind w:firstLineChars="400" w:firstLine="1120"/>
      </w:pPr>
      <w:r>
        <w:rPr>
          <w:rFonts w:hint="eastAsia"/>
        </w:rPr>
        <w:t>—截排水系统、拦挡坝的完好情况及淤储空间情况。</w:t>
      </w:r>
    </w:p>
    <w:p w14:paraId="2CE42057" w14:textId="77777777" w:rsidR="008D7DB0" w:rsidRDefault="00000000">
      <w:pPr>
        <w:snapToGrid w:val="0"/>
        <w:spacing w:beforeLines="50" w:before="120"/>
        <w:ind w:firstLineChars="400" w:firstLine="1120"/>
      </w:pPr>
      <w:r>
        <w:rPr>
          <w:rFonts w:hint="eastAsia"/>
        </w:rPr>
        <w:t>—发现拦挡坝淤储空间不足</w:t>
      </w:r>
      <w:r>
        <w:rPr>
          <w:rFonts w:hint="eastAsia"/>
        </w:rPr>
        <w:t>,</w:t>
      </w:r>
      <w:r>
        <w:rPr>
          <w:rFonts w:hint="eastAsia"/>
        </w:rPr>
        <w:t>排土场出现不均匀沉降、裂缝、隆起时</w:t>
      </w:r>
      <w:r>
        <w:rPr>
          <w:rFonts w:hint="eastAsia"/>
        </w:rPr>
        <w:t>,</w:t>
      </w:r>
      <w:r>
        <w:rPr>
          <w:rFonts w:hint="eastAsia"/>
        </w:rPr>
        <w:t>应查明情况、分析原因并及时处理。</w:t>
      </w:r>
    </w:p>
    <w:p w14:paraId="46B9792E" w14:textId="77777777" w:rsidR="008D7DB0" w:rsidRDefault="00000000">
      <w:pPr>
        <w:snapToGrid w:val="0"/>
        <w:spacing w:beforeLines="50" w:before="120"/>
        <w:ind w:firstLine="560"/>
      </w:pPr>
      <w:r>
        <w:rPr>
          <w:rFonts w:hint="eastAsia"/>
        </w:rPr>
        <w:t>（</w:t>
      </w:r>
      <w:r>
        <w:rPr>
          <w:rFonts w:hint="eastAsia"/>
        </w:rPr>
        <w:t>4</w:t>
      </w:r>
      <w:r>
        <w:rPr>
          <w:rFonts w:hint="eastAsia"/>
        </w:rPr>
        <w:t>）矿山企业应建立排土场边坡稳定监测制度，边坡高度超过</w:t>
      </w:r>
      <w:r>
        <w:rPr>
          <w:rFonts w:hint="eastAsia"/>
        </w:rPr>
        <w:t>200m</w:t>
      </w:r>
      <w:r>
        <w:rPr>
          <w:rFonts w:hint="eastAsia"/>
        </w:rPr>
        <w:t>的，应设边坡稳定监测系统，防止发生泥石流和滑坡；</w:t>
      </w:r>
    </w:p>
    <w:p w14:paraId="546AAFCD" w14:textId="77777777" w:rsidR="008D7DB0" w:rsidRDefault="00000000">
      <w:pPr>
        <w:snapToGrid w:val="0"/>
        <w:spacing w:beforeLines="50" w:before="120"/>
        <w:ind w:firstLine="560"/>
      </w:pPr>
      <w:r>
        <w:rPr>
          <w:rFonts w:hint="eastAsia"/>
        </w:rPr>
        <w:t>（</w:t>
      </w:r>
      <w:r>
        <w:rPr>
          <w:rFonts w:hint="eastAsia"/>
        </w:rPr>
        <w:t>5</w:t>
      </w:r>
      <w:r>
        <w:rPr>
          <w:rFonts w:hint="eastAsia"/>
        </w:rPr>
        <w:t>）安全设施检查的主要内容包括；钢丝绳、大卸扣的配备数量和质量；照明设施能否满足要求；安全警示标志牌、灭火器、通讯工具等配置及完好情况；</w:t>
      </w:r>
    </w:p>
    <w:p w14:paraId="1BE7405D" w14:textId="77777777" w:rsidR="008D7DB0" w:rsidRDefault="00000000">
      <w:pPr>
        <w:snapToGrid w:val="0"/>
        <w:spacing w:beforeLines="50" w:before="120"/>
        <w:ind w:firstLine="560"/>
      </w:pPr>
      <w:r>
        <w:rPr>
          <w:rFonts w:hint="eastAsia"/>
        </w:rPr>
        <w:t>（</w:t>
      </w:r>
      <w:r>
        <w:rPr>
          <w:rFonts w:hint="eastAsia"/>
        </w:rPr>
        <w:t>6</w:t>
      </w:r>
      <w:r>
        <w:rPr>
          <w:rFonts w:hint="eastAsia"/>
        </w:rPr>
        <w:t>）企业应建立下列排土场管理档案</w:t>
      </w:r>
    </w:p>
    <w:p w14:paraId="119CF10D" w14:textId="77777777" w:rsidR="008D7DB0" w:rsidRDefault="00000000">
      <w:pPr>
        <w:snapToGrid w:val="0"/>
        <w:spacing w:beforeLines="50" w:before="120"/>
        <w:ind w:firstLineChars="400" w:firstLine="1120"/>
      </w:pPr>
      <w:r>
        <w:rPr>
          <w:rFonts w:hint="eastAsia"/>
        </w:rPr>
        <w:t>—建设文件及有关原始资料。</w:t>
      </w:r>
    </w:p>
    <w:p w14:paraId="4CD83B37" w14:textId="77777777" w:rsidR="008D7DB0" w:rsidRDefault="00000000">
      <w:pPr>
        <w:snapToGrid w:val="0"/>
        <w:spacing w:beforeLines="50" w:before="120"/>
        <w:ind w:firstLineChars="400" w:firstLine="1120"/>
      </w:pPr>
      <w:r>
        <w:rPr>
          <w:rFonts w:hint="eastAsia"/>
        </w:rPr>
        <w:t>—组织机构和规章制度建设。</w:t>
      </w:r>
    </w:p>
    <w:p w14:paraId="1E648F5D" w14:textId="77777777" w:rsidR="008D7DB0" w:rsidRDefault="00000000">
      <w:pPr>
        <w:snapToGrid w:val="0"/>
        <w:spacing w:beforeLines="50" w:before="120"/>
        <w:ind w:firstLineChars="400" w:firstLine="1120"/>
      </w:pPr>
      <w:r>
        <w:rPr>
          <w:rFonts w:hint="eastAsia"/>
        </w:rPr>
        <w:t>—排土场观测资料和实测数据。</w:t>
      </w:r>
    </w:p>
    <w:p w14:paraId="12DCA939" w14:textId="77777777" w:rsidR="008D7DB0" w:rsidRDefault="00000000">
      <w:pPr>
        <w:snapToGrid w:val="0"/>
        <w:spacing w:beforeLines="50" w:before="120"/>
        <w:ind w:firstLineChars="400" w:firstLine="1120"/>
      </w:pPr>
      <w:r>
        <w:rPr>
          <w:rFonts w:hint="eastAsia"/>
        </w:rPr>
        <w:t>—车故隐患的整改情况建立各项安全管理制度；</w:t>
      </w:r>
    </w:p>
    <w:p w14:paraId="3654994B" w14:textId="77777777" w:rsidR="008D7DB0" w:rsidRDefault="00000000">
      <w:pPr>
        <w:snapToGrid w:val="0"/>
        <w:spacing w:beforeLines="50" w:before="120"/>
        <w:ind w:firstLine="560"/>
      </w:pPr>
      <w:r>
        <w:rPr>
          <w:rFonts w:hint="eastAsia"/>
        </w:rPr>
        <w:t>（</w:t>
      </w:r>
      <w:r>
        <w:rPr>
          <w:rFonts w:hint="eastAsia"/>
        </w:rPr>
        <w:t>7</w:t>
      </w:r>
      <w:r>
        <w:rPr>
          <w:rFonts w:hint="eastAsia"/>
        </w:rPr>
        <w:t>）在汛期，应根据实际情况对排士场增加检查次数。检查中如发现重大隐患，应立即采取措施进行整改，并向省级以上安全生产监督管理部门报告；</w:t>
      </w:r>
    </w:p>
    <w:p w14:paraId="6689A4D1" w14:textId="77777777" w:rsidR="008D7DB0" w:rsidRDefault="00000000">
      <w:pPr>
        <w:snapToGrid w:val="0"/>
        <w:ind w:firstLine="562"/>
        <w:outlineLvl w:val="2"/>
        <w:rPr>
          <w:b/>
        </w:rPr>
      </w:pPr>
      <w:bookmarkStart w:id="278" w:name="_Toc505723234"/>
      <w:bookmarkStart w:id="279" w:name="_Toc205883269"/>
      <w:r>
        <w:rPr>
          <w:rFonts w:hint="eastAsia"/>
          <w:b/>
        </w:rPr>
        <w:t>3</w:t>
      </w:r>
      <w:r>
        <w:rPr>
          <w:b/>
        </w:rPr>
        <w:t>.</w:t>
      </w:r>
      <w:r>
        <w:rPr>
          <w:rFonts w:hint="eastAsia"/>
          <w:b/>
        </w:rPr>
        <w:t>5</w:t>
      </w:r>
      <w:r>
        <w:rPr>
          <w:b/>
        </w:rPr>
        <w:t>.2</w:t>
      </w:r>
      <w:r>
        <w:rPr>
          <w:rFonts w:hint="eastAsia"/>
          <w:b/>
        </w:rPr>
        <w:t>评价结果</w:t>
      </w:r>
      <w:bookmarkEnd w:id="278"/>
      <w:bookmarkEnd w:id="279"/>
    </w:p>
    <w:p w14:paraId="4984C635" w14:textId="77777777" w:rsidR="008D7DB0" w:rsidRDefault="00000000">
      <w:pPr>
        <w:snapToGrid w:val="0"/>
        <w:spacing w:beforeLines="50" w:before="120"/>
        <w:ind w:firstLine="560"/>
      </w:pPr>
      <w:r>
        <w:rPr>
          <w:rFonts w:hint="eastAsia"/>
        </w:rPr>
        <w:lastRenderedPageBreak/>
        <w:t>《初步设计重大变更》中对该项目提出的安全生产管理方面的对策措施尚不够完善，本预评价报告给予了补充。建设单位在以后的生产中，只要落实本报告在安全管理方面提出的措施，以确保安全生产管理有效的运用于施工及生产的各个环节，就能够最大限度的确保本项目的安全生产。</w:t>
      </w:r>
    </w:p>
    <w:p w14:paraId="05B4C8C2" w14:textId="77777777" w:rsidR="008D7DB0" w:rsidRDefault="00000000">
      <w:pPr>
        <w:ind w:firstLine="560"/>
      </w:pPr>
      <w:r>
        <w:rPr>
          <w:rFonts w:hint="eastAsia"/>
        </w:rPr>
        <w:t>《初步设计重大变更》未明确监测设施的布置情况，建议下一步安全设施设计阶段进行完善。</w:t>
      </w:r>
    </w:p>
    <w:p w14:paraId="0386645E" w14:textId="77777777" w:rsidR="008D7DB0" w:rsidRDefault="00000000">
      <w:pPr>
        <w:pStyle w:val="2"/>
      </w:pPr>
      <w:bookmarkStart w:id="280" w:name="_Toc174533762"/>
      <w:bookmarkStart w:id="281" w:name="_Toc205883270"/>
      <w:bookmarkEnd w:id="186"/>
      <w:bookmarkEnd w:id="187"/>
      <w:r>
        <w:rPr>
          <w:rFonts w:hint="eastAsia"/>
        </w:rPr>
        <w:t>3.6</w:t>
      </w:r>
      <w:r>
        <w:rPr>
          <w:rFonts w:hint="eastAsia"/>
        </w:rPr>
        <w:t>重大危险源辨识单元</w:t>
      </w:r>
      <w:bookmarkEnd w:id="280"/>
      <w:bookmarkEnd w:id="281"/>
    </w:p>
    <w:p w14:paraId="55C50BDD" w14:textId="77777777" w:rsidR="008D7DB0" w:rsidRDefault="00000000">
      <w:pPr>
        <w:snapToGrid w:val="0"/>
        <w:ind w:firstLine="560"/>
        <w:rPr>
          <w:color w:val="000000"/>
          <w:szCs w:val="28"/>
        </w:rPr>
      </w:pPr>
      <w:r>
        <w:rPr>
          <w:color w:val="000000"/>
          <w:szCs w:val="28"/>
        </w:rPr>
        <w:t>重大危险源是指长期地或者临时地生产、搬运、使用或储存危险物品，且危险物品的数量等于或超过临界量的单元（包括场所和设施）。</w:t>
      </w:r>
    </w:p>
    <w:p w14:paraId="03651373" w14:textId="77777777" w:rsidR="008D7DB0" w:rsidRDefault="00000000">
      <w:pPr>
        <w:snapToGrid w:val="0"/>
        <w:ind w:firstLine="560"/>
        <w:sectPr w:rsidR="008D7DB0">
          <w:pgSz w:w="11906" w:h="16838"/>
          <w:pgMar w:top="1701" w:right="1701" w:bottom="1701" w:left="1701" w:header="1134" w:footer="1134" w:gutter="0"/>
          <w:paperSrc w:first="1" w:other="1"/>
          <w:cols w:space="720"/>
          <w:docGrid w:linePitch="312"/>
        </w:sectPr>
      </w:pPr>
      <w:r>
        <w:rPr>
          <w:color w:val="000000"/>
          <w:szCs w:val="28"/>
        </w:rPr>
        <w:t>评价组对该项目进行重大危险源辨识。结论为该生产系统不构成危险化学品重大危险源。</w:t>
      </w:r>
    </w:p>
    <w:p w14:paraId="57A7E769" w14:textId="77777777" w:rsidR="008D7DB0" w:rsidRDefault="00000000">
      <w:pPr>
        <w:pStyle w:val="1"/>
        <w:spacing w:before="120"/>
      </w:pPr>
      <w:bookmarkStart w:id="282" w:name="_Toc294674097"/>
      <w:bookmarkStart w:id="283" w:name="_Toc174533763"/>
      <w:bookmarkStart w:id="284" w:name="_Toc205883271"/>
      <w:r>
        <w:lastRenderedPageBreak/>
        <w:t>4</w:t>
      </w:r>
      <w:r>
        <w:rPr>
          <w:rFonts w:hint="eastAsia"/>
        </w:rPr>
        <w:t>安全对策措施建议</w:t>
      </w:r>
      <w:bookmarkEnd w:id="282"/>
      <w:bookmarkEnd w:id="283"/>
      <w:bookmarkEnd w:id="284"/>
    </w:p>
    <w:p w14:paraId="5F658FAB" w14:textId="77777777" w:rsidR="008D7DB0" w:rsidRDefault="00000000">
      <w:pPr>
        <w:pStyle w:val="2"/>
      </w:pPr>
      <w:bookmarkStart w:id="285" w:name="_Toc331618258"/>
      <w:bookmarkStart w:id="286" w:name="_Toc174533764"/>
      <w:bookmarkStart w:id="287" w:name="_Toc292396078"/>
      <w:bookmarkStart w:id="288" w:name="_Toc291619046"/>
      <w:bookmarkStart w:id="289" w:name="_Toc205883272"/>
      <w:bookmarkStart w:id="290" w:name="_Toc194557913"/>
      <w:bookmarkStart w:id="291" w:name="_Toc178849962"/>
      <w:bookmarkStart w:id="292" w:name="_Toc180734313"/>
      <w:r>
        <w:t>4.</w:t>
      </w:r>
      <w:r>
        <w:rPr>
          <w:rFonts w:hint="eastAsia"/>
        </w:rPr>
        <w:t>1</w:t>
      </w:r>
      <w:r>
        <w:rPr>
          <w:rFonts w:hint="eastAsia"/>
        </w:rPr>
        <w:t>本预评价补充的安全对策措施</w:t>
      </w:r>
      <w:bookmarkEnd w:id="285"/>
      <w:bookmarkEnd w:id="286"/>
      <w:bookmarkEnd w:id="287"/>
      <w:bookmarkEnd w:id="288"/>
      <w:bookmarkEnd w:id="289"/>
    </w:p>
    <w:p w14:paraId="56457BDF" w14:textId="77777777" w:rsidR="008D7DB0" w:rsidRDefault="00000000">
      <w:pPr>
        <w:snapToGrid w:val="0"/>
        <w:ind w:firstLine="560"/>
        <w:rPr>
          <w:snapToGrid w:val="0"/>
          <w:kern w:val="0"/>
          <w:sz w:val="24"/>
        </w:rPr>
      </w:pPr>
      <w:r>
        <w:rPr>
          <w:szCs w:val="28"/>
        </w:rPr>
        <w:t>《</w:t>
      </w:r>
      <w:r>
        <w:rPr>
          <w:rFonts w:hint="eastAsia"/>
          <w:szCs w:val="28"/>
        </w:rPr>
        <w:t>初步重大设计变更</w:t>
      </w:r>
      <w:r>
        <w:rPr>
          <w:szCs w:val="28"/>
        </w:rPr>
        <w:t>》提出的安全对策措施</w:t>
      </w:r>
      <w:r>
        <w:rPr>
          <w:rFonts w:hint="eastAsia"/>
          <w:szCs w:val="28"/>
        </w:rPr>
        <w:t>合理可行，但还存在一些不足，</w:t>
      </w:r>
      <w:r>
        <w:rPr>
          <w:szCs w:val="28"/>
        </w:rPr>
        <w:t>本安全预评价报告依据国家的相关安全标准、规范的要求，</w:t>
      </w:r>
      <w:r>
        <w:rPr>
          <w:rFonts w:hint="eastAsia"/>
          <w:szCs w:val="28"/>
        </w:rPr>
        <w:t>本着应具有针对性，可操作性和经济合理性原则，补充以下</w:t>
      </w:r>
      <w:r>
        <w:rPr>
          <w:szCs w:val="28"/>
        </w:rPr>
        <w:t>安全对策措施</w:t>
      </w:r>
      <w:r>
        <w:rPr>
          <w:rFonts w:hint="eastAsia"/>
          <w:szCs w:val="28"/>
        </w:rPr>
        <w:t>：</w:t>
      </w:r>
    </w:p>
    <w:p w14:paraId="42ADF14E" w14:textId="77777777" w:rsidR="008D7DB0" w:rsidRDefault="00000000">
      <w:pPr>
        <w:pStyle w:val="3"/>
      </w:pPr>
      <w:bookmarkStart w:id="293" w:name="_Toc28317"/>
      <w:bookmarkStart w:id="294" w:name="_Toc166671631"/>
      <w:bookmarkStart w:id="295" w:name="_Toc170806205"/>
      <w:bookmarkStart w:id="296" w:name="_Toc4865"/>
      <w:bookmarkStart w:id="297" w:name="_Toc174533765"/>
      <w:bookmarkStart w:id="298" w:name="_Toc21876"/>
      <w:bookmarkStart w:id="299" w:name="_Toc13762"/>
      <w:bookmarkStart w:id="300" w:name="_Toc294674107"/>
      <w:bookmarkStart w:id="301" w:name="_Toc406688059"/>
      <w:bookmarkStart w:id="302" w:name="_Toc12196"/>
      <w:bookmarkStart w:id="303" w:name="_Toc13017"/>
      <w:bookmarkStart w:id="304" w:name="_Toc2446"/>
      <w:bookmarkStart w:id="305" w:name="_Toc205883273"/>
      <w:r>
        <w:t>4.</w:t>
      </w:r>
      <w:r>
        <w:rPr>
          <w:rFonts w:hint="eastAsia"/>
        </w:rPr>
        <w:t>1</w:t>
      </w:r>
      <w:r>
        <w:t>.1</w:t>
      </w:r>
      <w:bookmarkEnd w:id="290"/>
      <w:bookmarkEnd w:id="291"/>
      <w:bookmarkEnd w:id="292"/>
      <w:r>
        <w:rPr>
          <w:rFonts w:hint="eastAsia"/>
        </w:rPr>
        <w:t>场址选择单元</w:t>
      </w:r>
      <w:bookmarkEnd w:id="293"/>
      <w:bookmarkEnd w:id="294"/>
      <w:bookmarkEnd w:id="295"/>
      <w:bookmarkEnd w:id="296"/>
      <w:bookmarkEnd w:id="297"/>
      <w:bookmarkEnd w:id="298"/>
      <w:bookmarkEnd w:id="299"/>
      <w:bookmarkEnd w:id="300"/>
      <w:bookmarkEnd w:id="301"/>
      <w:bookmarkEnd w:id="302"/>
      <w:bookmarkEnd w:id="303"/>
      <w:bookmarkEnd w:id="304"/>
      <w:bookmarkEnd w:id="305"/>
    </w:p>
    <w:p w14:paraId="260F0844" w14:textId="77777777" w:rsidR="008D7DB0" w:rsidRDefault="00000000">
      <w:pPr>
        <w:numPr>
          <w:ilvl w:val="0"/>
          <w:numId w:val="8"/>
        </w:numPr>
        <w:ind w:firstLine="560"/>
      </w:pPr>
      <w:r>
        <w:rPr>
          <w:rFonts w:hint="eastAsia"/>
        </w:rPr>
        <w:t>排土场应满足工业企业近期所必需的场地面积和适宜的地形坡度。根据工业企业远期发展规划的需要，适当留有发展的余地。</w:t>
      </w:r>
    </w:p>
    <w:p w14:paraId="29BCE4C2" w14:textId="77777777" w:rsidR="008D7DB0" w:rsidRDefault="00000000">
      <w:pPr>
        <w:numPr>
          <w:ilvl w:val="0"/>
          <w:numId w:val="8"/>
        </w:numPr>
        <w:ind w:firstLine="560"/>
      </w:pPr>
      <w:r>
        <w:rPr>
          <w:rFonts w:hint="eastAsia"/>
        </w:rPr>
        <w:t>按功能分区，合理地确定通道宽度。</w:t>
      </w:r>
    </w:p>
    <w:p w14:paraId="4EA0A7F7" w14:textId="77777777" w:rsidR="008D7DB0" w:rsidRDefault="00000000">
      <w:pPr>
        <w:numPr>
          <w:ilvl w:val="0"/>
          <w:numId w:val="8"/>
        </w:numPr>
        <w:ind w:firstLine="560"/>
      </w:pPr>
      <w:r>
        <w:rPr>
          <w:rFonts w:hint="eastAsia"/>
        </w:rPr>
        <w:t>厂区、功能分区及建筑物、构筑物的外形宜规整；功能分区内各项设施的布置，应紧凑、合理。</w:t>
      </w:r>
    </w:p>
    <w:p w14:paraId="04587F22" w14:textId="77777777" w:rsidR="008D7DB0" w:rsidRDefault="00000000">
      <w:pPr>
        <w:keepNext/>
        <w:keepLines/>
        <w:ind w:firstLineChars="0" w:firstLine="0"/>
        <w:jc w:val="left"/>
        <w:outlineLvl w:val="2"/>
        <w:rPr>
          <w:b/>
          <w:bCs/>
          <w:szCs w:val="32"/>
        </w:rPr>
      </w:pPr>
      <w:bookmarkStart w:id="306" w:name="_Toc29026"/>
      <w:bookmarkStart w:id="307" w:name="_Toc205883274"/>
      <w:r>
        <w:rPr>
          <w:b/>
          <w:bCs/>
          <w:szCs w:val="32"/>
        </w:rPr>
        <w:t>4.</w:t>
      </w:r>
      <w:r>
        <w:rPr>
          <w:rFonts w:hint="eastAsia"/>
          <w:b/>
          <w:bCs/>
          <w:szCs w:val="32"/>
        </w:rPr>
        <w:t>1</w:t>
      </w:r>
      <w:r>
        <w:rPr>
          <w:b/>
          <w:bCs/>
          <w:szCs w:val="32"/>
        </w:rPr>
        <w:t>.1</w:t>
      </w:r>
      <w:r>
        <w:rPr>
          <w:rFonts w:hint="eastAsia"/>
          <w:b/>
          <w:bCs/>
          <w:szCs w:val="32"/>
        </w:rPr>
        <w:t>排土场单元</w:t>
      </w:r>
      <w:bookmarkEnd w:id="306"/>
      <w:bookmarkEnd w:id="307"/>
    </w:p>
    <w:p w14:paraId="5211EB01" w14:textId="77777777" w:rsidR="008D7DB0" w:rsidRDefault="00000000">
      <w:pPr>
        <w:snapToGrid w:val="0"/>
        <w:ind w:firstLine="560"/>
        <w:rPr>
          <w:snapToGrid w:val="0"/>
          <w:kern w:val="0"/>
          <w:szCs w:val="28"/>
        </w:rPr>
      </w:pPr>
      <w:bookmarkStart w:id="308" w:name="_Toc174533773"/>
      <w:bookmarkStart w:id="309" w:name="_Toc294674111"/>
      <w:r>
        <w:rPr>
          <w:rFonts w:hint="eastAsia"/>
          <w:snapToGrid w:val="0"/>
          <w:kern w:val="0"/>
          <w:szCs w:val="28"/>
        </w:rPr>
        <w:t>（</w:t>
      </w:r>
      <w:r>
        <w:rPr>
          <w:rFonts w:hint="eastAsia"/>
          <w:snapToGrid w:val="0"/>
          <w:kern w:val="0"/>
          <w:szCs w:val="28"/>
        </w:rPr>
        <w:t>1</w:t>
      </w:r>
      <w:r>
        <w:rPr>
          <w:rFonts w:hint="eastAsia"/>
          <w:snapToGrid w:val="0"/>
          <w:kern w:val="0"/>
          <w:szCs w:val="28"/>
        </w:rPr>
        <w:t>）</w:t>
      </w:r>
      <w:r>
        <w:rPr>
          <w:snapToGrid w:val="0"/>
          <w:kern w:val="0"/>
          <w:szCs w:val="28"/>
        </w:rPr>
        <w:t>矿山应急预案</w:t>
      </w:r>
      <w:r>
        <w:rPr>
          <w:rFonts w:hint="eastAsia"/>
          <w:snapToGrid w:val="0"/>
          <w:kern w:val="0"/>
          <w:szCs w:val="28"/>
        </w:rPr>
        <w:t>应包括排土场</w:t>
      </w:r>
      <w:r>
        <w:rPr>
          <w:snapToGrid w:val="0"/>
          <w:kern w:val="0"/>
          <w:szCs w:val="28"/>
        </w:rPr>
        <w:t>滑坡</w:t>
      </w:r>
      <w:r>
        <w:rPr>
          <w:rFonts w:hint="eastAsia"/>
          <w:snapToGrid w:val="0"/>
          <w:kern w:val="0"/>
          <w:szCs w:val="28"/>
        </w:rPr>
        <w:t>、</w:t>
      </w:r>
      <w:r>
        <w:rPr>
          <w:snapToGrid w:val="0"/>
          <w:kern w:val="0"/>
          <w:szCs w:val="28"/>
        </w:rPr>
        <w:t>泥石流等事故。</w:t>
      </w:r>
    </w:p>
    <w:p w14:paraId="14717349"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3</w:t>
      </w:r>
      <w:r>
        <w:rPr>
          <w:rFonts w:hint="eastAsia"/>
          <w:snapToGrid w:val="0"/>
          <w:kern w:val="0"/>
          <w:szCs w:val="28"/>
        </w:rPr>
        <w:t>）</w:t>
      </w:r>
      <w:r>
        <w:rPr>
          <w:snapToGrid w:val="0"/>
          <w:kern w:val="0"/>
          <w:szCs w:val="28"/>
        </w:rPr>
        <w:t>矿山企业应设专职人员负责</w:t>
      </w:r>
      <w:r>
        <w:rPr>
          <w:rFonts w:hint="eastAsia"/>
          <w:snapToGrid w:val="0"/>
          <w:kern w:val="0"/>
          <w:szCs w:val="28"/>
        </w:rPr>
        <w:t>排土场</w:t>
      </w:r>
      <w:r>
        <w:rPr>
          <w:snapToGrid w:val="0"/>
          <w:kern w:val="0"/>
          <w:szCs w:val="28"/>
        </w:rPr>
        <w:t>的安全管理工作。</w:t>
      </w:r>
    </w:p>
    <w:p w14:paraId="5F607CE7"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4</w:t>
      </w:r>
      <w:r>
        <w:rPr>
          <w:rFonts w:hint="eastAsia"/>
          <w:snapToGrid w:val="0"/>
          <w:kern w:val="0"/>
          <w:szCs w:val="28"/>
        </w:rPr>
        <w:t>）卸载</w:t>
      </w:r>
      <w:r>
        <w:rPr>
          <w:snapToGrid w:val="0"/>
          <w:kern w:val="0"/>
          <w:szCs w:val="28"/>
        </w:rPr>
        <w:t>作业应按经过批准的安全设施设计进行。</w:t>
      </w:r>
    </w:p>
    <w:p w14:paraId="13A48B67"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5</w:t>
      </w:r>
      <w:r>
        <w:rPr>
          <w:rFonts w:hint="eastAsia"/>
          <w:snapToGrid w:val="0"/>
          <w:kern w:val="0"/>
          <w:szCs w:val="28"/>
        </w:rPr>
        <w:t>）排土场</w:t>
      </w:r>
      <w:r>
        <w:rPr>
          <w:snapToGrid w:val="0"/>
          <w:kern w:val="0"/>
          <w:szCs w:val="28"/>
        </w:rPr>
        <w:t>防洪应遵守下列规定</w:t>
      </w:r>
      <w:r>
        <w:rPr>
          <w:snapToGrid w:val="0"/>
          <w:kern w:val="0"/>
          <w:szCs w:val="28"/>
        </w:rPr>
        <w:t>:</w:t>
      </w:r>
    </w:p>
    <w:p w14:paraId="2A84ADF5"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排土场周围应修筑可靠的截、排水设施；</w:t>
      </w:r>
    </w:p>
    <w:p w14:paraId="3F126B0B"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排土场内的平台应设置</w:t>
      </w:r>
      <w:r>
        <w:rPr>
          <w:snapToGrid w:val="0"/>
          <w:kern w:val="0"/>
          <w:szCs w:val="28"/>
        </w:rPr>
        <w:t>2%</w:t>
      </w:r>
      <w:r>
        <w:rPr>
          <w:rFonts w:hint="eastAsia"/>
          <w:snapToGrid w:val="0"/>
          <w:kern w:val="0"/>
          <w:szCs w:val="28"/>
        </w:rPr>
        <w:t>-</w:t>
      </w:r>
      <w:r>
        <w:rPr>
          <w:snapToGrid w:val="0"/>
          <w:kern w:val="0"/>
          <w:szCs w:val="28"/>
        </w:rPr>
        <w:t>5%</w:t>
      </w:r>
      <w:r>
        <w:rPr>
          <w:snapToGrid w:val="0"/>
          <w:kern w:val="0"/>
          <w:szCs w:val="28"/>
        </w:rPr>
        <w:t>的反坡</w:t>
      </w:r>
      <w:r>
        <w:rPr>
          <w:rFonts w:hint="eastAsia"/>
          <w:snapToGrid w:val="0"/>
          <w:kern w:val="0"/>
          <w:szCs w:val="28"/>
        </w:rPr>
        <w:t>，</w:t>
      </w:r>
      <w:r>
        <w:rPr>
          <w:snapToGrid w:val="0"/>
          <w:kern w:val="0"/>
          <w:szCs w:val="28"/>
        </w:rPr>
        <w:t>并在靠近山坡处修筑排水沟</w:t>
      </w:r>
      <w:r>
        <w:rPr>
          <w:rFonts w:hint="eastAsia"/>
          <w:snapToGrid w:val="0"/>
          <w:kern w:val="0"/>
          <w:szCs w:val="28"/>
        </w:rPr>
        <w:t>；</w:t>
      </w:r>
    </w:p>
    <w:p w14:paraId="40A15312" w14:textId="77777777" w:rsidR="008D7DB0" w:rsidRDefault="00000000">
      <w:pPr>
        <w:snapToGrid w:val="0"/>
        <w:ind w:firstLine="560"/>
        <w:rPr>
          <w:snapToGrid w:val="0"/>
          <w:kern w:val="0"/>
          <w:szCs w:val="28"/>
        </w:rPr>
      </w:pPr>
      <w:r>
        <w:rPr>
          <w:rFonts w:hint="eastAsia"/>
          <w:snapToGrid w:val="0"/>
          <w:kern w:val="0"/>
          <w:szCs w:val="28"/>
        </w:rPr>
        <w:t>-</w:t>
      </w:r>
      <w:r>
        <w:rPr>
          <w:snapToGrid w:val="0"/>
          <w:kern w:val="0"/>
          <w:szCs w:val="28"/>
        </w:rPr>
        <w:t>-</w:t>
      </w:r>
      <w:r>
        <w:rPr>
          <w:rFonts w:hint="eastAsia"/>
          <w:snapToGrid w:val="0"/>
          <w:kern w:val="0"/>
          <w:szCs w:val="28"/>
        </w:rPr>
        <w:t>排土场范围内有出水点的，</w:t>
      </w:r>
      <w:r>
        <w:rPr>
          <w:snapToGrid w:val="0"/>
          <w:kern w:val="0"/>
          <w:szCs w:val="28"/>
        </w:rPr>
        <w:t>应在</w:t>
      </w:r>
      <w:r>
        <w:rPr>
          <w:rFonts w:hint="eastAsia"/>
          <w:snapToGrid w:val="0"/>
          <w:kern w:val="0"/>
          <w:szCs w:val="28"/>
        </w:rPr>
        <w:t>作业</w:t>
      </w:r>
      <w:r>
        <w:rPr>
          <w:snapToGrid w:val="0"/>
          <w:kern w:val="0"/>
          <w:szCs w:val="28"/>
        </w:rPr>
        <w:t>之前进行处理</w:t>
      </w:r>
      <w:r>
        <w:rPr>
          <w:rFonts w:hint="eastAsia"/>
          <w:snapToGrid w:val="0"/>
          <w:kern w:val="0"/>
          <w:szCs w:val="28"/>
        </w:rPr>
        <w:t>；</w:t>
      </w:r>
    </w:p>
    <w:p w14:paraId="07FCBDB9"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疏浚排土场外截洪沟和排土场内的排水沟，</w:t>
      </w:r>
      <w:r>
        <w:rPr>
          <w:snapToGrid w:val="0"/>
          <w:kern w:val="0"/>
          <w:szCs w:val="28"/>
        </w:rPr>
        <w:t>确保排洪设施可以正常工作</w:t>
      </w:r>
      <w:r>
        <w:rPr>
          <w:rFonts w:hint="eastAsia"/>
          <w:snapToGrid w:val="0"/>
          <w:kern w:val="0"/>
          <w:szCs w:val="28"/>
        </w:rPr>
        <w:t>；</w:t>
      </w:r>
    </w:p>
    <w:p w14:paraId="06071011" w14:textId="77777777" w:rsidR="008D7DB0" w:rsidRDefault="00000000">
      <w:pPr>
        <w:snapToGrid w:val="0"/>
        <w:ind w:firstLine="560"/>
        <w:rPr>
          <w:snapToGrid w:val="0"/>
          <w:kern w:val="0"/>
          <w:szCs w:val="28"/>
        </w:rPr>
      </w:pPr>
      <w:r>
        <w:rPr>
          <w:rFonts w:hint="eastAsia"/>
          <w:snapToGrid w:val="0"/>
          <w:kern w:val="0"/>
          <w:szCs w:val="28"/>
        </w:rPr>
        <w:t>-</w:t>
      </w:r>
      <w:r>
        <w:rPr>
          <w:snapToGrid w:val="0"/>
          <w:kern w:val="0"/>
          <w:szCs w:val="28"/>
        </w:rPr>
        <w:t>-</w:t>
      </w:r>
      <w:r>
        <w:rPr>
          <w:rFonts w:hint="eastAsia"/>
          <w:snapToGrid w:val="0"/>
          <w:kern w:val="0"/>
          <w:szCs w:val="28"/>
        </w:rPr>
        <w:t>及时了解和掌握水情以及气象预报情况，</w:t>
      </w:r>
      <w:r>
        <w:rPr>
          <w:snapToGrid w:val="0"/>
          <w:kern w:val="0"/>
          <w:szCs w:val="28"/>
        </w:rPr>
        <w:t>保证</w:t>
      </w:r>
      <w:r>
        <w:rPr>
          <w:rFonts w:hint="eastAsia"/>
          <w:snapToGrid w:val="0"/>
          <w:kern w:val="0"/>
          <w:szCs w:val="28"/>
        </w:rPr>
        <w:t>排土场</w:t>
      </w:r>
      <w:r>
        <w:rPr>
          <w:snapToGrid w:val="0"/>
          <w:kern w:val="0"/>
          <w:szCs w:val="28"/>
        </w:rPr>
        <w:t>下游</w:t>
      </w:r>
      <w:r>
        <w:rPr>
          <w:rFonts w:hint="eastAsia"/>
          <w:snapToGrid w:val="0"/>
          <w:kern w:val="0"/>
          <w:szCs w:val="28"/>
        </w:rPr>
        <w:t>安全；</w:t>
      </w:r>
    </w:p>
    <w:p w14:paraId="580015F2" w14:textId="77777777" w:rsidR="008D7DB0" w:rsidRDefault="00000000">
      <w:pPr>
        <w:snapToGrid w:val="0"/>
        <w:ind w:firstLine="560"/>
        <w:rPr>
          <w:snapToGrid w:val="0"/>
          <w:kern w:val="0"/>
          <w:szCs w:val="28"/>
        </w:rPr>
      </w:pPr>
      <w:r>
        <w:rPr>
          <w:rFonts w:hint="eastAsia"/>
          <w:snapToGrid w:val="0"/>
          <w:kern w:val="0"/>
          <w:szCs w:val="28"/>
        </w:rPr>
        <w:lastRenderedPageBreak/>
        <w:t>--</w:t>
      </w:r>
      <w:r>
        <w:rPr>
          <w:rFonts w:hint="eastAsia"/>
          <w:snapToGrid w:val="0"/>
          <w:kern w:val="0"/>
          <w:szCs w:val="28"/>
        </w:rPr>
        <w:t>洪水过后立即对排土场和排洪设施进行检查，</w:t>
      </w:r>
      <w:r>
        <w:rPr>
          <w:snapToGrid w:val="0"/>
          <w:kern w:val="0"/>
          <w:szCs w:val="28"/>
        </w:rPr>
        <w:t>发现问题立即处理。</w:t>
      </w:r>
    </w:p>
    <w:p w14:paraId="1656C07B" w14:textId="77777777" w:rsidR="008D7DB0" w:rsidRDefault="00000000">
      <w:pPr>
        <w:snapToGrid w:val="0"/>
        <w:ind w:firstLine="560"/>
        <w:rPr>
          <w:snapToGrid w:val="0"/>
          <w:kern w:val="0"/>
          <w:szCs w:val="28"/>
        </w:rPr>
      </w:pPr>
      <w:r>
        <w:rPr>
          <w:rFonts w:hint="eastAsia"/>
          <w:snapToGrid w:val="0"/>
          <w:kern w:val="0"/>
          <w:szCs w:val="28"/>
        </w:rPr>
        <w:t>（</w:t>
      </w:r>
      <w:r>
        <w:rPr>
          <w:snapToGrid w:val="0"/>
          <w:kern w:val="0"/>
          <w:szCs w:val="28"/>
        </w:rPr>
        <w:t>6</w:t>
      </w:r>
      <w:r>
        <w:rPr>
          <w:rFonts w:hint="eastAsia"/>
          <w:snapToGrid w:val="0"/>
          <w:kern w:val="0"/>
          <w:szCs w:val="28"/>
        </w:rPr>
        <w:t>）排土场</w:t>
      </w:r>
      <w:r>
        <w:rPr>
          <w:snapToGrid w:val="0"/>
          <w:kern w:val="0"/>
          <w:szCs w:val="28"/>
        </w:rPr>
        <w:t>作业区应符合下列要求</w:t>
      </w:r>
      <w:r>
        <w:rPr>
          <w:snapToGrid w:val="0"/>
          <w:kern w:val="0"/>
          <w:szCs w:val="28"/>
        </w:rPr>
        <w:t>:</w:t>
      </w:r>
    </w:p>
    <w:p w14:paraId="1922E0D0"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有良好的照明；</w:t>
      </w:r>
    </w:p>
    <w:p w14:paraId="6A1752E4"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配备通信工具；</w:t>
      </w:r>
    </w:p>
    <w:p w14:paraId="1BD3F209"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设置醒目的安全警示标志。</w:t>
      </w:r>
    </w:p>
    <w:p w14:paraId="2CF90AC1" w14:textId="77777777" w:rsidR="008D7DB0" w:rsidRDefault="00000000">
      <w:pPr>
        <w:snapToGrid w:val="0"/>
        <w:ind w:firstLine="560"/>
        <w:rPr>
          <w:snapToGrid w:val="0"/>
          <w:kern w:val="0"/>
          <w:szCs w:val="28"/>
        </w:rPr>
      </w:pPr>
      <w:r>
        <w:rPr>
          <w:rFonts w:hint="eastAsia"/>
          <w:snapToGrid w:val="0"/>
          <w:kern w:val="0"/>
          <w:szCs w:val="28"/>
        </w:rPr>
        <w:t>（</w:t>
      </w:r>
      <w:r>
        <w:rPr>
          <w:snapToGrid w:val="0"/>
          <w:kern w:val="0"/>
          <w:szCs w:val="28"/>
        </w:rPr>
        <w:t>7</w:t>
      </w:r>
      <w:r>
        <w:rPr>
          <w:rFonts w:hint="eastAsia"/>
          <w:snapToGrid w:val="0"/>
          <w:kern w:val="0"/>
          <w:szCs w:val="28"/>
        </w:rPr>
        <w:t>）</w:t>
      </w:r>
      <w:r>
        <w:rPr>
          <w:snapToGrid w:val="0"/>
          <w:kern w:val="0"/>
          <w:szCs w:val="28"/>
        </w:rPr>
        <w:t>汽车排土应遵守下列规定</w:t>
      </w:r>
      <w:r>
        <w:rPr>
          <w:snapToGrid w:val="0"/>
          <w:kern w:val="0"/>
          <w:szCs w:val="28"/>
        </w:rPr>
        <w:t>:</w:t>
      </w:r>
    </w:p>
    <w:p w14:paraId="691E4C87"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排土平台应平整，</w:t>
      </w:r>
      <w:r>
        <w:rPr>
          <w:snapToGrid w:val="0"/>
          <w:kern w:val="0"/>
          <w:szCs w:val="28"/>
        </w:rPr>
        <w:t>排土线应整体均衡推进</w:t>
      </w:r>
      <w:r>
        <w:rPr>
          <w:rFonts w:hint="eastAsia"/>
          <w:snapToGrid w:val="0"/>
          <w:kern w:val="0"/>
          <w:szCs w:val="28"/>
        </w:rPr>
        <w:t>；</w:t>
      </w:r>
    </w:p>
    <w:p w14:paraId="4A6ABCA5"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在排土卸载平台边缘设置安全车挡，</w:t>
      </w:r>
      <w:r>
        <w:rPr>
          <w:snapToGrid w:val="0"/>
          <w:kern w:val="0"/>
          <w:szCs w:val="28"/>
        </w:rPr>
        <w:t>车挡高度不小于车轮轮胎直径的</w:t>
      </w:r>
      <w:r>
        <w:rPr>
          <w:snapToGrid w:val="0"/>
          <w:kern w:val="0"/>
          <w:szCs w:val="28"/>
        </w:rPr>
        <w:t>1/2</w:t>
      </w:r>
      <w:r>
        <w:rPr>
          <w:rFonts w:hint="eastAsia"/>
          <w:snapToGrid w:val="0"/>
          <w:kern w:val="0"/>
          <w:szCs w:val="28"/>
        </w:rPr>
        <w:t>，</w:t>
      </w:r>
      <w:r>
        <w:rPr>
          <w:snapToGrid w:val="0"/>
          <w:kern w:val="0"/>
          <w:szCs w:val="28"/>
        </w:rPr>
        <w:t>顶宽不小于车轮轮</w:t>
      </w:r>
      <w:r>
        <w:rPr>
          <w:rFonts w:hint="eastAsia"/>
          <w:snapToGrid w:val="0"/>
          <w:kern w:val="0"/>
          <w:szCs w:val="28"/>
        </w:rPr>
        <w:t>胎直径的</w:t>
      </w:r>
      <w:r>
        <w:rPr>
          <w:snapToGrid w:val="0"/>
          <w:kern w:val="0"/>
          <w:szCs w:val="28"/>
        </w:rPr>
        <w:t>1/4</w:t>
      </w:r>
      <w:r>
        <w:rPr>
          <w:rFonts w:hint="eastAsia"/>
          <w:snapToGrid w:val="0"/>
          <w:kern w:val="0"/>
          <w:szCs w:val="28"/>
        </w:rPr>
        <w:t>，</w:t>
      </w:r>
      <w:r>
        <w:rPr>
          <w:snapToGrid w:val="0"/>
          <w:kern w:val="0"/>
          <w:szCs w:val="28"/>
        </w:rPr>
        <w:t>底宽不小于车轮轮胎直径的</w:t>
      </w:r>
      <w:r>
        <w:rPr>
          <w:snapToGrid w:val="0"/>
          <w:kern w:val="0"/>
          <w:szCs w:val="28"/>
        </w:rPr>
        <w:t>3/4</w:t>
      </w:r>
      <w:r>
        <w:rPr>
          <w:rFonts w:hint="eastAsia"/>
          <w:snapToGrid w:val="0"/>
          <w:kern w:val="0"/>
          <w:szCs w:val="28"/>
        </w:rPr>
        <w:t>；</w:t>
      </w:r>
    </w:p>
    <w:p w14:paraId="7BD3EB77"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由经过培训考核合格的人员指挥；</w:t>
      </w:r>
    </w:p>
    <w:p w14:paraId="0BFD3928"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进入作业区内的人员、车辆服从指挥；</w:t>
      </w:r>
      <w:r>
        <w:rPr>
          <w:snapToGrid w:val="0"/>
          <w:kern w:val="0"/>
          <w:szCs w:val="28"/>
        </w:rPr>
        <w:t>非作业人员未经允许不得进入排土作业区</w:t>
      </w:r>
      <w:r>
        <w:rPr>
          <w:rFonts w:hint="eastAsia"/>
          <w:snapToGrid w:val="0"/>
          <w:kern w:val="0"/>
          <w:szCs w:val="28"/>
        </w:rPr>
        <w:t>；</w:t>
      </w:r>
      <w:r>
        <w:rPr>
          <w:snapToGrid w:val="0"/>
          <w:kern w:val="0"/>
          <w:szCs w:val="28"/>
        </w:rPr>
        <w:t>无关人员不</w:t>
      </w:r>
      <w:r>
        <w:rPr>
          <w:rFonts w:hint="eastAsia"/>
          <w:snapToGrid w:val="0"/>
          <w:kern w:val="0"/>
          <w:szCs w:val="28"/>
        </w:rPr>
        <w:t>得进入；</w:t>
      </w:r>
    </w:p>
    <w:p w14:paraId="0C867000"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汽车与排土工作面距离小于</w:t>
      </w:r>
      <w:r>
        <w:rPr>
          <w:snapToGrid w:val="0"/>
          <w:kern w:val="0"/>
          <w:szCs w:val="28"/>
        </w:rPr>
        <w:t>200m</w:t>
      </w:r>
      <w:r>
        <w:rPr>
          <w:snapToGrid w:val="0"/>
          <w:kern w:val="0"/>
          <w:szCs w:val="28"/>
        </w:rPr>
        <w:t>时</w:t>
      </w:r>
      <w:r>
        <w:rPr>
          <w:rFonts w:hint="eastAsia"/>
          <w:snapToGrid w:val="0"/>
          <w:kern w:val="0"/>
          <w:szCs w:val="28"/>
        </w:rPr>
        <w:t>，</w:t>
      </w:r>
      <w:r>
        <w:rPr>
          <w:snapToGrid w:val="0"/>
          <w:kern w:val="0"/>
          <w:szCs w:val="28"/>
        </w:rPr>
        <w:t>车速不大于</w:t>
      </w:r>
      <w:r>
        <w:rPr>
          <w:snapToGrid w:val="0"/>
          <w:kern w:val="0"/>
          <w:szCs w:val="28"/>
        </w:rPr>
        <w:t>16km/h</w:t>
      </w:r>
      <w:r>
        <w:rPr>
          <w:rFonts w:hint="eastAsia"/>
          <w:snapToGrid w:val="0"/>
          <w:kern w:val="0"/>
          <w:szCs w:val="28"/>
        </w:rPr>
        <w:t>；</w:t>
      </w:r>
      <w:r>
        <w:rPr>
          <w:snapToGrid w:val="0"/>
          <w:kern w:val="0"/>
          <w:szCs w:val="28"/>
        </w:rPr>
        <w:t>与坡顶线距离小于</w:t>
      </w:r>
      <w:r>
        <w:rPr>
          <w:snapToGrid w:val="0"/>
          <w:kern w:val="0"/>
          <w:szCs w:val="28"/>
        </w:rPr>
        <w:t>50m</w:t>
      </w:r>
      <w:r>
        <w:rPr>
          <w:snapToGrid w:val="0"/>
          <w:kern w:val="0"/>
          <w:szCs w:val="28"/>
        </w:rPr>
        <w:t>时</w:t>
      </w:r>
      <w:r>
        <w:rPr>
          <w:rFonts w:hint="eastAsia"/>
          <w:snapToGrid w:val="0"/>
          <w:kern w:val="0"/>
          <w:szCs w:val="28"/>
        </w:rPr>
        <w:t>，</w:t>
      </w:r>
      <w:r>
        <w:rPr>
          <w:snapToGrid w:val="0"/>
          <w:kern w:val="0"/>
          <w:szCs w:val="28"/>
        </w:rPr>
        <w:t>车</w:t>
      </w:r>
      <w:r>
        <w:rPr>
          <w:rFonts w:hint="eastAsia"/>
          <w:snapToGrid w:val="0"/>
          <w:kern w:val="0"/>
          <w:szCs w:val="28"/>
        </w:rPr>
        <w:t>速不大于</w:t>
      </w:r>
      <w:r>
        <w:rPr>
          <w:snapToGrid w:val="0"/>
          <w:kern w:val="0"/>
          <w:szCs w:val="28"/>
        </w:rPr>
        <w:t>8km/h</w:t>
      </w:r>
      <w:r>
        <w:rPr>
          <w:rFonts w:hint="eastAsia"/>
          <w:snapToGrid w:val="0"/>
          <w:kern w:val="0"/>
          <w:szCs w:val="28"/>
        </w:rPr>
        <w:t>；</w:t>
      </w:r>
    </w:p>
    <w:p w14:paraId="1C8379E2"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重车卸载时的倒车速度不大于</w:t>
      </w:r>
      <w:r>
        <w:rPr>
          <w:snapToGrid w:val="0"/>
          <w:kern w:val="0"/>
          <w:szCs w:val="28"/>
        </w:rPr>
        <w:t>5km/h</w:t>
      </w:r>
      <w:r>
        <w:rPr>
          <w:rFonts w:hint="eastAsia"/>
          <w:snapToGrid w:val="0"/>
          <w:kern w:val="0"/>
          <w:szCs w:val="28"/>
        </w:rPr>
        <w:t>；</w:t>
      </w:r>
    </w:p>
    <w:p w14:paraId="7AE78A52"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能见度小于</w:t>
      </w:r>
      <w:r>
        <w:rPr>
          <w:snapToGrid w:val="0"/>
          <w:kern w:val="0"/>
          <w:szCs w:val="28"/>
        </w:rPr>
        <w:t>30m</w:t>
      </w:r>
      <w:r>
        <w:rPr>
          <w:snapToGrid w:val="0"/>
          <w:kern w:val="0"/>
          <w:szCs w:val="28"/>
        </w:rPr>
        <w:t>时停止排土作业。</w:t>
      </w:r>
    </w:p>
    <w:p w14:paraId="1FB266F9" w14:textId="77777777" w:rsidR="008D7DB0" w:rsidRDefault="00000000">
      <w:pPr>
        <w:snapToGrid w:val="0"/>
        <w:ind w:firstLine="560"/>
        <w:rPr>
          <w:snapToGrid w:val="0"/>
          <w:kern w:val="0"/>
          <w:szCs w:val="28"/>
        </w:rPr>
      </w:pPr>
      <w:r>
        <w:rPr>
          <w:rFonts w:hint="eastAsia"/>
          <w:snapToGrid w:val="0"/>
          <w:kern w:val="0"/>
          <w:szCs w:val="28"/>
        </w:rPr>
        <w:t>（</w:t>
      </w:r>
      <w:r>
        <w:rPr>
          <w:snapToGrid w:val="0"/>
          <w:kern w:val="0"/>
          <w:szCs w:val="28"/>
        </w:rPr>
        <w:t>8</w:t>
      </w:r>
      <w:r>
        <w:rPr>
          <w:rFonts w:hint="eastAsia"/>
          <w:snapToGrid w:val="0"/>
          <w:kern w:val="0"/>
          <w:szCs w:val="28"/>
        </w:rPr>
        <w:t>）</w:t>
      </w:r>
      <w:r>
        <w:rPr>
          <w:snapToGrid w:val="0"/>
          <w:kern w:val="0"/>
          <w:szCs w:val="28"/>
        </w:rPr>
        <w:t>推土机作业应遵守下列规定</w:t>
      </w:r>
      <w:r>
        <w:rPr>
          <w:snapToGrid w:val="0"/>
          <w:kern w:val="0"/>
          <w:szCs w:val="28"/>
        </w:rPr>
        <w:t>:</w:t>
      </w:r>
    </w:p>
    <w:p w14:paraId="1A25299D"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推土机作业的工作面坡度符合设备要求；</w:t>
      </w:r>
    </w:p>
    <w:p w14:paraId="1EBA26A2"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刮板不超出平台边缘；</w:t>
      </w:r>
    </w:p>
    <w:p w14:paraId="6668C9F9" w14:textId="77777777" w:rsidR="008D7DB0" w:rsidRDefault="00000000">
      <w:pPr>
        <w:snapToGrid w:val="0"/>
        <w:ind w:firstLine="560"/>
        <w:rPr>
          <w:snapToGrid w:val="0"/>
          <w:kern w:val="0"/>
          <w:szCs w:val="28"/>
        </w:rPr>
      </w:pPr>
      <w:r>
        <w:rPr>
          <w:rFonts w:hint="eastAsia"/>
          <w:snapToGrid w:val="0"/>
          <w:kern w:val="0"/>
          <w:szCs w:val="28"/>
        </w:rPr>
        <w:t>--</w:t>
      </w:r>
      <w:r>
        <w:rPr>
          <w:snapToGrid w:val="0"/>
          <w:kern w:val="0"/>
          <w:szCs w:val="28"/>
        </w:rPr>
        <w:t>距离平台边缘小于</w:t>
      </w:r>
      <w:r>
        <w:rPr>
          <w:snapToGrid w:val="0"/>
          <w:kern w:val="0"/>
          <w:szCs w:val="28"/>
        </w:rPr>
        <w:t>5m</w:t>
      </w:r>
      <w:r>
        <w:rPr>
          <w:snapToGrid w:val="0"/>
          <w:kern w:val="0"/>
          <w:szCs w:val="28"/>
        </w:rPr>
        <w:t>时</w:t>
      </w:r>
      <w:r>
        <w:rPr>
          <w:rFonts w:hint="eastAsia"/>
          <w:snapToGrid w:val="0"/>
          <w:kern w:val="0"/>
          <w:szCs w:val="28"/>
        </w:rPr>
        <w:t>，</w:t>
      </w:r>
      <w:r>
        <w:rPr>
          <w:snapToGrid w:val="0"/>
          <w:kern w:val="0"/>
          <w:szCs w:val="28"/>
        </w:rPr>
        <w:t>推土机低速运行</w:t>
      </w:r>
      <w:r>
        <w:rPr>
          <w:rFonts w:hint="eastAsia"/>
          <w:snapToGrid w:val="0"/>
          <w:kern w:val="0"/>
          <w:szCs w:val="28"/>
        </w:rPr>
        <w:t>；</w:t>
      </w:r>
    </w:p>
    <w:p w14:paraId="5D194D57"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推土机不后退开向平台边缘；</w:t>
      </w:r>
    </w:p>
    <w:p w14:paraId="2EB8F46C"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不在排土平台边缘沿平行坡顶线方向推土；</w:t>
      </w:r>
    </w:p>
    <w:p w14:paraId="0885A9B5"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人员不站在推土机上；</w:t>
      </w:r>
    </w:p>
    <w:p w14:paraId="0ACC2966" w14:textId="77777777" w:rsidR="008D7DB0" w:rsidRDefault="00000000">
      <w:pPr>
        <w:snapToGrid w:val="0"/>
        <w:ind w:firstLine="560"/>
        <w:rPr>
          <w:snapToGrid w:val="0"/>
          <w:kern w:val="0"/>
          <w:szCs w:val="28"/>
        </w:rPr>
      </w:pPr>
      <w:r>
        <w:rPr>
          <w:rFonts w:hint="eastAsia"/>
          <w:snapToGrid w:val="0"/>
          <w:kern w:val="0"/>
          <w:szCs w:val="28"/>
        </w:rPr>
        <w:t>--</w:t>
      </w:r>
      <w:r>
        <w:rPr>
          <w:rFonts w:hint="eastAsia"/>
          <w:snapToGrid w:val="0"/>
          <w:kern w:val="0"/>
          <w:szCs w:val="28"/>
        </w:rPr>
        <w:t>司机不离开驾驶室。</w:t>
      </w:r>
    </w:p>
    <w:p w14:paraId="555CDAB6" w14:textId="77777777" w:rsidR="008D7DB0" w:rsidRDefault="00000000">
      <w:pPr>
        <w:pStyle w:val="2"/>
      </w:pPr>
      <w:bookmarkStart w:id="310" w:name="_Toc205883275"/>
      <w:r>
        <w:lastRenderedPageBreak/>
        <w:t>4.</w:t>
      </w:r>
      <w:r>
        <w:rPr>
          <w:rFonts w:hint="eastAsia"/>
        </w:rPr>
        <w:t>2</w:t>
      </w:r>
      <w:r>
        <w:rPr>
          <w:rFonts w:hint="eastAsia"/>
        </w:rPr>
        <w:t>安全设施设计原则</w:t>
      </w:r>
      <w:bookmarkEnd w:id="308"/>
      <w:bookmarkEnd w:id="309"/>
      <w:bookmarkEnd w:id="310"/>
    </w:p>
    <w:p w14:paraId="663F5BD8" w14:textId="77777777" w:rsidR="008D7DB0" w:rsidRDefault="00000000">
      <w:pPr>
        <w:ind w:firstLine="560"/>
      </w:pPr>
      <w:bookmarkStart w:id="311" w:name="_Toc169854411"/>
      <w:bookmarkStart w:id="312" w:name="_Toc180734316"/>
      <w:bookmarkStart w:id="313" w:name="_Toc194557934"/>
      <w:bookmarkStart w:id="314" w:name="_Toc178849965"/>
      <w:bookmarkStart w:id="315" w:name="_Toc167603199"/>
      <w:r>
        <w:rPr>
          <w:rFonts w:hint="eastAsia"/>
        </w:rPr>
        <w:t>（</w:t>
      </w:r>
      <w:r>
        <w:rPr>
          <w:rFonts w:hint="eastAsia"/>
        </w:rPr>
        <w:t>1</w:t>
      </w:r>
      <w:r>
        <w:rPr>
          <w:rFonts w:hint="eastAsia"/>
        </w:rPr>
        <w:t>）下一步设计阶段补充排土场照明设施具体布设要求和使用参数；</w:t>
      </w:r>
    </w:p>
    <w:p w14:paraId="27B3649B" w14:textId="77777777" w:rsidR="008D7DB0" w:rsidRDefault="00000000">
      <w:pPr>
        <w:ind w:firstLine="560"/>
      </w:pPr>
      <w:r>
        <w:rPr>
          <w:rFonts w:hint="eastAsia"/>
        </w:rPr>
        <w:t>（</w:t>
      </w:r>
      <w:r>
        <w:rPr>
          <w:rFonts w:hint="eastAsia"/>
        </w:rPr>
        <w:t>2</w:t>
      </w:r>
      <w:r>
        <w:rPr>
          <w:rFonts w:hint="eastAsia"/>
        </w:rPr>
        <w:t>）下一步设计阶段应明确排土作业区应设置警示标识；</w:t>
      </w:r>
    </w:p>
    <w:p w14:paraId="282760CE" w14:textId="77777777" w:rsidR="008D7DB0" w:rsidRDefault="00000000">
      <w:pPr>
        <w:ind w:firstLine="560"/>
      </w:pPr>
      <w:r>
        <w:rPr>
          <w:rFonts w:hint="eastAsia"/>
        </w:rPr>
        <w:t>（</w:t>
      </w:r>
      <w:r>
        <w:rPr>
          <w:rFonts w:hint="eastAsia"/>
        </w:rPr>
        <w:t>3</w:t>
      </w:r>
      <w:r>
        <w:rPr>
          <w:rFonts w:hint="eastAsia"/>
        </w:rPr>
        <w:t>）下一步设计阶段应明确排土场后期建设的底部毛石挡墙具体参数要求；</w:t>
      </w:r>
    </w:p>
    <w:p w14:paraId="09B99827" w14:textId="77777777" w:rsidR="008D7DB0" w:rsidRDefault="00000000">
      <w:pPr>
        <w:ind w:firstLine="560"/>
      </w:pPr>
      <w:r>
        <w:rPr>
          <w:rFonts w:hint="eastAsia"/>
        </w:rPr>
        <w:t>（</w:t>
      </w:r>
      <w:r>
        <w:rPr>
          <w:rFonts w:hint="eastAsia"/>
        </w:rPr>
        <w:t>4</w:t>
      </w:r>
      <w:r>
        <w:rPr>
          <w:rFonts w:hint="eastAsia"/>
        </w:rPr>
        <w:t>）下一步设计阶段建议补充边坡稳定性分析和监测设施的设置情况；</w:t>
      </w:r>
    </w:p>
    <w:p w14:paraId="300ED76D" w14:textId="77777777" w:rsidR="008D7DB0" w:rsidRDefault="00000000">
      <w:pPr>
        <w:ind w:firstLine="560"/>
      </w:pPr>
      <w:r>
        <w:rPr>
          <w:rFonts w:hint="eastAsia"/>
        </w:rPr>
        <w:t>（</w:t>
      </w:r>
      <w:r>
        <w:rPr>
          <w:rFonts w:hint="eastAsia"/>
        </w:rPr>
        <w:t>5</w:t>
      </w:r>
      <w:r>
        <w:rPr>
          <w:rFonts w:hint="eastAsia"/>
        </w:rPr>
        <w:t>）下一步设计阶段建议核对汇水面积给出排水沟尺寸核对排水能力；优化排土场参数等。</w:t>
      </w:r>
    </w:p>
    <w:p w14:paraId="638FE12A" w14:textId="77777777" w:rsidR="005B2DAF" w:rsidRDefault="005B2DAF" w:rsidP="005B2DAF">
      <w:pPr>
        <w:pStyle w:val="a0"/>
      </w:pPr>
    </w:p>
    <w:p w14:paraId="0D3003E7" w14:textId="77777777" w:rsidR="005B2DAF" w:rsidRDefault="005B2DAF" w:rsidP="005B2DAF">
      <w:pPr>
        <w:ind w:firstLine="560"/>
      </w:pPr>
    </w:p>
    <w:p w14:paraId="0CEDC8D7" w14:textId="77777777" w:rsidR="005B2DAF" w:rsidRDefault="005B2DAF" w:rsidP="005B2DAF">
      <w:pPr>
        <w:pStyle w:val="a0"/>
      </w:pPr>
    </w:p>
    <w:p w14:paraId="0F5A7C32" w14:textId="77777777" w:rsidR="005B2DAF" w:rsidRDefault="005B2DAF" w:rsidP="005B2DAF">
      <w:pPr>
        <w:ind w:firstLine="560"/>
      </w:pPr>
    </w:p>
    <w:p w14:paraId="4F083D61" w14:textId="77777777" w:rsidR="005B2DAF" w:rsidRDefault="005B2DAF" w:rsidP="005B2DAF">
      <w:pPr>
        <w:pStyle w:val="a0"/>
      </w:pPr>
    </w:p>
    <w:p w14:paraId="2D68E815" w14:textId="77777777" w:rsidR="005B2DAF" w:rsidRDefault="005B2DAF" w:rsidP="005B2DAF">
      <w:pPr>
        <w:ind w:firstLine="560"/>
      </w:pPr>
    </w:p>
    <w:p w14:paraId="7ED3E1C7" w14:textId="77777777" w:rsidR="005B2DAF" w:rsidRDefault="005B2DAF" w:rsidP="005B2DAF">
      <w:pPr>
        <w:pStyle w:val="a0"/>
      </w:pPr>
    </w:p>
    <w:p w14:paraId="3247CFDB" w14:textId="77777777" w:rsidR="005B2DAF" w:rsidRDefault="005B2DAF" w:rsidP="005B2DAF">
      <w:pPr>
        <w:ind w:firstLine="560"/>
      </w:pPr>
    </w:p>
    <w:p w14:paraId="31DC5A22" w14:textId="77777777" w:rsidR="005B2DAF" w:rsidRDefault="005B2DAF" w:rsidP="005B2DAF">
      <w:pPr>
        <w:pStyle w:val="a0"/>
      </w:pPr>
    </w:p>
    <w:p w14:paraId="12283DF0" w14:textId="77777777" w:rsidR="005B2DAF" w:rsidRDefault="005B2DAF" w:rsidP="005B2DAF">
      <w:pPr>
        <w:ind w:firstLine="560"/>
      </w:pPr>
    </w:p>
    <w:p w14:paraId="2E6BF589" w14:textId="77777777" w:rsidR="005B2DAF" w:rsidRDefault="005B2DAF" w:rsidP="005B2DAF">
      <w:pPr>
        <w:pStyle w:val="a0"/>
      </w:pPr>
    </w:p>
    <w:p w14:paraId="59D0A90E" w14:textId="77777777" w:rsidR="005B2DAF" w:rsidRDefault="005B2DAF" w:rsidP="005B2DAF">
      <w:pPr>
        <w:ind w:firstLine="560"/>
      </w:pPr>
    </w:p>
    <w:p w14:paraId="4F327BA2" w14:textId="77777777" w:rsidR="005B2DAF" w:rsidRDefault="005B2DAF" w:rsidP="005B2DAF">
      <w:pPr>
        <w:pStyle w:val="a0"/>
      </w:pPr>
    </w:p>
    <w:p w14:paraId="32E6CA33" w14:textId="77777777" w:rsidR="005B2DAF" w:rsidRDefault="005B2DAF" w:rsidP="005B2DAF">
      <w:pPr>
        <w:ind w:firstLine="560"/>
      </w:pPr>
    </w:p>
    <w:p w14:paraId="08D17347" w14:textId="77777777" w:rsidR="005B2DAF" w:rsidRDefault="005B2DAF" w:rsidP="005B2DAF">
      <w:pPr>
        <w:pStyle w:val="a0"/>
      </w:pPr>
    </w:p>
    <w:p w14:paraId="454EC94E" w14:textId="77777777" w:rsidR="005B2DAF" w:rsidRDefault="005B2DAF" w:rsidP="005B2DAF">
      <w:pPr>
        <w:ind w:firstLine="560"/>
      </w:pPr>
    </w:p>
    <w:p w14:paraId="2677E377" w14:textId="77777777" w:rsidR="005B2DAF" w:rsidRPr="005B2DAF" w:rsidRDefault="005B2DAF" w:rsidP="005B2DAF">
      <w:pPr>
        <w:pStyle w:val="a0"/>
      </w:pPr>
    </w:p>
    <w:p w14:paraId="446B4079" w14:textId="77777777" w:rsidR="008D7DB0" w:rsidRDefault="00000000">
      <w:pPr>
        <w:pStyle w:val="1"/>
        <w:spacing w:before="120"/>
      </w:pPr>
      <w:bookmarkStart w:id="316" w:name="_Toc174533774"/>
      <w:bookmarkStart w:id="317" w:name="_Toc205883276"/>
      <w:r>
        <w:lastRenderedPageBreak/>
        <w:t>5</w:t>
      </w:r>
      <w:bookmarkStart w:id="318" w:name="_Toc294674112"/>
      <w:r>
        <w:rPr>
          <w:rFonts w:hint="eastAsia"/>
        </w:rPr>
        <w:t>评价结论</w:t>
      </w:r>
      <w:bookmarkEnd w:id="311"/>
      <w:bookmarkEnd w:id="312"/>
      <w:bookmarkEnd w:id="313"/>
      <w:bookmarkEnd w:id="314"/>
      <w:bookmarkEnd w:id="315"/>
      <w:bookmarkEnd w:id="316"/>
      <w:bookmarkEnd w:id="317"/>
      <w:bookmarkEnd w:id="318"/>
    </w:p>
    <w:p w14:paraId="61952D8F" w14:textId="77777777" w:rsidR="008D7DB0" w:rsidRDefault="00000000">
      <w:pPr>
        <w:snapToGrid w:val="0"/>
        <w:ind w:firstLine="560"/>
        <w:rPr>
          <w:szCs w:val="28"/>
        </w:rPr>
      </w:pPr>
      <w:r>
        <w:rPr>
          <w:rFonts w:hint="eastAsia"/>
          <w:szCs w:val="28"/>
        </w:rPr>
        <w:t>按照《安全评价通则》、《安全预评价导则》的要求，依据国家及行业的相关法律、法规、规范、标准和规程，评价组对北票市富贵鸟矿业有限公司铁帽子采区露天开采建设项目初步设计重大变更进行了安全预评价。本报告利用安全检查表法、预先危险性分析法、专家评议法等定性定量评价方法对项目建成后可能存在的有害因素进行分析和评价，提出了相应的对策措施，进而形成如下评价结论。</w:t>
      </w:r>
    </w:p>
    <w:p w14:paraId="3301AB5B" w14:textId="77777777" w:rsidR="008D7DB0" w:rsidRDefault="00000000">
      <w:pPr>
        <w:snapToGrid w:val="0"/>
        <w:ind w:firstLine="560"/>
        <w:rPr>
          <w:szCs w:val="28"/>
        </w:rPr>
      </w:pPr>
      <w:r>
        <w:rPr>
          <w:rFonts w:hint="eastAsia"/>
          <w:szCs w:val="28"/>
        </w:rPr>
        <w:t>北票市富贵鸟矿业有限公司铁帽子采区露天开采建设项目初步设计重大变更安全预评价在评价时的条件下符合国家有关法律、法规、标准、规章、规范的要求，可行性研究报告提出的安全对策措施较完善，拟采取的预防危险因素和有害因素的各项技术措施和防范设施可行。</w:t>
      </w:r>
      <w:r>
        <w:rPr>
          <w:rFonts w:hint="eastAsia"/>
          <w:b/>
          <w:bCs/>
          <w:szCs w:val="28"/>
        </w:rPr>
        <w:t>建设单位如能按照《初步设计重大变更》和本《预评价报告》提出的安全对策措施和建议实施，能够将该建设项目潜在的危险有害因素控制在可接受范围之内，该建设项目在安全上是可行的。</w:t>
      </w:r>
    </w:p>
    <w:p w14:paraId="621784D1" w14:textId="77777777" w:rsidR="008D7DB0" w:rsidRDefault="008D7DB0">
      <w:pPr>
        <w:numPr>
          <w:ilvl w:val="0"/>
          <w:numId w:val="9"/>
        </w:numPr>
        <w:adjustRightInd w:val="0"/>
        <w:snapToGrid w:val="0"/>
        <w:spacing w:beforeLines="100" w:before="240" w:afterLines="100" w:after="240"/>
        <w:ind w:left="0" w:firstLine="640"/>
        <w:jc w:val="center"/>
        <w:rPr>
          <w:rFonts w:eastAsia="黑体"/>
          <w:sz w:val="32"/>
          <w:szCs w:val="32"/>
        </w:rPr>
        <w:sectPr w:rsidR="008D7DB0">
          <w:pgSz w:w="11906" w:h="16838"/>
          <w:pgMar w:top="1701" w:right="1701" w:bottom="1701" w:left="1701" w:header="1134" w:footer="1134" w:gutter="0"/>
          <w:paperSrc w:first="7" w:other="7"/>
          <w:cols w:space="720"/>
          <w:docGrid w:linePitch="312"/>
        </w:sectPr>
      </w:pPr>
    </w:p>
    <w:p w14:paraId="3B4F400F" w14:textId="77777777" w:rsidR="008D7DB0" w:rsidRDefault="00000000">
      <w:pPr>
        <w:pStyle w:val="1"/>
        <w:spacing w:before="120"/>
      </w:pPr>
      <w:bookmarkStart w:id="319" w:name="_Toc174533775"/>
      <w:bookmarkStart w:id="320" w:name="_Toc205883277"/>
      <w:r>
        <w:lastRenderedPageBreak/>
        <w:t>6</w:t>
      </w:r>
      <w:r>
        <w:rPr>
          <w:rFonts w:hint="eastAsia"/>
        </w:rPr>
        <w:t>附件</w:t>
      </w:r>
      <w:bookmarkEnd w:id="319"/>
      <w:bookmarkEnd w:id="320"/>
    </w:p>
    <w:p w14:paraId="6A595C22" w14:textId="77777777" w:rsidR="008D7DB0" w:rsidRDefault="00000000">
      <w:pPr>
        <w:numPr>
          <w:ilvl w:val="0"/>
          <w:numId w:val="10"/>
        </w:numPr>
        <w:snapToGrid w:val="0"/>
        <w:ind w:firstLineChars="257" w:firstLine="720"/>
        <w:rPr>
          <w:szCs w:val="28"/>
        </w:rPr>
      </w:pPr>
      <w:r>
        <w:rPr>
          <w:rFonts w:hint="eastAsia"/>
          <w:szCs w:val="28"/>
        </w:rPr>
        <w:t>营业执照；</w:t>
      </w:r>
    </w:p>
    <w:p w14:paraId="013078A5" w14:textId="77777777" w:rsidR="008D7DB0" w:rsidRDefault="00000000">
      <w:pPr>
        <w:numPr>
          <w:ilvl w:val="0"/>
          <w:numId w:val="10"/>
        </w:numPr>
        <w:snapToGrid w:val="0"/>
        <w:ind w:firstLineChars="257" w:firstLine="720"/>
        <w:rPr>
          <w:szCs w:val="28"/>
        </w:rPr>
      </w:pPr>
      <w:r>
        <w:rPr>
          <w:rFonts w:hint="eastAsia"/>
          <w:szCs w:val="28"/>
        </w:rPr>
        <w:t>采矿许可证；</w:t>
      </w:r>
    </w:p>
    <w:p w14:paraId="3B9101D2" w14:textId="77777777" w:rsidR="008D7DB0" w:rsidRDefault="00000000">
      <w:pPr>
        <w:numPr>
          <w:ilvl w:val="0"/>
          <w:numId w:val="10"/>
        </w:numPr>
        <w:snapToGrid w:val="0"/>
        <w:ind w:firstLineChars="257" w:firstLine="720"/>
        <w:rPr>
          <w:szCs w:val="28"/>
        </w:rPr>
      </w:pPr>
      <w:r>
        <w:rPr>
          <w:rFonts w:hint="eastAsia"/>
          <w:szCs w:val="28"/>
        </w:rPr>
        <w:t>安全生产许可证正本；</w:t>
      </w:r>
    </w:p>
    <w:p w14:paraId="44FFB1C0" w14:textId="77777777" w:rsidR="008D7DB0" w:rsidRDefault="00000000">
      <w:pPr>
        <w:numPr>
          <w:ilvl w:val="0"/>
          <w:numId w:val="10"/>
        </w:numPr>
        <w:snapToGrid w:val="0"/>
        <w:ind w:firstLineChars="257" w:firstLine="720"/>
        <w:rPr>
          <w:szCs w:val="28"/>
        </w:rPr>
      </w:pPr>
      <w:r>
        <w:rPr>
          <w:rFonts w:hint="eastAsia"/>
          <w:szCs w:val="28"/>
        </w:rPr>
        <w:t>辽宁省应急管理厅关于北票市富贵鸟矿业有限公司铁帽子采区露天开采建设项目安全设施设计的批复；</w:t>
      </w:r>
    </w:p>
    <w:p w14:paraId="2052FD9A" w14:textId="77777777" w:rsidR="008D7DB0" w:rsidRDefault="00000000">
      <w:pPr>
        <w:numPr>
          <w:ilvl w:val="0"/>
          <w:numId w:val="10"/>
        </w:numPr>
        <w:ind w:firstLine="560"/>
        <w:sectPr w:rsidR="008D7DB0">
          <w:pgSz w:w="11906" w:h="16838"/>
          <w:pgMar w:top="1701" w:right="1701" w:bottom="1701" w:left="1701" w:header="1134" w:footer="1134" w:gutter="0"/>
          <w:paperSrc w:first="1" w:other="1"/>
          <w:cols w:space="720"/>
          <w:docGrid w:linePitch="312"/>
        </w:sectPr>
      </w:pPr>
      <w:bookmarkStart w:id="321" w:name="_Toc23463"/>
      <w:r>
        <w:rPr>
          <w:rFonts w:hint="eastAsia"/>
        </w:rPr>
        <w:t>安全生产行政执法文书行政处罚告知书。</w:t>
      </w:r>
      <w:bookmarkEnd w:id="321"/>
    </w:p>
    <w:p w14:paraId="2AD7B12C" w14:textId="77777777" w:rsidR="008D7DB0" w:rsidRDefault="008D7DB0">
      <w:pPr>
        <w:pStyle w:val="21"/>
        <w:ind w:leftChars="0" w:left="0" w:firstLineChars="0" w:firstLine="0"/>
      </w:pPr>
    </w:p>
    <w:p w14:paraId="2FB4AF9D" w14:textId="77777777" w:rsidR="008D7DB0" w:rsidRDefault="00000000">
      <w:pPr>
        <w:pStyle w:val="1"/>
        <w:spacing w:before="120"/>
        <w:rPr>
          <w:rFonts w:eastAsia="黑体"/>
          <w:bCs/>
          <w:szCs w:val="32"/>
        </w:rPr>
      </w:pPr>
      <w:bookmarkStart w:id="322" w:name="_Toc174533776"/>
      <w:bookmarkStart w:id="323" w:name="_Toc205883278"/>
      <w:r>
        <w:t>7</w:t>
      </w:r>
      <w:r>
        <w:rPr>
          <w:rFonts w:hint="eastAsia"/>
        </w:rPr>
        <w:t>附图</w:t>
      </w:r>
      <w:bookmarkEnd w:id="322"/>
      <w:bookmarkEnd w:id="323"/>
    </w:p>
    <w:p w14:paraId="59B2B81D" w14:textId="77777777" w:rsidR="004E7858" w:rsidRPr="004E7858" w:rsidRDefault="004E7858" w:rsidP="004E7858">
      <w:pPr>
        <w:numPr>
          <w:ilvl w:val="0"/>
          <w:numId w:val="11"/>
        </w:numPr>
        <w:snapToGrid w:val="0"/>
        <w:ind w:firstLineChars="0"/>
      </w:pPr>
      <w:r w:rsidRPr="004E7858">
        <w:rPr>
          <w:rFonts w:hint="eastAsia"/>
        </w:rPr>
        <w:t>图纸目录</w:t>
      </w:r>
    </w:p>
    <w:p w14:paraId="384E2965" w14:textId="77777777" w:rsidR="004E7858" w:rsidRPr="004E7858" w:rsidRDefault="004E7858" w:rsidP="004E7858">
      <w:pPr>
        <w:numPr>
          <w:ilvl w:val="0"/>
          <w:numId w:val="11"/>
        </w:numPr>
        <w:snapToGrid w:val="0"/>
        <w:ind w:firstLineChars="0"/>
      </w:pPr>
      <w:r w:rsidRPr="004E7858">
        <w:rPr>
          <w:rFonts w:hint="eastAsia"/>
        </w:rPr>
        <w:t>地形地质图（现状图）</w:t>
      </w:r>
    </w:p>
    <w:p w14:paraId="2996E102" w14:textId="77777777" w:rsidR="004E7858" w:rsidRPr="004E7858" w:rsidRDefault="004E7858" w:rsidP="004E7858">
      <w:pPr>
        <w:numPr>
          <w:ilvl w:val="0"/>
          <w:numId w:val="11"/>
        </w:numPr>
        <w:snapToGrid w:val="0"/>
        <w:ind w:firstLineChars="0"/>
      </w:pPr>
      <w:r w:rsidRPr="004E7858">
        <w:rPr>
          <w:rFonts w:hint="eastAsia"/>
        </w:rPr>
        <w:t>排土场终了平面图</w:t>
      </w:r>
    </w:p>
    <w:p w14:paraId="1C42D0FC" w14:textId="77777777" w:rsidR="004E7858" w:rsidRPr="004E7858" w:rsidRDefault="004E7858" w:rsidP="004E7858">
      <w:pPr>
        <w:numPr>
          <w:ilvl w:val="0"/>
          <w:numId w:val="11"/>
        </w:numPr>
        <w:snapToGrid w:val="0"/>
        <w:ind w:firstLineChars="0"/>
      </w:pPr>
      <w:r w:rsidRPr="004E7858">
        <w:rPr>
          <w:rFonts w:hint="eastAsia"/>
        </w:rPr>
        <w:t>排土场终了剖面图</w:t>
      </w:r>
    </w:p>
    <w:p w14:paraId="4A58236C" w14:textId="77777777" w:rsidR="004E7858" w:rsidRPr="004E7858" w:rsidRDefault="004E7858" w:rsidP="004E7858">
      <w:pPr>
        <w:numPr>
          <w:ilvl w:val="0"/>
          <w:numId w:val="11"/>
        </w:numPr>
        <w:snapToGrid w:val="0"/>
        <w:ind w:firstLineChars="0"/>
      </w:pPr>
      <w:r w:rsidRPr="004E7858">
        <w:rPr>
          <w:rFonts w:hint="eastAsia"/>
        </w:rPr>
        <w:t>排土场绿化工程示意图</w:t>
      </w:r>
    </w:p>
    <w:p w14:paraId="3253B1D7" w14:textId="77777777" w:rsidR="004E7858" w:rsidRPr="004E7858" w:rsidRDefault="004E7858" w:rsidP="004E7858">
      <w:pPr>
        <w:numPr>
          <w:ilvl w:val="0"/>
          <w:numId w:val="11"/>
        </w:numPr>
        <w:snapToGrid w:val="0"/>
        <w:ind w:firstLineChars="0"/>
      </w:pPr>
      <w:r w:rsidRPr="004E7858">
        <w:rPr>
          <w:rFonts w:hint="eastAsia"/>
        </w:rPr>
        <w:t>截洪沟及排水沟断面图</w:t>
      </w:r>
    </w:p>
    <w:p w14:paraId="4FDA4325" w14:textId="77777777" w:rsidR="004E7858" w:rsidRPr="004E7858" w:rsidRDefault="004E7858" w:rsidP="004E7858">
      <w:pPr>
        <w:numPr>
          <w:ilvl w:val="0"/>
          <w:numId w:val="11"/>
        </w:numPr>
        <w:snapToGrid w:val="0"/>
        <w:ind w:firstLineChars="0"/>
      </w:pPr>
      <w:r w:rsidRPr="004E7858">
        <w:rPr>
          <w:rFonts w:hint="eastAsia"/>
        </w:rPr>
        <w:t>排水工程布置图</w:t>
      </w:r>
    </w:p>
    <w:p w14:paraId="034ECB92" w14:textId="77777777" w:rsidR="004E7858" w:rsidRPr="004E7858" w:rsidRDefault="004E7858" w:rsidP="004E7858">
      <w:pPr>
        <w:numPr>
          <w:ilvl w:val="0"/>
          <w:numId w:val="11"/>
        </w:numPr>
        <w:snapToGrid w:val="0"/>
        <w:ind w:firstLineChars="0"/>
      </w:pPr>
      <w:r w:rsidRPr="004E7858">
        <w:rPr>
          <w:rFonts w:hint="eastAsia"/>
        </w:rPr>
        <w:t>第一年年末图</w:t>
      </w:r>
    </w:p>
    <w:p w14:paraId="00E44D73" w14:textId="77777777" w:rsidR="004E7858" w:rsidRPr="004E7858" w:rsidRDefault="004E7858" w:rsidP="004E7858">
      <w:pPr>
        <w:numPr>
          <w:ilvl w:val="0"/>
          <w:numId w:val="11"/>
        </w:numPr>
        <w:snapToGrid w:val="0"/>
        <w:ind w:firstLineChars="0"/>
      </w:pPr>
      <w:r w:rsidRPr="004E7858">
        <w:rPr>
          <w:rFonts w:hint="eastAsia"/>
        </w:rPr>
        <w:t>第二年年末图</w:t>
      </w:r>
    </w:p>
    <w:p w14:paraId="517BEB1A" w14:textId="77777777" w:rsidR="004E7858" w:rsidRPr="004E7858" w:rsidRDefault="004E7858" w:rsidP="004E7858">
      <w:pPr>
        <w:numPr>
          <w:ilvl w:val="0"/>
          <w:numId w:val="11"/>
        </w:numPr>
        <w:snapToGrid w:val="0"/>
        <w:ind w:firstLineChars="0"/>
      </w:pPr>
      <w:r w:rsidRPr="004E7858">
        <w:rPr>
          <w:rFonts w:hint="eastAsia"/>
        </w:rPr>
        <w:t>第三年年末图</w:t>
      </w:r>
    </w:p>
    <w:p w14:paraId="19F7295F" w14:textId="77777777" w:rsidR="004E7858" w:rsidRPr="004E7858" w:rsidRDefault="004E7858" w:rsidP="004E7858">
      <w:pPr>
        <w:numPr>
          <w:ilvl w:val="0"/>
          <w:numId w:val="11"/>
        </w:numPr>
        <w:snapToGrid w:val="0"/>
        <w:ind w:firstLineChars="0"/>
      </w:pPr>
      <w:r w:rsidRPr="004E7858">
        <w:rPr>
          <w:rFonts w:hint="eastAsia"/>
        </w:rPr>
        <w:t>第四年年末图</w:t>
      </w:r>
    </w:p>
    <w:p w14:paraId="39FADB95" w14:textId="77777777" w:rsidR="004E7858" w:rsidRPr="004E7858" w:rsidRDefault="004E7858" w:rsidP="004E7858">
      <w:pPr>
        <w:numPr>
          <w:ilvl w:val="0"/>
          <w:numId w:val="11"/>
        </w:numPr>
        <w:snapToGrid w:val="0"/>
        <w:ind w:firstLineChars="0"/>
      </w:pPr>
      <w:r w:rsidRPr="004E7858">
        <w:rPr>
          <w:rFonts w:hint="eastAsia"/>
        </w:rPr>
        <w:t>第五年年末图</w:t>
      </w:r>
    </w:p>
    <w:sectPr w:rsidR="004E7858" w:rsidRPr="004E7858">
      <w:pgSz w:w="11906" w:h="16838"/>
      <w:pgMar w:top="1418" w:right="1531" w:bottom="1418" w:left="1531" w:header="851" w:footer="992"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53AE22" w14:textId="77777777" w:rsidR="00F11527" w:rsidRDefault="00F11527">
      <w:pPr>
        <w:spacing w:line="240" w:lineRule="auto"/>
        <w:ind w:firstLine="560"/>
      </w:pPr>
      <w:r>
        <w:separator/>
      </w:r>
    </w:p>
  </w:endnote>
  <w:endnote w:type="continuationSeparator" w:id="0">
    <w:p w14:paraId="47BF42A8" w14:textId="77777777" w:rsidR="00F11527" w:rsidRDefault="00F11527">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仿宋_GB2312">
    <w:altName w:val="微软雅黑"/>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pitch w:val="fixed"/>
    <w:sig w:usb0="A00002FF" w:usb1="28CFFCFA" w:usb2="00000016" w:usb3="00000000" w:csb0="00100001" w:csb1="00000000"/>
  </w:font>
  <w:font w:name="@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5DAF5" w14:textId="77777777" w:rsidR="00CD3A07" w:rsidRDefault="00CD3A07">
    <w:pPr>
      <w:pStyle w:val="aa"/>
      <w:ind w:firstLine="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2088D" w14:textId="77777777" w:rsidR="00497DDF" w:rsidRDefault="00497DDF">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71552" behindDoc="0" locked="0" layoutInCell="1" allowOverlap="1" wp14:anchorId="077B7665" wp14:editId="2679A961">
              <wp:simplePos x="0" y="0"/>
              <wp:positionH relativeFrom="margin">
                <wp:posOffset>5044441</wp:posOffset>
              </wp:positionH>
              <wp:positionV relativeFrom="paragraph">
                <wp:posOffset>0</wp:posOffset>
              </wp:positionV>
              <wp:extent cx="359410" cy="1828800"/>
              <wp:effectExtent l="0" t="0" r="2540" b="6350"/>
              <wp:wrapNone/>
              <wp:docPr id="1225610927" name="文本框 1225610927"/>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13E1F7"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077B7665" id="_x0000_t202" coordsize="21600,21600" o:spt="202" path="m,l,21600r21600,l21600,xe">
              <v:stroke joinstyle="miter"/>
              <v:path gradientshapeok="t" o:connecttype="rect"/>
            </v:shapetype>
            <v:shape id="文本框 1225610927" o:spid="_x0000_s1032" type="#_x0000_t202" style="position:absolute;margin-left:397.2pt;margin-top:0;width:28.3pt;height:2in;z-index:2516715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" filled="f" stroked="f" strokeweight=".5pt">
              <v:textbox style="mso-fit-shape-to-text:t" inset="0,0,0,0">
                <w:txbxContent>
                  <w:p w14:paraId="6213E1F7"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2463B9EB" wp14:editId="20E03162">
          <wp:extent cx="361315" cy="136525"/>
          <wp:effectExtent l="0" t="0" r="0" b="15875"/>
          <wp:docPr id="1142636150"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F4187" w14:textId="77777777" w:rsidR="008D7DB0" w:rsidRDefault="008D7DB0">
    <w:pPr>
      <w:pStyle w:val="aa"/>
      <w:tabs>
        <w:tab w:val="clear" w:pos="4153"/>
      </w:tabs>
      <w:ind w:firstLineChars="0" w:firstLine="0"/>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471A3" w14:textId="77777777" w:rsidR="00CD3A07" w:rsidRDefault="00CD3A07">
    <w:pPr>
      <w:pStyle w:val="aa"/>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00A73" w14:textId="77777777" w:rsidR="00497DDF" w:rsidRDefault="00497DDF">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61312" behindDoc="0" locked="0" layoutInCell="1" allowOverlap="1" wp14:anchorId="10DACD79" wp14:editId="35095254">
              <wp:simplePos x="0" y="0"/>
              <wp:positionH relativeFrom="margin">
                <wp:posOffset>5044441</wp:posOffset>
              </wp:positionH>
              <wp:positionV relativeFrom="paragraph">
                <wp:posOffset>0</wp:posOffset>
              </wp:positionV>
              <wp:extent cx="359410" cy="1828800"/>
              <wp:effectExtent l="0" t="0" r="2540" b="6350"/>
              <wp:wrapNone/>
              <wp:docPr id="1639515302" name="文本框 1639515302"/>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8869CD"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10DACD79" id="_x0000_t202" coordsize="21600,21600" o:spt="202" path="m,l,21600r21600,l21600,xe">
              <v:stroke joinstyle="miter"/>
              <v:path gradientshapeok="t" o:connecttype="rect"/>
            </v:shapetype>
            <v:shape id="文本框 1639515302" o:spid="_x0000_s1026" type="#_x0000_t202" style="position:absolute;margin-left:397.2pt;margin-top:0;width:28.3pt;height:2in;z-index:251661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" filled="f" stroked="f" strokeweight=".5pt">
              <v:textbox style="mso-fit-shape-to-text:t" inset="0,0,0,0">
                <w:txbxContent>
                  <w:p w14:paraId="3D8869CD"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41A84345" wp14:editId="6F299757">
          <wp:extent cx="361315" cy="136525"/>
          <wp:effectExtent l="0" t="0" r="0" b="15875"/>
          <wp:docPr id="181130944"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A4497" w14:textId="77777777" w:rsidR="008D7DB0" w:rsidRDefault="00000000">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59264" behindDoc="0" locked="0" layoutInCell="1" allowOverlap="1" wp14:anchorId="6C956F74" wp14:editId="032976B2">
              <wp:simplePos x="0" y="0"/>
              <wp:positionH relativeFrom="margin">
                <wp:posOffset>5044441</wp:posOffset>
              </wp:positionH>
              <wp:positionV relativeFrom="paragraph">
                <wp:posOffset>0</wp:posOffset>
              </wp:positionV>
              <wp:extent cx="359410" cy="1828800"/>
              <wp:effectExtent l="0" t="0" r="2540" b="6350"/>
              <wp:wrapNone/>
              <wp:docPr id="20" name="文本框 20"/>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10B1DC" w14:textId="77777777" w:rsidR="008D7DB0" w:rsidRDefault="00000000">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6C956F74" id="_x0000_t202" coordsize="21600,21600" o:spt="202" path="m,l,21600r21600,l21600,xe">
              <v:stroke joinstyle="miter"/>
              <v:path gradientshapeok="t" o:connecttype="rect"/>
            </v:shapetype>
            <v:shape id="文本框 20" o:spid="_x0000_s1027" type="#_x0000_t202" style="position:absolute;margin-left:397.2pt;margin-top:0;width:28.3pt;height:2in;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" filled="f" stroked="f" strokeweight=".5pt">
              <v:textbox style="mso-fit-shape-to-text:t" inset="0,0,0,0">
                <w:txbxContent>
                  <w:p w14:paraId="0810B1DC" w14:textId="77777777" w:rsidR="008D7DB0" w:rsidRDefault="00000000">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5CEB433B" wp14:editId="487F1F47">
          <wp:extent cx="361315" cy="136525"/>
          <wp:effectExtent l="0" t="0" r="0" b="15875"/>
          <wp:docPr id="21"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82160" w14:textId="77777777" w:rsidR="00497DDF" w:rsidRDefault="00497DDF">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63360" behindDoc="0" locked="0" layoutInCell="1" allowOverlap="1" wp14:anchorId="64CBE69F" wp14:editId="7D5B5812">
              <wp:simplePos x="0" y="0"/>
              <wp:positionH relativeFrom="margin">
                <wp:posOffset>5044441</wp:posOffset>
              </wp:positionH>
              <wp:positionV relativeFrom="paragraph">
                <wp:posOffset>0</wp:posOffset>
              </wp:positionV>
              <wp:extent cx="359410" cy="1828800"/>
              <wp:effectExtent l="0" t="0" r="2540" b="6350"/>
              <wp:wrapNone/>
              <wp:docPr id="792715473" name="文本框 792715473"/>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87BF81"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64CBE69F" id="_x0000_t202" coordsize="21600,21600" o:spt="202" path="m,l,21600r21600,l21600,xe">
              <v:stroke joinstyle="miter"/>
              <v:path gradientshapeok="t" o:connecttype="rect"/>
            </v:shapetype>
            <v:shape id="文本框 792715473" o:spid="_x0000_s1028" type="#_x0000_t202" style="position:absolute;margin-left:397.2pt;margin-top:0;width:28.3pt;height:2in;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" filled="f" stroked="f" strokeweight=".5pt">
              <v:textbox style="mso-fit-shape-to-text:t" inset="0,0,0,0">
                <w:txbxContent>
                  <w:p w14:paraId="7187BF81"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344EA379" wp14:editId="47E23964">
          <wp:extent cx="361315" cy="136525"/>
          <wp:effectExtent l="0" t="0" r="0" b="15875"/>
          <wp:docPr id="1360992861"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47D1D" w14:textId="77777777" w:rsidR="00497DDF" w:rsidRDefault="00497DDF">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65408" behindDoc="0" locked="0" layoutInCell="1" allowOverlap="1" wp14:anchorId="23A52C9B" wp14:editId="12ACEBA9">
              <wp:simplePos x="0" y="0"/>
              <wp:positionH relativeFrom="margin">
                <wp:posOffset>5044441</wp:posOffset>
              </wp:positionH>
              <wp:positionV relativeFrom="paragraph">
                <wp:posOffset>0</wp:posOffset>
              </wp:positionV>
              <wp:extent cx="359410" cy="1828800"/>
              <wp:effectExtent l="0" t="0" r="2540" b="6350"/>
              <wp:wrapNone/>
              <wp:docPr id="906103338" name="文本框 906103338"/>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A72B6F"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23A52C9B" id="_x0000_t202" coordsize="21600,21600" o:spt="202" path="m,l,21600r21600,l21600,xe">
              <v:stroke joinstyle="miter"/>
              <v:path gradientshapeok="t" o:connecttype="rect"/>
            </v:shapetype>
            <v:shape id="文本框 906103338" o:spid="_x0000_s1029" type="#_x0000_t202" style="position:absolute;margin-left:397.2pt;margin-top:0;width:28.3pt;height:2in;z-index:2516654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" filled="f" stroked="f" strokeweight=".5pt">
              <v:textbox style="mso-fit-shape-to-text:t" inset="0,0,0,0">
                <w:txbxContent>
                  <w:p w14:paraId="05A72B6F"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0ED97276" wp14:editId="4708D7F5">
          <wp:extent cx="361315" cy="136525"/>
          <wp:effectExtent l="0" t="0" r="0" b="15875"/>
          <wp:docPr id="61042172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5CBB5" w14:textId="77777777" w:rsidR="00497DDF" w:rsidRDefault="00497DDF">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67456" behindDoc="0" locked="0" layoutInCell="1" allowOverlap="1" wp14:anchorId="6E9B2955" wp14:editId="518D86F5">
              <wp:simplePos x="0" y="0"/>
              <wp:positionH relativeFrom="margin">
                <wp:posOffset>5044441</wp:posOffset>
              </wp:positionH>
              <wp:positionV relativeFrom="paragraph">
                <wp:posOffset>0</wp:posOffset>
              </wp:positionV>
              <wp:extent cx="359410" cy="1828800"/>
              <wp:effectExtent l="0" t="0" r="2540" b="6350"/>
              <wp:wrapNone/>
              <wp:docPr id="110236788" name="文本框 110236788"/>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BA88C0"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6E9B2955" id="_x0000_t202" coordsize="21600,21600" o:spt="202" path="m,l,21600r21600,l21600,xe">
              <v:stroke joinstyle="miter"/>
              <v:path gradientshapeok="t" o:connecttype="rect"/>
            </v:shapetype>
            <v:shape id="文本框 110236788" o:spid="_x0000_s1030" type="#_x0000_t202" style="position:absolute;margin-left:397.2pt;margin-top:0;width:28.3pt;height:2in;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" filled="f" stroked="f" strokeweight=".5pt">
              <v:textbox style="mso-fit-shape-to-text:t" inset="0,0,0,0">
                <w:txbxContent>
                  <w:p w14:paraId="24BA88C0"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3D7F4031" wp14:editId="55CE73D0">
          <wp:extent cx="361315" cy="136525"/>
          <wp:effectExtent l="0" t="0" r="0" b="15875"/>
          <wp:docPr id="1146640060"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46DCA" w14:textId="77777777" w:rsidR="00497DDF" w:rsidRDefault="00497DDF">
    <w:pPr>
      <w:pStyle w:val="aa"/>
      <w:pBdr>
        <w:top w:val="single" w:sz="4" w:space="0" w:color="auto"/>
      </w:pBdr>
      <w:tabs>
        <w:tab w:val="clear" w:pos="4153"/>
        <w:tab w:val="left" w:pos="6140"/>
      </w:tabs>
      <w:ind w:firstLineChars="0" w:firstLine="0"/>
    </w:pPr>
    <w:r>
      <w:rPr>
        <w:noProof/>
      </w:rPr>
      <mc:AlternateContent>
        <mc:Choice Requires="wps">
          <w:drawing>
            <wp:anchor distT="0" distB="0" distL="114300" distR="114300" simplePos="0" relativeHeight="251669504" behindDoc="0" locked="0" layoutInCell="1" allowOverlap="1" wp14:anchorId="47BEEEE4" wp14:editId="02DF7B0C">
              <wp:simplePos x="0" y="0"/>
              <wp:positionH relativeFrom="margin">
                <wp:posOffset>5044441</wp:posOffset>
              </wp:positionH>
              <wp:positionV relativeFrom="paragraph">
                <wp:posOffset>0</wp:posOffset>
              </wp:positionV>
              <wp:extent cx="359410" cy="1828800"/>
              <wp:effectExtent l="0" t="0" r="2540" b="6350"/>
              <wp:wrapNone/>
              <wp:docPr id="1110259129" name="文本框 1110259129"/>
              <wp:cNvGraphicFramePr/>
              <a:graphic xmlns:a="http://schemas.openxmlformats.org/drawingml/2006/main">
                <a:graphicData uri="http://schemas.microsoft.com/office/word/2010/wordprocessingShape">
                  <wps:wsp>
                    <wps:cNvSpPr txBox="1"/>
                    <wps:spPr>
                      <a:xfrm>
                        <a:off x="0" y="0"/>
                        <a:ext cx="35941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87193B"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47BEEEE4" id="_x0000_t202" coordsize="21600,21600" o:spt="202" path="m,l,21600r21600,l21600,xe">
              <v:stroke joinstyle="miter"/>
              <v:path gradientshapeok="t" o:connecttype="rect"/>
            </v:shapetype>
            <v:shape id="文本框 1110259129" o:spid="_x0000_s1031" type="#_x0000_t202" style="position:absolute;margin-left:397.2pt;margin-top:0;width:28.3pt;height:2in;z-index:25166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" filled="f" stroked="f" strokeweight=".5pt">
              <v:textbox style="mso-fit-shape-to-text:t" inset="0,0,0,0">
                <w:txbxContent>
                  <w:p w14:paraId="2187193B" w14:textId="77777777" w:rsidR="00497DDF" w:rsidRDefault="00497DDF">
                    <w:pPr>
                      <w:pStyle w:val="aa"/>
                      <w:ind w:firstLine="360"/>
                    </w:pPr>
                    <w:r>
                      <w:fldChar w:fldCharType="begin"/>
                    </w:r>
                    <w:r>
                      <w:instrText xml:space="preserve"> PAGE  \* MERGEFORMAT </w:instrText>
                    </w:r>
                    <w:r>
                      <w:fldChar w:fldCharType="separate"/>
                    </w:r>
                    <w:r>
                      <w:t>5</w:t>
                    </w:r>
                    <w:r>
                      <w:fldChar w:fldCharType="end"/>
                    </w:r>
                  </w:p>
                </w:txbxContent>
              </v:textbox>
              <w10:wrap anchorx="margin"/>
            </v:shape>
          </w:pict>
        </mc:Fallback>
      </mc:AlternateContent>
    </w:r>
    <w:r>
      <w:rPr>
        <w:rFonts w:hint="eastAsia"/>
        <w:noProof/>
      </w:rPr>
      <w:drawing>
        <wp:inline distT="0" distB="0" distL="114300" distR="114300" wp14:anchorId="52802325" wp14:editId="18D12D98">
          <wp:extent cx="361315" cy="136525"/>
          <wp:effectExtent l="0" t="0" r="0" b="15875"/>
          <wp:docPr id="2051394627"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rPr>
      <w:t>辽宁诺诚安全科技有限公司</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86CBF2" w14:textId="77777777" w:rsidR="00F11527" w:rsidRDefault="00F11527">
      <w:pPr>
        <w:ind w:firstLine="560"/>
      </w:pPr>
      <w:r>
        <w:separator/>
      </w:r>
    </w:p>
  </w:footnote>
  <w:footnote w:type="continuationSeparator" w:id="0">
    <w:p w14:paraId="6AF2C194" w14:textId="77777777" w:rsidR="00F11527" w:rsidRDefault="00F11527">
      <w:pPr>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BE8CD" w14:textId="77777777" w:rsidR="00CD3A07" w:rsidRDefault="00CD3A07">
    <w:pPr>
      <w:pStyle w:val="ab"/>
      <w:ind w:firstLine="36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CEB3B" w14:textId="77777777" w:rsidR="00497DDF" w:rsidRDefault="00497DDF">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8720B" w14:textId="77777777" w:rsidR="008D7DB0" w:rsidRDefault="00000000">
    <w:pPr>
      <w:pStyle w:val="ab"/>
      <w:pBdr>
        <w:bottom w:val="single" w:sz="4" w:space="1" w:color="auto"/>
      </w:pBdr>
      <w:ind w:firstLineChars="0" w:firstLine="0"/>
      <w:jc w:val="center"/>
      <w:rPr>
        <w:sz w:val="21"/>
        <w:szCs w:val="21"/>
      </w:rPr>
    </w:pPr>
    <w:r>
      <w:rPr>
        <w:rFonts w:hint="eastAsia"/>
        <w:sz w:val="21"/>
        <w:szCs w:val="21"/>
      </w:rPr>
      <w:t>北票市富贵鸟矿业有限公司铁帽子采区露天开采建设项目初步设计重大变更安全预评价</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D6D89" w14:textId="77777777" w:rsidR="008D7DB0" w:rsidRDefault="008D7DB0">
    <w:pPr>
      <w:pStyle w:val="ab"/>
      <w:tabs>
        <w:tab w:val="left" w:pos="5718"/>
      </w:tabs>
      <w:ind w:firstLineChars="0" w:firstLine="0"/>
      <w:jc w:val="center"/>
      <w:rPr>
        <w:sz w:val="21"/>
        <w:szCs w:val="3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D298F" w14:textId="77777777" w:rsidR="00CD3A07" w:rsidRDefault="00CD3A07">
    <w:pPr>
      <w:pStyle w:val="ab"/>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1A1CA" w14:textId="77777777" w:rsidR="00497DDF" w:rsidRDefault="00497DDF">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C75FF" w14:textId="77777777" w:rsidR="008D7DB0" w:rsidRDefault="00000000">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57E945" w14:textId="77777777" w:rsidR="00497DDF" w:rsidRDefault="00497DDF">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1CBA2" w14:textId="77777777" w:rsidR="00497DDF" w:rsidRDefault="00497DDF">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C44F9" w14:textId="77777777" w:rsidR="00497DDF" w:rsidRDefault="00497DDF">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0B6582" w14:textId="77777777" w:rsidR="00497DDF" w:rsidRDefault="00497DDF">
    <w:pPr>
      <w:pStyle w:val="ab"/>
      <w:pBdr>
        <w:bottom w:val="single" w:sz="4" w:space="1" w:color="auto"/>
      </w:pBdr>
      <w:tabs>
        <w:tab w:val="left" w:pos="5718"/>
      </w:tabs>
      <w:ind w:firstLineChars="0" w:firstLine="0"/>
      <w:jc w:val="center"/>
      <w:rPr>
        <w:sz w:val="21"/>
        <w:szCs w:val="32"/>
      </w:rPr>
    </w:pPr>
    <w:r>
      <w:rPr>
        <w:rFonts w:hint="eastAsia"/>
        <w:sz w:val="21"/>
        <w:szCs w:val="32"/>
      </w:rPr>
      <w:t>北票市富贵鸟矿业有限公司铁帽子采区露天开采建设项目初步设计重大变更安全预评价</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017424C"/>
    <w:multiLevelType w:val="multilevel"/>
    <w:tmpl w:val="B017424C"/>
    <w:lvl w:ilvl="0">
      <w:start w:val="1"/>
      <w:numFmt w:val="decimal"/>
      <w:suff w:val="nothing"/>
      <w:lvlText w:val="（%1）"/>
      <w:lvlJc w:val="left"/>
      <w:rPr>
        <w:rFonts w:hint="default"/>
      </w:rPr>
    </w:lvl>
    <w:lvl w:ilvl="1">
      <w:start w:val="1"/>
      <w:numFmt w:val="lowerLetter"/>
      <w:lvlText w:val="%2)"/>
      <w:lvlJc w:val="left"/>
      <w:pPr>
        <w:tabs>
          <w:tab w:val="left" w:pos="2258"/>
        </w:tabs>
        <w:ind w:left="2258" w:hanging="420"/>
      </w:pPr>
    </w:lvl>
    <w:lvl w:ilvl="2">
      <w:start w:val="1"/>
      <w:numFmt w:val="lowerRoman"/>
      <w:lvlText w:val="%3."/>
      <w:lvlJc w:val="right"/>
      <w:pPr>
        <w:tabs>
          <w:tab w:val="left" w:pos="2678"/>
        </w:tabs>
        <w:ind w:left="2678" w:hanging="420"/>
      </w:pPr>
    </w:lvl>
    <w:lvl w:ilvl="3">
      <w:start w:val="1"/>
      <w:numFmt w:val="decimal"/>
      <w:lvlText w:val="%4."/>
      <w:lvlJc w:val="left"/>
      <w:pPr>
        <w:tabs>
          <w:tab w:val="left" w:pos="3098"/>
        </w:tabs>
        <w:ind w:left="3098" w:hanging="420"/>
      </w:pPr>
    </w:lvl>
    <w:lvl w:ilvl="4">
      <w:start w:val="1"/>
      <w:numFmt w:val="lowerLetter"/>
      <w:lvlText w:val="%5)"/>
      <w:lvlJc w:val="left"/>
      <w:pPr>
        <w:tabs>
          <w:tab w:val="left" w:pos="3518"/>
        </w:tabs>
        <w:ind w:left="3518" w:hanging="420"/>
      </w:pPr>
    </w:lvl>
    <w:lvl w:ilvl="5">
      <w:start w:val="1"/>
      <w:numFmt w:val="lowerRoman"/>
      <w:lvlText w:val="%6."/>
      <w:lvlJc w:val="right"/>
      <w:pPr>
        <w:tabs>
          <w:tab w:val="left" w:pos="3938"/>
        </w:tabs>
        <w:ind w:left="3938" w:hanging="420"/>
      </w:pPr>
    </w:lvl>
    <w:lvl w:ilvl="6">
      <w:start w:val="1"/>
      <w:numFmt w:val="decimal"/>
      <w:lvlText w:val="%7."/>
      <w:lvlJc w:val="left"/>
      <w:pPr>
        <w:tabs>
          <w:tab w:val="left" w:pos="4358"/>
        </w:tabs>
        <w:ind w:left="4358" w:hanging="420"/>
      </w:pPr>
    </w:lvl>
    <w:lvl w:ilvl="7">
      <w:start w:val="1"/>
      <w:numFmt w:val="lowerLetter"/>
      <w:lvlText w:val="%8)"/>
      <w:lvlJc w:val="left"/>
      <w:pPr>
        <w:tabs>
          <w:tab w:val="left" w:pos="4778"/>
        </w:tabs>
        <w:ind w:left="4778" w:hanging="420"/>
      </w:pPr>
    </w:lvl>
    <w:lvl w:ilvl="8">
      <w:start w:val="1"/>
      <w:numFmt w:val="lowerRoman"/>
      <w:lvlText w:val="%9."/>
      <w:lvlJc w:val="right"/>
      <w:pPr>
        <w:tabs>
          <w:tab w:val="left" w:pos="5198"/>
        </w:tabs>
        <w:ind w:left="5198" w:hanging="420"/>
      </w:pPr>
    </w:lvl>
  </w:abstractNum>
  <w:abstractNum w:abstractNumId="1" w15:restartNumberingAfterBreak="0">
    <w:nsid w:val="C6FEC6D7"/>
    <w:multiLevelType w:val="singleLevel"/>
    <w:tmpl w:val="C6FEC6D7"/>
    <w:lvl w:ilvl="0">
      <w:start w:val="1"/>
      <w:numFmt w:val="decimal"/>
      <w:suff w:val="nothing"/>
      <w:lvlText w:val="（%1）"/>
      <w:lvlJc w:val="left"/>
    </w:lvl>
  </w:abstractNum>
  <w:abstractNum w:abstractNumId="2" w15:restartNumberingAfterBreak="0">
    <w:nsid w:val="D749BADF"/>
    <w:multiLevelType w:val="singleLevel"/>
    <w:tmpl w:val="D749BADF"/>
    <w:lvl w:ilvl="0">
      <w:start w:val="1"/>
      <w:numFmt w:val="decimal"/>
      <w:suff w:val="nothing"/>
      <w:lvlText w:val="（%1）"/>
      <w:lvlJc w:val="left"/>
    </w:lvl>
  </w:abstractNum>
  <w:abstractNum w:abstractNumId="3" w15:restartNumberingAfterBreak="0">
    <w:nsid w:val="DD7A57CF"/>
    <w:multiLevelType w:val="singleLevel"/>
    <w:tmpl w:val="DD7A57CF"/>
    <w:lvl w:ilvl="0">
      <w:start w:val="1"/>
      <w:numFmt w:val="decimal"/>
      <w:suff w:val="nothing"/>
      <w:lvlText w:val="（%1）"/>
      <w:lvlJc w:val="left"/>
    </w:lvl>
  </w:abstractNum>
  <w:abstractNum w:abstractNumId="4" w15:restartNumberingAfterBreak="0">
    <w:nsid w:val="ECE5ED75"/>
    <w:multiLevelType w:val="singleLevel"/>
    <w:tmpl w:val="ECE5ED75"/>
    <w:lvl w:ilvl="0">
      <w:start w:val="1"/>
      <w:numFmt w:val="decimal"/>
      <w:suff w:val="nothing"/>
      <w:lvlText w:val="（%1）"/>
      <w:lvlJc w:val="left"/>
    </w:lvl>
  </w:abstractNum>
  <w:abstractNum w:abstractNumId="5" w15:restartNumberingAfterBreak="0">
    <w:nsid w:val="2482C48D"/>
    <w:multiLevelType w:val="singleLevel"/>
    <w:tmpl w:val="2482C48D"/>
    <w:lvl w:ilvl="0">
      <w:start w:val="2"/>
      <w:numFmt w:val="decimal"/>
      <w:suff w:val="nothing"/>
      <w:lvlText w:val="（%1）"/>
      <w:lvlJc w:val="left"/>
    </w:lvl>
  </w:abstractNum>
  <w:abstractNum w:abstractNumId="6" w15:restartNumberingAfterBreak="0">
    <w:nsid w:val="3E8BB8B9"/>
    <w:multiLevelType w:val="singleLevel"/>
    <w:tmpl w:val="3E8BB8B9"/>
    <w:lvl w:ilvl="0">
      <w:start w:val="1"/>
      <w:numFmt w:val="decimal"/>
      <w:suff w:val="nothing"/>
      <w:lvlText w:val="（%1）"/>
      <w:lvlJc w:val="left"/>
    </w:lvl>
  </w:abstractNum>
  <w:abstractNum w:abstractNumId="7" w15:restartNumberingAfterBreak="0">
    <w:nsid w:val="471E99BB"/>
    <w:multiLevelType w:val="singleLevel"/>
    <w:tmpl w:val="471E99BB"/>
    <w:lvl w:ilvl="0">
      <w:start w:val="1"/>
      <w:numFmt w:val="decimal"/>
      <w:suff w:val="nothing"/>
      <w:lvlText w:val="（%1）"/>
      <w:lvlJc w:val="left"/>
    </w:lvl>
  </w:abstractNum>
  <w:abstractNum w:abstractNumId="8" w15:restartNumberingAfterBreak="0">
    <w:nsid w:val="5816135A"/>
    <w:multiLevelType w:val="singleLevel"/>
    <w:tmpl w:val="5816135A"/>
    <w:lvl w:ilvl="0">
      <w:start w:val="1"/>
      <w:numFmt w:val="decimal"/>
      <w:suff w:val="nothing"/>
      <w:lvlText w:val="（%1）"/>
      <w:lvlJc w:val="left"/>
      <w:pPr>
        <w:ind w:left="0" w:firstLine="0"/>
      </w:pPr>
    </w:lvl>
  </w:abstractNum>
  <w:abstractNum w:abstractNumId="9" w15:restartNumberingAfterBreak="0">
    <w:nsid w:val="58830B1E"/>
    <w:multiLevelType w:val="multilevel"/>
    <w:tmpl w:val="58830B1E"/>
    <w:lvl w:ilvl="0">
      <w:start w:val="1"/>
      <w:numFmt w:val="decimal"/>
      <w:suff w:val="nothing"/>
      <w:lvlText w:val="（%1）"/>
      <w:lvlJc w:val="left"/>
      <w:pPr>
        <w:ind w:left="970" w:hanging="420"/>
      </w:pPr>
      <w:rPr>
        <w:rFonts w:hint="eastAsia"/>
      </w:rPr>
    </w:lvl>
    <w:lvl w:ilvl="1">
      <w:start w:val="1"/>
      <w:numFmt w:val="lowerLetter"/>
      <w:lvlText w:val="%2)"/>
      <w:lvlJc w:val="left"/>
      <w:pPr>
        <w:ind w:left="1950" w:hanging="420"/>
      </w:pPr>
    </w:lvl>
    <w:lvl w:ilvl="2">
      <w:start w:val="1"/>
      <w:numFmt w:val="lowerRoman"/>
      <w:lvlText w:val="%3."/>
      <w:lvlJc w:val="right"/>
      <w:pPr>
        <w:ind w:left="2370" w:hanging="420"/>
      </w:pPr>
    </w:lvl>
    <w:lvl w:ilvl="3">
      <w:start w:val="1"/>
      <w:numFmt w:val="decimal"/>
      <w:lvlText w:val="%4."/>
      <w:lvlJc w:val="left"/>
      <w:pPr>
        <w:ind w:left="2790" w:hanging="420"/>
      </w:pPr>
    </w:lvl>
    <w:lvl w:ilvl="4">
      <w:start w:val="1"/>
      <w:numFmt w:val="lowerLetter"/>
      <w:lvlText w:val="%5)"/>
      <w:lvlJc w:val="left"/>
      <w:pPr>
        <w:ind w:left="3210" w:hanging="420"/>
      </w:pPr>
    </w:lvl>
    <w:lvl w:ilvl="5">
      <w:start w:val="1"/>
      <w:numFmt w:val="lowerRoman"/>
      <w:lvlText w:val="%6."/>
      <w:lvlJc w:val="right"/>
      <w:pPr>
        <w:ind w:left="3630" w:hanging="420"/>
      </w:pPr>
    </w:lvl>
    <w:lvl w:ilvl="6">
      <w:start w:val="1"/>
      <w:numFmt w:val="decimal"/>
      <w:lvlText w:val="%7."/>
      <w:lvlJc w:val="left"/>
      <w:pPr>
        <w:ind w:left="4050" w:hanging="420"/>
      </w:pPr>
    </w:lvl>
    <w:lvl w:ilvl="7">
      <w:start w:val="1"/>
      <w:numFmt w:val="lowerLetter"/>
      <w:lvlText w:val="%8)"/>
      <w:lvlJc w:val="left"/>
      <w:pPr>
        <w:ind w:left="4470" w:hanging="420"/>
      </w:pPr>
    </w:lvl>
    <w:lvl w:ilvl="8">
      <w:start w:val="1"/>
      <w:numFmt w:val="lowerRoman"/>
      <w:lvlText w:val="%9."/>
      <w:lvlJc w:val="right"/>
      <w:pPr>
        <w:ind w:left="4890" w:hanging="420"/>
      </w:pPr>
    </w:lvl>
  </w:abstractNum>
  <w:abstractNum w:abstractNumId="10" w15:restartNumberingAfterBreak="0">
    <w:nsid w:val="6B532C0D"/>
    <w:multiLevelType w:val="multilevel"/>
    <w:tmpl w:val="6B532C0D"/>
    <w:lvl w:ilvl="0">
      <w:start w:val="1"/>
      <w:numFmt w:val="decimal"/>
      <w:lvlText w:val="%1"/>
      <w:lvlJc w:val="center"/>
      <w:pPr>
        <w:tabs>
          <w:tab w:val="left" w:pos="425"/>
        </w:tabs>
        <w:ind w:left="425" w:hanging="425"/>
      </w:pPr>
      <w:rPr>
        <w:rFonts w:ascii="黑体" w:eastAsia="黑体" w:hint="eastAsia"/>
        <w:b/>
        <w:i w:val="0"/>
        <w:sz w:val="32"/>
        <w:szCs w:val="32"/>
      </w:rPr>
    </w:lvl>
    <w:lvl w:ilvl="1">
      <w:start w:val="1"/>
      <w:numFmt w:val="decimal"/>
      <w:lvlText w:val="%1.%2"/>
      <w:lvlJc w:val="left"/>
      <w:pPr>
        <w:tabs>
          <w:tab w:val="left" w:pos="0"/>
        </w:tabs>
        <w:ind w:left="0" w:firstLine="0"/>
      </w:pPr>
      <w:rPr>
        <w:rFonts w:ascii="黑体" w:eastAsia="黑体" w:hint="eastAsia"/>
        <w:b/>
        <w:i w:val="0"/>
        <w:sz w:val="30"/>
        <w:szCs w:val="30"/>
      </w:rPr>
    </w:lvl>
    <w:lvl w:ilvl="2">
      <w:start w:val="1"/>
      <w:numFmt w:val="decimal"/>
      <w:lvlText w:val="%1.%2.%3"/>
      <w:lvlJc w:val="left"/>
      <w:pPr>
        <w:tabs>
          <w:tab w:val="left" w:pos="0"/>
        </w:tabs>
        <w:ind w:left="0" w:firstLine="0"/>
      </w:pPr>
      <w:rPr>
        <w:rFonts w:ascii="黑体" w:eastAsia="黑体" w:hint="eastAsia"/>
        <w:b/>
        <w:i w:val="0"/>
        <w:color w:val="auto"/>
        <w:spacing w:val="0"/>
        <w:w w:val="100"/>
        <w:position w:val="0"/>
        <w:sz w:val="28"/>
        <w:szCs w:val="28"/>
      </w:rPr>
    </w:lvl>
    <w:lvl w:ilvl="3">
      <w:start w:val="1"/>
      <w:numFmt w:val="decimal"/>
      <w:lvlText w:val="%1.%2.%3.%4"/>
      <w:lvlJc w:val="left"/>
      <w:pPr>
        <w:tabs>
          <w:tab w:val="left" w:pos="2356"/>
        </w:tabs>
        <w:ind w:left="708"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566"/>
        </w:tabs>
        <w:ind w:left="3260" w:hanging="1134"/>
      </w:pPr>
      <w:rPr>
        <w:rFonts w:hint="eastAsia"/>
      </w:rPr>
    </w:lvl>
    <w:lvl w:ilvl="6">
      <w:start w:val="1"/>
      <w:numFmt w:val="decimal"/>
      <w:lvlText w:val="%1.%2.%3.%4.%5.%6.%7"/>
      <w:lvlJc w:val="left"/>
      <w:pPr>
        <w:tabs>
          <w:tab w:val="left" w:pos="435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562"/>
        </w:tabs>
        <w:ind w:left="5102" w:hanging="1700"/>
      </w:pPr>
      <w:rPr>
        <w:rFonts w:hint="eastAsia"/>
      </w:rPr>
    </w:lvl>
  </w:abstractNum>
  <w:abstractNum w:abstractNumId="11" w15:restartNumberingAfterBreak="0">
    <w:nsid w:val="7CF2C98F"/>
    <w:multiLevelType w:val="singleLevel"/>
    <w:tmpl w:val="7CF2C98F"/>
    <w:lvl w:ilvl="0">
      <w:start w:val="1"/>
      <w:numFmt w:val="decimal"/>
      <w:suff w:val="nothing"/>
      <w:lvlText w:val="（%1）"/>
      <w:lvlJc w:val="left"/>
    </w:lvl>
  </w:abstractNum>
  <w:num w:numId="1" w16cid:durableId="78796036">
    <w:abstractNumId w:val="0"/>
  </w:num>
  <w:num w:numId="2" w16cid:durableId="2079395794">
    <w:abstractNumId w:val="9"/>
  </w:num>
  <w:num w:numId="3" w16cid:durableId="1649549066">
    <w:abstractNumId w:val="5"/>
  </w:num>
  <w:num w:numId="4" w16cid:durableId="817571841">
    <w:abstractNumId w:val="6"/>
  </w:num>
  <w:num w:numId="5" w16cid:durableId="2050255580">
    <w:abstractNumId w:val="1"/>
  </w:num>
  <w:num w:numId="6" w16cid:durableId="146944026">
    <w:abstractNumId w:val="7"/>
  </w:num>
  <w:num w:numId="7" w16cid:durableId="649677162">
    <w:abstractNumId w:val="2"/>
  </w:num>
  <w:num w:numId="8" w16cid:durableId="1188907792">
    <w:abstractNumId w:val="4"/>
  </w:num>
  <w:num w:numId="9" w16cid:durableId="498236080">
    <w:abstractNumId w:val="10"/>
  </w:num>
  <w:num w:numId="10" w16cid:durableId="937908496">
    <w:abstractNumId w:val="11"/>
  </w:num>
  <w:num w:numId="11" w16cid:durableId="1449011992">
    <w:abstractNumId w:val="3"/>
  </w:num>
  <w:num w:numId="12" w16cid:durableId="2089812711">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27573"/>
    <w:rsid w:val="00172A27"/>
    <w:rsid w:val="001E4427"/>
    <w:rsid w:val="002B00EA"/>
    <w:rsid w:val="002F5496"/>
    <w:rsid w:val="00311C85"/>
    <w:rsid w:val="00336364"/>
    <w:rsid w:val="004161AD"/>
    <w:rsid w:val="00447A57"/>
    <w:rsid w:val="00497DDF"/>
    <w:rsid w:val="004C76B3"/>
    <w:rsid w:val="004E7858"/>
    <w:rsid w:val="004F6E9D"/>
    <w:rsid w:val="00561B4C"/>
    <w:rsid w:val="005B2DAF"/>
    <w:rsid w:val="008D7DB0"/>
    <w:rsid w:val="009542FA"/>
    <w:rsid w:val="00A03AC3"/>
    <w:rsid w:val="00A427E1"/>
    <w:rsid w:val="00B61BF5"/>
    <w:rsid w:val="00BF3720"/>
    <w:rsid w:val="00CD3A07"/>
    <w:rsid w:val="00EF2B8D"/>
    <w:rsid w:val="00F11527"/>
    <w:rsid w:val="010A4770"/>
    <w:rsid w:val="012E4D80"/>
    <w:rsid w:val="0204742C"/>
    <w:rsid w:val="022F590A"/>
    <w:rsid w:val="031511C4"/>
    <w:rsid w:val="048211DA"/>
    <w:rsid w:val="04F630F4"/>
    <w:rsid w:val="054369B0"/>
    <w:rsid w:val="05C50C80"/>
    <w:rsid w:val="06436049"/>
    <w:rsid w:val="06D373CC"/>
    <w:rsid w:val="06E45A7E"/>
    <w:rsid w:val="079E79DA"/>
    <w:rsid w:val="08564759"/>
    <w:rsid w:val="08B35B61"/>
    <w:rsid w:val="093A1985"/>
    <w:rsid w:val="0A827954"/>
    <w:rsid w:val="0B156206"/>
    <w:rsid w:val="0BE5207C"/>
    <w:rsid w:val="0BE72388"/>
    <w:rsid w:val="0C6B2D94"/>
    <w:rsid w:val="0CBD4DA7"/>
    <w:rsid w:val="0D183119"/>
    <w:rsid w:val="0E772603"/>
    <w:rsid w:val="0EAA4B80"/>
    <w:rsid w:val="0ECA7307"/>
    <w:rsid w:val="10824F65"/>
    <w:rsid w:val="12211F68"/>
    <w:rsid w:val="12A12A75"/>
    <w:rsid w:val="13472130"/>
    <w:rsid w:val="145558C5"/>
    <w:rsid w:val="15DB004C"/>
    <w:rsid w:val="18B03A11"/>
    <w:rsid w:val="19361673"/>
    <w:rsid w:val="19D454DE"/>
    <w:rsid w:val="1A845156"/>
    <w:rsid w:val="1AD03EF7"/>
    <w:rsid w:val="1BBB62E5"/>
    <w:rsid w:val="1C5A616E"/>
    <w:rsid w:val="1CC31203"/>
    <w:rsid w:val="1EF108E0"/>
    <w:rsid w:val="21FC73F8"/>
    <w:rsid w:val="22342FBD"/>
    <w:rsid w:val="242C74A1"/>
    <w:rsid w:val="248561EF"/>
    <w:rsid w:val="250E46FD"/>
    <w:rsid w:val="25881FA7"/>
    <w:rsid w:val="25F22CFE"/>
    <w:rsid w:val="2702368A"/>
    <w:rsid w:val="288527C5"/>
    <w:rsid w:val="28906419"/>
    <w:rsid w:val="2A241B69"/>
    <w:rsid w:val="2C2045B2"/>
    <w:rsid w:val="2D5E2F91"/>
    <w:rsid w:val="2DD979B1"/>
    <w:rsid w:val="2E24038A"/>
    <w:rsid w:val="2E9B6172"/>
    <w:rsid w:val="3152761A"/>
    <w:rsid w:val="33726E3E"/>
    <w:rsid w:val="342A4D7B"/>
    <w:rsid w:val="35610116"/>
    <w:rsid w:val="380557F4"/>
    <w:rsid w:val="38883C0B"/>
    <w:rsid w:val="39C40C73"/>
    <w:rsid w:val="3A654204"/>
    <w:rsid w:val="3A747F92"/>
    <w:rsid w:val="3CB51073"/>
    <w:rsid w:val="3E1D0952"/>
    <w:rsid w:val="3F4D34B9"/>
    <w:rsid w:val="40AB00C7"/>
    <w:rsid w:val="41D852BC"/>
    <w:rsid w:val="42220C2D"/>
    <w:rsid w:val="4230334A"/>
    <w:rsid w:val="43F42155"/>
    <w:rsid w:val="454E30A0"/>
    <w:rsid w:val="459C4852"/>
    <w:rsid w:val="46607809"/>
    <w:rsid w:val="47637D1D"/>
    <w:rsid w:val="47CB15E8"/>
    <w:rsid w:val="49A23A37"/>
    <w:rsid w:val="49CF5723"/>
    <w:rsid w:val="4A745D9D"/>
    <w:rsid w:val="4AA4116C"/>
    <w:rsid w:val="4B2D6177"/>
    <w:rsid w:val="4BFF5B3B"/>
    <w:rsid w:val="4C984FE7"/>
    <w:rsid w:val="4D523F6D"/>
    <w:rsid w:val="4E41068C"/>
    <w:rsid w:val="4EF3394F"/>
    <w:rsid w:val="4F070B7A"/>
    <w:rsid w:val="4F2F0943"/>
    <w:rsid w:val="4FF271B8"/>
    <w:rsid w:val="51984A67"/>
    <w:rsid w:val="52454210"/>
    <w:rsid w:val="52A472FD"/>
    <w:rsid w:val="548F223E"/>
    <w:rsid w:val="55F935FB"/>
    <w:rsid w:val="55FE0BAB"/>
    <w:rsid w:val="5798756F"/>
    <w:rsid w:val="5A6E45B7"/>
    <w:rsid w:val="5AF03368"/>
    <w:rsid w:val="5C33492F"/>
    <w:rsid w:val="5C86281A"/>
    <w:rsid w:val="5E021BE6"/>
    <w:rsid w:val="5F7408C2"/>
    <w:rsid w:val="5F86239D"/>
    <w:rsid w:val="5F8F5C94"/>
    <w:rsid w:val="616E7B4B"/>
    <w:rsid w:val="623F0F6D"/>
    <w:rsid w:val="62E335DE"/>
    <w:rsid w:val="63181250"/>
    <w:rsid w:val="636D667E"/>
    <w:rsid w:val="642A4155"/>
    <w:rsid w:val="65F362B8"/>
    <w:rsid w:val="66E2246D"/>
    <w:rsid w:val="671169F6"/>
    <w:rsid w:val="67FC4924"/>
    <w:rsid w:val="681B1F45"/>
    <w:rsid w:val="6AF93A8C"/>
    <w:rsid w:val="6B8D6867"/>
    <w:rsid w:val="6BF8649B"/>
    <w:rsid w:val="6CCA1DA6"/>
    <w:rsid w:val="6D6B4EA8"/>
    <w:rsid w:val="6D7E7D61"/>
    <w:rsid w:val="6DB53B0F"/>
    <w:rsid w:val="6E386F5E"/>
    <w:rsid w:val="6E737F96"/>
    <w:rsid w:val="6F6B6EC0"/>
    <w:rsid w:val="6F865AA7"/>
    <w:rsid w:val="71054F07"/>
    <w:rsid w:val="71C21948"/>
    <w:rsid w:val="727F67F2"/>
    <w:rsid w:val="73FC27DC"/>
    <w:rsid w:val="741144D9"/>
    <w:rsid w:val="76562678"/>
    <w:rsid w:val="77074878"/>
    <w:rsid w:val="776F1E72"/>
    <w:rsid w:val="78485FF0"/>
    <w:rsid w:val="7C796FEC"/>
    <w:rsid w:val="7CC758E7"/>
    <w:rsid w:val="7D932E1A"/>
    <w:rsid w:val="7EFB71CD"/>
    <w:rsid w:val="7F1925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CEB7D26"/>
  <w15:docId w15:val="{B677F509-61AD-4E1A-A12A-A51C82625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Normal Indent" w:qFormat="1"/>
    <w:lsdException w:name="annotation text" w:qFormat="1"/>
    <w:lsdException w:name="header" w:qFormat="1"/>
    <w:lsdException w:name="footer" w:qFormat="1"/>
    <w:lsdException w:name="caption" w:qFormat="1"/>
    <w:lsdException w:name="table of figures" w:qFormat="1"/>
    <w:lsdException w:name="annotation reference" w:qFormat="1"/>
    <w:lsdException w:name="page number" w:qFormat="1"/>
    <w:lsdException w:name="endnote text" w:qFormat="1"/>
    <w:lsdException w:name="Title" w:qFormat="1"/>
    <w:lsdException w:name="Default Paragraph Font" w:semiHidden="1" w:qFormat="1"/>
    <w:lsdException w:name="Body Text" w:qFormat="1"/>
    <w:lsdException w:name="Subtitle" w:qFormat="1"/>
    <w:lsdException w:name="Body Text First Indent 2" w:qFormat="1"/>
    <w:lsdException w:name="Body Text Indent 2" w:uiPriority="99" w:qFormat="1"/>
    <w:lsdException w:name="Hyperlink" w:uiPriority="99"/>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spacing w:line="360" w:lineRule="auto"/>
      <w:ind w:firstLineChars="200" w:firstLine="643"/>
      <w:jc w:val="both"/>
    </w:pPr>
    <w:rPr>
      <w:kern w:val="2"/>
      <w:sz w:val="28"/>
      <w:szCs w:val="24"/>
    </w:rPr>
  </w:style>
  <w:style w:type="paragraph" w:styleId="1">
    <w:name w:val="heading 1"/>
    <w:basedOn w:val="a"/>
    <w:next w:val="a"/>
    <w:qFormat/>
    <w:pPr>
      <w:keepNext/>
      <w:keepLines/>
      <w:spacing w:beforeLines="50" w:before="50"/>
      <w:ind w:firstLineChars="0" w:firstLine="0"/>
      <w:jc w:val="center"/>
      <w:outlineLvl w:val="0"/>
    </w:pPr>
    <w:rPr>
      <w:b/>
      <w:kern w:val="44"/>
    </w:rPr>
  </w:style>
  <w:style w:type="paragraph" w:styleId="2">
    <w:name w:val="heading 2"/>
    <w:basedOn w:val="a"/>
    <w:next w:val="a"/>
    <w:unhideWhenUsed/>
    <w:qFormat/>
    <w:pPr>
      <w:keepNext/>
      <w:keepLines/>
      <w:adjustRightInd w:val="0"/>
      <w:spacing w:before="10"/>
      <w:ind w:firstLineChars="0" w:firstLine="0"/>
      <w:jc w:val="center"/>
      <w:outlineLvl w:val="1"/>
    </w:pPr>
    <w:rPr>
      <w:b/>
    </w:rPr>
  </w:style>
  <w:style w:type="paragraph" w:styleId="3">
    <w:name w:val="heading 3"/>
    <w:basedOn w:val="a"/>
    <w:next w:val="a"/>
    <w:qFormat/>
    <w:pPr>
      <w:keepNext/>
      <w:keepLines/>
      <w:tabs>
        <w:tab w:val="left" w:pos="720"/>
      </w:tabs>
      <w:ind w:firstLineChars="0" w:firstLine="0"/>
      <w:jc w:val="left"/>
      <w:outlineLvl w:val="2"/>
    </w:pPr>
    <w:rPr>
      <w:b/>
      <w:bCs/>
      <w:szCs w:val="32"/>
    </w:rPr>
  </w:style>
  <w:style w:type="paragraph" w:styleId="4">
    <w:name w:val="heading 4"/>
    <w:basedOn w:val="a"/>
    <w:next w:val="a"/>
    <w:unhideWhenUsed/>
    <w:qFormat/>
    <w:pPr>
      <w:keepNext/>
      <w:keepLines/>
      <w:ind w:firstLineChars="0" w:firstLine="0"/>
      <w:outlineLvl w:val="3"/>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able of figures"/>
    <w:basedOn w:val="a"/>
    <w:next w:val="a"/>
    <w:qFormat/>
    <w:pPr>
      <w:adjustRightInd w:val="0"/>
      <w:snapToGrid w:val="0"/>
      <w:ind w:firstLineChars="0" w:firstLine="0"/>
      <w:jc w:val="center"/>
    </w:pPr>
    <w:rPr>
      <w:spacing w:val="-2"/>
      <w:kern w:val="0"/>
      <w:sz w:val="21"/>
      <w:szCs w:val="20"/>
    </w:rPr>
  </w:style>
  <w:style w:type="paragraph" w:styleId="a4">
    <w:name w:val="Normal Indent"/>
    <w:basedOn w:val="a"/>
    <w:qFormat/>
    <w:pPr>
      <w:ind w:firstLine="420"/>
    </w:pPr>
  </w:style>
  <w:style w:type="paragraph" w:styleId="a5">
    <w:name w:val="caption"/>
    <w:basedOn w:val="a"/>
    <w:next w:val="a"/>
    <w:qFormat/>
    <w:pPr>
      <w:spacing w:before="152" w:after="160" w:line="240" w:lineRule="auto"/>
      <w:ind w:firstLineChars="0" w:firstLine="0"/>
    </w:pPr>
    <w:rPr>
      <w:rFonts w:ascii="Arial" w:eastAsia="黑体" w:hAnsi="Arial" w:cs="Arial"/>
      <w:sz w:val="20"/>
      <w:szCs w:val="20"/>
    </w:rPr>
  </w:style>
  <w:style w:type="paragraph" w:styleId="a6">
    <w:name w:val="annotation text"/>
    <w:basedOn w:val="a"/>
    <w:qFormat/>
    <w:pPr>
      <w:jc w:val="left"/>
    </w:pPr>
    <w:rPr>
      <w:rFonts w:cs="Angsana New"/>
      <w:lang w:bidi="th-TH"/>
    </w:rPr>
  </w:style>
  <w:style w:type="paragraph" w:styleId="a7">
    <w:name w:val="Body Text"/>
    <w:basedOn w:val="a"/>
    <w:next w:val="TOC3"/>
    <w:qFormat/>
    <w:pPr>
      <w:spacing w:after="120"/>
    </w:pPr>
  </w:style>
  <w:style w:type="paragraph" w:styleId="TOC3">
    <w:name w:val="toc 3"/>
    <w:basedOn w:val="a"/>
    <w:next w:val="a"/>
    <w:uiPriority w:val="39"/>
    <w:qFormat/>
    <w:pPr>
      <w:spacing w:line="240" w:lineRule="auto"/>
      <w:ind w:left="420" w:firstLineChars="0" w:firstLine="0"/>
      <w:jc w:val="left"/>
    </w:pPr>
    <w:rPr>
      <w:i/>
      <w:iCs/>
      <w:sz w:val="20"/>
      <w:szCs w:val="20"/>
    </w:rPr>
  </w:style>
  <w:style w:type="paragraph" w:styleId="a8">
    <w:name w:val="Plain Text"/>
    <w:basedOn w:val="a"/>
    <w:qFormat/>
    <w:rPr>
      <w:rFonts w:ascii="宋体" w:hAnsi="Courier New" w:cs="Century"/>
      <w:sz w:val="21"/>
      <w:szCs w:val="21"/>
      <w:vertAlign w:val="superscript"/>
    </w:rPr>
  </w:style>
  <w:style w:type="paragraph" w:styleId="20">
    <w:name w:val="Body Text Indent 2"/>
    <w:basedOn w:val="a"/>
    <w:uiPriority w:val="99"/>
    <w:qFormat/>
    <w:pPr>
      <w:spacing w:after="120" w:line="480" w:lineRule="auto"/>
      <w:ind w:leftChars="200" w:left="420"/>
    </w:pPr>
  </w:style>
  <w:style w:type="paragraph" w:styleId="a9">
    <w:name w:val="endnote text"/>
    <w:basedOn w:val="a"/>
    <w:qFormat/>
    <w:pPr>
      <w:snapToGrid w:val="0"/>
      <w:ind w:firstLine="200"/>
      <w:jc w:val="left"/>
    </w:pPr>
    <w:rPr>
      <w:rFonts w:ascii="Calibri" w:eastAsia="仿宋_GB2312" w:hAnsi="Calibri"/>
      <w:szCs w:val="22"/>
    </w:rPr>
  </w:style>
  <w:style w:type="paragraph" w:styleId="aa">
    <w:name w:val="footer"/>
    <w:basedOn w:val="a"/>
    <w:qFormat/>
    <w:pPr>
      <w:tabs>
        <w:tab w:val="center" w:pos="4153"/>
        <w:tab w:val="right" w:pos="8306"/>
      </w:tabs>
      <w:snapToGrid w:val="0"/>
      <w:jc w:val="left"/>
    </w:pPr>
    <w:rPr>
      <w:sz w:val="18"/>
    </w:rPr>
  </w:style>
  <w:style w:type="paragraph" w:styleId="ab">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paragraph" w:styleId="TOC1">
    <w:name w:val="toc 1"/>
    <w:basedOn w:val="a"/>
    <w:next w:val="a"/>
    <w:uiPriority w:val="39"/>
    <w:qFormat/>
  </w:style>
  <w:style w:type="paragraph" w:styleId="TOC2">
    <w:name w:val="toc 2"/>
    <w:basedOn w:val="a"/>
    <w:next w:val="a"/>
    <w:uiPriority w:val="39"/>
    <w:qFormat/>
    <w:pPr>
      <w:tabs>
        <w:tab w:val="left" w:pos="709"/>
        <w:tab w:val="right" w:leader="hyphen" w:pos="8494"/>
      </w:tabs>
      <w:adjustRightInd w:val="0"/>
      <w:snapToGrid w:val="0"/>
      <w:spacing w:line="336" w:lineRule="auto"/>
    </w:pPr>
    <w:rPr>
      <w:rFonts w:ascii="Calibri" w:hAnsi="Calibri" w:cs="Calibri"/>
      <w:smallCaps/>
      <w:sz w:val="20"/>
      <w:szCs w:val="20"/>
    </w:rPr>
  </w:style>
  <w:style w:type="paragraph" w:styleId="21">
    <w:name w:val="Body Text First Indent 2"/>
    <w:basedOn w:val="a"/>
    <w:qFormat/>
    <w:pPr>
      <w:spacing w:after="120" w:line="240" w:lineRule="auto"/>
      <w:ind w:leftChars="200" w:left="420" w:firstLine="420"/>
    </w:pPr>
    <w:rPr>
      <w:sz w:val="21"/>
    </w:rPr>
  </w:style>
  <w:style w:type="table" w:styleId="ac">
    <w:name w:val="Table Grid"/>
    <w:basedOn w:val="a2"/>
    <w:uiPriority w:val="99"/>
    <w:unhideWhenUsed/>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1"/>
    <w:qFormat/>
    <w:rPr>
      <w:b/>
    </w:rPr>
  </w:style>
  <w:style w:type="character" w:styleId="ae">
    <w:name w:val="page number"/>
    <w:basedOn w:val="a1"/>
    <w:qFormat/>
    <w:rPr>
      <w:rFonts w:ascii="Times New Roman" w:eastAsia="宋体" w:hAnsi="Times New Roman"/>
      <w:sz w:val="18"/>
    </w:rPr>
  </w:style>
  <w:style w:type="character" w:styleId="af">
    <w:name w:val="annotation reference"/>
    <w:basedOn w:val="a1"/>
    <w:qFormat/>
    <w:rPr>
      <w:sz w:val="21"/>
      <w:szCs w:val="21"/>
    </w:rPr>
  </w:style>
  <w:style w:type="paragraph" w:customStyle="1" w:styleId="7">
    <w:name w:val="7"/>
    <w:basedOn w:val="a"/>
    <w:qFormat/>
    <w:pPr>
      <w:autoSpaceDE w:val="0"/>
      <w:autoSpaceDN w:val="0"/>
      <w:adjustRightInd w:val="0"/>
      <w:snapToGrid w:val="0"/>
      <w:ind w:firstLine="560"/>
      <w:jc w:val="left"/>
      <w:textAlignment w:val="baseline"/>
    </w:pPr>
    <w:rPr>
      <w:szCs w:val="28"/>
    </w:rPr>
  </w:style>
  <w:style w:type="paragraph" w:customStyle="1" w:styleId="CharCharCharChar">
    <w:name w:val="Char Char Char Char"/>
    <w:basedOn w:val="NewNewNewNewNewNewNewNewNewNewNewNewNewNewNewNewNewNewNewNew"/>
    <w:qFormat/>
  </w:style>
  <w:style w:type="paragraph" w:customStyle="1" w:styleId="NewNewNewNewNewNewNewNewNewNewNewNewNewNewNewNewNewNewNewNew">
    <w:name w:val="正文 New New New New New New New New New New New New New New New New New New New New"/>
    <w:qFormat/>
    <w:pPr>
      <w:widowControl w:val="0"/>
      <w:jc w:val="both"/>
    </w:pPr>
    <w:rPr>
      <w:kern w:val="2"/>
      <w:sz w:val="21"/>
    </w:rPr>
  </w:style>
  <w:style w:type="paragraph" w:customStyle="1" w:styleId="af0">
    <w:name w:val="标准样式"/>
    <w:basedOn w:val="a"/>
    <w:qFormat/>
    <w:pPr>
      <w:spacing w:line="480" w:lineRule="exact"/>
      <w:ind w:firstLine="480"/>
    </w:pPr>
    <w:rPr>
      <w:rFonts w:ascii="仿宋" w:hAnsi="仿宋"/>
      <w:color w:val="000000"/>
      <w:sz w:val="24"/>
    </w:rPr>
  </w:style>
  <w:style w:type="paragraph" w:customStyle="1" w:styleId="30">
    <w:name w:val="3级标题"/>
    <w:basedOn w:val="a"/>
    <w:qFormat/>
    <w:pPr>
      <w:spacing w:line="240" w:lineRule="atLeast"/>
      <w:outlineLvl w:val="2"/>
    </w:pPr>
    <w:rPr>
      <w:rFonts w:ascii="MingLiU" w:hAnsi="MingLiU"/>
      <w:b/>
    </w:rPr>
  </w:style>
  <w:style w:type="paragraph" w:customStyle="1" w:styleId="40">
    <w:name w:val="4正文"/>
    <w:basedOn w:val="a"/>
    <w:qFormat/>
    <w:pPr>
      <w:snapToGrid w:val="0"/>
      <w:spacing w:beforeLines="50" w:line="480" w:lineRule="exact"/>
      <w:ind w:firstLine="200"/>
    </w:pPr>
  </w:style>
  <w:style w:type="paragraph" w:customStyle="1" w:styleId="2TimesNewRoman0026">
    <w:name w:val="样式 标题 2 + Times New Roman 左 段前: 0 磅 段后: 0 磅 行距: 固定值 26 磅"/>
    <w:basedOn w:val="2"/>
    <w:qFormat/>
    <w:pPr>
      <w:spacing w:line="520" w:lineRule="exact"/>
      <w:jc w:val="left"/>
    </w:pPr>
    <w:rPr>
      <w:rFonts w:ascii="Arial" w:eastAsia="@宋体" w:hAnsi="Arial"/>
      <w:szCs w:val="20"/>
    </w:rPr>
  </w:style>
  <w:style w:type="paragraph" w:customStyle="1" w:styleId="jj">
    <w:name w:val="jj正文"/>
    <w:basedOn w:val="a"/>
    <w:qFormat/>
    <w:pPr>
      <w:ind w:firstLine="520"/>
    </w:pPr>
    <w:rPr>
      <w:snapToGrid w:val="0"/>
      <w:kern w:val="0"/>
      <w:sz w:val="26"/>
      <w:szCs w:val="26"/>
    </w:rPr>
  </w:style>
  <w:style w:type="paragraph" w:customStyle="1" w:styleId="af1">
    <w:name w:val="列出段落"/>
    <w:basedOn w:val="a"/>
    <w:qFormat/>
    <w:pPr>
      <w:spacing w:line="460" w:lineRule="exact"/>
      <w:ind w:firstLine="420"/>
    </w:pPr>
    <w:rPr>
      <w:sz w:val="24"/>
    </w:rPr>
  </w:style>
  <w:style w:type="paragraph" w:customStyle="1" w:styleId="af2">
    <w:name w:val="三级条标题"/>
    <w:basedOn w:val="af3"/>
    <w:next w:val="3"/>
    <w:qFormat/>
    <w:pPr>
      <w:ind w:left="315"/>
      <w:outlineLvl w:val="4"/>
    </w:pPr>
  </w:style>
  <w:style w:type="paragraph" w:customStyle="1" w:styleId="af3">
    <w:name w:val="二级条标题"/>
    <w:basedOn w:val="af4"/>
    <w:next w:val="3"/>
    <w:qFormat/>
    <w:pPr>
      <w:ind w:left="735"/>
      <w:outlineLvl w:val="3"/>
    </w:pPr>
  </w:style>
  <w:style w:type="paragraph" w:customStyle="1" w:styleId="af4">
    <w:name w:val="一级条标题"/>
    <w:basedOn w:val="af5"/>
    <w:next w:val="3"/>
    <w:qFormat/>
    <w:pPr>
      <w:spacing w:beforeLines="0" w:before="0" w:afterLines="0" w:after="0"/>
      <w:ind w:left="525"/>
      <w:outlineLvl w:val="2"/>
    </w:pPr>
  </w:style>
  <w:style w:type="paragraph" w:customStyle="1" w:styleId="af5">
    <w:name w:val="章标题"/>
    <w:next w:val="3"/>
    <w:qFormat/>
    <w:pPr>
      <w:tabs>
        <w:tab w:val="left" w:pos="360"/>
      </w:tabs>
      <w:spacing w:beforeLines="50" w:before="50" w:afterLines="50" w:after="50"/>
      <w:jc w:val="both"/>
      <w:outlineLvl w:val="1"/>
    </w:pPr>
    <w:rPr>
      <w:rFonts w:ascii="黑体" w:eastAsia="黑体"/>
      <w:sz w:val="21"/>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styleId="af6">
    <w:name w:val="List Paragraph"/>
    <w:basedOn w:val="a"/>
    <w:uiPriority w:val="99"/>
    <w:qFormat/>
    <w:pPr>
      <w:ind w:firstLine="420"/>
    </w:pPr>
  </w:style>
  <w:style w:type="paragraph" w:customStyle="1" w:styleId="af7">
    <w:name w:val="表格"/>
    <w:basedOn w:val="a7"/>
    <w:next w:val="a"/>
    <w:qFormat/>
    <w:pPr>
      <w:tabs>
        <w:tab w:val="left" w:pos="0"/>
      </w:tabs>
      <w:autoSpaceDE w:val="0"/>
      <w:autoSpaceDN w:val="0"/>
      <w:adjustRightInd w:val="0"/>
      <w:snapToGrid w:val="0"/>
      <w:spacing w:line="240" w:lineRule="auto"/>
      <w:ind w:rightChars="-33" w:right="-92" w:firstLineChars="0" w:firstLine="0"/>
      <w:jc w:val="center"/>
    </w:pPr>
    <w:rPr>
      <w:rFonts w:ascii="宋体" w:hAnsi="宋体"/>
      <w:sz w:val="24"/>
    </w:rPr>
  </w:style>
  <w:style w:type="paragraph" w:customStyle="1" w:styleId="101">
    <w:name w:val="样式 四号 首行缩进:  10.1 毫米"/>
    <w:basedOn w:val="a"/>
    <w:qFormat/>
    <w:pPr>
      <w:ind w:firstLine="573"/>
    </w:pPr>
    <w:rPr>
      <w:rFonts w:cs="宋体"/>
      <w:szCs w:val="20"/>
    </w:rPr>
  </w:style>
  <w:style w:type="paragraph" w:customStyle="1" w:styleId="WPSOffice3">
    <w:name w:val="WPSOffice手动目录 3"/>
    <w:qFormat/>
    <w:pPr>
      <w:ind w:leftChars="400" w:left="400"/>
    </w:pPr>
  </w:style>
  <w:style w:type="character" w:styleId="af8">
    <w:name w:val="Hyperlink"/>
    <w:basedOn w:val="a1"/>
    <w:uiPriority w:val="99"/>
    <w:unhideWhenUsed/>
    <w:rsid w:val="004E7858"/>
    <w:rPr>
      <w:color w:val="0026E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yperlink" Target="http://www.hudong.com/wiki/%E9%A3%9F%E5%93%81" TargetMode="Externa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5" Type="http://schemas.openxmlformats.org/officeDocument/2006/relationships/hyperlink" Target="http://www.hudong.com/wiki/%E6%9C%BA%E6%A2%B0"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eader" Target="header9.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baike.baidu.com/view/1807953.htm" TargetMode="External"/><Relationship Id="rId22" Type="http://schemas.openxmlformats.org/officeDocument/2006/relationships/footer" Target="footer7.xml"/><Relationship Id="rId27" Type="http://schemas.openxmlformats.org/officeDocument/2006/relationships/hyperlink" Target="http://www.hudong.com/wiki/%E5%BB%BA%E6%9D%90" TargetMode="External"/><Relationship Id="rId30" Type="http://schemas.openxmlformats.org/officeDocument/2006/relationships/header" Target="header10.xml"/></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46</Pages>
  <Words>3867</Words>
  <Characters>22046</Characters>
  <Application>Microsoft Office Word</Application>
  <DocSecurity>0</DocSecurity>
  <Lines>183</Lines>
  <Paragraphs>51</Paragraphs>
  <ScaleCrop>false</ScaleCrop>
  <Company/>
  <LinksUpToDate>false</LinksUpToDate>
  <CharactersWithSpaces>25862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xiao leehon</cp:lastModifiedBy>
  <cp:revision>8</cp:revision>
  <dcterms:created xsi:type="dcterms:W3CDTF">2024-12-02T01:27:00Z</dcterms:created>
  <dcterms:modified xsi:type="dcterms:W3CDTF">2026-04-23T06:48:00Z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A9E874E1C47343D28A7AC71ED81CF7E0_13</vt:lpwstr>
  </property>
  <property fmtid="{D5CDD505-2E9C-101B-9397-08002B2CF9AE}" pid="4" name="KSOTemplateDocerSaveRecord">
    <vt:lpwstr>eyJoZGlkIjoiNmZjZjhhNTFhYWU2NmI1NGM0Nzk0NmRjYjkwNDU0MzUiLCJ1c2VySWQiOiI2NjA1OTU0MjYifQ==</vt:lpwstr>
  </property>
</Properties>
</file>